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4468A" w14:textId="77777777" w:rsidR="0005402E" w:rsidRDefault="0005402E" w:rsidP="0005402E">
      <w:pPr>
        <w:jc w:val="center"/>
        <w:rPr>
          <w:rFonts w:ascii="Times New Roman" w:hAnsi="Times New Roman" w:cs="Times New Roman"/>
          <w:sz w:val="40"/>
          <w:szCs w:val="40"/>
        </w:rPr>
      </w:pPr>
    </w:p>
    <w:p w14:paraId="7ECB465C" w14:textId="77777777" w:rsidR="0005402E" w:rsidRDefault="0005402E" w:rsidP="0005402E">
      <w:pPr>
        <w:jc w:val="center"/>
        <w:rPr>
          <w:rFonts w:ascii="Times New Roman" w:hAnsi="Times New Roman" w:cs="Times New Roman"/>
          <w:sz w:val="40"/>
          <w:szCs w:val="40"/>
        </w:rPr>
      </w:pPr>
    </w:p>
    <w:p w14:paraId="461DBC65" w14:textId="77777777" w:rsidR="0005402E" w:rsidRDefault="0005402E" w:rsidP="0005402E">
      <w:pPr>
        <w:jc w:val="center"/>
        <w:rPr>
          <w:rFonts w:ascii="Times New Roman" w:hAnsi="Times New Roman" w:cs="Times New Roman"/>
          <w:sz w:val="40"/>
          <w:szCs w:val="40"/>
        </w:rPr>
      </w:pPr>
    </w:p>
    <w:p w14:paraId="606DFFDD" w14:textId="77777777" w:rsidR="0005402E" w:rsidRDefault="0005402E" w:rsidP="0005402E">
      <w:pPr>
        <w:jc w:val="center"/>
        <w:rPr>
          <w:rFonts w:ascii="Times New Roman" w:hAnsi="Times New Roman" w:cs="Times New Roman"/>
          <w:sz w:val="40"/>
          <w:szCs w:val="40"/>
        </w:rPr>
      </w:pPr>
    </w:p>
    <w:p w14:paraId="7A012E9F" w14:textId="77777777" w:rsidR="0005402E" w:rsidRDefault="0005402E" w:rsidP="0005402E">
      <w:pPr>
        <w:jc w:val="center"/>
        <w:rPr>
          <w:rFonts w:ascii="Times New Roman" w:hAnsi="Times New Roman" w:cs="Times New Roman"/>
          <w:sz w:val="40"/>
          <w:szCs w:val="40"/>
        </w:rPr>
      </w:pPr>
    </w:p>
    <w:p w14:paraId="6A549FA6" w14:textId="77777777" w:rsidR="0005402E" w:rsidRDefault="0005402E" w:rsidP="0005402E">
      <w:pPr>
        <w:jc w:val="center"/>
        <w:rPr>
          <w:rFonts w:ascii="Times New Roman" w:hAnsi="Times New Roman" w:cs="Times New Roman"/>
          <w:sz w:val="40"/>
          <w:szCs w:val="40"/>
        </w:rPr>
      </w:pPr>
    </w:p>
    <w:p w14:paraId="2AE5C735" w14:textId="77777777" w:rsidR="0005402E" w:rsidRDefault="0005402E" w:rsidP="0005402E">
      <w:pPr>
        <w:jc w:val="center"/>
        <w:rPr>
          <w:rFonts w:ascii="Times New Roman" w:hAnsi="Times New Roman" w:cs="Times New Roman"/>
          <w:sz w:val="40"/>
          <w:szCs w:val="40"/>
        </w:rPr>
      </w:pPr>
    </w:p>
    <w:p w14:paraId="4F2375C9" w14:textId="77777777" w:rsidR="0005402E" w:rsidRDefault="0005402E" w:rsidP="0005402E">
      <w:pPr>
        <w:jc w:val="center"/>
        <w:rPr>
          <w:rFonts w:ascii="Times New Roman" w:hAnsi="Times New Roman" w:cs="Times New Roman"/>
          <w:sz w:val="40"/>
          <w:szCs w:val="40"/>
        </w:rPr>
      </w:pPr>
    </w:p>
    <w:p w14:paraId="5B8B2E85" w14:textId="489497B8" w:rsidR="0005402E" w:rsidRPr="00C10A13" w:rsidRDefault="0005402E" w:rsidP="00C10A13">
      <w:pPr>
        <w:jc w:val="center"/>
        <w:rPr>
          <w:rFonts w:ascii="Times New Roman" w:hAnsi="Times New Roman" w:cs="Times New Roman"/>
          <w:sz w:val="40"/>
          <w:szCs w:val="40"/>
        </w:rPr>
      </w:pPr>
      <w:r w:rsidRPr="0005402E">
        <w:rPr>
          <w:rFonts w:ascii="Times New Roman" w:hAnsi="Times New Roman" w:cs="Times New Roman"/>
          <w:sz w:val="40"/>
          <w:szCs w:val="40"/>
        </w:rPr>
        <w:t>I</w:t>
      </w:r>
      <w:r w:rsidR="00C10A13">
        <w:rPr>
          <w:rFonts w:ascii="Times New Roman" w:hAnsi="Times New Roman" w:cs="Times New Roman"/>
          <w:sz w:val="40"/>
          <w:szCs w:val="40"/>
        </w:rPr>
        <w:t>mpact</w:t>
      </w:r>
      <w:r w:rsidRPr="0005402E">
        <w:rPr>
          <w:rFonts w:ascii="Times New Roman" w:hAnsi="Times New Roman" w:cs="Times New Roman"/>
          <w:sz w:val="40"/>
          <w:szCs w:val="40"/>
        </w:rPr>
        <w:t xml:space="preserve"> </w:t>
      </w:r>
      <w:r w:rsidR="00C10A13">
        <w:rPr>
          <w:rFonts w:ascii="Times New Roman" w:hAnsi="Times New Roman" w:cs="Times New Roman"/>
          <w:sz w:val="40"/>
          <w:szCs w:val="40"/>
        </w:rPr>
        <w:t>of</w:t>
      </w:r>
      <w:r w:rsidRPr="0005402E">
        <w:rPr>
          <w:rFonts w:ascii="Times New Roman" w:hAnsi="Times New Roman" w:cs="Times New Roman"/>
          <w:sz w:val="40"/>
          <w:szCs w:val="40"/>
        </w:rPr>
        <w:t xml:space="preserve"> I</w:t>
      </w:r>
      <w:r w:rsidR="00C10A13">
        <w:rPr>
          <w:rFonts w:ascii="Times New Roman" w:hAnsi="Times New Roman" w:cs="Times New Roman"/>
          <w:sz w:val="40"/>
          <w:szCs w:val="40"/>
        </w:rPr>
        <w:t>nflation</w:t>
      </w:r>
      <w:r w:rsidRPr="0005402E">
        <w:rPr>
          <w:rFonts w:ascii="Times New Roman" w:hAnsi="Times New Roman" w:cs="Times New Roman"/>
          <w:sz w:val="40"/>
          <w:szCs w:val="40"/>
        </w:rPr>
        <w:t xml:space="preserve"> V</w:t>
      </w:r>
      <w:r w:rsidR="00C10A13">
        <w:rPr>
          <w:rFonts w:ascii="Times New Roman" w:hAnsi="Times New Roman" w:cs="Times New Roman"/>
          <w:sz w:val="40"/>
          <w:szCs w:val="40"/>
        </w:rPr>
        <w:t>olatility</w:t>
      </w:r>
      <w:r w:rsidRPr="0005402E">
        <w:rPr>
          <w:rFonts w:ascii="Times New Roman" w:hAnsi="Times New Roman" w:cs="Times New Roman"/>
          <w:sz w:val="40"/>
          <w:szCs w:val="40"/>
        </w:rPr>
        <w:t xml:space="preserve"> </w:t>
      </w:r>
      <w:r w:rsidR="00C10A13">
        <w:rPr>
          <w:rFonts w:ascii="Times New Roman" w:hAnsi="Times New Roman" w:cs="Times New Roman"/>
          <w:sz w:val="40"/>
          <w:szCs w:val="40"/>
        </w:rPr>
        <w:t>on</w:t>
      </w:r>
      <w:r w:rsidRPr="0005402E">
        <w:rPr>
          <w:rFonts w:ascii="Times New Roman" w:hAnsi="Times New Roman" w:cs="Times New Roman"/>
          <w:sz w:val="40"/>
          <w:szCs w:val="40"/>
        </w:rPr>
        <w:t xml:space="preserve"> B</w:t>
      </w:r>
      <w:r w:rsidR="00C10A13">
        <w:rPr>
          <w:rFonts w:ascii="Times New Roman" w:hAnsi="Times New Roman" w:cs="Times New Roman"/>
          <w:sz w:val="40"/>
          <w:szCs w:val="40"/>
        </w:rPr>
        <w:t>anking</w:t>
      </w:r>
      <w:r w:rsidRPr="0005402E">
        <w:rPr>
          <w:rFonts w:ascii="Times New Roman" w:hAnsi="Times New Roman" w:cs="Times New Roman"/>
          <w:sz w:val="40"/>
          <w:szCs w:val="40"/>
        </w:rPr>
        <w:t xml:space="preserve"> S</w:t>
      </w:r>
      <w:r w:rsidR="00C10A13">
        <w:rPr>
          <w:rFonts w:ascii="Times New Roman" w:hAnsi="Times New Roman" w:cs="Times New Roman"/>
          <w:sz w:val="40"/>
          <w:szCs w:val="40"/>
        </w:rPr>
        <w:t>ector</w:t>
      </w:r>
      <w:r w:rsidRPr="0005402E">
        <w:rPr>
          <w:rFonts w:ascii="Times New Roman" w:hAnsi="Times New Roman" w:cs="Times New Roman"/>
          <w:sz w:val="40"/>
          <w:szCs w:val="40"/>
        </w:rPr>
        <w:t xml:space="preserve"> S</w:t>
      </w:r>
      <w:r w:rsidR="00C10A13">
        <w:rPr>
          <w:rFonts w:ascii="Times New Roman" w:hAnsi="Times New Roman" w:cs="Times New Roman"/>
          <w:sz w:val="40"/>
          <w:szCs w:val="40"/>
        </w:rPr>
        <w:t xml:space="preserve">tability: </w:t>
      </w:r>
      <w:r w:rsidRPr="00C10A13">
        <w:rPr>
          <w:rFonts w:ascii="Times New Roman" w:hAnsi="Times New Roman" w:cs="Times New Roman"/>
          <w:sz w:val="40"/>
          <w:szCs w:val="40"/>
        </w:rPr>
        <w:t>Evidence from Frontier Economies</w:t>
      </w:r>
    </w:p>
    <w:p w14:paraId="30D93259" w14:textId="10941988" w:rsidR="0005402E" w:rsidRPr="0005402E" w:rsidRDefault="0005402E" w:rsidP="0005402E">
      <w:pPr>
        <w:jc w:val="center"/>
        <w:rPr>
          <w:rFonts w:ascii="Times New Roman" w:eastAsiaTheme="majorEastAsia" w:hAnsi="Times New Roman" w:cs="Times New Roman"/>
          <w:b/>
          <w:bCs/>
          <w:color w:val="2F5496" w:themeColor="accent1" w:themeShade="BF"/>
          <w:sz w:val="28"/>
          <w:szCs w:val="28"/>
        </w:rPr>
      </w:pPr>
    </w:p>
    <w:p w14:paraId="571B1352" w14:textId="77777777" w:rsidR="0005402E" w:rsidRDefault="0005402E">
      <w:pPr>
        <w:rPr>
          <w:rFonts w:ascii="Times New Roman" w:eastAsiaTheme="majorEastAsia" w:hAnsi="Times New Roman" w:cs="Times New Roman"/>
          <w:b/>
          <w:bCs/>
          <w:color w:val="2F5496" w:themeColor="accent1" w:themeShade="BF"/>
          <w:sz w:val="32"/>
          <w:szCs w:val="32"/>
        </w:rPr>
      </w:pPr>
      <w:r>
        <w:rPr>
          <w:rFonts w:ascii="Times New Roman" w:hAnsi="Times New Roman" w:cs="Times New Roman"/>
          <w:b/>
          <w:bCs/>
          <w:sz w:val="32"/>
          <w:szCs w:val="32"/>
        </w:rPr>
        <w:br w:type="page"/>
      </w:r>
    </w:p>
    <w:p w14:paraId="23890023" w14:textId="7B5B7352" w:rsidR="0005402E" w:rsidRDefault="0005402E" w:rsidP="0005402E">
      <w:pPr>
        <w:jc w:val="center"/>
        <w:rPr>
          <w:rFonts w:ascii="Times New Roman" w:hAnsi="Times New Roman" w:cs="Times New Roman"/>
          <w:b/>
          <w:bCs/>
          <w:sz w:val="36"/>
          <w:szCs w:val="36"/>
        </w:rPr>
      </w:pPr>
      <w:r>
        <w:rPr>
          <w:rFonts w:ascii="Times New Roman" w:hAnsi="Times New Roman" w:cs="Times New Roman"/>
          <w:b/>
          <w:bCs/>
          <w:sz w:val="36"/>
          <w:szCs w:val="36"/>
        </w:rPr>
        <w:lastRenderedPageBreak/>
        <w:t xml:space="preserve">Project </w:t>
      </w:r>
      <w:r w:rsidR="00C10A13">
        <w:rPr>
          <w:rFonts w:ascii="Times New Roman" w:hAnsi="Times New Roman" w:cs="Times New Roman"/>
          <w:b/>
          <w:bCs/>
          <w:sz w:val="36"/>
          <w:szCs w:val="36"/>
        </w:rPr>
        <w:t>Report</w:t>
      </w:r>
    </w:p>
    <w:p w14:paraId="142D9CDC" w14:textId="2DD37054" w:rsidR="0005402E" w:rsidRDefault="0005402E" w:rsidP="0005402E">
      <w:pPr>
        <w:jc w:val="center"/>
        <w:rPr>
          <w:rFonts w:ascii="Times New Roman" w:hAnsi="Times New Roman" w:cs="Times New Roman"/>
          <w:b/>
          <w:bCs/>
          <w:sz w:val="36"/>
          <w:szCs w:val="36"/>
        </w:rPr>
      </w:pPr>
      <w:r>
        <w:rPr>
          <w:rFonts w:ascii="Times New Roman" w:hAnsi="Times New Roman" w:cs="Times New Roman"/>
          <w:b/>
          <w:bCs/>
          <w:sz w:val="36"/>
          <w:szCs w:val="36"/>
        </w:rPr>
        <w:t>On</w:t>
      </w:r>
    </w:p>
    <w:p w14:paraId="5B9DC444" w14:textId="5F76D765" w:rsidR="00EB74FC" w:rsidRDefault="00C10A13" w:rsidP="00C10A13">
      <w:pPr>
        <w:jc w:val="center"/>
        <w:rPr>
          <w:rFonts w:ascii="Times New Roman" w:hAnsi="Times New Roman" w:cs="Times New Roman"/>
          <w:b/>
          <w:bCs/>
          <w:sz w:val="36"/>
          <w:szCs w:val="36"/>
        </w:rPr>
      </w:pPr>
      <w:r w:rsidRPr="00C10A13">
        <w:rPr>
          <w:rFonts w:ascii="Times New Roman" w:hAnsi="Times New Roman" w:cs="Times New Roman"/>
          <w:b/>
          <w:bCs/>
          <w:sz w:val="36"/>
          <w:szCs w:val="36"/>
        </w:rPr>
        <w:t>Impact of Inflation Volatility on Banking Sector Stability: Evidence from Frontier Economies</w:t>
      </w:r>
    </w:p>
    <w:p w14:paraId="5D6EFC5C" w14:textId="77777777" w:rsidR="00C10A13" w:rsidRPr="00C10A13" w:rsidRDefault="00C10A13" w:rsidP="00C10A13">
      <w:pPr>
        <w:jc w:val="center"/>
        <w:rPr>
          <w:rFonts w:ascii="Times New Roman" w:hAnsi="Times New Roman" w:cs="Times New Roman"/>
          <w:b/>
          <w:bCs/>
          <w:sz w:val="36"/>
          <w:szCs w:val="36"/>
        </w:rPr>
      </w:pPr>
    </w:p>
    <w:p w14:paraId="133E1928" w14:textId="30878FA0" w:rsidR="0005402E" w:rsidRPr="0005402E" w:rsidRDefault="0005402E" w:rsidP="0005402E">
      <w:pPr>
        <w:jc w:val="center"/>
        <w:rPr>
          <w:rFonts w:ascii="Times New Roman" w:eastAsiaTheme="majorEastAsia" w:hAnsi="Times New Roman" w:cs="Times New Roman"/>
          <w:b/>
          <w:bCs/>
          <w:color w:val="2F5496" w:themeColor="accent1" w:themeShade="BF"/>
          <w:sz w:val="32"/>
          <w:szCs w:val="32"/>
        </w:rPr>
      </w:pPr>
      <w:r w:rsidRPr="006C164B">
        <w:rPr>
          <w:rFonts w:ascii="Times New Roman" w:hAnsi="Times New Roman" w:cs="Times New Roman"/>
          <w:b/>
          <w:bCs/>
          <w:sz w:val="28"/>
          <w:szCs w:val="28"/>
        </w:rPr>
        <w:t>Submitted to:</w:t>
      </w:r>
    </w:p>
    <w:p w14:paraId="5057C25C" w14:textId="77777777" w:rsidR="0005402E" w:rsidRPr="006C164B" w:rsidRDefault="0005402E" w:rsidP="0005402E">
      <w:pPr>
        <w:spacing w:line="360" w:lineRule="auto"/>
        <w:jc w:val="center"/>
        <w:rPr>
          <w:rFonts w:ascii="Times New Roman" w:hAnsi="Times New Roman" w:cs="Times New Roman"/>
        </w:rPr>
      </w:pPr>
      <w:r w:rsidRPr="006C164B">
        <w:rPr>
          <w:rFonts w:ascii="Times New Roman" w:hAnsi="Times New Roman" w:cs="Times New Roman"/>
        </w:rPr>
        <w:t>Muhammad Enamul Haque</w:t>
      </w:r>
    </w:p>
    <w:p w14:paraId="51C8316A" w14:textId="77777777" w:rsidR="0005402E" w:rsidRPr="006C164B" w:rsidRDefault="0005402E" w:rsidP="0005402E">
      <w:pPr>
        <w:spacing w:line="360" w:lineRule="auto"/>
        <w:jc w:val="center"/>
        <w:rPr>
          <w:rFonts w:ascii="Times New Roman" w:hAnsi="Times New Roman" w:cs="Times New Roman"/>
        </w:rPr>
      </w:pPr>
      <w:r w:rsidRPr="006C164B">
        <w:rPr>
          <w:rFonts w:ascii="Times New Roman" w:hAnsi="Times New Roman" w:cs="Times New Roman"/>
        </w:rPr>
        <w:t>Assistant Professor</w:t>
      </w:r>
    </w:p>
    <w:p w14:paraId="081CA23A" w14:textId="77777777" w:rsidR="0005402E" w:rsidRPr="006C164B" w:rsidRDefault="0005402E" w:rsidP="0005402E">
      <w:pPr>
        <w:spacing w:line="360" w:lineRule="auto"/>
        <w:jc w:val="center"/>
        <w:rPr>
          <w:rFonts w:ascii="Times New Roman" w:hAnsi="Times New Roman" w:cs="Times New Roman"/>
        </w:rPr>
      </w:pPr>
      <w:r w:rsidRPr="006C164B">
        <w:rPr>
          <w:rFonts w:ascii="Times New Roman" w:hAnsi="Times New Roman" w:cs="Times New Roman"/>
        </w:rPr>
        <w:t>School of Business and Economics</w:t>
      </w:r>
      <w:r w:rsidRPr="006C164B">
        <w:rPr>
          <w:rFonts w:ascii="Times New Roman" w:hAnsi="Times New Roman" w:cs="Times New Roman"/>
        </w:rPr>
        <w:br/>
      </w:r>
    </w:p>
    <w:p w14:paraId="4D884211" w14:textId="77777777" w:rsidR="0005402E" w:rsidRPr="006C164B" w:rsidRDefault="0005402E" w:rsidP="0005402E">
      <w:pPr>
        <w:jc w:val="center"/>
        <w:rPr>
          <w:rFonts w:ascii="Times New Roman" w:hAnsi="Times New Roman" w:cs="Times New Roman"/>
          <w:b/>
          <w:bCs/>
          <w:sz w:val="28"/>
          <w:szCs w:val="28"/>
        </w:rPr>
      </w:pPr>
      <w:r w:rsidRPr="006C164B">
        <w:rPr>
          <w:rFonts w:ascii="Times New Roman" w:hAnsi="Times New Roman" w:cs="Times New Roman"/>
          <w:b/>
          <w:bCs/>
          <w:sz w:val="28"/>
          <w:szCs w:val="28"/>
        </w:rPr>
        <w:t>Submitted by:</w:t>
      </w:r>
    </w:p>
    <w:p w14:paraId="7F5B6C73" w14:textId="00A56473" w:rsidR="0005402E" w:rsidRPr="006C164B" w:rsidRDefault="00EB74FC" w:rsidP="0005402E">
      <w:pPr>
        <w:spacing w:line="360" w:lineRule="auto"/>
        <w:jc w:val="center"/>
        <w:rPr>
          <w:rFonts w:ascii="Times New Roman" w:hAnsi="Times New Roman" w:cs="Times New Roman"/>
        </w:rPr>
      </w:pPr>
      <w:r>
        <w:rPr>
          <w:rFonts w:ascii="Times New Roman" w:hAnsi="Times New Roman" w:cs="Times New Roman"/>
        </w:rPr>
        <w:t>Shariare Mahmud</w:t>
      </w:r>
    </w:p>
    <w:p w14:paraId="715C75A7" w14:textId="5B5CDD1F" w:rsidR="0005402E" w:rsidRPr="006C164B" w:rsidRDefault="0005402E" w:rsidP="0005402E">
      <w:pPr>
        <w:spacing w:line="360" w:lineRule="auto"/>
        <w:jc w:val="center"/>
        <w:rPr>
          <w:rFonts w:ascii="Times New Roman" w:hAnsi="Times New Roman" w:cs="Times New Roman"/>
        </w:rPr>
      </w:pPr>
      <w:r w:rsidRPr="006C164B">
        <w:rPr>
          <w:rFonts w:ascii="Times New Roman" w:hAnsi="Times New Roman" w:cs="Times New Roman"/>
        </w:rPr>
        <w:t>1112</w:t>
      </w:r>
      <w:r w:rsidR="00EB74FC">
        <w:rPr>
          <w:rFonts w:ascii="Times New Roman" w:hAnsi="Times New Roman" w:cs="Times New Roman"/>
        </w:rPr>
        <w:t>230162</w:t>
      </w:r>
    </w:p>
    <w:p w14:paraId="031A8DDE" w14:textId="77777777" w:rsidR="0005402E" w:rsidRPr="006C164B" w:rsidRDefault="0005402E" w:rsidP="0005402E">
      <w:pPr>
        <w:spacing w:line="360" w:lineRule="auto"/>
        <w:jc w:val="center"/>
        <w:rPr>
          <w:rFonts w:ascii="Times New Roman" w:hAnsi="Times New Roman" w:cs="Times New Roman"/>
        </w:rPr>
      </w:pPr>
      <w:r>
        <w:rPr>
          <w:rFonts w:ascii="Times New Roman" w:hAnsi="Times New Roman" w:cs="Times New Roman"/>
        </w:rPr>
        <w:t xml:space="preserve">Major: </w:t>
      </w:r>
      <w:r w:rsidRPr="006C164B">
        <w:rPr>
          <w:rFonts w:ascii="Times New Roman" w:hAnsi="Times New Roman" w:cs="Times New Roman"/>
        </w:rPr>
        <w:t xml:space="preserve">Finance &amp; FinTech </w:t>
      </w:r>
    </w:p>
    <w:p w14:paraId="2CC13D6A" w14:textId="4861D93B" w:rsidR="0005402E" w:rsidRPr="006C164B" w:rsidRDefault="0005402E" w:rsidP="0005402E">
      <w:pPr>
        <w:spacing w:line="360" w:lineRule="auto"/>
        <w:jc w:val="center"/>
        <w:rPr>
          <w:rFonts w:ascii="Times New Roman" w:hAnsi="Times New Roman" w:cs="Times New Roman"/>
        </w:rPr>
      </w:pPr>
      <w:r w:rsidRPr="006C164B">
        <w:rPr>
          <w:rFonts w:ascii="Times New Roman" w:hAnsi="Times New Roman" w:cs="Times New Roman"/>
        </w:rPr>
        <w:t xml:space="preserve"> 2</w:t>
      </w:r>
      <w:r w:rsidR="00EB74FC">
        <w:rPr>
          <w:rFonts w:ascii="Times New Roman" w:hAnsi="Times New Roman" w:cs="Times New Roman"/>
        </w:rPr>
        <w:t>61</w:t>
      </w:r>
      <w:r w:rsidRPr="006C164B">
        <w:rPr>
          <w:rFonts w:ascii="Times New Roman" w:hAnsi="Times New Roman" w:cs="Times New Roman"/>
        </w:rPr>
        <w:t xml:space="preserve"> - S</w:t>
      </w:r>
      <w:r w:rsidR="00EB74FC">
        <w:rPr>
          <w:rFonts w:ascii="Times New Roman" w:hAnsi="Times New Roman" w:cs="Times New Roman"/>
        </w:rPr>
        <w:t>pring</w:t>
      </w:r>
      <w:r w:rsidRPr="006C164B">
        <w:rPr>
          <w:rFonts w:ascii="Times New Roman" w:hAnsi="Times New Roman" w:cs="Times New Roman"/>
        </w:rPr>
        <w:t xml:space="preserve"> 202</w:t>
      </w:r>
      <w:r w:rsidR="00EB74FC">
        <w:rPr>
          <w:rFonts w:ascii="Times New Roman" w:hAnsi="Times New Roman" w:cs="Times New Roman"/>
        </w:rPr>
        <w:t>6</w:t>
      </w:r>
      <w:r w:rsidRPr="006C164B">
        <w:rPr>
          <w:rFonts w:ascii="Times New Roman" w:hAnsi="Times New Roman" w:cs="Times New Roman"/>
        </w:rPr>
        <w:t xml:space="preserve"> (Trimester)</w:t>
      </w:r>
    </w:p>
    <w:p w14:paraId="0C5DD518" w14:textId="77777777" w:rsidR="0005402E" w:rsidRPr="006C164B" w:rsidRDefault="0005402E" w:rsidP="0005402E">
      <w:pPr>
        <w:spacing w:line="360" w:lineRule="auto"/>
        <w:jc w:val="center"/>
        <w:rPr>
          <w:rFonts w:ascii="Times New Roman" w:hAnsi="Times New Roman" w:cs="Times New Roman"/>
        </w:rPr>
      </w:pPr>
    </w:p>
    <w:p w14:paraId="06C4AC13" w14:textId="77777777" w:rsidR="0005402E" w:rsidRPr="006C164B" w:rsidRDefault="0005402E" w:rsidP="0005402E">
      <w:pPr>
        <w:jc w:val="center"/>
        <w:rPr>
          <w:rFonts w:ascii="Times New Roman" w:hAnsi="Times New Roman" w:cs="Times New Roman"/>
          <w:sz w:val="40"/>
          <w:szCs w:val="40"/>
        </w:rPr>
      </w:pPr>
      <w:r w:rsidRPr="006C164B">
        <w:rPr>
          <w:rFonts w:ascii="Times New Roman" w:hAnsi="Times New Roman" w:cs="Times New Roman"/>
          <w:sz w:val="40"/>
          <w:szCs w:val="40"/>
        </w:rPr>
        <w:t xml:space="preserve"> </w:t>
      </w:r>
      <w:r w:rsidRPr="006C164B">
        <w:rPr>
          <w:rFonts w:ascii="Times New Roman" w:hAnsi="Times New Roman" w:cs="Times New Roman"/>
          <w:noProof/>
          <w:sz w:val="40"/>
          <w:szCs w:val="40"/>
        </w:rPr>
        <w:drawing>
          <wp:inline distT="0" distB="0" distL="0" distR="0" wp14:anchorId="546833FB" wp14:editId="3C9F18B3">
            <wp:extent cx="725170" cy="664210"/>
            <wp:effectExtent l="0" t="0" r="0" b="2540"/>
            <wp:docPr id="5241803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5170" cy="664210"/>
                    </a:xfrm>
                    <a:prstGeom prst="rect">
                      <a:avLst/>
                    </a:prstGeom>
                    <a:noFill/>
                  </pic:spPr>
                </pic:pic>
              </a:graphicData>
            </a:graphic>
          </wp:inline>
        </w:drawing>
      </w:r>
    </w:p>
    <w:p w14:paraId="420A0AC7" w14:textId="77777777" w:rsidR="0005402E" w:rsidRPr="006C164B" w:rsidRDefault="0005402E" w:rsidP="0005402E">
      <w:pPr>
        <w:jc w:val="center"/>
        <w:rPr>
          <w:rFonts w:ascii="Times New Roman" w:hAnsi="Times New Roman" w:cs="Times New Roman"/>
          <w:b/>
          <w:bCs/>
          <w:sz w:val="32"/>
          <w:szCs w:val="32"/>
        </w:rPr>
      </w:pPr>
      <w:r w:rsidRPr="006C164B">
        <w:rPr>
          <w:rFonts w:ascii="Times New Roman" w:hAnsi="Times New Roman" w:cs="Times New Roman"/>
          <w:b/>
          <w:bCs/>
          <w:sz w:val="32"/>
          <w:szCs w:val="32"/>
        </w:rPr>
        <w:t xml:space="preserve">School of Business and Economics </w:t>
      </w:r>
    </w:p>
    <w:p w14:paraId="164C3EC6" w14:textId="77777777" w:rsidR="0005402E" w:rsidRPr="006C164B" w:rsidRDefault="0005402E" w:rsidP="0005402E">
      <w:pPr>
        <w:jc w:val="center"/>
        <w:rPr>
          <w:rFonts w:ascii="Times New Roman" w:hAnsi="Times New Roman" w:cs="Times New Roman"/>
          <w:b/>
          <w:bCs/>
          <w:sz w:val="40"/>
          <w:szCs w:val="40"/>
        </w:rPr>
      </w:pPr>
      <w:r w:rsidRPr="006C164B">
        <w:rPr>
          <w:rFonts w:ascii="Times New Roman" w:hAnsi="Times New Roman" w:cs="Times New Roman"/>
          <w:b/>
          <w:bCs/>
          <w:sz w:val="40"/>
          <w:szCs w:val="40"/>
        </w:rPr>
        <w:t xml:space="preserve">United International University </w:t>
      </w:r>
    </w:p>
    <w:p w14:paraId="0610FA8A" w14:textId="56DAA559" w:rsidR="0005402E" w:rsidRPr="006C164B" w:rsidRDefault="0005402E" w:rsidP="0005402E">
      <w:pPr>
        <w:jc w:val="center"/>
        <w:rPr>
          <w:rFonts w:ascii="Times New Roman" w:hAnsi="Times New Roman" w:cs="Times New Roman"/>
          <w:b/>
          <w:bCs/>
        </w:rPr>
      </w:pPr>
      <w:r w:rsidRPr="006C164B">
        <w:rPr>
          <w:rFonts w:ascii="Times New Roman" w:hAnsi="Times New Roman" w:cs="Times New Roman"/>
          <w:b/>
          <w:bCs/>
        </w:rPr>
        <w:t xml:space="preserve">Date of Submission: </w:t>
      </w:r>
      <w:r w:rsidR="00EB74FC">
        <w:rPr>
          <w:rFonts w:ascii="Times New Roman" w:hAnsi="Times New Roman" w:cs="Times New Roman"/>
          <w:b/>
          <w:bCs/>
        </w:rPr>
        <w:t>22</w:t>
      </w:r>
      <w:r w:rsidR="00EB74FC">
        <w:rPr>
          <w:rFonts w:ascii="Times New Roman" w:hAnsi="Times New Roman" w:cs="Times New Roman"/>
          <w:b/>
          <w:bCs/>
          <w:vertAlign w:val="superscript"/>
        </w:rPr>
        <w:t>nd</w:t>
      </w:r>
      <w:r w:rsidRPr="006C164B">
        <w:rPr>
          <w:rFonts w:ascii="Times New Roman" w:hAnsi="Times New Roman" w:cs="Times New Roman"/>
          <w:b/>
          <w:bCs/>
        </w:rPr>
        <w:t xml:space="preserve"> </w:t>
      </w:r>
      <w:r w:rsidR="00EB74FC">
        <w:rPr>
          <w:rFonts w:ascii="Times New Roman" w:hAnsi="Times New Roman" w:cs="Times New Roman"/>
          <w:b/>
          <w:bCs/>
        </w:rPr>
        <w:t>July</w:t>
      </w:r>
      <w:r w:rsidRPr="006C164B">
        <w:rPr>
          <w:rFonts w:ascii="Times New Roman" w:hAnsi="Times New Roman" w:cs="Times New Roman"/>
          <w:b/>
          <w:bCs/>
        </w:rPr>
        <w:t>, 202</w:t>
      </w:r>
      <w:r w:rsidR="00EB74FC">
        <w:rPr>
          <w:rFonts w:ascii="Times New Roman" w:hAnsi="Times New Roman" w:cs="Times New Roman"/>
          <w:b/>
          <w:bCs/>
        </w:rPr>
        <w:t>6</w:t>
      </w:r>
      <w:r w:rsidRPr="006C164B">
        <w:rPr>
          <w:rFonts w:ascii="Times New Roman" w:hAnsi="Times New Roman" w:cs="Times New Roman"/>
          <w:b/>
          <w:bCs/>
        </w:rPr>
        <w:t xml:space="preserve"> </w:t>
      </w:r>
    </w:p>
    <w:p w14:paraId="12300442" w14:textId="77777777" w:rsidR="00EB74FC" w:rsidRDefault="00EB74FC">
      <w:pPr>
        <w:rPr>
          <w:rFonts w:ascii="Times New Roman" w:eastAsiaTheme="majorEastAsia" w:hAnsi="Times New Roman" w:cs="Times New Roman"/>
          <w:b/>
          <w:bCs/>
          <w:color w:val="2F5496" w:themeColor="accent1" w:themeShade="BF"/>
          <w:sz w:val="32"/>
          <w:szCs w:val="32"/>
        </w:rPr>
      </w:pPr>
      <w:r>
        <w:rPr>
          <w:rFonts w:ascii="Times New Roman" w:hAnsi="Times New Roman" w:cs="Times New Roman"/>
          <w:b/>
          <w:bCs/>
          <w:sz w:val="32"/>
          <w:szCs w:val="32"/>
        </w:rPr>
        <w:br w:type="page"/>
      </w:r>
    </w:p>
    <w:p w14:paraId="5E44CA06" w14:textId="42EC60D0" w:rsidR="00EB74FC" w:rsidRPr="00EB74FC" w:rsidRDefault="00EB74FC" w:rsidP="00EB74FC">
      <w:pPr>
        <w:pStyle w:val="Heading1"/>
        <w:jc w:val="center"/>
        <w:rPr>
          <w:rFonts w:ascii="Times New Roman" w:eastAsiaTheme="minorHAnsi" w:hAnsi="Times New Roman" w:cs="Times New Roman"/>
          <w:b/>
          <w:bCs/>
          <w:sz w:val="32"/>
          <w:szCs w:val="32"/>
        </w:rPr>
      </w:pPr>
      <w:bookmarkStart w:id="0" w:name="_Toc235530834"/>
      <w:r w:rsidRPr="00EB74FC">
        <w:rPr>
          <w:rFonts w:ascii="Times New Roman" w:eastAsiaTheme="minorHAnsi" w:hAnsi="Times New Roman" w:cs="Times New Roman"/>
          <w:b/>
          <w:bCs/>
          <w:sz w:val="32"/>
          <w:szCs w:val="32"/>
        </w:rPr>
        <w:lastRenderedPageBreak/>
        <w:t>Letter of Transmittal</w:t>
      </w:r>
      <w:bookmarkEnd w:id="0"/>
    </w:p>
    <w:p w14:paraId="7C8B8D2B" w14:textId="2C192B94" w:rsidR="00EB74FC" w:rsidRPr="00EB74FC" w:rsidRDefault="00EB74FC" w:rsidP="00EB74FC">
      <w:pPr>
        <w:rPr>
          <w:rFonts w:ascii="Times New Roman" w:hAnsi="Times New Roman" w:cs="Times New Roman"/>
        </w:rPr>
      </w:pPr>
      <w:r w:rsidRPr="00EB74FC">
        <w:rPr>
          <w:rFonts w:ascii="Times New Roman" w:hAnsi="Times New Roman" w:cs="Times New Roman"/>
          <w:b/>
          <w:bCs/>
        </w:rPr>
        <w:t xml:space="preserve">Date: </w:t>
      </w:r>
      <w:r w:rsidRPr="00EB74FC">
        <w:rPr>
          <w:rFonts w:ascii="Times New Roman" w:hAnsi="Times New Roman" w:cs="Times New Roman"/>
        </w:rPr>
        <w:t>22</w:t>
      </w:r>
      <w:r w:rsidRPr="00EB74FC">
        <w:rPr>
          <w:rFonts w:ascii="Times New Roman" w:hAnsi="Times New Roman" w:cs="Times New Roman"/>
          <w:vertAlign w:val="superscript"/>
        </w:rPr>
        <w:t>nd</w:t>
      </w:r>
      <w:r w:rsidRPr="00EB74FC">
        <w:rPr>
          <w:rFonts w:ascii="Times New Roman" w:hAnsi="Times New Roman" w:cs="Times New Roman"/>
        </w:rPr>
        <w:t xml:space="preserve"> July, 2026 </w:t>
      </w:r>
    </w:p>
    <w:p w14:paraId="10B39339" w14:textId="77777777" w:rsidR="00EB74FC" w:rsidRPr="00EB74FC" w:rsidRDefault="00EB74FC" w:rsidP="00EB74FC">
      <w:pPr>
        <w:rPr>
          <w:rFonts w:ascii="Times New Roman" w:hAnsi="Times New Roman" w:cs="Times New Roman"/>
          <w:b/>
          <w:bCs/>
        </w:rPr>
      </w:pPr>
      <w:r w:rsidRPr="00EB74FC">
        <w:rPr>
          <w:rFonts w:ascii="Times New Roman" w:hAnsi="Times New Roman" w:cs="Times New Roman"/>
          <w:b/>
          <w:bCs/>
        </w:rPr>
        <w:t>To</w:t>
      </w:r>
    </w:p>
    <w:p w14:paraId="5CA99897" w14:textId="77777777" w:rsidR="00EB74FC" w:rsidRDefault="00EB74FC" w:rsidP="00EB74FC">
      <w:pPr>
        <w:spacing w:after="0"/>
        <w:rPr>
          <w:rFonts w:ascii="Times New Roman" w:hAnsi="Times New Roman" w:cs="Times New Roman"/>
        </w:rPr>
      </w:pPr>
      <w:r w:rsidRPr="006C164B">
        <w:rPr>
          <w:rFonts w:ascii="Times New Roman" w:hAnsi="Times New Roman" w:cs="Times New Roman"/>
        </w:rPr>
        <w:t>Muhammad Enamul Haque</w:t>
      </w:r>
    </w:p>
    <w:p w14:paraId="714FD229" w14:textId="77777777" w:rsidR="00EB74FC" w:rsidRDefault="00EB74FC" w:rsidP="00EB74FC">
      <w:pPr>
        <w:spacing w:after="0"/>
        <w:rPr>
          <w:rFonts w:ascii="Times New Roman" w:hAnsi="Times New Roman" w:cs="Times New Roman"/>
        </w:rPr>
      </w:pPr>
      <w:r>
        <w:rPr>
          <w:rFonts w:ascii="Times New Roman" w:hAnsi="Times New Roman" w:cs="Times New Roman"/>
        </w:rPr>
        <w:t>Assistant professor</w:t>
      </w:r>
      <w:r w:rsidRPr="006C164B">
        <w:rPr>
          <w:rFonts w:ascii="Times New Roman" w:hAnsi="Times New Roman" w:cs="Times New Roman"/>
        </w:rPr>
        <w:br/>
        <w:t>School of Business and Economics</w:t>
      </w:r>
      <w:r w:rsidRPr="006C164B">
        <w:rPr>
          <w:rFonts w:ascii="Times New Roman" w:hAnsi="Times New Roman" w:cs="Times New Roman"/>
        </w:rPr>
        <w:br/>
        <w:t>United International University (UIU)</w:t>
      </w:r>
      <w:r w:rsidRPr="006C164B">
        <w:rPr>
          <w:rFonts w:ascii="Times New Roman" w:hAnsi="Times New Roman" w:cs="Times New Roman"/>
        </w:rPr>
        <w:br/>
        <w:t>Madani Avenue, Dhaka, Bangladesh</w:t>
      </w:r>
    </w:p>
    <w:p w14:paraId="5DBC9AAF" w14:textId="77777777" w:rsidR="00EB74FC" w:rsidRPr="00EB74FC" w:rsidRDefault="00EB74FC" w:rsidP="00EB74FC">
      <w:pPr>
        <w:rPr>
          <w:rFonts w:ascii="Times New Roman" w:hAnsi="Times New Roman" w:cs="Times New Roman"/>
        </w:rPr>
      </w:pPr>
    </w:p>
    <w:p w14:paraId="05E6D725" w14:textId="6059CDE7" w:rsidR="00EB74FC" w:rsidRPr="00EB74FC" w:rsidRDefault="00EB74FC" w:rsidP="00EB74FC">
      <w:pPr>
        <w:rPr>
          <w:rFonts w:ascii="Times New Roman" w:hAnsi="Times New Roman" w:cs="Times New Roman"/>
        </w:rPr>
      </w:pPr>
      <w:r w:rsidRPr="00EB74FC">
        <w:rPr>
          <w:rFonts w:ascii="Times New Roman" w:hAnsi="Times New Roman" w:cs="Times New Roman"/>
          <w:b/>
          <w:bCs/>
        </w:rPr>
        <w:t>Subject:</w:t>
      </w:r>
      <w:r w:rsidRPr="00EB74FC">
        <w:rPr>
          <w:rFonts w:ascii="Times New Roman" w:hAnsi="Times New Roman" w:cs="Times New Roman"/>
        </w:rPr>
        <w:t xml:space="preserve"> Submission of report on “Impact of Inflation Volatility on Banking Sector Stability</w:t>
      </w:r>
      <w:r w:rsidR="00C10A13" w:rsidRPr="00EB74FC">
        <w:rPr>
          <w:rFonts w:ascii="Times New Roman" w:hAnsi="Times New Roman" w:cs="Times New Roman"/>
        </w:rPr>
        <w:t>: Evidence from Frontier Economies</w:t>
      </w:r>
      <w:r w:rsidRPr="00EB74FC">
        <w:rPr>
          <w:rFonts w:ascii="Times New Roman" w:hAnsi="Times New Roman" w:cs="Times New Roman"/>
        </w:rPr>
        <w:t>”</w:t>
      </w:r>
    </w:p>
    <w:p w14:paraId="1C88AEDC" w14:textId="33059018" w:rsidR="00EB74FC" w:rsidRPr="00EB74FC" w:rsidRDefault="00EB74FC" w:rsidP="00EB74FC">
      <w:pPr>
        <w:rPr>
          <w:rFonts w:ascii="Times New Roman" w:hAnsi="Times New Roman" w:cs="Times New Roman"/>
        </w:rPr>
      </w:pPr>
      <w:r w:rsidRPr="00EB74FC">
        <w:rPr>
          <w:rFonts w:ascii="Times New Roman" w:hAnsi="Times New Roman" w:cs="Times New Roman"/>
        </w:rPr>
        <w:t>Dear Sir,</w:t>
      </w:r>
    </w:p>
    <w:p w14:paraId="42A8DF99" w14:textId="7AC6E91F" w:rsidR="00EB74FC" w:rsidRPr="00EB74FC" w:rsidRDefault="00EB74FC" w:rsidP="00E6629D">
      <w:pPr>
        <w:jc w:val="both"/>
        <w:rPr>
          <w:rFonts w:ascii="Times New Roman" w:hAnsi="Times New Roman" w:cs="Times New Roman"/>
        </w:rPr>
      </w:pPr>
      <w:r w:rsidRPr="00EB74FC">
        <w:rPr>
          <w:rFonts w:ascii="Times New Roman" w:hAnsi="Times New Roman" w:cs="Times New Roman"/>
        </w:rPr>
        <w:t>With due respect, I am pleased to submit my report titled “Impact of Inflation Volatility on Banking Sector Stability: Evidence from Frontier Economies.” This report has been prepared as a part of my academic requirement and focuses on the relationship between inflation volatility and banking-sector stability in selected frontier economies.</w:t>
      </w:r>
    </w:p>
    <w:p w14:paraId="6396DAD4" w14:textId="77777777" w:rsidR="00EB74FC" w:rsidRPr="00EB74FC" w:rsidRDefault="00EB74FC" w:rsidP="00E6629D">
      <w:pPr>
        <w:jc w:val="both"/>
        <w:rPr>
          <w:rFonts w:ascii="Times New Roman" w:hAnsi="Times New Roman" w:cs="Times New Roman"/>
        </w:rPr>
      </w:pPr>
      <w:r w:rsidRPr="00EB74FC">
        <w:rPr>
          <w:rFonts w:ascii="Times New Roman" w:hAnsi="Times New Roman" w:cs="Times New Roman"/>
        </w:rPr>
        <w:t xml:space="preserve">The report examines inflation volatility as a macro-financial risk factor using </w:t>
      </w:r>
      <w:proofErr w:type="gramStart"/>
      <w:r w:rsidRPr="00EB74FC">
        <w:rPr>
          <w:rFonts w:ascii="Times New Roman" w:hAnsi="Times New Roman" w:cs="Times New Roman"/>
        </w:rPr>
        <w:t>GARCH(</w:t>
      </w:r>
      <w:proofErr w:type="gramEnd"/>
      <w:r w:rsidRPr="00EB74FC">
        <w:rPr>
          <w:rFonts w:ascii="Times New Roman" w:hAnsi="Times New Roman" w:cs="Times New Roman"/>
        </w:rPr>
        <w:t>1,1)-based volatility and simple panel models, with the Bank Z-score as the main stability indicator and the NPL ratio as a complementary risk indicator.</w:t>
      </w:r>
    </w:p>
    <w:p w14:paraId="2D55E696" w14:textId="77777777" w:rsidR="00EB74FC" w:rsidRPr="00EB74FC" w:rsidRDefault="00EB74FC" w:rsidP="00E6629D">
      <w:pPr>
        <w:jc w:val="both"/>
        <w:rPr>
          <w:rFonts w:ascii="Times New Roman" w:hAnsi="Times New Roman" w:cs="Times New Roman"/>
        </w:rPr>
      </w:pPr>
      <w:r w:rsidRPr="00EB74FC">
        <w:rPr>
          <w:rFonts w:ascii="Times New Roman" w:hAnsi="Times New Roman" w:cs="Times New Roman"/>
        </w:rPr>
        <w:t>I have tried to prepare the report carefully by using relevant literature, secondary macro-financial data, and empirical analysis. I sincerely hope that the report will meet the required academic standard.</w:t>
      </w:r>
    </w:p>
    <w:p w14:paraId="575F963E" w14:textId="77777777" w:rsidR="00E6629D" w:rsidRPr="006C164B" w:rsidRDefault="00E6629D" w:rsidP="00E6629D">
      <w:pPr>
        <w:jc w:val="both"/>
        <w:rPr>
          <w:rFonts w:ascii="Times New Roman" w:hAnsi="Times New Roman" w:cs="Times New Roman"/>
        </w:rPr>
      </w:pPr>
      <w:r w:rsidRPr="006C164B">
        <w:rPr>
          <w:rFonts w:ascii="Times New Roman" w:hAnsi="Times New Roman" w:cs="Times New Roman"/>
        </w:rPr>
        <w:t>I would like to express my heartfelt gratitude to you for your valuable guidance and continuous support during the preparation of this report. I shall remain grateful for your time, encouragement, and constructive feedback.</w:t>
      </w:r>
    </w:p>
    <w:p w14:paraId="4F902C1D" w14:textId="77777777" w:rsidR="00EB74FC" w:rsidRPr="00EB74FC" w:rsidRDefault="00EB74FC" w:rsidP="00EB74FC">
      <w:pPr>
        <w:rPr>
          <w:rFonts w:ascii="Times New Roman" w:hAnsi="Times New Roman" w:cs="Times New Roman"/>
        </w:rPr>
      </w:pPr>
    </w:p>
    <w:p w14:paraId="3D7FE780" w14:textId="19410874" w:rsidR="00EB74FC" w:rsidRPr="00EB74FC" w:rsidRDefault="00EB74FC" w:rsidP="00EB74FC">
      <w:pPr>
        <w:rPr>
          <w:rFonts w:ascii="Times New Roman" w:hAnsi="Times New Roman" w:cs="Times New Roman"/>
        </w:rPr>
      </w:pPr>
      <w:r w:rsidRPr="00EB74FC">
        <w:rPr>
          <w:rFonts w:ascii="Times New Roman" w:hAnsi="Times New Roman" w:cs="Times New Roman"/>
        </w:rPr>
        <w:t>Sincerely,</w:t>
      </w:r>
    </w:p>
    <w:p w14:paraId="69304643" w14:textId="06655B03" w:rsidR="00E6629D" w:rsidRPr="006C164B" w:rsidRDefault="00E6629D" w:rsidP="00E6629D">
      <w:pPr>
        <w:rPr>
          <w:rFonts w:ascii="Times New Roman" w:hAnsi="Times New Roman" w:cs="Times New Roman"/>
        </w:rPr>
      </w:pPr>
      <w:r>
        <w:rPr>
          <w:rFonts w:ascii="Times New Roman" w:hAnsi="Times New Roman" w:cs="Times New Roman"/>
        </w:rPr>
        <w:t>Shariare Mahmud</w:t>
      </w:r>
      <w:r w:rsidRPr="006C164B">
        <w:rPr>
          <w:rFonts w:ascii="Times New Roman" w:hAnsi="Times New Roman" w:cs="Times New Roman"/>
        </w:rPr>
        <w:br/>
        <w:t>1112</w:t>
      </w:r>
      <w:r>
        <w:rPr>
          <w:rFonts w:ascii="Times New Roman" w:hAnsi="Times New Roman" w:cs="Times New Roman"/>
        </w:rPr>
        <w:t>230162</w:t>
      </w:r>
      <w:r w:rsidRPr="006C164B">
        <w:rPr>
          <w:rFonts w:ascii="Times New Roman" w:hAnsi="Times New Roman" w:cs="Times New Roman"/>
        </w:rPr>
        <w:br/>
        <w:t>Major: Finance and FinTech</w:t>
      </w:r>
      <w:r w:rsidRPr="006C164B">
        <w:rPr>
          <w:rFonts w:ascii="Times New Roman" w:hAnsi="Times New Roman" w:cs="Times New Roman"/>
        </w:rPr>
        <w:br/>
        <w:t>School of Business and Economics</w:t>
      </w:r>
      <w:r w:rsidRPr="006C164B">
        <w:rPr>
          <w:rFonts w:ascii="Times New Roman" w:hAnsi="Times New Roman" w:cs="Times New Roman"/>
        </w:rPr>
        <w:br/>
        <w:t>United International University (UIU)</w:t>
      </w:r>
    </w:p>
    <w:p w14:paraId="05C59766" w14:textId="139E1766" w:rsidR="00EB74FC" w:rsidRDefault="00EB74FC">
      <w:pPr>
        <w:rPr>
          <w:rFonts w:ascii="Times New Roman" w:eastAsiaTheme="majorEastAsia" w:hAnsi="Times New Roman" w:cs="Times New Roman"/>
          <w:b/>
          <w:bCs/>
          <w:color w:val="2F5496" w:themeColor="accent1" w:themeShade="BF"/>
          <w:sz w:val="32"/>
          <w:szCs w:val="32"/>
        </w:rPr>
      </w:pPr>
    </w:p>
    <w:p w14:paraId="367443CE" w14:textId="71493401" w:rsidR="00CA51A1" w:rsidRDefault="00EB74FC" w:rsidP="00CA51A1">
      <w:pPr>
        <w:pStyle w:val="Heading1"/>
        <w:jc w:val="center"/>
        <w:rPr>
          <w:rFonts w:ascii="Times New Roman" w:hAnsi="Times New Roman" w:cs="Times New Roman"/>
          <w:b/>
          <w:bCs/>
          <w:sz w:val="32"/>
          <w:szCs w:val="32"/>
        </w:rPr>
      </w:pPr>
      <w:r w:rsidRPr="00CA51A1">
        <w:rPr>
          <w:b/>
          <w:bCs/>
          <w:sz w:val="32"/>
          <w:szCs w:val="32"/>
        </w:rPr>
        <w:br w:type="page"/>
      </w:r>
      <w:bookmarkStart w:id="1" w:name="_Toc214475274"/>
      <w:bookmarkStart w:id="2" w:name="_Toc235530835"/>
      <w:r w:rsidR="00CA51A1" w:rsidRPr="00CA51A1">
        <w:rPr>
          <w:rFonts w:ascii="Times New Roman" w:hAnsi="Times New Roman" w:cs="Times New Roman"/>
          <w:b/>
          <w:bCs/>
          <w:sz w:val="32"/>
          <w:szCs w:val="32"/>
        </w:rPr>
        <w:lastRenderedPageBreak/>
        <w:t>Certification of Similarity Index</w:t>
      </w:r>
      <w:bookmarkEnd w:id="1"/>
      <w:bookmarkEnd w:id="2"/>
    </w:p>
    <w:p w14:paraId="6BABAC06" w14:textId="39293F21" w:rsidR="00CA51A1" w:rsidRPr="006F75BF" w:rsidRDefault="00566692" w:rsidP="00C72FF1">
      <w:r>
        <w:t xml:space="preserve">        </w:t>
      </w:r>
      <w:r w:rsidR="00206053">
        <w:rPr>
          <w:noProof/>
        </w:rPr>
        <w:drawing>
          <wp:inline distT="0" distB="0" distL="0" distR="0" wp14:anchorId="3E11BDE5" wp14:editId="28F62CB9">
            <wp:extent cx="5943600" cy="3547745"/>
            <wp:effectExtent l="0" t="0" r="0" b="5715"/>
            <wp:docPr id="1169931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931959" name="Picture 1169931959"/>
                    <pic:cNvPicPr/>
                  </pic:nvPicPr>
                  <pic:blipFill>
                    <a:blip r:embed="rId9">
                      <a:extLst>
                        <a:ext uri="{28A0092B-C50C-407E-A947-70E740481C1C}">
                          <a14:useLocalDpi xmlns:a14="http://schemas.microsoft.com/office/drawing/2010/main" val="0"/>
                        </a:ext>
                      </a:extLst>
                    </a:blip>
                    <a:stretch>
                      <a:fillRect/>
                    </a:stretch>
                  </pic:blipFill>
                  <pic:spPr>
                    <a:xfrm>
                      <a:off x="0" y="0"/>
                      <a:ext cx="5943600" cy="3547745"/>
                    </a:xfrm>
                    <a:prstGeom prst="rect">
                      <a:avLst/>
                    </a:prstGeom>
                  </pic:spPr>
                </pic:pic>
              </a:graphicData>
            </a:graphic>
          </wp:inline>
        </w:drawing>
      </w:r>
      <w:r w:rsidR="00206053">
        <w:rPr>
          <w:noProof/>
        </w:rPr>
        <w:drawing>
          <wp:inline distT="0" distB="0" distL="0" distR="0" wp14:anchorId="7E67A336" wp14:editId="19B559A0">
            <wp:extent cx="5943600" cy="3154680"/>
            <wp:effectExtent l="0" t="0" r="0" b="7620"/>
            <wp:docPr id="13433718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371899" name="Picture 1343371899"/>
                    <pic:cNvPicPr/>
                  </pic:nvPicPr>
                  <pic:blipFill>
                    <a:blip r:embed="rId10">
                      <a:extLst>
                        <a:ext uri="{28A0092B-C50C-407E-A947-70E740481C1C}">
                          <a14:useLocalDpi xmlns:a14="http://schemas.microsoft.com/office/drawing/2010/main" val="0"/>
                        </a:ext>
                      </a:extLst>
                    </a:blip>
                    <a:stretch>
                      <a:fillRect/>
                    </a:stretch>
                  </pic:blipFill>
                  <pic:spPr>
                    <a:xfrm>
                      <a:off x="0" y="0"/>
                      <a:ext cx="5943600" cy="3154680"/>
                    </a:xfrm>
                    <a:prstGeom prst="rect">
                      <a:avLst/>
                    </a:prstGeom>
                  </pic:spPr>
                </pic:pic>
              </a:graphicData>
            </a:graphic>
          </wp:inline>
        </w:drawing>
      </w:r>
    </w:p>
    <w:p w14:paraId="2C8ACD14" w14:textId="3523891C" w:rsidR="00CA51A1" w:rsidRPr="00CA51A1" w:rsidRDefault="00CA51A1">
      <w:pPr>
        <w:rPr>
          <w:rFonts w:ascii="Times New Roman" w:eastAsiaTheme="majorEastAsia" w:hAnsi="Times New Roman" w:cs="Times New Roman"/>
          <w:color w:val="2F5496" w:themeColor="accent1" w:themeShade="BF"/>
        </w:rPr>
      </w:pPr>
      <w:r>
        <w:rPr>
          <w:rFonts w:ascii="Times New Roman" w:hAnsi="Times New Roman" w:cs="Times New Roman"/>
          <w:b/>
          <w:bCs/>
          <w:sz w:val="32"/>
          <w:szCs w:val="32"/>
        </w:rPr>
        <w:br w:type="page"/>
      </w:r>
    </w:p>
    <w:p w14:paraId="238060C9" w14:textId="49CCF927" w:rsidR="00E6629D" w:rsidRPr="00E6629D" w:rsidRDefault="00E6629D" w:rsidP="00E6629D">
      <w:pPr>
        <w:pStyle w:val="Heading1"/>
        <w:jc w:val="center"/>
        <w:rPr>
          <w:rFonts w:ascii="Times New Roman" w:hAnsi="Times New Roman" w:cs="Times New Roman"/>
          <w:b/>
          <w:bCs/>
          <w:sz w:val="32"/>
          <w:szCs w:val="32"/>
        </w:rPr>
      </w:pPr>
      <w:bookmarkStart w:id="3" w:name="_Toc235530836"/>
      <w:r w:rsidRPr="00E6629D">
        <w:rPr>
          <w:rFonts w:ascii="Times New Roman" w:hAnsi="Times New Roman" w:cs="Times New Roman"/>
          <w:b/>
          <w:bCs/>
          <w:sz w:val="32"/>
          <w:szCs w:val="32"/>
        </w:rPr>
        <w:lastRenderedPageBreak/>
        <w:t>Declaration of the Student</w:t>
      </w:r>
      <w:bookmarkEnd w:id="3"/>
    </w:p>
    <w:p w14:paraId="7BE9D406" w14:textId="77777777" w:rsidR="00E6629D" w:rsidRDefault="00E6629D" w:rsidP="00E6629D">
      <w:pPr>
        <w:rPr>
          <w:rFonts w:ascii="Times New Roman" w:hAnsi="Times New Roman" w:cs="Times New Roman"/>
        </w:rPr>
      </w:pPr>
    </w:p>
    <w:p w14:paraId="01140CFF" w14:textId="1E45EEE0" w:rsidR="00E6629D" w:rsidRDefault="00E6629D" w:rsidP="00E6629D">
      <w:pPr>
        <w:spacing w:line="360" w:lineRule="auto"/>
        <w:jc w:val="both"/>
        <w:rPr>
          <w:rFonts w:ascii="Times New Roman" w:hAnsi="Times New Roman" w:cs="Times New Roman"/>
        </w:rPr>
      </w:pPr>
      <w:r w:rsidRPr="00E6629D">
        <w:rPr>
          <w:rFonts w:ascii="Times New Roman" w:hAnsi="Times New Roman" w:cs="Times New Roman"/>
        </w:rPr>
        <w:t xml:space="preserve">I, </w:t>
      </w:r>
      <w:r>
        <w:rPr>
          <w:rFonts w:ascii="Times New Roman" w:hAnsi="Times New Roman" w:cs="Times New Roman"/>
        </w:rPr>
        <w:t>Shariare Mahmud</w:t>
      </w:r>
      <w:r w:rsidRPr="00E6629D">
        <w:rPr>
          <w:rFonts w:ascii="Times New Roman" w:hAnsi="Times New Roman" w:cs="Times New Roman"/>
        </w:rPr>
        <w:t xml:space="preserve">, declare that the report </w:t>
      </w:r>
      <w:r>
        <w:rPr>
          <w:rFonts w:ascii="Times New Roman" w:hAnsi="Times New Roman" w:cs="Times New Roman"/>
        </w:rPr>
        <w:t>en</w:t>
      </w:r>
      <w:r w:rsidRPr="00E6629D">
        <w:rPr>
          <w:rFonts w:ascii="Times New Roman" w:hAnsi="Times New Roman" w:cs="Times New Roman"/>
        </w:rPr>
        <w:t xml:space="preserve">titled </w:t>
      </w:r>
    </w:p>
    <w:p w14:paraId="13EAE4B9" w14:textId="4BC0F05B" w:rsidR="00E6629D" w:rsidRPr="006C164B" w:rsidRDefault="00E6629D" w:rsidP="00E6629D">
      <w:pPr>
        <w:spacing w:line="360" w:lineRule="auto"/>
        <w:jc w:val="both"/>
        <w:rPr>
          <w:rFonts w:ascii="Times New Roman" w:hAnsi="Times New Roman" w:cs="Times New Roman"/>
        </w:rPr>
      </w:pPr>
      <w:r w:rsidRPr="00E6629D">
        <w:rPr>
          <w:rFonts w:ascii="Times New Roman" w:hAnsi="Times New Roman" w:cs="Times New Roman"/>
        </w:rPr>
        <w:t xml:space="preserve">“Impact of Inflation Volatility on Banking Sector Stability: Evidence from Frontier Economies” </w:t>
      </w:r>
      <w:r w:rsidRPr="006C164B">
        <w:rPr>
          <w:rFonts w:ascii="Times New Roman" w:hAnsi="Times New Roman" w:cs="Times New Roman"/>
        </w:rPr>
        <w:t>has been prepared by me as a partial requirement for the fulfillment of the Bachelor of Business Administration (BBA) degree from the School of Business and Economics, United International University (UIU).</w:t>
      </w:r>
    </w:p>
    <w:p w14:paraId="1D572EDC" w14:textId="35553DE9" w:rsidR="00E6629D" w:rsidRPr="00E6629D" w:rsidRDefault="00E6629D" w:rsidP="00E6629D">
      <w:pPr>
        <w:spacing w:line="360" w:lineRule="auto"/>
        <w:jc w:val="both"/>
        <w:rPr>
          <w:rFonts w:ascii="Times New Roman" w:hAnsi="Times New Roman" w:cs="Times New Roman"/>
        </w:rPr>
      </w:pPr>
      <w:r w:rsidRPr="00E6629D">
        <w:rPr>
          <w:rFonts w:ascii="Times New Roman" w:hAnsi="Times New Roman" w:cs="Times New Roman"/>
        </w:rPr>
        <w:t>I further declare that the work presented in this report is based on my own study, analysis, and interpretation of relevant literature and secondary data sources. Any information, ideas, tables, figures, formulas, or arguments taken from other authors, databases, or published materials have been properly acknowledged in the main report through appropriate citation and referencing.</w:t>
      </w:r>
    </w:p>
    <w:p w14:paraId="3640E23C" w14:textId="77777777" w:rsidR="00E6629D" w:rsidRPr="006C164B" w:rsidRDefault="00E6629D" w:rsidP="00E6629D">
      <w:pPr>
        <w:spacing w:line="360" w:lineRule="auto"/>
        <w:jc w:val="both"/>
        <w:rPr>
          <w:rFonts w:ascii="Times New Roman" w:hAnsi="Times New Roman" w:cs="Times New Roman"/>
        </w:rPr>
      </w:pPr>
      <w:r w:rsidRPr="006C164B">
        <w:rPr>
          <w:rFonts w:ascii="Times New Roman" w:hAnsi="Times New Roman" w:cs="Times New Roman"/>
        </w:rPr>
        <w:t>I also confirm that the report has been prepared with complete honesty, sincerity, and adherence to academic ethics and guidelines provided by the university.</w:t>
      </w:r>
    </w:p>
    <w:p w14:paraId="7DDCB0ED" w14:textId="77777777" w:rsidR="00E6629D" w:rsidRPr="00E6629D" w:rsidRDefault="00E6629D" w:rsidP="00E6629D">
      <w:pPr>
        <w:rPr>
          <w:rFonts w:ascii="Times New Roman" w:hAnsi="Times New Roman" w:cs="Times New Roman"/>
        </w:rPr>
      </w:pPr>
    </w:p>
    <w:p w14:paraId="286828F8" w14:textId="77777777" w:rsidR="00E6629D" w:rsidRDefault="00E6629D" w:rsidP="00E6629D">
      <w:pPr>
        <w:spacing w:line="360" w:lineRule="auto"/>
        <w:rPr>
          <w:rFonts w:ascii="Times New Roman" w:hAnsi="Times New Roman" w:cs="Times New Roman"/>
        </w:rPr>
      </w:pPr>
    </w:p>
    <w:p w14:paraId="37BF6283" w14:textId="07F76D87" w:rsidR="00E6629D" w:rsidRPr="006C164B" w:rsidRDefault="00E6629D" w:rsidP="00E6629D">
      <w:pPr>
        <w:spacing w:line="360" w:lineRule="auto"/>
        <w:rPr>
          <w:rFonts w:ascii="Times New Roman" w:hAnsi="Times New Roman" w:cs="Times New Roman"/>
        </w:rPr>
      </w:pPr>
      <w:r w:rsidRPr="006C164B">
        <w:rPr>
          <w:rFonts w:ascii="Times New Roman" w:hAnsi="Times New Roman" w:cs="Times New Roman"/>
        </w:rPr>
        <w:t xml:space="preserve">Name: </w:t>
      </w:r>
      <w:r>
        <w:rPr>
          <w:rFonts w:ascii="Times New Roman" w:hAnsi="Times New Roman" w:cs="Times New Roman"/>
        </w:rPr>
        <w:t>Shariare Mahmud</w:t>
      </w:r>
    </w:p>
    <w:p w14:paraId="44331CD9" w14:textId="79BD9A1D" w:rsidR="00E6629D" w:rsidRPr="006C164B" w:rsidRDefault="00E6629D" w:rsidP="00E6629D">
      <w:pPr>
        <w:spacing w:line="360" w:lineRule="auto"/>
        <w:rPr>
          <w:rFonts w:ascii="Times New Roman" w:hAnsi="Times New Roman" w:cs="Times New Roman"/>
        </w:rPr>
      </w:pPr>
      <w:r w:rsidRPr="006C164B">
        <w:rPr>
          <w:rFonts w:ascii="Times New Roman" w:hAnsi="Times New Roman" w:cs="Times New Roman"/>
        </w:rPr>
        <w:t>ID: 1112</w:t>
      </w:r>
      <w:r>
        <w:rPr>
          <w:rFonts w:ascii="Times New Roman" w:hAnsi="Times New Roman" w:cs="Times New Roman"/>
        </w:rPr>
        <w:t>230162</w:t>
      </w:r>
    </w:p>
    <w:p w14:paraId="77E681D4" w14:textId="77777777" w:rsidR="00E6629D" w:rsidRPr="006C164B" w:rsidRDefault="00E6629D" w:rsidP="00E6629D">
      <w:pPr>
        <w:spacing w:line="360" w:lineRule="auto"/>
        <w:rPr>
          <w:rFonts w:ascii="Times New Roman" w:hAnsi="Times New Roman" w:cs="Times New Roman"/>
        </w:rPr>
      </w:pPr>
      <w:r w:rsidRPr="006C164B">
        <w:rPr>
          <w:rFonts w:ascii="Times New Roman" w:hAnsi="Times New Roman" w:cs="Times New Roman"/>
        </w:rPr>
        <w:t>Major: Finance and FinTech</w:t>
      </w:r>
    </w:p>
    <w:p w14:paraId="610F896A" w14:textId="77777777" w:rsidR="00E6629D" w:rsidRPr="006C164B" w:rsidRDefault="00E6629D" w:rsidP="00E6629D">
      <w:pPr>
        <w:spacing w:line="360" w:lineRule="auto"/>
        <w:rPr>
          <w:rFonts w:ascii="Times New Roman" w:hAnsi="Times New Roman" w:cs="Times New Roman"/>
        </w:rPr>
      </w:pPr>
      <w:r w:rsidRPr="006C164B">
        <w:rPr>
          <w:rFonts w:ascii="Times New Roman" w:hAnsi="Times New Roman" w:cs="Times New Roman"/>
        </w:rPr>
        <w:t>School of Business and Economics</w:t>
      </w:r>
    </w:p>
    <w:p w14:paraId="2C179AD3" w14:textId="77777777" w:rsidR="00E6629D" w:rsidRPr="006C164B" w:rsidRDefault="00E6629D" w:rsidP="00E6629D">
      <w:pPr>
        <w:spacing w:line="360" w:lineRule="auto"/>
        <w:rPr>
          <w:rFonts w:ascii="Times New Roman" w:hAnsi="Times New Roman" w:cs="Times New Roman"/>
        </w:rPr>
      </w:pPr>
      <w:r w:rsidRPr="006C164B">
        <w:rPr>
          <w:rFonts w:ascii="Times New Roman" w:hAnsi="Times New Roman" w:cs="Times New Roman"/>
        </w:rPr>
        <w:t>United International University (UIU)</w:t>
      </w:r>
    </w:p>
    <w:p w14:paraId="209B5909" w14:textId="3A888F79" w:rsidR="00D813E4" w:rsidRDefault="00E6629D" w:rsidP="00E6629D">
      <w:pPr>
        <w:spacing w:line="360" w:lineRule="auto"/>
        <w:rPr>
          <w:rFonts w:ascii="Times New Roman" w:hAnsi="Times New Roman" w:cs="Times New Roman"/>
        </w:rPr>
      </w:pPr>
      <w:r w:rsidRPr="006C164B">
        <w:rPr>
          <w:rFonts w:ascii="Times New Roman" w:hAnsi="Times New Roman" w:cs="Times New Roman"/>
        </w:rPr>
        <w:t xml:space="preserve">Date: </w:t>
      </w:r>
      <w:r w:rsidR="00D813E4">
        <w:rPr>
          <w:rFonts w:ascii="Times New Roman" w:hAnsi="Times New Roman" w:cs="Times New Roman"/>
        </w:rPr>
        <w:t>22</w:t>
      </w:r>
      <w:r w:rsidR="00D813E4">
        <w:rPr>
          <w:rFonts w:ascii="Times New Roman" w:hAnsi="Times New Roman" w:cs="Times New Roman"/>
          <w:vertAlign w:val="superscript"/>
        </w:rPr>
        <w:t>nd</w:t>
      </w:r>
      <w:r>
        <w:rPr>
          <w:rFonts w:ascii="Times New Roman" w:hAnsi="Times New Roman" w:cs="Times New Roman"/>
        </w:rPr>
        <w:t xml:space="preserve"> </w:t>
      </w:r>
      <w:r w:rsidR="00D813E4">
        <w:rPr>
          <w:rFonts w:ascii="Times New Roman" w:hAnsi="Times New Roman" w:cs="Times New Roman"/>
        </w:rPr>
        <w:t>July</w:t>
      </w:r>
      <w:r w:rsidRPr="006C164B">
        <w:rPr>
          <w:rFonts w:ascii="Times New Roman" w:hAnsi="Times New Roman" w:cs="Times New Roman"/>
        </w:rPr>
        <w:t>, 202</w:t>
      </w:r>
      <w:r w:rsidR="00D813E4">
        <w:rPr>
          <w:rFonts w:ascii="Times New Roman" w:hAnsi="Times New Roman" w:cs="Times New Roman"/>
        </w:rPr>
        <w:t>6</w:t>
      </w:r>
    </w:p>
    <w:p w14:paraId="23F4DF70" w14:textId="77777777" w:rsidR="00D813E4" w:rsidRDefault="00D813E4">
      <w:pPr>
        <w:rPr>
          <w:rFonts w:ascii="Times New Roman" w:hAnsi="Times New Roman" w:cs="Times New Roman"/>
        </w:rPr>
      </w:pPr>
      <w:r>
        <w:rPr>
          <w:rFonts w:ascii="Times New Roman" w:hAnsi="Times New Roman" w:cs="Times New Roman"/>
        </w:rPr>
        <w:br w:type="page"/>
      </w:r>
    </w:p>
    <w:p w14:paraId="6E583F24" w14:textId="42966762" w:rsidR="00D813E4" w:rsidRPr="00D813E4" w:rsidRDefault="00D813E4" w:rsidP="00D813E4">
      <w:pPr>
        <w:pStyle w:val="Heading1"/>
        <w:jc w:val="center"/>
        <w:rPr>
          <w:rFonts w:ascii="Times New Roman" w:eastAsiaTheme="minorHAnsi" w:hAnsi="Times New Roman" w:cs="Times New Roman"/>
          <w:b/>
          <w:bCs/>
          <w:sz w:val="32"/>
          <w:szCs w:val="32"/>
        </w:rPr>
      </w:pPr>
      <w:bookmarkStart w:id="4" w:name="_Toc235530837"/>
      <w:r w:rsidRPr="00D813E4">
        <w:rPr>
          <w:rFonts w:ascii="Times New Roman" w:eastAsiaTheme="minorHAnsi" w:hAnsi="Times New Roman" w:cs="Times New Roman"/>
          <w:b/>
          <w:bCs/>
          <w:sz w:val="32"/>
          <w:szCs w:val="32"/>
        </w:rPr>
        <w:lastRenderedPageBreak/>
        <w:t>Acknowledgement</w:t>
      </w:r>
      <w:bookmarkEnd w:id="4"/>
    </w:p>
    <w:p w14:paraId="3F124C06" w14:textId="77777777" w:rsidR="00B56287" w:rsidRDefault="00B56287" w:rsidP="00D813E4">
      <w:pPr>
        <w:tabs>
          <w:tab w:val="left" w:pos="1968"/>
        </w:tabs>
        <w:rPr>
          <w:rFonts w:ascii="Times New Roman" w:hAnsi="Times New Roman" w:cs="Times New Roman"/>
        </w:rPr>
      </w:pPr>
    </w:p>
    <w:p w14:paraId="4A7B3553" w14:textId="39E270E8" w:rsidR="00D813E4" w:rsidRPr="00D813E4" w:rsidRDefault="00D813E4" w:rsidP="00B56287">
      <w:pPr>
        <w:tabs>
          <w:tab w:val="left" w:pos="1968"/>
        </w:tabs>
        <w:spacing w:line="360" w:lineRule="auto"/>
        <w:jc w:val="both"/>
        <w:rPr>
          <w:rFonts w:ascii="Times New Roman" w:hAnsi="Times New Roman" w:cs="Times New Roman"/>
        </w:rPr>
      </w:pPr>
      <w:r w:rsidRPr="00D813E4">
        <w:rPr>
          <w:rFonts w:ascii="Times New Roman" w:hAnsi="Times New Roman" w:cs="Times New Roman"/>
        </w:rPr>
        <w:t>First of all, I express my sincere gratitude to Almighty Allah for giving me the strength, patience, and ability to complete this report successfully.</w:t>
      </w:r>
    </w:p>
    <w:p w14:paraId="062638A5" w14:textId="5AC77745" w:rsidR="00D30FCD" w:rsidRDefault="00D30FCD" w:rsidP="00D30FCD">
      <w:pPr>
        <w:spacing w:line="360" w:lineRule="auto"/>
        <w:jc w:val="both"/>
        <w:rPr>
          <w:rFonts w:ascii="Times New Roman" w:hAnsi="Times New Roman" w:cs="Times New Roman"/>
        </w:rPr>
      </w:pPr>
      <w:r w:rsidRPr="006C164B">
        <w:rPr>
          <w:rFonts w:ascii="Times New Roman" w:hAnsi="Times New Roman" w:cs="Times New Roman"/>
        </w:rPr>
        <w:t>I would like to convey my deepest thanks to my honorable Academic Supervisor, Mr. Muhammad Enamul Haque, Assistant Professor at the School of Business and Economics, United International University (UIU). His guidance, valuable advice, and continuous encouragement were instrumental throughout this report. Without his thoughtful supervision, completing this work would have been extremely difficult.</w:t>
      </w:r>
    </w:p>
    <w:p w14:paraId="2F248ECF" w14:textId="2102DEB3" w:rsidR="00D813E4" w:rsidRPr="00D813E4" w:rsidRDefault="00D813E4" w:rsidP="00B56287">
      <w:pPr>
        <w:tabs>
          <w:tab w:val="left" w:pos="1968"/>
        </w:tabs>
        <w:spacing w:line="360" w:lineRule="auto"/>
        <w:jc w:val="both"/>
        <w:rPr>
          <w:rFonts w:ascii="Times New Roman" w:hAnsi="Times New Roman" w:cs="Times New Roman"/>
        </w:rPr>
      </w:pPr>
      <w:r w:rsidRPr="00D813E4">
        <w:rPr>
          <w:rFonts w:ascii="Times New Roman" w:hAnsi="Times New Roman" w:cs="Times New Roman"/>
        </w:rPr>
        <w:t>I acknowledge the contribution of the World Bank, Global Financial Development Database, and other secondary data sources used in this report.</w:t>
      </w:r>
    </w:p>
    <w:p w14:paraId="288775A4" w14:textId="12FB5571" w:rsidR="00D813E4" w:rsidRPr="00D813E4" w:rsidRDefault="00D813E4" w:rsidP="00B56287">
      <w:pPr>
        <w:tabs>
          <w:tab w:val="left" w:pos="1968"/>
        </w:tabs>
        <w:spacing w:line="360" w:lineRule="auto"/>
        <w:jc w:val="both"/>
        <w:rPr>
          <w:rFonts w:ascii="Times New Roman" w:hAnsi="Times New Roman" w:cs="Times New Roman"/>
        </w:rPr>
      </w:pPr>
      <w:r w:rsidRPr="00D813E4">
        <w:rPr>
          <w:rFonts w:ascii="Times New Roman" w:hAnsi="Times New Roman" w:cs="Times New Roman"/>
        </w:rPr>
        <w:t>F</w:t>
      </w:r>
      <w:r w:rsidR="00B56287">
        <w:rPr>
          <w:rFonts w:ascii="Times New Roman" w:hAnsi="Times New Roman" w:cs="Times New Roman"/>
        </w:rPr>
        <w:t>urthermore</w:t>
      </w:r>
      <w:r w:rsidRPr="00D813E4">
        <w:rPr>
          <w:rFonts w:ascii="Times New Roman" w:hAnsi="Times New Roman" w:cs="Times New Roman"/>
        </w:rPr>
        <w:t>, I would like to thank my family, friends, and classmates for their continuous support and motivation during the completion of this report. Their encouragement helped me remain focused and complete the work within the required time.</w:t>
      </w:r>
    </w:p>
    <w:p w14:paraId="7934AC48" w14:textId="77777777" w:rsidR="00B56287" w:rsidRDefault="00B56287" w:rsidP="00B56287">
      <w:pPr>
        <w:spacing w:line="360" w:lineRule="auto"/>
        <w:jc w:val="both"/>
        <w:rPr>
          <w:rFonts w:ascii="Times New Roman" w:hAnsi="Times New Roman" w:cs="Times New Roman"/>
        </w:rPr>
      </w:pPr>
      <w:r w:rsidRPr="006C164B">
        <w:rPr>
          <w:rFonts w:ascii="Times New Roman" w:hAnsi="Times New Roman" w:cs="Times New Roman"/>
        </w:rPr>
        <w:t>Although this report may still contain some shortcomings, I have sincerely put forth my best effort to make it as comprehensive and accurate as possible. Lastly, I would like to express heartfelt appreciation to United International University (UIU) for providing me with the academic foundation and valuable guidance that enabled me to prepare this report successfully.</w:t>
      </w:r>
    </w:p>
    <w:p w14:paraId="607A7C99" w14:textId="6FB8D144" w:rsidR="00D813E4" w:rsidRDefault="00D813E4" w:rsidP="00D813E4">
      <w:pPr>
        <w:tabs>
          <w:tab w:val="left" w:pos="1968"/>
        </w:tabs>
        <w:rPr>
          <w:rFonts w:ascii="Times New Roman" w:hAnsi="Times New Roman" w:cs="Times New Roman"/>
        </w:rPr>
      </w:pPr>
    </w:p>
    <w:p w14:paraId="2415DD9A" w14:textId="40A48CBB" w:rsidR="00B56287" w:rsidRPr="00E34B7E" w:rsidRDefault="00D813E4" w:rsidP="00B56287">
      <w:pPr>
        <w:pStyle w:val="Heading1"/>
        <w:jc w:val="center"/>
        <w:rPr>
          <w:rFonts w:ascii="Times New Roman" w:hAnsi="Times New Roman" w:cs="Times New Roman"/>
          <w:b/>
          <w:bCs/>
          <w:sz w:val="32"/>
          <w:szCs w:val="32"/>
        </w:rPr>
      </w:pPr>
      <w:r w:rsidRPr="00D813E4">
        <w:rPr>
          <w:rFonts w:ascii="Times New Roman" w:hAnsi="Times New Roman" w:cs="Times New Roman"/>
        </w:rPr>
        <w:br w:type="page"/>
      </w:r>
      <w:r w:rsidR="00D1089F">
        <w:rPr>
          <w:rFonts w:ascii="Times New Roman" w:hAnsi="Times New Roman" w:cs="Times New Roman"/>
          <w:b/>
          <w:bCs/>
          <w:sz w:val="32"/>
          <w:szCs w:val="32"/>
        </w:rPr>
        <w:lastRenderedPageBreak/>
        <w:t>Abstract</w:t>
      </w:r>
    </w:p>
    <w:p w14:paraId="021EB5AB" w14:textId="75E31510" w:rsidR="00B56287" w:rsidRDefault="00B56287" w:rsidP="00B56287">
      <w:pPr>
        <w:tabs>
          <w:tab w:val="left" w:pos="1968"/>
        </w:tabs>
        <w:rPr>
          <w:rFonts w:ascii="Times New Roman" w:hAnsi="Times New Roman" w:cs="Times New Roman"/>
          <w:b/>
          <w:bCs/>
        </w:rPr>
      </w:pPr>
    </w:p>
    <w:p w14:paraId="1C2B492F" w14:textId="43FE3B70" w:rsidR="00B56287" w:rsidRPr="00B56287" w:rsidRDefault="00B56287" w:rsidP="00D1089F">
      <w:pPr>
        <w:tabs>
          <w:tab w:val="left" w:pos="1968"/>
        </w:tabs>
        <w:spacing w:line="360" w:lineRule="auto"/>
        <w:jc w:val="both"/>
        <w:rPr>
          <w:rFonts w:ascii="Times New Roman" w:hAnsi="Times New Roman" w:cs="Times New Roman"/>
        </w:rPr>
      </w:pPr>
      <w:r w:rsidRPr="00B56287">
        <w:rPr>
          <w:rFonts w:ascii="Times New Roman" w:hAnsi="Times New Roman" w:cs="Times New Roman"/>
        </w:rPr>
        <w:t>This report examines the impact of inflation volatility on banking-sector stability in selected frontier economies. The study is based on the argument that inflation volatility is not only a macroeconomic issue but also a banking-stability issue, because unstable inflation creates uncertainty in credit markets, affects borrowers’ repayment capacity, weakens asset quality, and increases pressure on banks’ balance sheets. Unlike studies that focus mainly on the level of inflation, this report emphasizes the volatility of inflation as a separate macro-financial risk factor.</w:t>
      </w:r>
    </w:p>
    <w:p w14:paraId="43A34E44" w14:textId="77777777" w:rsidR="00B56287" w:rsidRPr="00B56287" w:rsidRDefault="00B56287" w:rsidP="00D1089F">
      <w:pPr>
        <w:tabs>
          <w:tab w:val="left" w:pos="1968"/>
        </w:tabs>
        <w:spacing w:line="360" w:lineRule="auto"/>
        <w:jc w:val="both"/>
        <w:rPr>
          <w:rFonts w:ascii="Times New Roman" w:hAnsi="Times New Roman" w:cs="Times New Roman"/>
        </w:rPr>
      </w:pPr>
      <w:r w:rsidRPr="00B56287">
        <w:rPr>
          <w:rFonts w:ascii="Times New Roman" w:hAnsi="Times New Roman" w:cs="Times New Roman"/>
        </w:rPr>
        <w:t xml:space="preserve">Inflation volatility is measured using a country-specific </w:t>
      </w:r>
      <w:proofErr w:type="gramStart"/>
      <w:r w:rsidRPr="00B56287">
        <w:rPr>
          <w:rFonts w:ascii="Times New Roman" w:hAnsi="Times New Roman" w:cs="Times New Roman"/>
        </w:rPr>
        <w:t>GARCH(</w:t>
      </w:r>
      <w:proofErr w:type="gramEnd"/>
      <w:r w:rsidRPr="00B56287">
        <w:rPr>
          <w:rFonts w:ascii="Times New Roman" w:hAnsi="Times New Roman" w:cs="Times New Roman"/>
        </w:rPr>
        <w:t>1,1) conditional variance approach based on annual consumer price inflation data. Banking-sector stability is measured primarily by the Bank Z-score, while the non-performing loan ratio is considered as a complementary indicator of banking risk and asset-quality deterioration. The empirical analysis follows a simple panel-data framework using Fixed Effects and Random Effects models. The Hausman test is used to guide estimator selection, and additional specifications include macroeconomic controls such as GDP growth and real interest rate. Robustness checks are also considered through alternative volatility specifications and controlled panel models.</w:t>
      </w:r>
    </w:p>
    <w:p w14:paraId="6AFE5766" w14:textId="77777777" w:rsidR="00B56287" w:rsidRPr="00B56287" w:rsidRDefault="00B56287" w:rsidP="00D1089F">
      <w:pPr>
        <w:tabs>
          <w:tab w:val="left" w:pos="1968"/>
        </w:tabs>
        <w:spacing w:line="360" w:lineRule="auto"/>
        <w:jc w:val="both"/>
        <w:rPr>
          <w:rFonts w:ascii="Times New Roman" w:hAnsi="Times New Roman" w:cs="Times New Roman"/>
        </w:rPr>
      </w:pPr>
      <w:r w:rsidRPr="00B56287">
        <w:rPr>
          <w:rFonts w:ascii="Times New Roman" w:hAnsi="Times New Roman" w:cs="Times New Roman"/>
        </w:rPr>
        <w:t>The results suggest that inflation volatility is negatively associated with Bank Z-score, meaning that higher inflation volatility is linked with lower distance from insolvency and weaker banking-sector stability. The evidence is stronger and more consistent for the solvency-stability channel than for the non-performing loan channel, which appears weaker and more conditional. The findings indicate that volatile inflation may affect banking systems before credit-quality deterioration becomes clearly visible through reported NPL ratios.</w:t>
      </w:r>
    </w:p>
    <w:p w14:paraId="424AB582" w14:textId="77777777" w:rsidR="00A7076F" w:rsidRDefault="00B56287" w:rsidP="00D1089F">
      <w:pPr>
        <w:tabs>
          <w:tab w:val="left" w:pos="1968"/>
        </w:tabs>
        <w:spacing w:line="360" w:lineRule="auto"/>
        <w:jc w:val="both"/>
        <w:rPr>
          <w:rFonts w:ascii="Times New Roman" w:hAnsi="Times New Roman" w:cs="Times New Roman"/>
        </w:rPr>
      </w:pPr>
      <w:r w:rsidRPr="00B56287">
        <w:rPr>
          <w:rFonts w:ascii="Times New Roman" w:hAnsi="Times New Roman" w:cs="Times New Roman"/>
        </w:rPr>
        <w:t>The report concludes that central banks and banking regulators in frontier economies should monitor inflation volatility, not only the average inflation rate. Stronger macroprudential tools, better policy coordination, forward-looking provisioning, and improved inflation-expectation management can help reduce the banking-sector risks associated with unstable inflation.</w:t>
      </w:r>
    </w:p>
    <w:p w14:paraId="6AA6E0B8" w14:textId="77777777" w:rsidR="009D27EE" w:rsidRDefault="009D27EE" w:rsidP="00D1089F">
      <w:pPr>
        <w:tabs>
          <w:tab w:val="left" w:pos="1968"/>
        </w:tabs>
        <w:spacing w:line="360" w:lineRule="auto"/>
        <w:jc w:val="both"/>
        <w:rPr>
          <w:rFonts w:ascii="Times New Roman" w:hAnsi="Times New Roman" w:cs="Times New Roman"/>
        </w:rPr>
      </w:pPr>
    </w:p>
    <w:sdt>
      <w:sdtPr>
        <w:rPr>
          <w:rFonts w:ascii="Times New Roman" w:eastAsiaTheme="minorHAnsi" w:hAnsi="Times New Roman" w:cs="Times New Roman"/>
          <w:b/>
          <w:bCs/>
          <w:color w:val="auto"/>
          <w:kern w:val="2"/>
          <w:sz w:val="24"/>
          <w:szCs w:val="24"/>
          <w14:ligatures w14:val="standardContextual"/>
        </w:rPr>
        <w:id w:val="-1987776912"/>
        <w:docPartObj>
          <w:docPartGallery w:val="Table of Contents"/>
          <w:docPartUnique/>
        </w:docPartObj>
      </w:sdtPr>
      <w:sdtEndPr>
        <w:rPr>
          <w:rFonts w:asciiTheme="minorHAnsi" w:hAnsiTheme="minorHAnsi" w:cstheme="minorBidi"/>
          <w:noProof/>
        </w:rPr>
      </w:sdtEndPr>
      <w:sdtContent>
        <w:p w14:paraId="47222460" w14:textId="19A75DB4" w:rsidR="00A7076F" w:rsidRPr="009D27EE" w:rsidRDefault="00A7076F" w:rsidP="00A7076F">
          <w:pPr>
            <w:pStyle w:val="TOCHeading"/>
            <w:jc w:val="center"/>
            <w:rPr>
              <w:rFonts w:ascii="Times New Roman" w:hAnsi="Times New Roman" w:cs="Times New Roman"/>
              <w:b/>
              <w:bCs/>
            </w:rPr>
          </w:pPr>
          <w:r w:rsidRPr="009D27EE">
            <w:rPr>
              <w:rFonts w:ascii="Times New Roman" w:hAnsi="Times New Roman" w:cs="Times New Roman"/>
              <w:b/>
              <w:bCs/>
            </w:rPr>
            <w:t>Table of Contents</w:t>
          </w:r>
        </w:p>
        <w:p w14:paraId="515F0CB2" w14:textId="1E5154D6" w:rsidR="00C72FF1" w:rsidRDefault="00A7076F">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35530834" w:history="1">
            <w:r w:rsidR="00C72FF1" w:rsidRPr="00DE4B3F">
              <w:rPr>
                <w:rStyle w:val="Hyperlink"/>
                <w:rFonts w:ascii="Times New Roman" w:hAnsi="Times New Roman" w:cs="Times New Roman"/>
                <w:b/>
                <w:bCs/>
                <w:noProof/>
              </w:rPr>
              <w:t>Letter of Transmittal</w:t>
            </w:r>
            <w:r w:rsidR="00C72FF1">
              <w:rPr>
                <w:noProof/>
                <w:webHidden/>
              </w:rPr>
              <w:tab/>
            </w:r>
            <w:r w:rsidR="00C72FF1">
              <w:rPr>
                <w:noProof/>
                <w:webHidden/>
              </w:rPr>
              <w:fldChar w:fldCharType="begin"/>
            </w:r>
            <w:r w:rsidR="00C72FF1">
              <w:rPr>
                <w:noProof/>
                <w:webHidden/>
              </w:rPr>
              <w:instrText xml:space="preserve"> PAGEREF _Toc235530834 \h </w:instrText>
            </w:r>
            <w:r w:rsidR="00C72FF1">
              <w:rPr>
                <w:noProof/>
                <w:webHidden/>
              </w:rPr>
            </w:r>
            <w:r w:rsidR="00C72FF1">
              <w:rPr>
                <w:noProof/>
                <w:webHidden/>
              </w:rPr>
              <w:fldChar w:fldCharType="separate"/>
            </w:r>
            <w:r w:rsidR="00C72FF1">
              <w:rPr>
                <w:noProof/>
                <w:webHidden/>
              </w:rPr>
              <w:t>iii</w:t>
            </w:r>
            <w:r w:rsidR="00C72FF1">
              <w:rPr>
                <w:noProof/>
                <w:webHidden/>
              </w:rPr>
              <w:fldChar w:fldCharType="end"/>
            </w:r>
          </w:hyperlink>
        </w:p>
        <w:p w14:paraId="4676EF77" w14:textId="26F6BE2E" w:rsidR="00C72FF1" w:rsidRDefault="00C72FF1">
          <w:pPr>
            <w:pStyle w:val="TOC1"/>
            <w:tabs>
              <w:tab w:val="right" w:leader="dot" w:pos="9350"/>
            </w:tabs>
            <w:rPr>
              <w:rFonts w:eastAsiaTheme="minorEastAsia"/>
              <w:noProof/>
            </w:rPr>
          </w:pPr>
          <w:hyperlink w:anchor="_Toc235530835" w:history="1">
            <w:r w:rsidRPr="00DE4B3F">
              <w:rPr>
                <w:rStyle w:val="Hyperlink"/>
                <w:rFonts w:ascii="Times New Roman" w:hAnsi="Times New Roman" w:cs="Times New Roman"/>
                <w:b/>
                <w:bCs/>
                <w:noProof/>
              </w:rPr>
              <w:t>Certification of Similarity Index</w:t>
            </w:r>
            <w:r>
              <w:rPr>
                <w:noProof/>
                <w:webHidden/>
              </w:rPr>
              <w:tab/>
            </w:r>
            <w:r>
              <w:rPr>
                <w:noProof/>
                <w:webHidden/>
              </w:rPr>
              <w:fldChar w:fldCharType="begin"/>
            </w:r>
            <w:r>
              <w:rPr>
                <w:noProof/>
                <w:webHidden/>
              </w:rPr>
              <w:instrText xml:space="preserve"> PAGEREF _Toc235530835 \h </w:instrText>
            </w:r>
            <w:r>
              <w:rPr>
                <w:noProof/>
                <w:webHidden/>
              </w:rPr>
            </w:r>
            <w:r>
              <w:rPr>
                <w:noProof/>
                <w:webHidden/>
              </w:rPr>
              <w:fldChar w:fldCharType="separate"/>
            </w:r>
            <w:r>
              <w:rPr>
                <w:noProof/>
                <w:webHidden/>
              </w:rPr>
              <w:t>iv</w:t>
            </w:r>
            <w:r>
              <w:rPr>
                <w:noProof/>
                <w:webHidden/>
              </w:rPr>
              <w:fldChar w:fldCharType="end"/>
            </w:r>
          </w:hyperlink>
        </w:p>
        <w:p w14:paraId="5BCD8A29" w14:textId="5DF446E9" w:rsidR="00C72FF1" w:rsidRDefault="00C72FF1">
          <w:pPr>
            <w:pStyle w:val="TOC1"/>
            <w:tabs>
              <w:tab w:val="right" w:leader="dot" w:pos="9350"/>
            </w:tabs>
            <w:rPr>
              <w:rFonts w:eastAsiaTheme="minorEastAsia"/>
              <w:noProof/>
            </w:rPr>
          </w:pPr>
          <w:hyperlink w:anchor="_Toc235530836" w:history="1">
            <w:r w:rsidRPr="00DE4B3F">
              <w:rPr>
                <w:rStyle w:val="Hyperlink"/>
                <w:rFonts w:ascii="Times New Roman" w:hAnsi="Times New Roman" w:cs="Times New Roman"/>
                <w:b/>
                <w:bCs/>
                <w:noProof/>
              </w:rPr>
              <w:t>Declaration of the Student</w:t>
            </w:r>
            <w:r>
              <w:rPr>
                <w:noProof/>
                <w:webHidden/>
              </w:rPr>
              <w:tab/>
            </w:r>
            <w:r>
              <w:rPr>
                <w:noProof/>
                <w:webHidden/>
              </w:rPr>
              <w:fldChar w:fldCharType="begin"/>
            </w:r>
            <w:r>
              <w:rPr>
                <w:noProof/>
                <w:webHidden/>
              </w:rPr>
              <w:instrText xml:space="preserve"> PAGEREF _Toc235530836 \h </w:instrText>
            </w:r>
            <w:r>
              <w:rPr>
                <w:noProof/>
                <w:webHidden/>
              </w:rPr>
            </w:r>
            <w:r>
              <w:rPr>
                <w:noProof/>
                <w:webHidden/>
              </w:rPr>
              <w:fldChar w:fldCharType="separate"/>
            </w:r>
            <w:r>
              <w:rPr>
                <w:noProof/>
                <w:webHidden/>
              </w:rPr>
              <w:t>v</w:t>
            </w:r>
            <w:r>
              <w:rPr>
                <w:noProof/>
                <w:webHidden/>
              </w:rPr>
              <w:fldChar w:fldCharType="end"/>
            </w:r>
          </w:hyperlink>
        </w:p>
        <w:p w14:paraId="773A303E" w14:textId="69F925FC" w:rsidR="00C72FF1" w:rsidRDefault="00C72FF1">
          <w:pPr>
            <w:pStyle w:val="TOC1"/>
            <w:tabs>
              <w:tab w:val="right" w:leader="dot" w:pos="9350"/>
            </w:tabs>
            <w:rPr>
              <w:rFonts w:eastAsiaTheme="minorEastAsia"/>
              <w:noProof/>
            </w:rPr>
          </w:pPr>
          <w:hyperlink w:anchor="_Toc235530837" w:history="1">
            <w:r w:rsidRPr="00DE4B3F">
              <w:rPr>
                <w:rStyle w:val="Hyperlink"/>
                <w:rFonts w:ascii="Times New Roman" w:hAnsi="Times New Roman" w:cs="Times New Roman"/>
                <w:b/>
                <w:bCs/>
                <w:noProof/>
              </w:rPr>
              <w:t>Acknowledgement</w:t>
            </w:r>
            <w:r>
              <w:rPr>
                <w:noProof/>
                <w:webHidden/>
              </w:rPr>
              <w:tab/>
            </w:r>
            <w:r>
              <w:rPr>
                <w:noProof/>
                <w:webHidden/>
              </w:rPr>
              <w:fldChar w:fldCharType="begin"/>
            </w:r>
            <w:r>
              <w:rPr>
                <w:noProof/>
                <w:webHidden/>
              </w:rPr>
              <w:instrText xml:space="preserve"> PAGEREF _Toc235530837 \h </w:instrText>
            </w:r>
            <w:r>
              <w:rPr>
                <w:noProof/>
                <w:webHidden/>
              </w:rPr>
            </w:r>
            <w:r>
              <w:rPr>
                <w:noProof/>
                <w:webHidden/>
              </w:rPr>
              <w:fldChar w:fldCharType="separate"/>
            </w:r>
            <w:r>
              <w:rPr>
                <w:noProof/>
                <w:webHidden/>
              </w:rPr>
              <w:t>vi</w:t>
            </w:r>
            <w:r>
              <w:rPr>
                <w:noProof/>
                <w:webHidden/>
              </w:rPr>
              <w:fldChar w:fldCharType="end"/>
            </w:r>
          </w:hyperlink>
        </w:p>
        <w:p w14:paraId="0E59A334" w14:textId="273390B4" w:rsidR="00C72FF1" w:rsidRDefault="00C72FF1">
          <w:pPr>
            <w:pStyle w:val="TOC1"/>
            <w:tabs>
              <w:tab w:val="right" w:leader="dot" w:pos="9350"/>
            </w:tabs>
            <w:rPr>
              <w:rFonts w:eastAsiaTheme="minorEastAsia"/>
              <w:noProof/>
            </w:rPr>
          </w:pPr>
          <w:hyperlink w:anchor="_Toc235530838" w:history="1">
            <w:r w:rsidR="00D1089F">
              <w:rPr>
                <w:rStyle w:val="Hyperlink"/>
                <w:rFonts w:ascii="Times New Roman" w:hAnsi="Times New Roman" w:cs="Times New Roman"/>
                <w:b/>
                <w:bCs/>
                <w:noProof/>
              </w:rPr>
              <w:t>Abstract</w:t>
            </w:r>
            <w:r>
              <w:rPr>
                <w:noProof/>
                <w:webHidden/>
              </w:rPr>
              <w:tab/>
            </w:r>
            <w:r>
              <w:rPr>
                <w:noProof/>
                <w:webHidden/>
              </w:rPr>
              <w:fldChar w:fldCharType="begin"/>
            </w:r>
            <w:r>
              <w:rPr>
                <w:noProof/>
                <w:webHidden/>
              </w:rPr>
              <w:instrText xml:space="preserve"> PAGEREF _Toc235530838 \h </w:instrText>
            </w:r>
            <w:r>
              <w:rPr>
                <w:noProof/>
                <w:webHidden/>
              </w:rPr>
            </w:r>
            <w:r>
              <w:rPr>
                <w:noProof/>
                <w:webHidden/>
              </w:rPr>
              <w:fldChar w:fldCharType="separate"/>
            </w:r>
            <w:r>
              <w:rPr>
                <w:noProof/>
                <w:webHidden/>
              </w:rPr>
              <w:t>vii</w:t>
            </w:r>
            <w:r>
              <w:rPr>
                <w:noProof/>
                <w:webHidden/>
              </w:rPr>
              <w:fldChar w:fldCharType="end"/>
            </w:r>
          </w:hyperlink>
        </w:p>
        <w:p w14:paraId="1FD6ABED" w14:textId="2556C33E" w:rsidR="00C72FF1" w:rsidRDefault="00C72FF1">
          <w:pPr>
            <w:pStyle w:val="TOC1"/>
            <w:tabs>
              <w:tab w:val="right" w:leader="dot" w:pos="9350"/>
            </w:tabs>
            <w:rPr>
              <w:rFonts w:eastAsiaTheme="minorEastAsia"/>
              <w:noProof/>
            </w:rPr>
          </w:pPr>
          <w:hyperlink w:anchor="_Toc235530839" w:history="1">
            <w:r w:rsidRPr="00DE4B3F">
              <w:rPr>
                <w:rStyle w:val="Hyperlink"/>
                <w:rFonts w:ascii="Times New Roman" w:hAnsi="Times New Roman" w:cs="Times New Roman"/>
                <w:b/>
                <w:bCs/>
                <w:noProof/>
              </w:rPr>
              <w:t>List of Figures</w:t>
            </w:r>
            <w:r>
              <w:rPr>
                <w:noProof/>
                <w:webHidden/>
              </w:rPr>
              <w:tab/>
            </w:r>
            <w:r>
              <w:rPr>
                <w:noProof/>
                <w:webHidden/>
              </w:rPr>
              <w:fldChar w:fldCharType="begin"/>
            </w:r>
            <w:r>
              <w:rPr>
                <w:noProof/>
                <w:webHidden/>
              </w:rPr>
              <w:instrText xml:space="preserve"> PAGEREF _Toc235530839 \h </w:instrText>
            </w:r>
            <w:r>
              <w:rPr>
                <w:noProof/>
                <w:webHidden/>
              </w:rPr>
            </w:r>
            <w:r>
              <w:rPr>
                <w:noProof/>
                <w:webHidden/>
              </w:rPr>
              <w:fldChar w:fldCharType="separate"/>
            </w:r>
            <w:r>
              <w:rPr>
                <w:noProof/>
                <w:webHidden/>
              </w:rPr>
              <w:t>xii</w:t>
            </w:r>
            <w:r>
              <w:rPr>
                <w:noProof/>
                <w:webHidden/>
              </w:rPr>
              <w:fldChar w:fldCharType="end"/>
            </w:r>
          </w:hyperlink>
        </w:p>
        <w:p w14:paraId="098E791E" w14:textId="12AEA8D9" w:rsidR="00C72FF1" w:rsidRDefault="00C72FF1">
          <w:pPr>
            <w:pStyle w:val="TOC1"/>
            <w:tabs>
              <w:tab w:val="right" w:leader="dot" w:pos="9350"/>
            </w:tabs>
            <w:rPr>
              <w:rFonts w:eastAsiaTheme="minorEastAsia"/>
              <w:noProof/>
            </w:rPr>
          </w:pPr>
          <w:hyperlink w:anchor="_Toc235530840" w:history="1">
            <w:r w:rsidRPr="00DE4B3F">
              <w:rPr>
                <w:rStyle w:val="Hyperlink"/>
                <w:rFonts w:ascii="Times New Roman" w:hAnsi="Times New Roman" w:cs="Times New Roman"/>
                <w:b/>
                <w:bCs/>
                <w:noProof/>
              </w:rPr>
              <w:t>List of Tables</w:t>
            </w:r>
            <w:r>
              <w:rPr>
                <w:noProof/>
                <w:webHidden/>
              </w:rPr>
              <w:tab/>
            </w:r>
            <w:r>
              <w:rPr>
                <w:noProof/>
                <w:webHidden/>
              </w:rPr>
              <w:fldChar w:fldCharType="begin"/>
            </w:r>
            <w:r>
              <w:rPr>
                <w:noProof/>
                <w:webHidden/>
              </w:rPr>
              <w:instrText xml:space="preserve"> PAGEREF _Toc235530840 \h </w:instrText>
            </w:r>
            <w:r>
              <w:rPr>
                <w:noProof/>
                <w:webHidden/>
              </w:rPr>
            </w:r>
            <w:r>
              <w:rPr>
                <w:noProof/>
                <w:webHidden/>
              </w:rPr>
              <w:fldChar w:fldCharType="separate"/>
            </w:r>
            <w:r>
              <w:rPr>
                <w:noProof/>
                <w:webHidden/>
              </w:rPr>
              <w:t>xiii</w:t>
            </w:r>
            <w:r>
              <w:rPr>
                <w:noProof/>
                <w:webHidden/>
              </w:rPr>
              <w:fldChar w:fldCharType="end"/>
            </w:r>
          </w:hyperlink>
        </w:p>
        <w:p w14:paraId="39C93B75" w14:textId="24FD3403" w:rsidR="00C72FF1" w:rsidRDefault="00C72FF1">
          <w:pPr>
            <w:pStyle w:val="TOC1"/>
            <w:tabs>
              <w:tab w:val="right" w:leader="dot" w:pos="9350"/>
            </w:tabs>
            <w:rPr>
              <w:rFonts w:eastAsiaTheme="minorEastAsia"/>
              <w:noProof/>
            </w:rPr>
          </w:pPr>
          <w:hyperlink w:anchor="_Toc235530841" w:history="1">
            <w:r w:rsidRPr="00DE4B3F">
              <w:rPr>
                <w:rStyle w:val="Hyperlink"/>
                <w:rFonts w:ascii="Times New Roman" w:hAnsi="Times New Roman" w:cs="Times New Roman"/>
                <w:b/>
                <w:bCs/>
                <w:noProof/>
              </w:rPr>
              <w:t>List of Acronyms &amp; Abbreviations</w:t>
            </w:r>
            <w:r>
              <w:rPr>
                <w:noProof/>
                <w:webHidden/>
              </w:rPr>
              <w:tab/>
            </w:r>
            <w:r>
              <w:rPr>
                <w:noProof/>
                <w:webHidden/>
              </w:rPr>
              <w:fldChar w:fldCharType="begin"/>
            </w:r>
            <w:r>
              <w:rPr>
                <w:noProof/>
                <w:webHidden/>
              </w:rPr>
              <w:instrText xml:space="preserve"> PAGEREF _Toc235530841 \h </w:instrText>
            </w:r>
            <w:r>
              <w:rPr>
                <w:noProof/>
                <w:webHidden/>
              </w:rPr>
            </w:r>
            <w:r>
              <w:rPr>
                <w:noProof/>
                <w:webHidden/>
              </w:rPr>
              <w:fldChar w:fldCharType="separate"/>
            </w:r>
            <w:r>
              <w:rPr>
                <w:noProof/>
                <w:webHidden/>
              </w:rPr>
              <w:t>xiv</w:t>
            </w:r>
            <w:r>
              <w:rPr>
                <w:noProof/>
                <w:webHidden/>
              </w:rPr>
              <w:fldChar w:fldCharType="end"/>
            </w:r>
          </w:hyperlink>
        </w:p>
        <w:p w14:paraId="77FABCE2" w14:textId="2C8502E5" w:rsidR="00C72FF1" w:rsidRDefault="00C72FF1">
          <w:pPr>
            <w:pStyle w:val="TOC1"/>
            <w:tabs>
              <w:tab w:val="right" w:leader="dot" w:pos="9350"/>
            </w:tabs>
            <w:rPr>
              <w:rFonts w:eastAsiaTheme="minorEastAsia"/>
              <w:noProof/>
            </w:rPr>
          </w:pPr>
          <w:hyperlink w:anchor="_Toc235530842" w:history="1">
            <w:r w:rsidRPr="00DE4B3F">
              <w:rPr>
                <w:rStyle w:val="Hyperlink"/>
                <w:rFonts w:ascii="Times New Roman" w:hAnsi="Times New Roman" w:cs="Times New Roman"/>
                <w:b/>
                <w:bCs/>
                <w:noProof/>
              </w:rPr>
              <w:t>CHAPTER 1: INTRODUCTION</w:t>
            </w:r>
            <w:r>
              <w:rPr>
                <w:noProof/>
                <w:webHidden/>
              </w:rPr>
              <w:tab/>
            </w:r>
            <w:r>
              <w:rPr>
                <w:noProof/>
                <w:webHidden/>
              </w:rPr>
              <w:fldChar w:fldCharType="begin"/>
            </w:r>
            <w:r>
              <w:rPr>
                <w:noProof/>
                <w:webHidden/>
              </w:rPr>
              <w:instrText xml:space="preserve"> PAGEREF _Toc235530842 \h </w:instrText>
            </w:r>
            <w:r>
              <w:rPr>
                <w:noProof/>
                <w:webHidden/>
              </w:rPr>
            </w:r>
            <w:r>
              <w:rPr>
                <w:noProof/>
                <w:webHidden/>
              </w:rPr>
              <w:fldChar w:fldCharType="separate"/>
            </w:r>
            <w:r>
              <w:rPr>
                <w:noProof/>
                <w:webHidden/>
              </w:rPr>
              <w:t>1</w:t>
            </w:r>
            <w:r>
              <w:rPr>
                <w:noProof/>
                <w:webHidden/>
              </w:rPr>
              <w:fldChar w:fldCharType="end"/>
            </w:r>
          </w:hyperlink>
        </w:p>
        <w:p w14:paraId="692D31F2" w14:textId="1FDFFC90" w:rsidR="00C72FF1" w:rsidRDefault="00C72FF1">
          <w:pPr>
            <w:pStyle w:val="TOC2"/>
            <w:tabs>
              <w:tab w:val="right" w:leader="dot" w:pos="9350"/>
            </w:tabs>
            <w:rPr>
              <w:rFonts w:eastAsiaTheme="minorEastAsia"/>
              <w:noProof/>
            </w:rPr>
          </w:pPr>
          <w:hyperlink w:anchor="_Toc235530843" w:history="1">
            <w:r w:rsidRPr="00DE4B3F">
              <w:rPr>
                <w:rStyle w:val="Hyperlink"/>
                <w:rFonts w:ascii="Times New Roman" w:hAnsi="Times New Roman" w:cs="Times New Roman"/>
                <w:b/>
                <w:bCs/>
                <w:noProof/>
              </w:rPr>
              <w:t>1.1 Frontier-Economy Macro-Financial Context</w:t>
            </w:r>
            <w:r>
              <w:rPr>
                <w:noProof/>
                <w:webHidden/>
              </w:rPr>
              <w:tab/>
            </w:r>
            <w:r>
              <w:rPr>
                <w:noProof/>
                <w:webHidden/>
              </w:rPr>
              <w:fldChar w:fldCharType="begin"/>
            </w:r>
            <w:r>
              <w:rPr>
                <w:noProof/>
                <w:webHidden/>
              </w:rPr>
              <w:instrText xml:space="preserve"> PAGEREF _Toc235530843 \h </w:instrText>
            </w:r>
            <w:r>
              <w:rPr>
                <w:noProof/>
                <w:webHidden/>
              </w:rPr>
            </w:r>
            <w:r>
              <w:rPr>
                <w:noProof/>
                <w:webHidden/>
              </w:rPr>
              <w:fldChar w:fldCharType="separate"/>
            </w:r>
            <w:r>
              <w:rPr>
                <w:noProof/>
                <w:webHidden/>
              </w:rPr>
              <w:t>1</w:t>
            </w:r>
            <w:r>
              <w:rPr>
                <w:noProof/>
                <w:webHidden/>
              </w:rPr>
              <w:fldChar w:fldCharType="end"/>
            </w:r>
          </w:hyperlink>
        </w:p>
        <w:p w14:paraId="05E1F6E5" w14:textId="799B09CE" w:rsidR="00C72FF1" w:rsidRDefault="00C72FF1">
          <w:pPr>
            <w:pStyle w:val="TOC2"/>
            <w:tabs>
              <w:tab w:val="right" w:leader="dot" w:pos="9350"/>
            </w:tabs>
            <w:rPr>
              <w:rFonts w:eastAsiaTheme="minorEastAsia"/>
              <w:noProof/>
            </w:rPr>
          </w:pPr>
          <w:hyperlink w:anchor="_Toc235530844" w:history="1">
            <w:r w:rsidRPr="00DE4B3F">
              <w:rPr>
                <w:rStyle w:val="Hyperlink"/>
                <w:rFonts w:ascii="Times New Roman" w:hAnsi="Times New Roman" w:cs="Times New Roman"/>
                <w:b/>
                <w:bCs/>
                <w:noProof/>
              </w:rPr>
              <w:t>1.2 Problem Statement</w:t>
            </w:r>
            <w:r>
              <w:rPr>
                <w:noProof/>
                <w:webHidden/>
              </w:rPr>
              <w:tab/>
            </w:r>
            <w:r>
              <w:rPr>
                <w:noProof/>
                <w:webHidden/>
              </w:rPr>
              <w:fldChar w:fldCharType="begin"/>
            </w:r>
            <w:r>
              <w:rPr>
                <w:noProof/>
                <w:webHidden/>
              </w:rPr>
              <w:instrText xml:space="preserve"> PAGEREF _Toc235530844 \h </w:instrText>
            </w:r>
            <w:r>
              <w:rPr>
                <w:noProof/>
                <w:webHidden/>
              </w:rPr>
            </w:r>
            <w:r>
              <w:rPr>
                <w:noProof/>
                <w:webHidden/>
              </w:rPr>
              <w:fldChar w:fldCharType="separate"/>
            </w:r>
            <w:r>
              <w:rPr>
                <w:noProof/>
                <w:webHidden/>
              </w:rPr>
              <w:t>3</w:t>
            </w:r>
            <w:r>
              <w:rPr>
                <w:noProof/>
                <w:webHidden/>
              </w:rPr>
              <w:fldChar w:fldCharType="end"/>
            </w:r>
          </w:hyperlink>
        </w:p>
        <w:p w14:paraId="48C96AD6" w14:textId="22218048" w:rsidR="00C72FF1" w:rsidRDefault="00C72FF1">
          <w:pPr>
            <w:pStyle w:val="TOC2"/>
            <w:tabs>
              <w:tab w:val="right" w:leader="dot" w:pos="9350"/>
            </w:tabs>
            <w:rPr>
              <w:rFonts w:eastAsiaTheme="minorEastAsia"/>
              <w:noProof/>
            </w:rPr>
          </w:pPr>
          <w:hyperlink w:anchor="_Toc235530845" w:history="1">
            <w:r w:rsidRPr="00DE4B3F">
              <w:rPr>
                <w:rStyle w:val="Hyperlink"/>
                <w:rFonts w:ascii="Times New Roman" w:hAnsi="Times New Roman" w:cs="Times New Roman"/>
                <w:b/>
                <w:bCs/>
                <w:noProof/>
              </w:rPr>
              <w:t>1.3 Research questions and objectives</w:t>
            </w:r>
            <w:r>
              <w:rPr>
                <w:noProof/>
                <w:webHidden/>
              </w:rPr>
              <w:tab/>
            </w:r>
            <w:r>
              <w:rPr>
                <w:noProof/>
                <w:webHidden/>
              </w:rPr>
              <w:fldChar w:fldCharType="begin"/>
            </w:r>
            <w:r>
              <w:rPr>
                <w:noProof/>
                <w:webHidden/>
              </w:rPr>
              <w:instrText xml:space="preserve"> PAGEREF _Toc235530845 \h </w:instrText>
            </w:r>
            <w:r>
              <w:rPr>
                <w:noProof/>
                <w:webHidden/>
              </w:rPr>
            </w:r>
            <w:r>
              <w:rPr>
                <w:noProof/>
                <w:webHidden/>
              </w:rPr>
              <w:fldChar w:fldCharType="separate"/>
            </w:r>
            <w:r>
              <w:rPr>
                <w:noProof/>
                <w:webHidden/>
              </w:rPr>
              <w:t>4</w:t>
            </w:r>
            <w:r>
              <w:rPr>
                <w:noProof/>
                <w:webHidden/>
              </w:rPr>
              <w:fldChar w:fldCharType="end"/>
            </w:r>
          </w:hyperlink>
        </w:p>
        <w:p w14:paraId="72145DB2" w14:textId="79FCFF82" w:rsidR="00C72FF1" w:rsidRDefault="00C72FF1">
          <w:pPr>
            <w:pStyle w:val="TOC2"/>
            <w:tabs>
              <w:tab w:val="right" w:leader="dot" w:pos="9350"/>
            </w:tabs>
            <w:rPr>
              <w:rFonts w:eastAsiaTheme="minorEastAsia"/>
              <w:noProof/>
            </w:rPr>
          </w:pPr>
          <w:hyperlink w:anchor="_Toc235530846" w:history="1">
            <w:r w:rsidRPr="00DE4B3F">
              <w:rPr>
                <w:rStyle w:val="Hyperlink"/>
                <w:rFonts w:ascii="Times New Roman" w:hAnsi="Times New Roman" w:cs="Times New Roman"/>
                <w:b/>
                <w:bCs/>
                <w:noProof/>
              </w:rPr>
              <w:t>1.4 Contribution, Novelty and Expected Value-Added</w:t>
            </w:r>
            <w:r>
              <w:rPr>
                <w:noProof/>
                <w:webHidden/>
              </w:rPr>
              <w:tab/>
            </w:r>
            <w:r>
              <w:rPr>
                <w:noProof/>
                <w:webHidden/>
              </w:rPr>
              <w:fldChar w:fldCharType="begin"/>
            </w:r>
            <w:r>
              <w:rPr>
                <w:noProof/>
                <w:webHidden/>
              </w:rPr>
              <w:instrText xml:space="preserve"> PAGEREF _Toc235530846 \h </w:instrText>
            </w:r>
            <w:r>
              <w:rPr>
                <w:noProof/>
                <w:webHidden/>
              </w:rPr>
            </w:r>
            <w:r>
              <w:rPr>
                <w:noProof/>
                <w:webHidden/>
              </w:rPr>
              <w:fldChar w:fldCharType="separate"/>
            </w:r>
            <w:r>
              <w:rPr>
                <w:noProof/>
                <w:webHidden/>
              </w:rPr>
              <w:t>6</w:t>
            </w:r>
            <w:r>
              <w:rPr>
                <w:noProof/>
                <w:webHidden/>
              </w:rPr>
              <w:fldChar w:fldCharType="end"/>
            </w:r>
          </w:hyperlink>
        </w:p>
        <w:p w14:paraId="125B5A39" w14:textId="1792050A" w:rsidR="00C72FF1" w:rsidRDefault="00C72FF1">
          <w:pPr>
            <w:pStyle w:val="TOC2"/>
            <w:tabs>
              <w:tab w:val="right" w:leader="dot" w:pos="9350"/>
            </w:tabs>
            <w:rPr>
              <w:rFonts w:eastAsiaTheme="minorEastAsia"/>
              <w:noProof/>
            </w:rPr>
          </w:pPr>
          <w:hyperlink w:anchor="_Toc235530847" w:history="1">
            <w:r w:rsidRPr="00DE4B3F">
              <w:rPr>
                <w:rStyle w:val="Hyperlink"/>
                <w:rFonts w:ascii="Times New Roman" w:hAnsi="Times New Roman" w:cs="Times New Roman"/>
                <w:b/>
                <w:bCs/>
                <w:noProof/>
              </w:rPr>
              <w:t>1.5 Scope of the Study, Sample Logic and Paper Roadmap</w:t>
            </w:r>
            <w:r>
              <w:rPr>
                <w:noProof/>
                <w:webHidden/>
              </w:rPr>
              <w:tab/>
            </w:r>
            <w:r>
              <w:rPr>
                <w:noProof/>
                <w:webHidden/>
              </w:rPr>
              <w:fldChar w:fldCharType="begin"/>
            </w:r>
            <w:r>
              <w:rPr>
                <w:noProof/>
                <w:webHidden/>
              </w:rPr>
              <w:instrText xml:space="preserve"> PAGEREF _Toc235530847 \h </w:instrText>
            </w:r>
            <w:r>
              <w:rPr>
                <w:noProof/>
                <w:webHidden/>
              </w:rPr>
            </w:r>
            <w:r>
              <w:rPr>
                <w:noProof/>
                <w:webHidden/>
              </w:rPr>
              <w:fldChar w:fldCharType="separate"/>
            </w:r>
            <w:r>
              <w:rPr>
                <w:noProof/>
                <w:webHidden/>
              </w:rPr>
              <w:t>7</w:t>
            </w:r>
            <w:r>
              <w:rPr>
                <w:noProof/>
                <w:webHidden/>
              </w:rPr>
              <w:fldChar w:fldCharType="end"/>
            </w:r>
          </w:hyperlink>
        </w:p>
        <w:p w14:paraId="55A0E731" w14:textId="18641258" w:rsidR="00C72FF1" w:rsidRDefault="00C72FF1">
          <w:pPr>
            <w:pStyle w:val="TOC3"/>
            <w:tabs>
              <w:tab w:val="right" w:leader="dot" w:pos="9350"/>
            </w:tabs>
            <w:rPr>
              <w:rFonts w:eastAsiaTheme="minorEastAsia"/>
              <w:noProof/>
            </w:rPr>
          </w:pPr>
          <w:hyperlink w:anchor="_Toc235530848" w:history="1">
            <w:r w:rsidRPr="00DE4B3F">
              <w:rPr>
                <w:rStyle w:val="Hyperlink"/>
                <w:rFonts w:ascii="Times New Roman" w:hAnsi="Times New Roman" w:cs="Times New Roman"/>
                <w:b/>
                <w:bCs/>
                <w:noProof/>
              </w:rPr>
              <w:t>1.5.1 Geographic and temporal scope</w:t>
            </w:r>
            <w:r>
              <w:rPr>
                <w:noProof/>
                <w:webHidden/>
              </w:rPr>
              <w:tab/>
            </w:r>
            <w:r>
              <w:rPr>
                <w:noProof/>
                <w:webHidden/>
              </w:rPr>
              <w:fldChar w:fldCharType="begin"/>
            </w:r>
            <w:r>
              <w:rPr>
                <w:noProof/>
                <w:webHidden/>
              </w:rPr>
              <w:instrText xml:space="preserve"> PAGEREF _Toc235530848 \h </w:instrText>
            </w:r>
            <w:r>
              <w:rPr>
                <w:noProof/>
                <w:webHidden/>
              </w:rPr>
            </w:r>
            <w:r>
              <w:rPr>
                <w:noProof/>
                <w:webHidden/>
              </w:rPr>
              <w:fldChar w:fldCharType="separate"/>
            </w:r>
            <w:r>
              <w:rPr>
                <w:noProof/>
                <w:webHidden/>
              </w:rPr>
              <w:t>8</w:t>
            </w:r>
            <w:r>
              <w:rPr>
                <w:noProof/>
                <w:webHidden/>
              </w:rPr>
              <w:fldChar w:fldCharType="end"/>
            </w:r>
          </w:hyperlink>
        </w:p>
        <w:p w14:paraId="18D21C45" w14:textId="40220AF3" w:rsidR="00C72FF1" w:rsidRDefault="00C72FF1">
          <w:pPr>
            <w:pStyle w:val="TOC3"/>
            <w:tabs>
              <w:tab w:val="right" w:leader="dot" w:pos="9350"/>
            </w:tabs>
            <w:rPr>
              <w:rFonts w:eastAsiaTheme="minorEastAsia"/>
              <w:noProof/>
            </w:rPr>
          </w:pPr>
          <w:hyperlink w:anchor="_Toc235530849" w:history="1">
            <w:r w:rsidRPr="00DE4B3F">
              <w:rPr>
                <w:rStyle w:val="Hyperlink"/>
                <w:rFonts w:ascii="Times New Roman" w:hAnsi="Times New Roman" w:cs="Times New Roman"/>
                <w:b/>
                <w:bCs/>
                <w:noProof/>
              </w:rPr>
              <w:t>1.5.2 Dual Banking-Stability Measurement Logic</w:t>
            </w:r>
            <w:r>
              <w:rPr>
                <w:noProof/>
                <w:webHidden/>
              </w:rPr>
              <w:tab/>
            </w:r>
            <w:r>
              <w:rPr>
                <w:noProof/>
                <w:webHidden/>
              </w:rPr>
              <w:fldChar w:fldCharType="begin"/>
            </w:r>
            <w:r>
              <w:rPr>
                <w:noProof/>
                <w:webHidden/>
              </w:rPr>
              <w:instrText xml:space="preserve"> PAGEREF _Toc235530849 \h </w:instrText>
            </w:r>
            <w:r>
              <w:rPr>
                <w:noProof/>
                <w:webHidden/>
              </w:rPr>
            </w:r>
            <w:r>
              <w:rPr>
                <w:noProof/>
                <w:webHidden/>
              </w:rPr>
              <w:fldChar w:fldCharType="separate"/>
            </w:r>
            <w:r>
              <w:rPr>
                <w:noProof/>
                <w:webHidden/>
              </w:rPr>
              <w:t>8</w:t>
            </w:r>
            <w:r>
              <w:rPr>
                <w:noProof/>
                <w:webHidden/>
              </w:rPr>
              <w:fldChar w:fldCharType="end"/>
            </w:r>
          </w:hyperlink>
        </w:p>
        <w:p w14:paraId="4F9331E5" w14:textId="3E3C1DCB" w:rsidR="00C72FF1" w:rsidRDefault="00C72FF1">
          <w:pPr>
            <w:pStyle w:val="TOC1"/>
            <w:tabs>
              <w:tab w:val="right" w:leader="dot" w:pos="9350"/>
            </w:tabs>
            <w:rPr>
              <w:rFonts w:eastAsiaTheme="minorEastAsia"/>
              <w:noProof/>
            </w:rPr>
          </w:pPr>
          <w:hyperlink w:anchor="_Toc235530850" w:history="1">
            <w:r w:rsidRPr="00DE4B3F">
              <w:rPr>
                <w:rStyle w:val="Hyperlink"/>
                <w:rFonts w:ascii="Times New Roman" w:hAnsi="Times New Roman" w:cs="Times New Roman"/>
                <w:b/>
                <w:bCs/>
                <w:noProof/>
              </w:rPr>
              <w:t>CHAPTER 2: REVIEW OF THE LITERATURE</w:t>
            </w:r>
            <w:r>
              <w:rPr>
                <w:noProof/>
                <w:webHidden/>
              </w:rPr>
              <w:tab/>
            </w:r>
            <w:r>
              <w:rPr>
                <w:noProof/>
                <w:webHidden/>
              </w:rPr>
              <w:fldChar w:fldCharType="begin"/>
            </w:r>
            <w:r>
              <w:rPr>
                <w:noProof/>
                <w:webHidden/>
              </w:rPr>
              <w:instrText xml:space="preserve"> PAGEREF _Toc235530850 \h </w:instrText>
            </w:r>
            <w:r>
              <w:rPr>
                <w:noProof/>
                <w:webHidden/>
              </w:rPr>
            </w:r>
            <w:r>
              <w:rPr>
                <w:noProof/>
                <w:webHidden/>
              </w:rPr>
              <w:fldChar w:fldCharType="separate"/>
            </w:r>
            <w:r>
              <w:rPr>
                <w:noProof/>
                <w:webHidden/>
              </w:rPr>
              <w:t>9</w:t>
            </w:r>
            <w:r>
              <w:rPr>
                <w:noProof/>
                <w:webHidden/>
              </w:rPr>
              <w:fldChar w:fldCharType="end"/>
            </w:r>
          </w:hyperlink>
        </w:p>
        <w:p w14:paraId="5CEE0C2F" w14:textId="49AF0B67" w:rsidR="00C72FF1" w:rsidRDefault="00C72FF1">
          <w:pPr>
            <w:pStyle w:val="TOC2"/>
            <w:tabs>
              <w:tab w:val="right" w:leader="dot" w:pos="9350"/>
            </w:tabs>
            <w:rPr>
              <w:rFonts w:eastAsiaTheme="minorEastAsia"/>
              <w:noProof/>
            </w:rPr>
          </w:pPr>
          <w:hyperlink w:anchor="_Toc235530851" w:history="1">
            <w:r w:rsidRPr="00DE4B3F">
              <w:rPr>
                <w:rStyle w:val="Hyperlink"/>
                <w:rFonts w:ascii="Times New Roman" w:hAnsi="Times New Roman" w:cs="Times New Roman"/>
                <w:b/>
                <w:bCs/>
                <w:noProof/>
              </w:rPr>
              <w:t>2.1 Literature on Inflation, Inflation Uncertainty and Inflation Volatility</w:t>
            </w:r>
            <w:r>
              <w:rPr>
                <w:noProof/>
                <w:webHidden/>
              </w:rPr>
              <w:tab/>
            </w:r>
            <w:r>
              <w:rPr>
                <w:noProof/>
                <w:webHidden/>
              </w:rPr>
              <w:fldChar w:fldCharType="begin"/>
            </w:r>
            <w:r>
              <w:rPr>
                <w:noProof/>
                <w:webHidden/>
              </w:rPr>
              <w:instrText xml:space="preserve"> PAGEREF _Toc235530851 \h </w:instrText>
            </w:r>
            <w:r>
              <w:rPr>
                <w:noProof/>
                <w:webHidden/>
              </w:rPr>
            </w:r>
            <w:r>
              <w:rPr>
                <w:noProof/>
                <w:webHidden/>
              </w:rPr>
              <w:fldChar w:fldCharType="separate"/>
            </w:r>
            <w:r>
              <w:rPr>
                <w:noProof/>
                <w:webHidden/>
              </w:rPr>
              <w:t>9</w:t>
            </w:r>
            <w:r>
              <w:rPr>
                <w:noProof/>
                <w:webHidden/>
              </w:rPr>
              <w:fldChar w:fldCharType="end"/>
            </w:r>
          </w:hyperlink>
        </w:p>
        <w:p w14:paraId="335659CA" w14:textId="723A9837" w:rsidR="00C72FF1" w:rsidRDefault="00C72FF1">
          <w:pPr>
            <w:pStyle w:val="TOC3"/>
            <w:tabs>
              <w:tab w:val="right" w:leader="dot" w:pos="9350"/>
            </w:tabs>
            <w:rPr>
              <w:rFonts w:eastAsiaTheme="minorEastAsia"/>
              <w:noProof/>
            </w:rPr>
          </w:pPr>
          <w:hyperlink w:anchor="_Toc235530852" w:history="1">
            <w:r w:rsidRPr="00DE4B3F">
              <w:rPr>
                <w:rStyle w:val="Hyperlink"/>
                <w:b/>
                <w:bCs/>
                <w:noProof/>
              </w:rPr>
              <w:t>2.1.1 Distinguishing Inflation Level from Inflation Volatility</w:t>
            </w:r>
            <w:r>
              <w:rPr>
                <w:noProof/>
                <w:webHidden/>
              </w:rPr>
              <w:tab/>
            </w:r>
            <w:r>
              <w:rPr>
                <w:noProof/>
                <w:webHidden/>
              </w:rPr>
              <w:fldChar w:fldCharType="begin"/>
            </w:r>
            <w:r>
              <w:rPr>
                <w:noProof/>
                <w:webHidden/>
              </w:rPr>
              <w:instrText xml:space="preserve"> PAGEREF _Toc235530852 \h </w:instrText>
            </w:r>
            <w:r>
              <w:rPr>
                <w:noProof/>
                <w:webHidden/>
              </w:rPr>
            </w:r>
            <w:r>
              <w:rPr>
                <w:noProof/>
                <w:webHidden/>
              </w:rPr>
              <w:fldChar w:fldCharType="separate"/>
            </w:r>
            <w:r>
              <w:rPr>
                <w:noProof/>
                <w:webHidden/>
              </w:rPr>
              <w:t>9</w:t>
            </w:r>
            <w:r>
              <w:rPr>
                <w:noProof/>
                <w:webHidden/>
              </w:rPr>
              <w:fldChar w:fldCharType="end"/>
            </w:r>
          </w:hyperlink>
        </w:p>
        <w:p w14:paraId="12BF77BF" w14:textId="70365D7A" w:rsidR="00C72FF1" w:rsidRDefault="00C72FF1">
          <w:pPr>
            <w:pStyle w:val="TOC3"/>
            <w:tabs>
              <w:tab w:val="right" w:leader="dot" w:pos="9350"/>
            </w:tabs>
            <w:rPr>
              <w:rFonts w:eastAsiaTheme="minorEastAsia"/>
              <w:noProof/>
            </w:rPr>
          </w:pPr>
          <w:hyperlink w:anchor="_Toc235530853" w:history="1">
            <w:r w:rsidRPr="00DE4B3F">
              <w:rPr>
                <w:rStyle w:val="Hyperlink"/>
                <w:rFonts w:ascii="Times New Roman" w:hAnsi="Times New Roman" w:cs="Times New Roman"/>
                <w:b/>
                <w:bCs/>
                <w:noProof/>
              </w:rPr>
              <w:t>2.1.2 Why Volatility Matters More for Risk and Forecasting</w:t>
            </w:r>
            <w:r>
              <w:rPr>
                <w:noProof/>
                <w:webHidden/>
              </w:rPr>
              <w:tab/>
            </w:r>
            <w:r>
              <w:rPr>
                <w:noProof/>
                <w:webHidden/>
              </w:rPr>
              <w:fldChar w:fldCharType="begin"/>
            </w:r>
            <w:r>
              <w:rPr>
                <w:noProof/>
                <w:webHidden/>
              </w:rPr>
              <w:instrText xml:space="preserve"> PAGEREF _Toc235530853 \h </w:instrText>
            </w:r>
            <w:r>
              <w:rPr>
                <w:noProof/>
                <w:webHidden/>
              </w:rPr>
            </w:r>
            <w:r>
              <w:rPr>
                <w:noProof/>
                <w:webHidden/>
              </w:rPr>
              <w:fldChar w:fldCharType="separate"/>
            </w:r>
            <w:r>
              <w:rPr>
                <w:noProof/>
                <w:webHidden/>
              </w:rPr>
              <w:t>10</w:t>
            </w:r>
            <w:r>
              <w:rPr>
                <w:noProof/>
                <w:webHidden/>
              </w:rPr>
              <w:fldChar w:fldCharType="end"/>
            </w:r>
          </w:hyperlink>
        </w:p>
        <w:p w14:paraId="56619A4D" w14:textId="3A49B638" w:rsidR="00C72FF1" w:rsidRDefault="00C72FF1">
          <w:pPr>
            <w:pStyle w:val="TOC3"/>
            <w:tabs>
              <w:tab w:val="right" w:leader="dot" w:pos="9350"/>
            </w:tabs>
            <w:rPr>
              <w:rFonts w:eastAsiaTheme="minorEastAsia"/>
              <w:noProof/>
            </w:rPr>
          </w:pPr>
          <w:hyperlink w:anchor="_Toc235530854" w:history="1">
            <w:r w:rsidRPr="00DE4B3F">
              <w:rPr>
                <w:rStyle w:val="Hyperlink"/>
                <w:rFonts w:ascii="Times New Roman" w:hAnsi="Times New Roman" w:cs="Times New Roman"/>
                <w:b/>
                <w:bCs/>
                <w:noProof/>
              </w:rPr>
              <w:t>2.1.3 Implications for Financial Intermediation</w:t>
            </w:r>
            <w:r>
              <w:rPr>
                <w:noProof/>
                <w:webHidden/>
              </w:rPr>
              <w:tab/>
            </w:r>
            <w:r>
              <w:rPr>
                <w:noProof/>
                <w:webHidden/>
              </w:rPr>
              <w:fldChar w:fldCharType="begin"/>
            </w:r>
            <w:r>
              <w:rPr>
                <w:noProof/>
                <w:webHidden/>
              </w:rPr>
              <w:instrText xml:space="preserve"> PAGEREF _Toc235530854 \h </w:instrText>
            </w:r>
            <w:r>
              <w:rPr>
                <w:noProof/>
                <w:webHidden/>
              </w:rPr>
            </w:r>
            <w:r>
              <w:rPr>
                <w:noProof/>
                <w:webHidden/>
              </w:rPr>
              <w:fldChar w:fldCharType="separate"/>
            </w:r>
            <w:r>
              <w:rPr>
                <w:noProof/>
                <w:webHidden/>
              </w:rPr>
              <w:t>11</w:t>
            </w:r>
            <w:r>
              <w:rPr>
                <w:noProof/>
                <w:webHidden/>
              </w:rPr>
              <w:fldChar w:fldCharType="end"/>
            </w:r>
          </w:hyperlink>
        </w:p>
        <w:p w14:paraId="7969537C" w14:textId="0FFE629D" w:rsidR="00C72FF1" w:rsidRDefault="00C72FF1">
          <w:pPr>
            <w:pStyle w:val="TOC2"/>
            <w:tabs>
              <w:tab w:val="right" w:leader="dot" w:pos="9350"/>
            </w:tabs>
            <w:rPr>
              <w:rFonts w:eastAsiaTheme="minorEastAsia"/>
              <w:noProof/>
            </w:rPr>
          </w:pPr>
          <w:hyperlink w:anchor="_Toc235530855" w:history="1">
            <w:r w:rsidRPr="00DE4B3F">
              <w:rPr>
                <w:rStyle w:val="Hyperlink"/>
                <w:rFonts w:ascii="Times New Roman" w:hAnsi="Times New Roman" w:cs="Times New Roman"/>
                <w:b/>
                <w:bCs/>
                <w:noProof/>
              </w:rPr>
              <w:t>2.2 Literature on Banking Stability and Its Measurement</w:t>
            </w:r>
            <w:r>
              <w:rPr>
                <w:noProof/>
                <w:webHidden/>
              </w:rPr>
              <w:tab/>
            </w:r>
            <w:r>
              <w:rPr>
                <w:noProof/>
                <w:webHidden/>
              </w:rPr>
              <w:fldChar w:fldCharType="begin"/>
            </w:r>
            <w:r>
              <w:rPr>
                <w:noProof/>
                <w:webHidden/>
              </w:rPr>
              <w:instrText xml:space="preserve"> PAGEREF _Toc235530855 \h </w:instrText>
            </w:r>
            <w:r>
              <w:rPr>
                <w:noProof/>
                <w:webHidden/>
              </w:rPr>
            </w:r>
            <w:r>
              <w:rPr>
                <w:noProof/>
                <w:webHidden/>
              </w:rPr>
              <w:fldChar w:fldCharType="separate"/>
            </w:r>
            <w:r>
              <w:rPr>
                <w:noProof/>
                <w:webHidden/>
              </w:rPr>
              <w:t>12</w:t>
            </w:r>
            <w:r>
              <w:rPr>
                <w:noProof/>
                <w:webHidden/>
              </w:rPr>
              <w:fldChar w:fldCharType="end"/>
            </w:r>
          </w:hyperlink>
        </w:p>
        <w:p w14:paraId="58B4C23E" w14:textId="55B217F7" w:rsidR="00C72FF1" w:rsidRDefault="00C72FF1">
          <w:pPr>
            <w:pStyle w:val="TOC3"/>
            <w:tabs>
              <w:tab w:val="right" w:leader="dot" w:pos="9350"/>
            </w:tabs>
            <w:rPr>
              <w:rFonts w:eastAsiaTheme="minorEastAsia"/>
              <w:noProof/>
            </w:rPr>
          </w:pPr>
          <w:hyperlink w:anchor="_Toc235530856" w:history="1">
            <w:r w:rsidRPr="00DE4B3F">
              <w:rPr>
                <w:rStyle w:val="Hyperlink"/>
                <w:rFonts w:ascii="Times New Roman" w:hAnsi="Times New Roman" w:cs="Times New Roman"/>
                <w:b/>
                <w:bCs/>
                <w:noProof/>
              </w:rPr>
              <w:t>2.2.1 Principal Measures of Banking Stability</w:t>
            </w:r>
            <w:r>
              <w:rPr>
                <w:noProof/>
                <w:webHidden/>
              </w:rPr>
              <w:tab/>
            </w:r>
            <w:r>
              <w:rPr>
                <w:noProof/>
                <w:webHidden/>
              </w:rPr>
              <w:fldChar w:fldCharType="begin"/>
            </w:r>
            <w:r>
              <w:rPr>
                <w:noProof/>
                <w:webHidden/>
              </w:rPr>
              <w:instrText xml:space="preserve"> PAGEREF _Toc235530856 \h </w:instrText>
            </w:r>
            <w:r>
              <w:rPr>
                <w:noProof/>
                <w:webHidden/>
              </w:rPr>
            </w:r>
            <w:r>
              <w:rPr>
                <w:noProof/>
                <w:webHidden/>
              </w:rPr>
              <w:fldChar w:fldCharType="separate"/>
            </w:r>
            <w:r>
              <w:rPr>
                <w:noProof/>
                <w:webHidden/>
              </w:rPr>
              <w:t>12</w:t>
            </w:r>
            <w:r>
              <w:rPr>
                <w:noProof/>
                <w:webHidden/>
              </w:rPr>
              <w:fldChar w:fldCharType="end"/>
            </w:r>
          </w:hyperlink>
        </w:p>
        <w:p w14:paraId="298CAAA7" w14:textId="4FD18B3A" w:rsidR="00C72FF1" w:rsidRDefault="00C72FF1">
          <w:pPr>
            <w:pStyle w:val="TOC3"/>
            <w:tabs>
              <w:tab w:val="right" w:leader="dot" w:pos="9350"/>
            </w:tabs>
            <w:rPr>
              <w:rFonts w:eastAsiaTheme="minorEastAsia"/>
              <w:noProof/>
            </w:rPr>
          </w:pPr>
          <w:hyperlink w:anchor="_Toc235530857" w:history="1">
            <w:r w:rsidRPr="00DE4B3F">
              <w:rPr>
                <w:rStyle w:val="Hyperlink"/>
                <w:rFonts w:ascii="Times New Roman" w:hAnsi="Times New Roman" w:cs="Times New Roman"/>
                <w:b/>
                <w:bCs/>
                <w:noProof/>
              </w:rPr>
              <w:t>2.2.2 Justification for the Z-Score and NPL Pair</w:t>
            </w:r>
            <w:r>
              <w:rPr>
                <w:noProof/>
                <w:webHidden/>
              </w:rPr>
              <w:tab/>
            </w:r>
            <w:r>
              <w:rPr>
                <w:noProof/>
                <w:webHidden/>
              </w:rPr>
              <w:fldChar w:fldCharType="begin"/>
            </w:r>
            <w:r>
              <w:rPr>
                <w:noProof/>
                <w:webHidden/>
              </w:rPr>
              <w:instrText xml:space="preserve"> PAGEREF _Toc235530857 \h </w:instrText>
            </w:r>
            <w:r>
              <w:rPr>
                <w:noProof/>
                <w:webHidden/>
              </w:rPr>
            </w:r>
            <w:r>
              <w:rPr>
                <w:noProof/>
                <w:webHidden/>
              </w:rPr>
              <w:fldChar w:fldCharType="separate"/>
            </w:r>
            <w:r>
              <w:rPr>
                <w:noProof/>
                <w:webHidden/>
              </w:rPr>
              <w:t>13</w:t>
            </w:r>
            <w:r>
              <w:rPr>
                <w:noProof/>
                <w:webHidden/>
              </w:rPr>
              <w:fldChar w:fldCharType="end"/>
            </w:r>
          </w:hyperlink>
        </w:p>
        <w:p w14:paraId="147B9240" w14:textId="3B0B25A4" w:rsidR="00C72FF1" w:rsidRDefault="00C72FF1">
          <w:pPr>
            <w:pStyle w:val="TOC2"/>
            <w:tabs>
              <w:tab w:val="right" w:leader="dot" w:pos="9350"/>
            </w:tabs>
            <w:rPr>
              <w:rFonts w:eastAsiaTheme="minorEastAsia"/>
              <w:noProof/>
            </w:rPr>
          </w:pPr>
          <w:hyperlink w:anchor="_Toc235530858" w:history="1">
            <w:r w:rsidRPr="00DE4B3F">
              <w:rPr>
                <w:rStyle w:val="Hyperlink"/>
                <w:rFonts w:ascii="Times New Roman" w:hAnsi="Times New Roman" w:cs="Times New Roman"/>
                <w:b/>
                <w:bCs/>
                <w:noProof/>
              </w:rPr>
              <w:t>2.3 Literature that connects Inflation Volatility to Banking Outcomes.</w:t>
            </w:r>
            <w:r>
              <w:rPr>
                <w:noProof/>
                <w:webHidden/>
              </w:rPr>
              <w:tab/>
            </w:r>
            <w:r>
              <w:rPr>
                <w:noProof/>
                <w:webHidden/>
              </w:rPr>
              <w:fldChar w:fldCharType="begin"/>
            </w:r>
            <w:r>
              <w:rPr>
                <w:noProof/>
                <w:webHidden/>
              </w:rPr>
              <w:instrText xml:space="preserve"> PAGEREF _Toc235530858 \h </w:instrText>
            </w:r>
            <w:r>
              <w:rPr>
                <w:noProof/>
                <w:webHidden/>
              </w:rPr>
            </w:r>
            <w:r>
              <w:rPr>
                <w:noProof/>
                <w:webHidden/>
              </w:rPr>
              <w:fldChar w:fldCharType="separate"/>
            </w:r>
            <w:r>
              <w:rPr>
                <w:noProof/>
                <w:webHidden/>
              </w:rPr>
              <w:t>14</w:t>
            </w:r>
            <w:r>
              <w:rPr>
                <w:noProof/>
                <w:webHidden/>
              </w:rPr>
              <w:fldChar w:fldCharType="end"/>
            </w:r>
          </w:hyperlink>
        </w:p>
        <w:p w14:paraId="63A662F6" w14:textId="36F4808B" w:rsidR="00C72FF1" w:rsidRDefault="00C72FF1">
          <w:pPr>
            <w:pStyle w:val="TOC3"/>
            <w:tabs>
              <w:tab w:val="right" w:leader="dot" w:pos="9350"/>
            </w:tabs>
            <w:rPr>
              <w:rFonts w:eastAsiaTheme="minorEastAsia"/>
              <w:noProof/>
            </w:rPr>
          </w:pPr>
          <w:hyperlink w:anchor="_Toc235530859" w:history="1">
            <w:r w:rsidRPr="00DE4B3F">
              <w:rPr>
                <w:rStyle w:val="Hyperlink"/>
                <w:rFonts w:ascii="Times New Roman" w:hAnsi="Times New Roman" w:cs="Times New Roman"/>
                <w:b/>
                <w:bCs/>
                <w:noProof/>
              </w:rPr>
              <w:t>2.3.1 Inflation and Loan Quality: The NPL Channel</w:t>
            </w:r>
            <w:r>
              <w:rPr>
                <w:noProof/>
                <w:webHidden/>
              </w:rPr>
              <w:tab/>
            </w:r>
            <w:r>
              <w:rPr>
                <w:noProof/>
                <w:webHidden/>
              </w:rPr>
              <w:fldChar w:fldCharType="begin"/>
            </w:r>
            <w:r>
              <w:rPr>
                <w:noProof/>
                <w:webHidden/>
              </w:rPr>
              <w:instrText xml:space="preserve"> PAGEREF _Toc235530859 \h </w:instrText>
            </w:r>
            <w:r>
              <w:rPr>
                <w:noProof/>
                <w:webHidden/>
              </w:rPr>
            </w:r>
            <w:r>
              <w:rPr>
                <w:noProof/>
                <w:webHidden/>
              </w:rPr>
              <w:fldChar w:fldCharType="separate"/>
            </w:r>
            <w:r>
              <w:rPr>
                <w:noProof/>
                <w:webHidden/>
              </w:rPr>
              <w:t>14</w:t>
            </w:r>
            <w:r>
              <w:rPr>
                <w:noProof/>
                <w:webHidden/>
              </w:rPr>
              <w:fldChar w:fldCharType="end"/>
            </w:r>
          </w:hyperlink>
        </w:p>
        <w:p w14:paraId="012F5CAD" w14:textId="1E912BB1" w:rsidR="00C72FF1" w:rsidRDefault="00C72FF1">
          <w:pPr>
            <w:pStyle w:val="TOC3"/>
            <w:tabs>
              <w:tab w:val="right" w:leader="dot" w:pos="9350"/>
            </w:tabs>
            <w:rPr>
              <w:rFonts w:eastAsiaTheme="minorEastAsia"/>
              <w:noProof/>
            </w:rPr>
          </w:pPr>
          <w:hyperlink w:anchor="_Toc235530860" w:history="1">
            <w:r w:rsidRPr="00DE4B3F">
              <w:rPr>
                <w:rStyle w:val="Hyperlink"/>
                <w:rFonts w:ascii="Times New Roman" w:hAnsi="Times New Roman" w:cs="Times New Roman"/>
                <w:b/>
                <w:bCs/>
                <w:noProof/>
              </w:rPr>
              <w:t>2.3.2 Evidence from Developed and Emerging Economies</w:t>
            </w:r>
            <w:r>
              <w:rPr>
                <w:noProof/>
                <w:webHidden/>
              </w:rPr>
              <w:tab/>
            </w:r>
            <w:r>
              <w:rPr>
                <w:noProof/>
                <w:webHidden/>
              </w:rPr>
              <w:fldChar w:fldCharType="begin"/>
            </w:r>
            <w:r>
              <w:rPr>
                <w:noProof/>
                <w:webHidden/>
              </w:rPr>
              <w:instrText xml:space="preserve"> PAGEREF _Toc235530860 \h </w:instrText>
            </w:r>
            <w:r>
              <w:rPr>
                <w:noProof/>
                <w:webHidden/>
              </w:rPr>
            </w:r>
            <w:r>
              <w:rPr>
                <w:noProof/>
                <w:webHidden/>
              </w:rPr>
              <w:fldChar w:fldCharType="separate"/>
            </w:r>
            <w:r>
              <w:rPr>
                <w:noProof/>
                <w:webHidden/>
              </w:rPr>
              <w:t>15</w:t>
            </w:r>
            <w:r>
              <w:rPr>
                <w:noProof/>
                <w:webHidden/>
              </w:rPr>
              <w:fldChar w:fldCharType="end"/>
            </w:r>
          </w:hyperlink>
        </w:p>
        <w:p w14:paraId="1102FC24" w14:textId="103D7211" w:rsidR="00C72FF1" w:rsidRDefault="00C72FF1">
          <w:pPr>
            <w:pStyle w:val="TOC3"/>
            <w:tabs>
              <w:tab w:val="right" w:leader="dot" w:pos="9350"/>
            </w:tabs>
            <w:rPr>
              <w:rFonts w:eastAsiaTheme="minorEastAsia"/>
              <w:noProof/>
            </w:rPr>
          </w:pPr>
          <w:hyperlink w:anchor="_Toc235530861" w:history="1">
            <w:r w:rsidRPr="00DE4B3F">
              <w:rPr>
                <w:rStyle w:val="Hyperlink"/>
                <w:rFonts w:ascii="Times New Roman" w:hAnsi="Times New Roman" w:cs="Times New Roman"/>
                <w:b/>
                <w:bCs/>
                <w:noProof/>
              </w:rPr>
              <w:t>2.3.3 Evidence from Frontier and Low-Income Economies</w:t>
            </w:r>
            <w:r>
              <w:rPr>
                <w:noProof/>
                <w:webHidden/>
              </w:rPr>
              <w:tab/>
            </w:r>
            <w:r>
              <w:rPr>
                <w:noProof/>
                <w:webHidden/>
              </w:rPr>
              <w:fldChar w:fldCharType="begin"/>
            </w:r>
            <w:r>
              <w:rPr>
                <w:noProof/>
                <w:webHidden/>
              </w:rPr>
              <w:instrText xml:space="preserve"> PAGEREF _Toc235530861 \h </w:instrText>
            </w:r>
            <w:r>
              <w:rPr>
                <w:noProof/>
                <w:webHidden/>
              </w:rPr>
            </w:r>
            <w:r>
              <w:rPr>
                <w:noProof/>
                <w:webHidden/>
              </w:rPr>
              <w:fldChar w:fldCharType="separate"/>
            </w:r>
            <w:r>
              <w:rPr>
                <w:noProof/>
                <w:webHidden/>
              </w:rPr>
              <w:t>16</w:t>
            </w:r>
            <w:r>
              <w:rPr>
                <w:noProof/>
                <w:webHidden/>
              </w:rPr>
              <w:fldChar w:fldCharType="end"/>
            </w:r>
          </w:hyperlink>
        </w:p>
        <w:p w14:paraId="3A8FB9C3" w14:textId="5F80712E" w:rsidR="00C72FF1" w:rsidRDefault="00C72FF1">
          <w:pPr>
            <w:pStyle w:val="TOC3"/>
            <w:tabs>
              <w:tab w:val="right" w:leader="dot" w:pos="9350"/>
            </w:tabs>
            <w:rPr>
              <w:rFonts w:eastAsiaTheme="minorEastAsia"/>
              <w:noProof/>
            </w:rPr>
          </w:pPr>
          <w:hyperlink w:anchor="_Toc235530862" w:history="1">
            <w:r w:rsidRPr="00DE4B3F">
              <w:rPr>
                <w:rStyle w:val="Hyperlink"/>
                <w:rFonts w:ascii="Times New Roman" w:hAnsi="Times New Roman" w:cs="Times New Roman"/>
                <w:b/>
                <w:bCs/>
                <w:noProof/>
              </w:rPr>
              <w:t>2.3.4 Mixed Findings and the Volatility Dimension</w:t>
            </w:r>
            <w:r>
              <w:rPr>
                <w:noProof/>
                <w:webHidden/>
              </w:rPr>
              <w:tab/>
            </w:r>
            <w:r>
              <w:rPr>
                <w:noProof/>
                <w:webHidden/>
              </w:rPr>
              <w:fldChar w:fldCharType="begin"/>
            </w:r>
            <w:r>
              <w:rPr>
                <w:noProof/>
                <w:webHidden/>
              </w:rPr>
              <w:instrText xml:space="preserve"> PAGEREF _Toc235530862 \h </w:instrText>
            </w:r>
            <w:r>
              <w:rPr>
                <w:noProof/>
                <w:webHidden/>
              </w:rPr>
            </w:r>
            <w:r>
              <w:rPr>
                <w:noProof/>
                <w:webHidden/>
              </w:rPr>
              <w:fldChar w:fldCharType="separate"/>
            </w:r>
            <w:r>
              <w:rPr>
                <w:noProof/>
                <w:webHidden/>
              </w:rPr>
              <w:t>17</w:t>
            </w:r>
            <w:r>
              <w:rPr>
                <w:noProof/>
                <w:webHidden/>
              </w:rPr>
              <w:fldChar w:fldCharType="end"/>
            </w:r>
          </w:hyperlink>
        </w:p>
        <w:p w14:paraId="36D63429" w14:textId="02E676ED" w:rsidR="00C72FF1" w:rsidRDefault="00C72FF1">
          <w:pPr>
            <w:pStyle w:val="TOC2"/>
            <w:tabs>
              <w:tab w:val="right" w:leader="dot" w:pos="9350"/>
            </w:tabs>
            <w:rPr>
              <w:rFonts w:eastAsiaTheme="minorEastAsia"/>
              <w:noProof/>
            </w:rPr>
          </w:pPr>
          <w:hyperlink w:anchor="_Toc235530863" w:history="1">
            <w:r w:rsidRPr="00DE4B3F">
              <w:rPr>
                <w:rStyle w:val="Hyperlink"/>
                <w:rFonts w:ascii="Times New Roman" w:hAnsi="Times New Roman" w:cs="Times New Roman"/>
                <w:b/>
                <w:bCs/>
                <w:noProof/>
              </w:rPr>
              <w:t>2.4 Frontier-Economy Stylized Evidence and Contextual Research Gap</w:t>
            </w:r>
            <w:r>
              <w:rPr>
                <w:noProof/>
                <w:webHidden/>
              </w:rPr>
              <w:tab/>
            </w:r>
            <w:r>
              <w:rPr>
                <w:noProof/>
                <w:webHidden/>
              </w:rPr>
              <w:fldChar w:fldCharType="begin"/>
            </w:r>
            <w:r>
              <w:rPr>
                <w:noProof/>
                <w:webHidden/>
              </w:rPr>
              <w:instrText xml:space="preserve"> PAGEREF _Toc235530863 \h </w:instrText>
            </w:r>
            <w:r>
              <w:rPr>
                <w:noProof/>
                <w:webHidden/>
              </w:rPr>
            </w:r>
            <w:r>
              <w:rPr>
                <w:noProof/>
                <w:webHidden/>
              </w:rPr>
              <w:fldChar w:fldCharType="separate"/>
            </w:r>
            <w:r>
              <w:rPr>
                <w:noProof/>
                <w:webHidden/>
              </w:rPr>
              <w:t>17</w:t>
            </w:r>
            <w:r>
              <w:rPr>
                <w:noProof/>
                <w:webHidden/>
              </w:rPr>
              <w:fldChar w:fldCharType="end"/>
            </w:r>
          </w:hyperlink>
        </w:p>
        <w:p w14:paraId="529BE19C" w14:textId="19E739D2" w:rsidR="00C72FF1" w:rsidRDefault="00C72FF1">
          <w:pPr>
            <w:pStyle w:val="TOC3"/>
            <w:tabs>
              <w:tab w:val="right" w:leader="dot" w:pos="9350"/>
            </w:tabs>
            <w:rPr>
              <w:rFonts w:eastAsiaTheme="minorEastAsia"/>
              <w:noProof/>
            </w:rPr>
          </w:pPr>
          <w:hyperlink w:anchor="_Toc235530864" w:history="1">
            <w:r w:rsidRPr="00DE4B3F">
              <w:rPr>
                <w:rStyle w:val="Hyperlink"/>
                <w:rFonts w:ascii="Times New Roman" w:hAnsi="Times New Roman" w:cs="Times New Roman"/>
                <w:b/>
                <w:bCs/>
                <w:noProof/>
              </w:rPr>
              <w:t>2.4.1 Thinner Financial Markets and Shallow Intermediation</w:t>
            </w:r>
            <w:r>
              <w:rPr>
                <w:noProof/>
                <w:webHidden/>
              </w:rPr>
              <w:tab/>
            </w:r>
            <w:r>
              <w:rPr>
                <w:noProof/>
                <w:webHidden/>
              </w:rPr>
              <w:fldChar w:fldCharType="begin"/>
            </w:r>
            <w:r>
              <w:rPr>
                <w:noProof/>
                <w:webHidden/>
              </w:rPr>
              <w:instrText xml:space="preserve"> PAGEREF _Toc235530864 \h </w:instrText>
            </w:r>
            <w:r>
              <w:rPr>
                <w:noProof/>
                <w:webHidden/>
              </w:rPr>
            </w:r>
            <w:r>
              <w:rPr>
                <w:noProof/>
                <w:webHidden/>
              </w:rPr>
              <w:fldChar w:fldCharType="separate"/>
            </w:r>
            <w:r>
              <w:rPr>
                <w:noProof/>
                <w:webHidden/>
              </w:rPr>
              <w:t>18</w:t>
            </w:r>
            <w:r>
              <w:rPr>
                <w:noProof/>
                <w:webHidden/>
              </w:rPr>
              <w:fldChar w:fldCharType="end"/>
            </w:r>
          </w:hyperlink>
        </w:p>
        <w:p w14:paraId="412AF9E9" w14:textId="1D5D982D" w:rsidR="00C72FF1" w:rsidRDefault="00C72FF1">
          <w:pPr>
            <w:pStyle w:val="TOC3"/>
            <w:tabs>
              <w:tab w:val="right" w:leader="dot" w:pos="9350"/>
            </w:tabs>
            <w:rPr>
              <w:rFonts w:eastAsiaTheme="minorEastAsia"/>
              <w:noProof/>
            </w:rPr>
          </w:pPr>
          <w:hyperlink w:anchor="_Toc235530865" w:history="1">
            <w:r w:rsidRPr="00DE4B3F">
              <w:rPr>
                <w:rStyle w:val="Hyperlink"/>
                <w:rFonts w:ascii="Times New Roman" w:hAnsi="Times New Roman" w:cs="Times New Roman"/>
                <w:b/>
                <w:bCs/>
                <w:noProof/>
              </w:rPr>
              <w:t>2.4.2 Weaker Institutional Quality</w:t>
            </w:r>
            <w:r>
              <w:rPr>
                <w:noProof/>
                <w:webHidden/>
              </w:rPr>
              <w:tab/>
            </w:r>
            <w:r>
              <w:rPr>
                <w:noProof/>
                <w:webHidden/>
              </w:rPr>
              <w:fldChar w:fldCharType="begin"/>
            </w:r>
            <w:r>
              <w:rPr>
                <w:noProof/>
                <w:webHidden/>
              </w:rPr>
              <w:instrText xml:space="preserve"> PAGEREF _Toc235530865 \h </w:instrText>
            </w:r>
            <w:r>
              <w:rPr>
                <w:noProof/>
                <w:webHidden/>
              </w:rPr>
            </w:r>
            <w:r>
              <w:rPr>
                <w:noProof/>
                <w:webHidden/>
              </w:rPr>
              <w:fldChar w:fldCharType="separate"/>
            </w:r>
            <w:r>
              <w:rPr>
                <w:noProof/>
                <w:webHidden/>
              </w:rPr>
              <w:t>18</w:t>
            </w:r>
            <w:r>
              <w:rPr>
                <w:noProof/>
                <w:webHidden/>
              </w:rPr>
              <w:fldChar w:fldCharType="end"/>
            </w:r>
          </w:hyperlink>
        </w:p>
        <w:p w14:paraId="28C22A20" w14:textId="666B9628" w:rsidR="00C72FF1" w:rsidRDefault="00C72FF1">
          <w:pPr>
            <w:pStyle w:val="TOC3"/>
            <w:tabs>
              <w:tab w:val="right" w:leader="dot" w:pos="9350"/>
            </w:tabs>
            <w:rPr>
              <w:rFonts w:eastAsiaTheme="minorEastAsia"/>
              <w:noProof/>
            </w:rPr>
          </w:pPr>
          <w:hyperlink w:anchor="_Toc235530866" w:history="1">
            <w:r w:rsidRPr="00DE4B3F">
              <w:rPr>
                <w:rStyle w:val="Hyperlink"/>
                <w:rFonts w:ascii="Times New Roman" w:hAnsi="Times New Roman" w:cs="Times New Roman"/>
                <w:b/>
                <w:bCs/>
                <w:noProof/>
              </w:rPr>
              <w:t>2.4.3 Exchange-Rate Sensitivity and Pass-Through Effects</w:t>
            </w:r>
            <w:r>
              <w:rPr>
                <w:noProof/>
                <w:webHidden/>
              </w:rPr>
              <w:tab/>
            </w:r>
            <w:r>
              <w:rPr>
                <w:noProof/>
                <w:webHidden/>
              </w:rPr>
              <w:fldChar w:fldCharType="begin"/>
            </w:r>
            <w:r>
              <w:rPr>
                <w:noProof/>
                <w:webHidden/>
              </w:rPr>
              <w:instrText xml:space="preserve"> PAGEREF _Toc235530866 \h </w:instrText>
            </w:r>
            <w:r>
              <w:rPr>
                <w:noProof/>
                <w:webHidden/>
              </w:rPr>
            </w:r>
            <w:r>
              <w:rPr>
                <w:noProof/>
                <w:webHidden/>
              </w:rPr>
              <w:fldChar w:fldCharType="separate"/>
            </w:r>
            <w:r>
              <w:rPr>
                <w:noProof/>
                <w:webHidden/>
              </w:rPr>
              <w:t>19</w:t>
            </w:r>
            <w:r>
              <w:rPr>
                <w:noProof/>
                <w:webHidden/>
              </w:rPr>
              <w:fldChar w:fldCharType="end"/>
            </w:r>
          </w:hyperlink>
        </w:p>
        <w:p w14:paraId="3BD6D63B" w14:textId="7FCCE596" w:rsidR="00C72FF1" w:rsidRDefault="00C72FF1">
          <w:pPr>
            <w:pStyle w:val="TOC3"/>
            <w:tabs>
              <w:tab w:val="right" w:leader="dot" w:pos="9350"/>
            </w:tabs>
            <w:rPr>
              <w:rFonts w:eastAsiaTheme="minorEastAsia"/>
              <w:noProof/>
            </w:rPr>
          </w:pPr>
          <w:hyperlink w:anchor="_Toc235530867" w:history="1">
            <w:r w:rsidRPr="00DE4B3F">
              <w:rPr>
                <w:rStyle w:val="Hyperlink"/>
                <w:rFonts w:ascii="Times New Roman" w:hAnsi="Times New Roman" w:cs="Times New Roman"/>
                <w:b/>
                <w:bCs/>
                <w:noProof/>
              </w:rPr>
              <w:t>2.4.4 Limited Monetary Policy Credibility</w:t>
            </w:r>
            <w:r>
              <w:rPr>
                <w:noProof/>
                <w:webHidden/>
              </w:rPr>
              <w:tab/>
            </w:r>
            <w:r>
              <w:rPr>
                <w:noProof/>
                <w:webHidden/>
              </w:rPr>
              <w:fldChar w:fldCharType="begin"/>
            </w:r>
            <w:r>
              <w:rPr>
                <w:noProof/>
                <w:webHidden/>
              </w:rPr>
              <w:instrText xml:space="preserve"> PAGEREF _Toc235530867 \h </w:instrText>
            </w:r>
            <w:r>
              <w:rPr>
                <w:noProof/>
                <w:webHidden/>
              </w:rPr>
            </w:r>
            <w:r>
              <w:rPr>
                <w:noProof/>
                <w:webHidden/>
              </w:rPr>
              <w:fldChar w:fldCharType="separate"/>
            </w:r>
            <w:r>
              <w:rPr>
                <w:noProof/>
                <w:webHidden/>
              </w:rPr>
              <w:t>19</w:t>
            </w:r>
            <w:r>
              <w:rPr>
                <w:noProof/>
                <w:webHidden/>
              </w:rPr>
              <w:fldChar w:fldCharType="end"/>
            </w:r>
          </w:hyperlink>
        </w:p>
        <w:p w14:paraId="3BE56FA6" w14:textId="30461DCC" w:rsidR="00C72FF1" w:rsidRDefault="00C72FF1">
          <w:pPr>
            <w:pStyle w:val="TOC3"/>
            <w:tabs>
              <w:tab w:val="right" w:leader="dot" w:pos="9350"/>
            </w:tabs>
            <w:rPr>
              <w:rFonts w:eastAsiaTheme="minorEastAsia"/>
              <w:noProof/>
            </w:rPr>
          </w:pPr>
          <w:hyperlink w:anchor="_Toc235530868" w:history="1">
            <w:r w:rsidRPr="00DE4B3F">
              <w:rPr>
                <w:rStyle w:val="Hyperlink"/>
                <w:rFonts w:ascii="Times New Roman" w:hAnsi="Times New Roman" w:cs="Times New Roman"/>
                <w:b/>
                <w:bCs/>
                <w:noProof/>
              </w:rPr>
              <w:t>2.4.5 The Contextual Research Gap</w:t>
            </w:r>
            <w:r>
              <w:rPr>
                <w:noProof/>
                <w:webHidden/>
              </w:rPr>
              <w:tab/>
            </w:r>
            <w:r>
              <w:rPr>
                <w:noProof/>
                <w:webHidden/>
              </w:rPr>
              <w:fldChar w:fldCharType="begin"/>
            </w:r>
            <w:r>
              <w:rPr>
                <w:noProof/>
                <w:webHidden/>
              </w:rPr>
              <w:instrText xml:space="preserve"> PAGEREF _Toc235530868 \h </w:instrText>
            </w:r>
            <w:r>
              <w:rPr>
                <w:noProof/>
                <w:webHidden/>
              </w:rPr>
            </w:r>
            <w:r>
              <w:rPr>
                <w:noProof/>
                <w:webHidden/>
              </w:rPr>
              <w:fldChar w:fldCharType="separate"/>
            </w:r>
            <w:r>
              <w:rPr>
                <w:noProof/>
                <w:webHidden/>
              </w:rPr>
              <w:t>20</w:t>
            </w:r>
            <w:r>
              <w:rPr>
                <w:noProof/>
                <w:webHidden/>
              </w:rPr>
              <w:fldChar w:fldCharType="end"/>
            </w:r>
          </w:hyperlink>
        </w:p>
        <w:p w14:paraId="6BF90174" w14:textId="3909E30E" w:rsidR="00C72FF1" w:rsidRDefault="00C72FF1">
          <w:pPr>
            <w:pStyle w:val="TOC2"/>
            <w:tabs>
              <w:tab w:val="right" w:leader="dot" w:pos="9350"/>
            </w:tabs>
            <w:rPr>
              <w:rFonts w:eastAsiaTheme="minorEastAsia"/>
              <w:noProof/>
            </w:rPr>
          </w:pPr>
          <w:hyperlink w:anchor="_Toc235530869" w:history="1">
            <w:r w:rsidRPr="00DE4B3F">
              <w:rPr>
                <w:rStyle w:val="Hyperlink"/>
                <w:rFonts w:ascii="Times New Roman" w:hAnsi="Times New Roman" w:cs="Times New Roman"/>
                <w:b/>
                <w:bCs/>
                <w:noProof/>
              </w:rPr>
              <w:t>2.5 Theoretical Framework</w:t>
            </w:r>
            <w:r>
              <w:rPr>
                <w:noProof/>
                <w:webHidden/>
              </w:rPr>
              <w:tab/>
            </w:r>
            <w:r>
              <w:rPr>
                <w:noProof/>
                <w:webHidden/>
              </w:rPr>
              <w:fldChar w:fldCharType="begin"/>
            </w:r>
            <w:r>
              <w:rPr>
                <w:noProof/>
                <w:webHidden/>
              </w:rPr>
              <w:instrText xml:space="preserve"> PAGEREF _Toc235530869 \h </w:instrText>
            </w:r>
            <w:r>
              <w:rPr>
                <w:noProof/>
                <w:webHidden/>
              </w:rPr>
            </w:r>
            <w:r>
              <w:rPr>
                <w:noProof/>
                <w:webHidden/>
              </w:rPr>
              <w:fldChar w:fldCharType="separate"/>
            </w:r>
            <w:r>
              <w:rPr>
                <w:noProof/>
                <w:webHidden/>
              </w:rPr>
              <w:t>20</w:t>
            </w:r>
            <w:r>
              <w:rPr>
                <w:noProof/>
                <w:webHidden/>
              </w:rPr>
              <w:fldChar w:fldCharType="end"/>
            </w:r>
          </w:hyperlink>
        </w:p>
        <w:p w14:paraId="4AB9AA4A" w14:textId="1766577C" w:rsidR="00C72FF1" w:rsidRDefault="00C72FF1">
          <w:pPr>
            <w:pStyle w:val="TOC3"/>
            <w:tabs>
              <w:tab w:val="right" w:leader="dot" w:pos="9350"/>
            </w:tabs>
            <w:rPr>
              <w:rFonts w:eastAsiaTheme="minorEastAsia"/>
              <w:noProof/>
            </w:rPr>
          </w:pPr>
          <w:hyperlink w:anchor="_Toc235530870" w:history="1">
            <w:r w:rsidRPr="00DE4B3F">
              <w:rPr>
                <w:rStyle w:val="Hyperlink"/>
                <w:rFonts w:ascii="Times New Roman" w:hAnsi="Times New Roman" w:cs="Times New Roman"/>
                <w:b/>
                <w:bCs/>
                <w:noProof/>
              </w:rPr>
              <w:t>2.5.1 Asymmetric Information and Credit-Rationing Logic</w:t>
            </w:r>
            <w:r>
              <w:rPr>
                <w:noProof/>
                <w:webHidden/>
              </w:rPr>
              <w:tab/>
            </w:r>
            <w:r>
              <w:rPr>
                <w:noProof/>
                <w:webHidden/>
              </w:rPr>
              <w:fldChar w:fldCharType="begin"/>
            </w:r>
            <w:r>
              <w:rPr>
                <w:noProof/>
                <w:webHidden/>
              </w:rPr>
              <w:instrText xml:space="preserve"> PAGEREF _Toc235530870 \h </w:instrText>
            </w:r>
            <w:r>
              <w:rPr>
                <w:noProof/>
                <w:webHidden/>
              </w:rPr>
            </w:r>
            <w:r>
              <w:rPr>
                <w:noProof/>
                <w:webHidden/>
              </w:rPr>
              <w:fldChar w:fldCharType="separate"/>
            </w:r>
            <w:r>
              <w:rPr>
                <w:noProof/>
                <w:webHidden/>
              </w:rPr>
              <w:t>21</w:t>
            </w:r>
            <w:r>
              <w:rPr>
                <w:noProof/>
                <w:webHidden/>
              </w:rPr>
              <w:fldChar w:fldCharType="end"/>
            </w:r>
          </w:hyperlink>
        </w:p>
        <w:p w14:paraId="4FC6A921" w14:textId="6FD1E836" w:rsidR="00C72FF1" w:rsidRDefault="00C72FF1">
          <w:pPr>
            <w:pStyle w:val="TOC3"/>
            <w:tabs>
              <w:tab w:val="right" w:leader="dot" w:pos="9350"/>
            </w:tabs>
            <w:rPr>
              <w:rFonts w:eastAsiaTheme="minorEastAsia"/>
              <w:noProof/>
            </w:rPr>
          </w:pPr>
          <w:hyperlink w:anchor="_Toc235530871" w:history="1">
            <w:r w:rsidRPr="00DE4B3F">
              <w:rPr>
                <w:rStyle w:val="Hyperlink"/>
                <w:rFonts w:ascii="Times New Roman" w:hAnsi="Times New Roman" w:cs="Times New Roman"/>
                <w:b/>
                <w:bCs/>
                <w:noProof/>
              </w:rPr>
              <w:t>2.5.2 The Fisher Effect and Unexpected Inflation</w:t>
            </w:r>
            <w:r>
              <w:rPr>
                <w:noProof/>
                <w:webHidden/>
              </w:rPr>
              <w:tab/>
            </w:r>
            <w:r>
              <w:rPr>
                <w:noProof/>
                <w:webHidden/>
              </w:rPr>
              <w:fldChar w:fldCharType="begin"/>
            </w:r>
            <w:r>
              <w:rPr>
                <w:noProof/>
                <w:webHidden/>
              </w:rPr>
              <w:instrText xml:space="preserve"> PAGEREF _Toc235530871 \h </w:instrText>
            </w:r>
            <w:r>
              <w:rPr>
                <w:noProof/>
                <w:webHidden/>
              </w:rPr>
            </w:r>
            <w:r>
              <w:rPr>
                <w:noProof/>
                <w:webHidden/>
              </w:rPr>
              <w:fldChar w:fldCharType="separate"/>
            </w:r>
            <w:r>
              <w:rPr>
                <w:noProof/>
                <w:webHidden/>
              </w:rPr>
              <w:t>21</w:t>
            </w:r>
            <w:r>
              <w:rPr>
                <w:noProof/>
                <w:webHidden/>
              </w:rPr>
              <w:fldChar w:fldCharType="end"/>
            </w:r>
          </w:hyperlink>
        </w:p>
        <w:p w14:paraId="13534570" w14:textId="6F680C42" w:rsidR="00C72FF1" w:rsidRDefault="00C72FF1">
          <w:pPr>
            <w:pStyle w:val="TOC3"/>
            <w:tabs>
              <w:tab w:val="right" w:leader="dot" w:pos="9350"/>
            </w:tabs>
            <w:rPr>
              <w:rFonts w:eastAsiaTheme="minorEastAsia"/>
              <w:noProof/>
            </w:rPr>
          </w:pPr>
          <w:hyperlink w:anchor="_Toc235530872" w:history="1">
            <w:r w:rsidRPr="00DE4B3F">
              <w:rPr>
                <w:rStyle w:val="Hyperlink"/>
                <w:rFonts w:ascii="Times New Roman" w:hAnsi="Times New Roman" w:cs="Times New Roman"/>
                <w:b/>
                <w:bCs/>
                <w:noProof/>
              </w:rPr>
              <w:t>2.5.3 The Balance-Sheet Channel</w:t>
            </w:r>
            <w:r>
              <w:rPr>
                <w:noProof/>
                <w:webHidden/>
              </w:rPr>
              <w:tab/>
            </w:r>
            <w:r>
              <w:rPr>
                <w:noProof/>
                <w:webHidden/>
              </w:rPr>
              <w:fldChar w:fldCharType="begin"/>
            </w:r>
            <w:r>
              <w:rPr>
                <w:noProof/>
                <w:webHidden/>
              </w:rPr>
              <w:instrText xml:space="preserve"> PAGEREF _Toc235530872 \h </w:instrText>
            </w:r>
            <w:r>
              <w:rPr>
                <w:noProof/>
                <w:webHidden/>
              </w:rPr>
            </w:r>
            <w:r>
              <w:rPr>
                <w:noProof/>
                <w:webHidden/>
              </w:rPr>
              <w:fldChar w:fldCharType="separate"/>
            </w:r>
            <w:r>
              <w:rPr>
                <w:noProof/>
                <w:webHidden/>
              </w:rPr>
              <w:t>22</w:t>
            </w:r>
            <w:r>
              <w:rPr>
                <w:noProof/>
                <w:webHidden/>
              </w:rPr>
              <w:fldChar w:fldCharType="end"/>
            </w:r>
          </w:hyperlink>
        </w:p>
        <w:p w14:paraId="7C9B831F" w14:textId="130F75D0" w:rsidR="00C72FF1" w:rsidRDefault="00C72FF1">
          <w:pPr>
            <w:pStyle w:val="TOC3"/>
            <w:tabs>
              <w:tab w:val="right" w:leader="dot" w:pos="9350"/>
            </w:tabs>
            <w:rPr>
              <w:rFonts w:eastAsiaTheme="minorEastAsia"/>
              <w:noProof/>
            </w:rPr>
          </w:pPr>
          <w:hyperlink w:anchor="_Toc235530873" w:history="1">
            <w:r w:rsidRPr="00DE4B3F">
              <w:rPr>
                <w:rStyle w:val="Hyperlink"/>
                <w:rFonts w:ascii="Times New Roman" w:hAnsi="Times New Roman" w:cs="Times New Roman"/>
                <w:b/>
                <w:bCs/>
                <w:noProof/>
              </w:rPr>
              <w:t>2.5.4 Macro-Financial Vulnerability Logic</w:t>
            </w:r>
            <w:r>
              <w:rPr>
                <w:noProof/>
                <w:webHidden/>
              </w:rPr>
              <w:tab/>
            </w:r>
            <w:r>
              <w:rPr>
                <w:noProof/>
                <w:webHidden/>
              </w:rPr>
              <w:fldChar w:fldCharType="begin"/>
            </w:r>
            <w:r>
              <w:rPr>
                <w:noProof/>
                <w:webHidden/>
              </w:rPr>
              <w:instrText xml:space="preserve"> PAGEREF _Toc235530873 \h </w:instrText>
            </w:r>
            <w:r>
              <w:rPr>
                <w:noProof/>
                <w:webHidden/>
              </w:rPr>
            </w:r>
            <w:r>
              <w:rPr>
                <w:noProof/>
                <w:webHidden/>
              </w:rPr>
              <w:fldChar w:fldCharType="separate"/>
            </w:r>
            <w:r>
              <w:rPr>
                <w:noProof/>
                <w:webHidden/>
              </w:rPr>
              <w:t>23</w:t>
            </w:r>
            <w:r>
              <w:rPr>
                <w:noProof/>
                <w:webHidden/>
              </w:rPr>
              <w:fldChar w:fldCharType="end"/>
            </w:r>
          </w:hyperlink>
        </w:p>
        <w:p w14:paraId="75022742" w14:textId="29234B3A" w:rsidR="00C72FF1" w:rsidRDefault="00C72FF1">
          <w:pPr>
            <w:pStyle w:val="TOC3"/>
            <w:tabs>
              <w:tab w:val="right" w:leader="dot" w:pos="9350"/>
            </w:tabs>
            <w:rPr>
              <w:rFonts w:eastAsiaTheme="minorEastAsia"/>
              <w:noProof/>
            </w:rPr>
          </w:pPr>
          <w:hyperlink w:anchor="_Toc235530874" w:history="1">
            <w:r w:rsidRPr="00DE4B3F">
              <w:rPr>
                <w:rStyle w:val="Hyperlink"/>
                <w:rFonts w:ascii="Times New Roman" w:hAnsi="Times New Roman" w:cs="Times New Roman"/>
                <w:b/>
                <w:bCs/>
                <w:noProof/>
              </w:rPr>
              <w:t>2.5.5 Synthesis: A Multi-Channel Transmission Framework</w:t>
            </w:r>
            <w:r>
              <w:rPr>
                <w:noProof/>
                <w:webHidden/>
              </w:rPr>
              <w:tab/>
            </w:r>
            <w:r>
              <w:rPr>
                <w:noProof/>
                <w:webHidden/>
              </w:rPr>
              <w:fldChar w:fldCharType="begin"/>
            </w:r>
            <w:r>
              <w:rPr>
                <w:noProof/>
                <w:webHidden/>
              </w:rPr>
              <w:instrText xml:space="preserve"> PAGEREF _Toc235530874 \h </w:instrText>
            </w:r>
            <w:r>
              <w:rPr>
                <w:noProof/>
                <w:webHidden/>
              </w:rPr>
            </w:r>
            <w:r>
              <w:rPr>
                <w:noProof/>
                <w:webHidden/>
              </w:rPr>
              <w:fldChar w:fldCharType="separate"/>
            </w:r>
            <w:r>
              <w:rPr>
                <w:noProof/>
                <w:webHidden/>
              </w:rPr>
              <w:t>23</w:t>
            </w:r>
            <w:r>
              <w:rPr>
                <w:noProof/>
                <w:webHidden/>
              </w:rPr>
              <w:fldChar w:fldCharType="end"/>
            </w:r>
          </w:hyperlink>
        </w:p>
        <w:p w14:paraId="6EA8F780" w14:textId="743AA553" w:rsidR="00C72FF1" w:rsidRDefault="00C72FF1">
          <w:pPr>
            <w:pStyle w:val="TOC2"/>
            <w:tabs>
              <w:tab w:val="right" w:leader="dot" w:pos="9350"/>
            </w:tabs>
            <w:rPr>
              <w:rFonts w:eastAsiaTheme="minorEastAsia"/>
              <w:noProof/>
            </w:rPr>
          </w:pPr>
          <w:hyperlink w:anchor="_Toc235530875" w:history="1">
            <w:r w:rsidRPr="00DE4B3F">
              <w:rPr>
                <w:rStyle w:val="Hyperlink"/>
                <w:rFonts w:ascii="Times New Roman" w:hAnsi="Times New Roman" w:cs="Times New Roman"/>
                <w:b/>
                <w:bCs/>
                <w:noProof/>
              </w:rPr>
              <w:t>2.6 Conceptual Framework and Hypothesis Mapping</w:t>
            </w:r>
            <w:r>
              <w:rPr>
                <w:noProof/>
                <w:webHidden/>
              </w:rPr>
              <w:tab/>
            </w:r>
            <w:r>
              <w:rPr>
                <w:noProof/>
                <w:webHidden/>
              </w:rPr>
              <w:fldChar w:fldCharType="begin"/>
            </w:r>
            <w:r>
              <w:rPr>
                <w:noProof/>
                <w:webHidden/>
              </w:rPr>
              <w:instrText xml:space="preserve"> PAGEREF _Toc235530875 \h </w:instrText>
            </w:r>
            <w:r>
              <w:rPr>
                <w:noProof/>
                <w:webHidden/>
              </w:rPr>
            </w:r>
            <w:r>
              <w:rPr>
                <w:noProof/>
                <w:webHidden/>
              </w:rPr>
              <w:fldChar w:fldCharType="separate"/>
            </w:r>
            <w:r>
              <w:rPr>
                <w:noProof/>
                <w:webHidden/>
              </w:rPr>
              <w:t>24</w:t>
            </w:r>
            <w:r>
              <w:rPr>
                <w:noProof/>
                <w:webHidden/>
              </w:rPr>
              <w:fldChar w:fldCharType="end"/>
            </w:r>
          </w:hyperlink>
        </w:p>
        <w:p w14:paraId="632BD253" w14:textId="5EE97F03" w:rsidR="00C72FF1" w:rsidRDefault="00C72FF1">
          <w:pPr>
            <w:pStyle w:val="TOC3"/>
            <w:tabs>
              <w:tab w:val="right" w:leader="dot" w:pos="9350"/>
            </w:tabs>
            <w:rPr>
              <w:rFonts w:eastAsiaTheme="minorEastAsia"/>
              <w:noProof/>
            </w:rPr>
          </w:pPr>
          <w:hyperlink w:anchor="_Toc235530876" w:history="1">
            <w:r w:rsidRPr="00DE4B3F">
              <w:rPr>
                <w:rStyle w:val="Hyperlink"/>
                <w:rFonts w:ascii="Times New Roman" w:hAnsi="Times New Roman" w:cs="Times New Roman"/>
                <w:b/>
                <w:bCs/>
                <w:noProof/>
              </w:rPr>
              <w:t>2.6.1 The Causal Chain: From Inflation Process to Banking Outcomes</w:t>
            </w:r>
            <w:r>
              <w:rPr>
                <w:noProof/>
                <w:webHidden/>
              </w:rPr>
              <w:tab/>
            </w:r>
            <w:r>
              <w:rPr>
                <w:noProof/>
                <w:webHidden/>
              </w:rPr>
              <w:fldChar w:fldCharType="begin"/>
            </w:r>
            <w:r>
              <w:rPr>
                <w:noProof/>
                <w:webHidden/>
              </w:rPr>
              <w:instrText xml:space="preserve"> PAGEREF _Toc235530876 \h </w:instrText>
            </w:r>
            <w:r>
              <w:rPr>
                <w:noProof/>
                <w:webHidden/>
              </w:rPr>
            </w:r>
            <w:r>
              <w:rPr>
                <w:noProof/>
                <w:webHidden/>
              </w:rPr>
              <w:fldChar w:fldCharType="separate"/>
            </w:r>
            <w:r>
              <w:rPr>
                <w:noProof/>
                <w:webHidden/>
              </w:rPr>
              <w:t>24</w:t>
            </w:r>
            <w:r>
              <w:rPr>
                <w:noProof/>
                <w:webHidden/>
              </w:rPr>
              <w:fldChar w:fldCharType="end"/>
            </w:r>
          </w:hyperlink>
        </w:p>
        <w:p w14:paraId="2330987D" w14:textId="163BB765" w:rsidR="00C72FF1" w:rsidRDefault="00C72FF1">
          <w:pPr>
            <w:pStyle w:val="TOC3"/>
            <w:tabs>
              <w:tab w:val="right" w:leader="dot" w:pos="9350"/>
            </w:tabs>
            <w:rPr>
              <w:rFonts w:eastAsiaTheme="minorEastAsia"/>
              <w:noProof/>
            </w:rPr>
          </w:pPr>
          <w:hyperlink w:anchor="_Toc235530877" w:history="1">
            <w:r w:rsidRPr="00DE4B3F">
              <w:rPr>
                <w:rStyle w:val="Hyperlink"/>
                <w:rFonts w:ascii="Times New Roman" w:hAnsi="Times New Roman" w:cs="Times New Roman"/>
                <w:b/>
                <w:bCs/>
                <w:noProof/>
              </w:rPr>
              <w:t>2.6.2 The Moderating Role of the Macro-Financial Environment</w:t>
            </w:r>
            <w:r>
              <w:rPr>
                <w:noProof/>
                <w:webHidden/>
              </w:rPr>
              <w:tab/>
            </w:r>
            <w:r>
              <w:rPr>
                <w:noProof/>
                <w:webHidden/>
              </w:rPr>
              <w:fldChar w:fldCharType="begin"/>
            </w:r>
            <w:r>
              <w:rPr>
                <w:noProof/>
                <w:webHidden/>
              </w:rPr>
              <w:instrText xml:space="preserve"> PAGEREF _Toc235530877 \h </w:instrText>
            </w:r>
            <w:r>
              <w:rPr>
                <w:noProof/>
                <w:webHidden/>
              </w:rPr>
            </w:r>
            <w:r>
              <w:rPr>
                <w:noProof/>
                <w:webHidden/>
              </w:rPr>
              <w:fldChar w:fldCharType="separate"/>
            </w:r>
            <w:r>
              <w:rPr>
                <w:noProof/>
                <w:webHidden/>
              </w:rPr>
              <w:t>27</w:t>
            </w:r>
            <w:r>
              <w:rPr>
                <w:noProof/>
                <w:webHidden/>
              </w:rPr>
              <w:fldChar w:fldCharType="end"/>
            </w:r>
          </w:hyperlink>
        </w:p>
        <w:p w14:paraId="1A56C130" w14:textId="2DE862A4" w:rsidR="00C72FF1" w:rsidRDefault="00C72FF1">
          <w:pPr>
            <w:pStyle w:val="TOC3"/>
            <w:tabs>
              <w:tab w:val="right" w:leader="dot" w:pos="9350"/>
            </w:tabs>
            <w:rPr>
              <w:rFonts w:eastAsiaTheme="minorEastAsia"/>
              <w:noProof/>
            </w:rPr>
          </w:pPr>
          <w:hyperlink w:anchor="_Toc235530878" w:history="1">
            <w:r w:rsidRPr="00DE4B3F">
              <w:rPr>
                <w:rStyle w:val="Hyperlink"/>
                <w:rFonts w:ascii="Times New Roman" w:hAnsi="Times New Roman" w:cs="Times New Roman"/>
                <w:b/>
                <w:bCs/>
                <w:noProof/>
              </w:rPr>
              <w:t>2.6.3 Formal Hypotheses</w:t>
            </w:r>
            <w:r>
              <w:rPr>
                <w:noProof/>
                <w:webHidden/>
              </w:rPr>
              <w:tab/>
            </w:r>
            <w:r>
              <w:rPr>
                <w:noProof/>
                <w:webHidden/>
              </w:rPr>
              <w:fldChar w:fldCharType="begin"/>
            </w:r>
            <w:r>
              <w:rPr>
                <w:noProof/>
                <w:webHidden/>
              </w:rPr>
              <w:instrText xml:space="preserve"> PAGEREF _Toc235530878 \h </w:instrText>
            </w:r>
            <w:r>
              <w:rPr>
                <w:noProof/>
                <w:webHidden/>
              </w:rPr>
            </w:r>
            <w:r>
              <w:rPr>
                <w:noProof/>
                <w:webHidden/>
              </w:rPr>
              <w:fldChar w:fldCharType="separate"/>
            </w:r>
            <w:r>
              <w:rPr>
                <w:noProof/>
                <w:webHidden/>
              </w:rPr>
              <w:t>27</w:t>
            </w:r>
            <w:r>
              <w:rPr>
                <w:noProof/>
                <w:webHidden/>
              </w:rPr>
              <w:fldChar w:fldCharType="end"/>
            </w:r>
          </w:hyperlink>
        </w:p>
        <w:p w14:paraId="0D3E16BF" w14:textId="40170104" w:rsidR="00C72FF1" w:rsidRDefault="00C72FF1">
          <w:pPr>
            <w:pStyle w:val="TOC1"/>
            <w:tabs>
              <w:tab w:val="right" w:leader="dot" w:pos="9350"/>
            </w:tabs>
            <w:rPr>
              <w:rFonts w:eastAsiaTheme="minorEastAsia"/>
              <w:noProof/>
            </w:rPr>
          </w:pPr>
          <w:hyperlink w:anchor="_Toc235530879" w:history="1">
            <w:r w:rsidRPr="00DE4B3F">
              <w:rPr>
                <w:rStyle w:val="Hyperlink"/>
                <w:rFonts w:ascii="Times New Roman" w:hAnsi="Times New Roman" w:cs="Times New Roman"/>
                <w:b/>
                <w:bCs/>
                <w:noProof/>
              </w:rPr>
              <w:t>CHAPTER 3: METHODOLOGY</w:t>
            </w:r>
            <w:r>
              <w:rPr>
                <w:noProof/>
                <w:webHidden/>
              </w:rPr>
              <w:tab/>
            </w:r>
            <w:r>
              <w:rPr>
                <w:noProof/>
                <w:webHidden/>
              </w:rPr>
              <w:fldChar w:fldCharType="begin"/>
            </w:r>
            <w:r>
              <w:rPr>
                <w:noProof/>
                <w:webHidden/>
              </w:rPr>
              <w:instrText xml:space="preserve"> PAGEREF _Toc235530879 \h </w:instrText>
            </w:r>
            <w:r>
              <w:rPr>
                <w:noProof/>
                <w:webHidden/>
              </w:rPr>
            </w:r>
            <w:r>
              <w:rPr>
                <w:noProof/>
                <w:webHidden/>
              </w:rPr>
              <w:fldChar w:fldCharType="separate"/>
            </w:r>
            <w:r>
              <w:rPr>
                <w:noProof/>
                <w:webHidden/>
              </w:rPr>
              <w:t>29</w:t>
            </w:r>
            <w:r>
              <w:rPr>
                <w:noProof/>
                <w:webHidden/>
              </w:rPr>
              <w:fldChar w:fldCharType="end"/>
            </w:r>
          </w:hyperlink>
        </w:p>
        <w:p w14:paraId="21FB5BBB" w14:textId="7C29EFC9" w:rsidR="00C72FF1" w:rsidRDefault="00C72FF1">
          <w:pPr>
            <w:pStyle w:val="TOC2"/>
            <w:tabs>
              <w:tab w:val="right" w:leader="dot" w:pos="9350"/>
            </w:tabs>
            <w:rPr>
              <w:rFonts w:eastAsiaTheme="minorEastAsia"/>
              <w:noProof/>
            </w:rPr>
          </w:pPr>
          <w:hyperlink w:anchor="_Toc235530880" w:history="1">
            <w:r w:rsidRPr="00DE4B3F">
              <w:rPr>
                <w:rStyle w:val="Hyperlink"/>
                <w:rFonts w:ascii="Times New Roman" w:hAnsi="Times New Roman" w:cs="Times New Roman"/>
                <w:b/>
                <w:bCs/>
                <w:noProof/>
              </w:rPr>
              <w:t>3.1 Research Design and Empirical Strategy</w:t>
            </w:r>
            <w:r>
              <w:rPr>
                <w:noProof/>
                <w:webHidden/>
              </w:rPr>
              <w:tab/>
            </w:r>
            <w:r>
              <w:rPr>
                <w:noProof/>
                <w:webHidden/>
              </w:rPr>
              <w:fldChar w:fldCharType="begin"/>
            </w:r>
            <w:r>
              <w:rPr>
                <w:noProof/>
                <w:webHidden/>
              </w:rPr>
              <w:instrText xml:space="preserve"> PAGEREF _Toc235530880 \h </w:instrText>
            </w:r>
            <w:r>
              <w:rPr>
                <w:noProof/>
                <w:webHidden/>
              </w:rPr>
            </w:r>
            <w:r>
              <w:rPr>
                <w:noProof/>
                <w:webHidden/>
              </w:rPr>
              <w:fldChar w:fldCharType="separate"/>
            </w:r>
            <w:r>
              <w:rPr>
                <w:noProof/>
                <w:webHidden/>
              </w:rPr>
              <w:t>29</w:t>
            </w:r>
            <w:r>
              <w:rPr>
                <w:noProof/>
                <w:webHidden/>
              </w:rPr>
              <w:fldChar w:fldCharType="end"/>
            </w:r>
          </w:hyperlink>
        </w:p>
        <w:p w14:paraId="42FACD34" w14:textId="20638CF1" w:rsidR="00C72FF1" w:rsidRDefault="00C72FF1">
          <w:pPr>
            <w:pStyle w:val="TOC2"/>
            <w:tabs>
              <w:tab w:val="right" w:leader="dot" w:pos="9350"/>
            </w:tabs>
            <w:rPr>
              <w:rFonts w:eastAsiaTheme="minorEastAsia"/>
              <w:noProof/>
            </w:rPr>
          </w:pPr>
          <w:hyperlink w:anchor="_Toc235530881" w:history="1">
            <w:r w:rsidRPr="00DE4B3F">
              <w:rPr>
                <w:rStyle w:val="Hyperlink"/>
                <w:rFonts w:ascii="Times New Roman" w:hAnsi="Times New Roman" w:cs="Times New Roman"/>
                <w:b/>
                <w:bCs/>
                <w:noProof/>
              </w:rPr>
              <w:t>3.2 Country Selection, Frontier-Economy Classification, and Panel Structure</w:t>
            </w:r>
            <w:r>
              <w:rPr>
                <w:noProof/>
                <w:webHidden/>
              </w:rPr>
              <w:tab/>
            </w:r>
            <w:r>
              <w:rPr>
                <w:noProof/>
                <w:webHidden/>
              </w:rPr>
              <w:fldChar w:fldCharType="begin"/>
            </w:r>
            <w:r>
              <w:rPr>
                <w:noProof/>
                <w:webHidden/>
              </w:rPr>
              <w:instrText xml:space="preserve"> PAGEREF _Toc235530881 \h </w:instrText>
            </w:r>
            <w:r>
              <w:rPr>
                <w:noProof/>
                <w:webHidden/>
              </w:rPr>
            </w:r>
            <w:r>
              <w:rPr>
                <w:noProof/>
                <w:webHidden/>
              </w:rPr>
              <w:fldChar w:fldCharType="separate"/>
            </w:r>
            <w:r>
              <w:rPr>
                <w:noProof/>
                <w:webHidden/>
              </w:rPr>
              <w:t>29</w:t>
            </w:r>
            <w:r>
              <w:rPr>
                <w:noProof/>
                <w:webHidden/>
              </w:rPr>
              <w:fldChar w:fldCharType="end"/>
            </w:r>
          </w:hyperlink>
        </w:p>
        <w:p w14:paraId="2A9F2D8B" w14:textId="1CD02625" w:rsidR="00C72FF1" w:rsidRDefault="00C72FF1">
          <w:pPr>
            <w:pStyle w:val="TOC2"/>
            <w:tabs>
              <w:tab w:val="right" w:leader="dot" w:pos="9350"/>
            </w:tabs>
            <w:rPr>
              <w:rFonts w:eastAsiaTheme="minorEastAsia"/>
              <w:noProof/>
            </w:rPr>
          </w:pPr>
          <w:hyperlink w:anchor="_Toc235530882" w:history="1">
            <w:r w:rsidRPr="00DE4B3F">
              <w:rPr>
                <w:rStyle w:val="Hyperlink"/>
                <w:rFonts w:ascii="Times New Roman" w:hAnsi="Times New Roman" w:cs="Times New Roman"/>
                <w:b/>
                <w:bCs/>
                <w:noProof/>
              </w:rPr>
              <w:t>3.3 Data Sources, Sample Windows and Coverage Logic</w:t>
            </w:r>
            <w:r>
              <w:rPr>
                <w:noProof/>
                <w:webHidden/>
              </w:rPr>
              <w:tab/>
            </w:r>
            <w:r>
              <w:rPr>
                <w:noProof/>
                <w:webHidden/>
              </w:rPr>
              <w:fldChar w:fldCharType="begin"/>
            </w:r>
            <w:r>
              <w:rPr>
                <w:noProof/>
                <w:webHidden/>
              </w:rPr>
              <w:instrText xml:space="preserve"> PAGEREF _Toc235530882 \h </w:instrText>
            </w:r>
            <w:r>
              <w:rPr>
                <w:noProof/>
                <w:webHidden/>
              </w:rPr>
            </w:r>
            <w:r>
              <w:rPr>
                <w:noProof/>
                <w:webHidden/>
              </w:rPr>
              <w:fldChar w:fldCharType="separate"/>
            </w:r>
            <w:r>
              <w:rPr>
                <w:noProof/>
                <w:webHidden/>
              </w:rPr>
              <w:t>31</w:t>
            </w:r>
            <w:r>
              <w:rPr>
                <w:noProof/>
                <w:webHidden/>
              </w:rPr>
              <w:fldChar w:fldCharType="end"/>
            </w:r>
          </w:hyperlink>
        </w:p>
        <w:p w14:paraId="37A2E552" w14:textId="50266F80" w:rsidR="00C72FF1" w:rsidRDefault="00C72FF1">
          <w:pPr>
            <w:pStyle w:val="TOC2"/>
            <w:tabs>
              <w:tab w:val="right" w:leader="dot" w:pos="9350"/>
            </w:tabs>
            <w:rPr>
              <w:rFonts w:eastAsiaTheme="minorEastAsia"/>
              <w:noProof/>
            </w:rPr>
          </w:pPr>
          <w:hyperlink w:anchor="_Toc235530883" w:history="1">
            <w:r w:rsidRPr="00DE4B3F">
              <w:rPr>
                <w:rStyle w:val="Hyperlink"/>
                <w:rFonts w:ascii="Times New Roman" w:hAnsi="Times New Roman" w:cs="Times New Roman"/>
                <w:b/>
                <w:bCs/>
                <w:noProof/>
              </w:rPr>
              <w:t>3.4 Variable Definitions, Measurement, and Expected Signs</w:t>
            </w:r>
            <w:r>
              <w:rPr>
                <w:noProof/>
                <w:webHidden/>
              </w:rPr>
              <w:tab/>
            </w:r>
            <w:r>
              <w:rPr>
                <w:noProof/>
                <w:webHidden/>
              </w:rPr>
              <w:fldChar w:fldCharType="begin"/>
            </w:r>
            <w:r>
              <w:rPr>
                <w:noProof/>
                <w:webHidden/>
              </w:rPr>
              <w:instrText xml:space="preserve"> PAGEREF _Toc235530883 \h </w:instrText>
            </w:r>
            <w:r>
              <w:rPr>
                <w:noProof/>
                <w:webHidden/>
              </w:rPr>
            </w:r>
            <w:r>
              <w:rPr>
                <w:noProof/>
                <w:webHidden/>
              </w:rPr>
              <w:fldChar w:fldCharType="separate"/>
            </w:r>
            <w:r>
              <w:rPr>
                <w:noProof/>
                <w:webHidden/>
              </w:rPr>
              <w:t>32</w:t>
            </w:r>
            <w:r>
              <w:rPr>
                <w:noProof/>
                <w:webHidden/>
              </w:rPr>
              <w:fldChar w:fldCharType="end"/>
            </w:r>
          </w:hyperlink>
        </w:p>
        <w:p w14:paraId="7F443AA0" w14:textId="5903C822" w:rsidR="00C72FF1" w:rsidRDefault="00C72FF1">
          <w:pPr>
            <w:pStyle w:val="TOC3"/>
            <w:tabs>
              <w:tab w:val="right" w:leader="dot" w:pos="9350"/>
            </w:tabs>
            <w:rPr>
              <w:rFonts w:eastAsiaTheme="minorEastAsia"/>
              <w:noProof/>
            </w:rPr>
          </w:pPr>
          <w:hyperlink w:anchor="_Toc235530884" w:history="1">
            <w:r w:rsidRPr="00DE4B3F">
              <w:rPr>
                <w:rStyle w:val="Hyperlink"/>
                <w:rFonts w:ascii="Times New Roman" w:hAnsi="Times New Roman" w:cs="Times New Roman"/>
                <w:b/>
                <w:bCs/>
                <w:noProof/>
              </w:rPr>
              <w:t>3.4.1 Dependent Variables</w:t>
            </w:r>
            <w:r>
              <w:rPr>
                <w:noProof/>
                <w:webHidden/>
              </w:rPr>
              <w:tab/>
            </w:r>
            <w:r>
              <w:rPr>
                <w:noProof/>
                <w:webHidden/>
              </w:rPr>
              <w:fldChar w:fldCharType="begin"/>
            </w:r>
            <w:r>
              <w:rPr>
                <w:noProof/>
                <w:webHidden/>
              </w:rPr>
              <w:instrText xml:space="preserve"> PAGEREF _Toc235530884 \h </w:instrText>
            </w:r>
            <w:r>
              <w:rPr>
                <w:noProof/>
                <w:webHidden/>
              </w:rPr>
            </w:r>
            <w:r>
              <w:rPr>
                <w:noProof/>
                <w:webHidden/>
              </w:rPr>
              <w:fldChar w:fldCharType="separate"/>
            </w:r>
            <w:r>
              <w:rPr>
                <w:noProof/>
                <w:webHidden/>
              </w:rPr>
              <w:t>32</w:t>
            </w:r>
            <w:r>
              <w:rPr>
                <w:noProof/>
                <w:webHidden/>
              </w:rPr>
              <w:fldChar w:fldCharType="end"/>
            </w:r>
          </w:hyperlink>
        </w:p>
        <w:p w14:paraId="778A0308" w14:textId="04C87193" w:rsidR="00C72FF1" w:rsidRDefault="00C72FF1">
          <w:pPr>
            <w:pStyle w:val="TOC3"/>
            <w:tabs>
              <w:tab w:val="right" w:leader="dot" w:pos="9350"/>
            </w:tabs>
            <w:rPr>
              <w:rFonts w:eastAsiaTheme="minorEastAsia"/>
              <w:noProof/>
            </w:rPr>
          </w:pPr>
          <w:hyperlink w:anchor="_Toc235530885" w:history="1">
            <w:r w:rsidRPr="00DE4B3F">
              <w:rPr>
                <w:rStyle w:val="Hyperlink"/>
                <w:rFonts w:ascii="Times New Roman" w:hAnsi="Times New Roman" w:cs="Times New Roman"/>
                <w:b/>
                <w:bCs/>
                <w:noProof/>
              </w:rPr>
              <w:t>3.4.2 Independent Variable</w:t>
            </w:r>
            <w:r>
              <w:rPr>
                <w:noProof/>
                <w:webHidden/>
              </w:rPr>
              <w:tab/>
            </w:r>
            <w:r>
              <w:rPr>
                <w:noProof/>
                <w:webHidden/>
              </w:rPr>
              <w:fldChar w:fldCharType="begin"/>
            </w:r>
            <w:r>
              <w:rPr>
                <w:noProof/>
                <w:webHidden/>
              </w:rPr>
              <w:instrText xml:space="preserve"> PAGEREF _Toc235530885 \h </w:instrText>
            </w:r>
            <w:r>
              <w:rPr>
                <w:noProof/>
                <w:webHidden/>
              </w:rPr>
            </w:r>
            <w:r>
              <w:rPr>
                <w:noProof/>
                <w:webHidden/>
              </w:rPr>
              <w:fldChar w:fldCharType="separate"/>
            </w:r>
            <w:r>
              <w:rPr>
                <w:noProof/>
                <w:webHidden/>
              </w:rPr>
              <w:t>32</w:t>
            </w:r>
            <w:r>
              <w:rPr>
                <w:noProof/>
                <w:webHidden/>
              </w:rPr>
              <w:fldChar w:fldCharType="end"/>
            </w:r>
          </w:hyperlink>
        </w:p>
        <w:p w14:paraId="04A3544E" w14:textId="2B4413C0" w:rsidR="00C72FF1" w:rsidRDefault="00C72FF1">
          <w:pPr>
            <w:pStyle w:val="TOC3"/>
            <w:tabs>
              <w:tab w:val="right" w:leader="dot" w:pos="9350"/>
            </w:tabs>
            <w:rPr>
              <w:rFonts w:eastAsiaTheme="minorEastAsia"/>
              <w:noProof/>
            </w:rPr>
          </w:pPr>
          <w:hyperlink w:anchor="_Toc235530886" w:history="1">
            <w:r w:rsidRPr="00DE4B3F">
              <w:rPr>
                <w:rStyle w:val="Hyperlink"/>
                <w:rFonts w:ascii="Times New Roman" w:hAnsi="Times New Roman" w:cs="Times New Roman"/>
                <w:b/>
                <w:bCs/>
                <w:noProof/>
              </w:rPr>
              <w:t>3.4.3 Control Variables</w:t>
            </w:r>
            <w:r>
              <w:rPr>
                <w:noProof/>
                <w:webHidden/>
              </w:rPr>
              <w:tab/>
            </w:r>
            <w:r>
              <w:rPr>
                <w:noProof/>
                <w:webHidden/>
              </w:rPr>
              <w:fldChar w:fldCharType="begin"/>
            </w:r>
            <w:r>
              <w:rPr>
                <w:noProof/>
                <w:webHidden/>
              </w:rPr>
              <w:instrText xml:space="preserve"> PAGEREF _Toc235530886 \h </w:instrText>
            </w:r>
            <w:r>
              <w:rPr>
                <w:noProof/>
                <w:webHidden/>
              </w:rPr>
            </w:r>
            <w:r>
              <w:rPr>
                <w:noProof/>
                <w:webHidden/>
              </w:rPr>
              <w:fldChar w:fldCharType="separate"/>
            </w:r>
            <w:r>
              <w:rPr>
                <w:noProof/>
                <w:webHidden/>
              </w:rPr>
              <w:t>33</w:t>
            </w:r>
            <w:r>
              <w:rPr>
                <w:noProof/>
                <w:webHidden/>
              </w:rPr>
              <w:fldChar w:fldCharType="end"/>
            </w:r>
          </w:hyperlink>
        </w:p>
        <w:p w14:paraId="08E5D456" w14:textId="0EC2A3AB" w:rsidR="00C72FF1" w:rsidRDefault="00C72FF1">
          <w:pPr>
            <w:pStyle w:val="TOC2"/>
            <w:tabs>
              <w:tab w:val="right" w:leader="dot" w:pos="9350"/>
            </w:tabs>
            <w:rPr>
              <w:rFonts w:eastAsiaTheme="minorEastAsia"/>
              <w:noProof/>
            </w:rPr>
          </w:pPr>
          <w:hyperlink w:anchor="_Toc235530887" w:history="1">
            <w:r w:rsidRPr="00DE4B3F">
              <w:rPr>
                <w:rStyle w:val="Hyperlink"/>
                <w:rFonts w:ascii="Times New Roman" w:hAnsi="Times New Roman" w:cs="Times New Roman"/>
                <w:b/>
                <w:bCs/>
                <w:noProof/>
              </w:rPr>
              <w:t>3.5 Measuring Inflation Volatility</w:t>
            </w:r>
            <w:r>
              <w:rPr>
                <w:noProof/>
                <w:webHidden/>
              </w:rPr>
              <w:tab/>
            </w:r>
            <w:r>
              <w:rPr>
                <w:noProof/>
                <w:webHidden/>
              </w:rPr>
              <w:fldChar w:fldCharType="begin"/>
            </w:r>
            <w:r>
              <w:rPr>
                <w:noProof/>
                <w:webHidden/>
              </w:rPr>
              <w:instrText xml:space="preserve"> PAGEREF _Toc235530887 \h </w:instrText>
            </w:r>
            <w:r>
              <w:rPr>
                <w:noProof/>
                <w:webHidden/>
              </w:rPr>
            </w:r>
            <w:r>
              <w:rPr>
                <w:noProof/>
                <w:webHidden/>
              </w:rPr>
              <w:fldChar w:fldCharType="separate"/>
            </w:r>
            <w:r>
              <w:rPr>
                <w:noProof/>
                <w:webHidden/>
              </w:rPr>
              <w:t>35</w:t>
            </w:r>
            <w:r>
              <w:rPr>
                <w:noProof/>
                <w:webHidden/>
              </w:rPr>
              <w:fldChar w:fldCharType="end"/>
            </w:r>
          </w:hyperlink>
        </w:p>
        <w:p w14:paraId="740F89DB" w14:textId="0E6E228D" w:rsidR="00C72FF1" w:rsidRDefault="00C72FF1">
          <w:pPr>
            <w:pStyle w:val="TOC3"/>
            <w:tabs>
              <w:tab w:val="right" w:leader="dot" w:pos="9350"/>
            </w:tabs>
            <w:rPr>
              <w:rFonts w:eastAsiaTheme="minorEastAsia"/>
              <w:noProof/>
            </w:rPr>
          </w:pPr>
          <w:hyperlink w:anchor="_Toc235530888" w:history="1">
            <w:r w:rsidRPr="00DE4B3F">
              <w:rPr>
                <w:rStyle w:val="Hyperlink"/>
                <w:rFonts w:ascii="Times New Roman" w:hAnsi="Times New Roman" w:cs="Times New Roman"/>
                <w:b/>
                <w:bCs/>
                <w:noProof/>
              </w:rPr>
              <w:t>3.5.1 Baseline Method: GARCH(1,1)</w:t>
            </w:r>
            <w:r>
              <w:rPr>
                <w:noProof/>
                <w:webHidden/>
              </w:rPr>
              <w:tab/>
            </w:r>
            <w:r>
              <w:rPr>
                <w:noProof/>
                <w:webHidden/>
              </w:rPr>
              <w:fldChar w:fldCharType="begin"/>
            </w:r>
            <w:r>
              <w:rPr>
                <w:noProof/>
                <w:webHidden/>
              </w:rPr>
              <w:instrText xml:space="preserve"> PAGEREF _Toc235530888 \h </w:instrText>
            </w:r>
            <w:r>
              <w:rPr>
                <w:noProof/>
                <w:webHidden/>
              </w:rPr>
            </w:r>
            <w:r>
              <w:rPr>
                <w:noProof/>
                <w:webHidden/>
              </w:rPr>
              <w:fldChar w:fldCharType="separate"/>
            </w:r>
            <w:r>
              <w:rPr>
                <w:noProof/>
                <w:webHidden/>
              </w:rPr>
              <w:t>35</w:t>
            </w:r>
            <w:r>
              <w:rPr>
                <w:noProof/>
                <w:webHidden/>
              </w:rPr>
              <w:fldChar w:fldCharType="end"/>
            </w:r>
          </w:hyperlink>
        </w:p>
        <w:p w14:paraId="1328939E" w14:textId="7DD8568F" w:rsidR="00C72FF1" w:rsidRDefault="00C72FF1">
          <w:pPr>
            <w:pStyle w:val="TOC3"/>
            <w:tabs>
              <w:tab w:val="right" w:leader="dot" w:pos="9350"/>
            </w:tabs>
            <w:rPr>
              <w:rFonts w:eastAsiaTheme="minorEastAsia"/>
              <w:noProof/>
            </w:rPr>
          </w:pPr>
          <w:hyperlink w:anchor="_Toc235530889" w:history="1">
            <w:r w:rsidRPr="00DE4B3F">
              <w:rPr>
                <w:rStyle w:val="Hyperlink"/>
                <w:rFonts w:ascii="Times New Roman" w:hAnsi="Times New Roman" w:cs="Times New Roman"/>
                <w:b/>
                <w:bCs/>
                <w:noProof/>
              </w:rPr>
              <w:t>3.5.2 Robustness Method: Rolling Standard Deviation</w:t>
            </w:r>
            <w:r>
              <w:rPr>
                <w:noProof/>
                <w:webHidden/>
              </w:rPr>
              <w:tab/>
            </w:r>
            <w:r>
              <w:rPr>
                <w:noProof/>
                <w:webHidden/>
              </w:rPr>
              <w:fldChar w:fldCharType="begin"/>
            </w:r>
            <w:r>
              <w:rPr>
                <w:noProof/>
                <w:webHidden/>
              </w:rPr>
              <w:instrText xml:space="preserve"> PAGEREF _Toc235530889 \h </w:instrText>
            </w:r>
            <w:r>
              <w:rPr>
                <w:noProof/>
                <w:webHidden/>
              </w:rPr>
            </w:r>
            <w:r>
              <w:rPr>
                <w:noProof/>
                <w:webHidden/>
              </w:rPr>
              <w:fldChar w:fldCharType="separate"/>
            </w:r>
            <w:r>
              <w:rPr>
                <w:noProof/>
                <w:webHidden/>
              </w:rPr>
              <w:t>36</w:t>
            </w:r>
            <w:r>
              <w:rPr>
                <w:noProof/>
                <w:webHidden/>
              </w:rPr>
              <w:fldChar w:fldCharType="end"/>
            </w:r>
          </w:hyperlink>
        </w:p>
        <w:p w14:paraId="16B3CE05" w14:textId="40AD03A9" w:rsidR="00C72FF1" w:rsidRDefault="00C72FF1">
          <w:pPr>
            <w:pStyle w:val="TOC2"/>
            <w:tabs>
              <w:tab w:val="right" w:leader="dot" w:pos="9350"/>
            </w:tabs>
            <w:rPr>
              <w:rFonts w:eastAsiaTheme="minorEastAsia"/>
              <w:noProof/>
            </w:rPr>
          </w:pPr>
          <w:hyperlink w:anchor="_Toc235530890" w:history="1">
            <w:r w:rsidRPr="00DE4B3F">
              <w:rPr>
                <w:rStyle w:val="Hyperlink"/>
                <w:rFonts w:ascii="Times New Roman" w:hAnsi="Times New Roman" w:cs="Times New Roman"/>
                <w:b/>
                <w:bCs/>
                <w:noProof/>
              </w:rPr>
              <w:t>3.6 Preliminary Panel Diagnostics</w:t>
            </w:r>
            <w:r>
              <w:rPr>
                <w:noProof/>
                <w:webHidden/>
              </w:rPr>
              <w:tab/>
            </w:r>
            <w:r>
              <w:rPr>
                <w:noProof/>
                <w:webHidden/>
              </w:rPr>
              <w:fldChar w:fldCharType="begin"/>
            </w:r>
            <w:r>
              <w:rPr>
                <w:noProof/>
                <w:webHidden/>
              </w:rPr>
              <w:instrText xml:space="preserve"> PAGEREF _Toc235530890 \h </w:instrText>
            </w:r>
            <w:r>
              <w:rPr>
                <w:noProof/>
                <w:webHidden/>
              </w:rPr>
            </w:r>
            <w:r>
              <w:rPr>
                <w:noProof/>
                <w:webHidden/>
              </w:rPr>
              <w:fldChar w:fldCharType="separate"/>
            </w:r>
            <w:r>
              <w:rPr>
                <w:noProof/>
                <w:webHidden/>
              </w:rPr>
              <w:t>37</w:t>
            </w:r>
            <w:r>
              <w:rPr>
                <w:noProof/>
                <w:webHidden/>
              </w:rPr>
              <w:fldChar w:fldCharType="end"/>
            </w:r>
          </w:hyperlink>
        </w:p>
        <w:p w14:paraId="0AF36372" w14:textId="61FE4B7C" w:rsidR="00C72FF1" w:rsidRDefault="00C72FF1">
          <w:pPr>
            <w:pStyle w:val="TOC3"/>
            <w:tabs>
              <w:tab w:val="right" w:leader="dot" w:pos="9350"/>
            </w:tabs>
            <w:rPr>
              <w:rFonts w:eastAsiaTheme="minorEastAsia"/>
              <w:noProof/>
            </w:rPr>
          </w:pPr>
          <w:hyperlink w:anchor="_Toc235530891" w:history="1">
            <w:r w:rsidRPr="00DE4B3F">
              <w:rPr>
                <w:rStyle w:val="Hyperlink"/>
                <w:rFonts w:ascii="Times New Roman" w:hAnsi="Times New Roman" w:cs="Times New Roman"/>
                <w:b/>
                <w:bCs/>
                <w:noProof/>
              </w:rPr>
              <w:t>3.6.1 Descriptive Statistics</w:t>
            </w:r>
            <w:r>
              <w:rPr>
                <w:noProof/>
                <w:webHidden/>
              </w:rPr>
              <w:tab/>
            </w:r>
            <w:r>
              <w:rPr>
                <w:noProof/>
                <w:webHidden/>
              </w:rPr>
              <w:fldChar w:fldCharType="begin"/>
            </w:r>
            <w:r>
              <w:rPr>
                <w:noProof/>
                <w:webHidden/>
              </w:rPr>
              <w:instrText xml:space="preserve"> PAGEREF _Toc235530891 \h </w:instrText>
            </w:r>
            <w:r>
              <w:rPr>
                <w:noProof/>
                <w:webHidden/>
              </w:rPr>
            </w:r>
            <w:r>
              <w:rPr>
                <w:noProof/>
                <w:webHidden/>
              </w:rPr>
              <w:fldChar w:fldCharType="separate"/>
            </w:r>
            <w:r>
              <w:rPr>
                <w:noProof/>
                <w:webHidden/>
              </w:rPr>
              <w:t>37</w:t>
            </w:r>
            <w:r>
              <w:rPr>
                <w:noProof/>
                <w:webHidden/>
              </w:rPr>
              <w:fldChar w:fldCharType="end"/>
            </w:r>
          </w:hyperlink>
        </w:p>
        <w:p w14:paraId="363AC6C9" w14:textId="46B00433" w:rsidR="00C72FF1" w:rsidRDefault="00C72FF1">
          <w:pPr>
            <w:pStyle w:val="TOC3"/>
            <w:tabs>
              <w:tab w:val="right" w:leader="dot" w:pos="9350"/>
            </w:tabs>
            <w:rPr>
              <w:rFonts w:eastAsiaTheme="minorEastAsia"/>
              <w:noProof/>
            </w:rPr>
          </w:pPr>
          <w:hyperlink w:anchor="_Toc235530892" w:history="1">
            <w:r w:rsidRPr="00DE4B3F">
              <w:rPr>
                <w:rStyle w:val="Hyperlink"/>
                <w:rFonts w:ascii="Times New Roman" w:hAnsi="Times New Roman" w:cs="Times New Roman"/>
                <w:b/>
                <w:bCs/>
                <w:noProof/>
              </w:rPr>
              <w:t>3.6.2 Correlation Analysis and Variance Inflation Factor (VIF)</w:t>
            </w:r>
            <w:r>
              <w:rPr>
                <w:noProof/>
                <w:webHidden/>
              </w:rPr>
              <w:tab/>
            </w:r>
            <w:r>
              <w:rPr>
                <w:noProof/>
                <w:webHidden/>
              </w:rPr>
              <w:fldChar w:fldCharType="begin"/>
            </w:r>
            <w:r>
              <w:rPr>
                <w:noProof/>
                <w:webHidden/>
              </w:rPr>
              <w:instrText xml:space="preserve"> PAGEREF _Toc235530892 \h </w:instrText>
            </w:r>
            <w:r>
              <w:rPr>
                <w:noProof/>
                <w:webHidden/>
              </w:rPr>
            </w:r>
            <w:r>
              <w:rPr>
                <w:noProof/>
                <w:webHidden/>
              </w:rPr>
              <w:fldChar w:fldCharType="separate"/>
            </w:r>
            <w:r>
              <w:rPr>
                <w:noProof/>
                <w:webHidden/>
              </w:rPr>
              <w:t>37</w:t>
            </w:r>
            <w:r>
              <w:rPr>
                <w:noProof/>
                <w:webHidden/>
              </w:rPr>
              <w:fldChar w:fldCharType="end"/>
            </w:r>
          </w:hyperlink>
        </w:p>
        <w:p w14:paraId="07E8D39B" w14:textId="6D4ABC17" w:rsidR="00C72FF1" w:rsidRDefault="00C72FF1">
          <w:pPr>
            <w:pStyle w:val="TOC3"/>
            <w:tabs>
              <w:tab w:val="right" w:leader="dot" w:pos="9350"/>
            </w:tabs>
            <w:rPr>
              <w:rFonts w:eastAsiaTheme="minorEastAsia"/>
              <w:noProof/>
            </w:rPr>
          </w:pPr>
          <w:hyperlink w:anchor="_Toc235530893" w:history="1">
            <w:r w:rsidRPr="00DE4B3F">
              <w:rPr>
                <w:rStyle w:val="Hyperlink"/>
                <w:rFonts w:ascii="Times New Roman" w:hAnsi="Times New Roman" w:cs="Times New Roman"/>
                <w:b/>
                <w:bCs/>
                <w:noProof/>
              </w:rPr>
              <w:t>3.6.3 Cross-Sectional Dependence Test</w:t>
            </w:r>
            <w:r>
              <w:rPr>
                <w:noProof/>
                <w:webHidden/>
              </w:rPr>
              <w:tab/>
            </w:r>
            <w:r>
              <w:rPr>
                <w:noProof/>
                <w:webHidden/>
              </w:rPr>
              <w:fldChar w:fldCharType="begin"/>
            </w:r>
            <w:r>
              <w:rPr>
                <w:noProof/>
                <w:webHidden/>
              </w:rPr>
              <w:instrText xml:space="preserve"> PAGEREF _Toc235530893 \h </w:instrText>
            </w:r>
            <w:r>
              <w:rPr>
                <w:noProof/>
                <w:webHidden/>
              </w:rPr>
            </w:r>
            <w:r>
              <w:rPr>
                <w:noProof/>
                <w:webHidden/>
              </w:rPr>
              <w:fldChar w:fldCharType="separate"/>
            </w:r>
            <w:r>
              <w:rPr>
                <w:noProof/>
                <w:webHidden/>
              </w:rPr>
              <w:t>38</w:t>
            </w:r>
            <w:r>
              <w:rPr>
                <w:noProof/>
                <w:webHidden/>
              </w:rPr>
              <w:fldChar w:fldCharType="end"/>
            </w:r>
          </w:hyperlink>
        </w:p>
        <w:p w14:paraId="0A0A98D6" w14:textId="212B0994" w:rsidR="00C72FF1" w:rsidRDefault="00C72FF1">
          <w:pPr>
            <w:pStyle w:val="TOC3"/>
            <w:tabs>
              <w:tab w:val="right" w:leader="dot" w:pos="9350"/>
            </w:tabs>
            <w:rPr>
              <w:rFonts w:eastAsiaTheme="minorEastAsia"/>
              <w:noProof/>
            </w:rPr>
          </w:pPr>
          <w:hyperlink w:anchor="_Toc235530894" w:history="1">
            <w:r w:rsidRPr="00DE4B3F">
              <w:rPr>
                <w:rStyle w:val="Hyperlink"/>
                <w:rFonts w:ascii="Times New Roman" w:hAnsi="Times New Roman" w:cs="Times New Roman"/>
                <w:b/>
                <w:bCs/>
                <w:noProof/>
              </w:rPr>
              <w:t>3.6.4 Slope Heterogeneity Test</w:t>
            </w:r>
            <w:r>
              <w:rPr>
                <w:noProof/>
                <w:webHidden/>
              </w:rPr>
              <w:tab/>
            </w:r>
            <w:r>
              <w:rPr>
                <w:noProof/>
                <w:webHidden/>
              </w:rPr>
              <w:fldChar w:fldCharType="begin"/>
            </w:r>
            <w:r>
              <w:rPr>
                <w:noProof/>
                <w:webHidden/>
              </w:rPr>
              <w:instrText xml:space="preserve"> PAGEREF _Toc235530894 \h </w:instrText>
            </w:r>
            <w:r>
              <w:rPr>
                <w:noProof/>
                <w:webHidden/>
              </w:rPr>
            </w:r>
            <w:r>
              <w:rPr>
                <w:noProof/>
                <w:webHidden/>
              </w:rPr>
              <w:fldChar w:fldCharType="separate"/>
            </w:r>
            <w:r>
              <w:rPr>
                <w:noProof/>
                <w:webHidden/>
              </w:rPr>
              <w:t>38</w:t>
            </w:r>
            <w:r>
              <w:rPr>
                <w:noProof/>
                <w:webHidden/>
              </w:rPr>
              <w:fldChar w:fldCharType="end"/>
            </w:r>
          </w:hyperlink>
        </w:p>
        <w:p w14:paraId="5395EDB5" w14:textId="2DD8B034" w:rsidR="00C72FF1" w:rsidRDefault="00C72FF1">
          <w:pPr>
            <w:pStyle w:val="TOC3"/>
            <w:tabs>
              <w:tab w:val="right" w:leader="dot" w:pos="9350"/>
            </w:tabs>
            <w:rPr>
              <w:rFonts w:eastAsiaTheme="minorEastAsia"/>
              <w:noProof/>
            </w:rPr>
          </w:pPr>
          <w:hyperlink w:anchor="_Toc235530895" w:history="1">
            <w:r w:rsidRPr="00DE4B3F">
              <w:rPr>
                <w:rStyle w:val="Hyperlink"/>
                <w:rFonts w:ascii="Times New Roman" w:hAnsi="Times New Roman" w:cs="Times New Roman"/>
                <w:b/>
                <w:bCs/>
                <w:noProof/>
              </w:rPr>
              <w:t>3.6.5 Panel Unit Root Tests</w:t>
            </w:r>
            <w:r>
              <w:rPr>
                <w:noProof/>
                <w:webHidden/>
              </w:rPr>
              <w:tab/>
            </w:r>
            <w:r>
              <w:rPr>
                <w:noProof/>
                <w:webHidden/>
              </w:rPr>
              <w:fldChar w:fldCharType="begin"/>
            </w:r>
            <w:r>
              <w:rPr>
                <w:noProof/>
                <w:webHidden/>
              </w:rPr>
              <w:instrText xml:space="preserve"> PAGEREF _Toc235530895 \h </w:instrText>
            </w:r>
            <w:r>
              <w:rPr>
                <w:noProof/>
                <w:webHidden/>
              </w:rPr>
            </w:r>
            <w:r>
              <w:rPr>
                <w:noProof/>
                <w:webHidden/>
              </w:rPr>
              <w:fldChar w:fldCharType="separate"/>
            </w:r>
            <w:r>
              <w:rPr>
                <w:noProof/>
                <w:webHidden/>
              </w:rPr>
              <w:t>38</w:t>
            </w:r>
            <w:r>
              <w:rPr>
                <w:noProof/>
                <w:webHidden/>
              </w:rPr>
              <w:fldChar w:fldCharType="end"/>
            </w:r>
          </w:hyperlink>
        </w:p>
        <w:p w14:paraId="39CD19C9" w14:textId="479A6391" w:rsidR="00C72FF1" w:rsidRDefault="00C72FF1">
          <w:pPr>
            <w:pStyle w:val="TOC3"/>
            <w:tabs>
              <w:tab w:val="right" w:leader="dot" w:pos="9350"/>
            </w:tabs>
            <w:rPr>
              <w:rFonts w:eastAsiaTheme="minorEastAsia"/>
              <w:noProof/>
            </w:rPr>
          </w:pPr>
          <w:hyperlink w:anchor="_Toc235530896" w:history="1">
            <w:r w:rsidRPr="00DE4B3F">
              <w:rPr>
                <w:rStyle w:val="Hyperlink"/>
                <w:rFonts w:ascii="Times New Roman" w:hAnsi="Times New Roman" w:cs="Times New Roman"/>
                <w:b/>
                <w:bCs/>
                <w:noProof/>
              </w:rPr>
              <w:t>3.6.6 Cointegration Testing</w:t>
            </w:r>
            <w:r>
              <w:rPr>
                <w:noProof/>
                <w:webHidden/>
              </w:rPr>
              <w:tab/>
            </w:r>
            <w:r>
              <w:rPr>
                <w:noProof/>
                <w:webHidden/>
              </w:rPr>
              <w:fldChar w:fldCharType="begin"/>
            </w:r>
            <w:r>
              <w:rPr>
                <w:noProof/>
                <w:webHidden/>
              </w:rPr>
              <w:instrText xml:space="preserve"> PAGEREF _Toc235530896 \h </w:instrText>
            </w:r>
            <w:r>
              <w:rPr>
                <w:noProof/>
                <w:webHidden/>
              </w:rPr>
            </w:r>
            <w:r>
              <w:rPr>
                <w:noProof/>
                <w:webHidden/>
              </w:rPr>
              <w:fldChar w:fldCharType="separate"/>
            </w:r>
            <w:r>
              <w:rPr>
                <w:noProof/>
                <w:webHidden/>
              </w:rPr>
              <w:t>39</w:t>
            </w:r>
            <w:r>
              <w:rPr>
                <w:noProof/>
                <w:webHidden/>
              </w:rPr>
              <w:fldChar w:fldCharType="end"/>
            </w:r>
          </w:hyperlink>
        </w:p>
        <w:p w14:paraId="0C63167B" w14:textId="2A054C78" w:rsidR="00C72FF1" w:rsidRDefault="00C72FF1">
          <w:pPr>
            <w:pStyle w:val="TOC2"/>
            <w:tabs>
              <w:tab w:val="right" w:leader="dot" w:pos="9350"/>
            </w:tabs>
            <w:rPr>
              <w:rFonts w:eastAsiaTheme="minorEastAsia"/>
              <w:noProof/>
            </w:rPr>
          </w:pPr>
          <w:hyperlink w:anchor="_Toc235530897" w:history="1">
            <w:r w:rsidRPr="00DE4B3F">
              <w:rPr>
                <w:rStyle w:val="Hyperlink"/>
                <w:rFonts w:ascii="Times New Roman" w:hAnsi="Times New Roman" w:cs="Times New Roman"/>
                <w:b/>
                <w:bCs/>
                <w:noProof/>
              </w:rPr>
              <w:t>3.7 Baseline Estimation Method: Simple Panel Fixed Effects and Random Effects</w:t>
            </w:r>
            <w:r>
              <w:rPr>
                <w:noProof/>
                <w:webHidden/>
              </w:rPr>
              <w:tab/>
            </w:r>
            <w:r>
              <w:rPr>
                <w:noProof/>
                <w:webHidden/>
              </w:rPr>
              <w:fldChar w:fldCharType="begin"/>
            </w:r>
            <w:r>
              <w:rPr>
                <w:noProof/>
                <w:webHidden/>
              </w:rPr>
              <w:instrText xml:space="preserve"> PAGEREF _Toc235530897 \h </w:instrText>
            </w:r>
            <w:r>
              <w:rPr>
                <w:noProof/>
                <w:webHidden/>
              </w:rPr>
            </w:r>
            <w:r>
              <w:rPr>
                <w:noProof/>
                <w:webHidden/>
              </w:rPr>
              <w:fldChar w:fldCharType="separate"/>
            </w:r>
            <w:r>
              <w:rPr>
                <w:noProof/>
                <w:webHidden/>
              </w:rPr>
              <w:t>40</w:t>
            </w:r>
            <w:r>
              <w:rPr>
                <w:noProof/>
                <w:webHidden/>
              </w:rPr>
              <w:fldChar w:fldCharType="end"/>
            </w:r>
          </w:hyperlink>
        </w:p>
        <w:p w14:paraId="506213B8" w14:textId="2392883E" w:rsidR="00C72FF1" w:rsidRDefault="00C72FF1">
          <w:pPr>
            <w:pStyle w:val="TOC3"/>
            <w:tabs>
              <w:tab w:val="right" w:leader="dot" w:pos="9350"/>
            </w:tabs>
            <w:rPr>
              <w:rFonts w:eastAsiaTheme="minorEastAsia"/>
              <w:noProof/>
            </w:rPr>
          </w:pPr>
          <w:hyperlink w:anchor="_Toc235530898" w:history="1">
            <w:r w:rsidRPr="00DE4B3F">
              <w:rPr>
                <w:rStyle w:val="Hyperlink"/>
                <w:rFonts w:ascii="Times New Roman" w:hAnsi="Times New Roman" w:cs="Times New Roman"/>
                <w:b/>
                <w:bCs/>
                <w:noProof/>
              </w:rPr>
              <w:t>3.7.1 Hausman Test and Estimator Choice</w:t>
            </w:r>
            <w:r>
              <w:rPr>
                <w:noProof/>
                <w:webHidden/>
              </w:rPr>
              <w:tab/>
            </w:r>
            <w:r>
              <w:rPr>
                <w:noProof/>
                <w:webHidden/>
              </w:rPr>
              <w:fldChar w:fldCharType="begin"/>
            </w:r>
            <w:r>
              <w:rPr>
                <w:noProof/>
                <w:webHidden/>
              </w:rPr>
              <w:instrText xml:space="preserve"> PAGEREF _Toc235530898 \h </w:instrText>
            </w:r>
            <w:r>
              <w:rPr>
                <w:noProof/>
                <w:webHidden/>
              </w:rPr>
            </w:r>
            <w:r>
              <w:rPr>
                <w:noProof/>
                <w:webHidden/>
              </w:rPr>
              <w:fldChar w:fldCharType="separate"/>
            </w:r>
            <w:r>
              <w:rPr>
                <w:noProof/>
                <w:webHidden/>
              </w:rPr>
              <w:t>40</w:t>
            </w:r>
            <w:r>
              <w:rPr>
                <w:noProof/>
                <w:webHidden/>
              </w:rPr>
              <w:fldChar w:fldCharType="end"/>
            </w:r>
          </w:hyperlink>
        </w:p>
        <w:p w14:paraId="5D9B6C08" w14:textId="4A389F6A" w:rsidR="00C72FF1" w:rsidRDefault="00C72FF1">
          <w:pPr>
            <w:pStyle w:val="TOC2"/>
            <w:tabs>
              <w:tab w:val="right" w:leader="dot" w:pos="9350"/>
            </w:tabs>
            <w:rPr>
              <w:rFonts w:eastAsiaTheme="minorEastAsia"/>
              <w:noProof/>
            </w:rPr>
          </w:pPr>
          <w:hyperlink w:anchor="_Toc235530899" w:history="1">
            <w:r w:rsidRPr="00DE4B3F">
              <w:rPr>
                <w:rStyle w:val="Hyperlink"/>
                <w:rFonts w:ascii="Times New Roman" w:hAnsi="Times New Roman" w:cs="Times New Roman"/>
                <w:b/>
                <w:bCs/>
                <w:noProof/>
              </w:rPr>
              <w:t>3.8 Stepwise Panel Model Specifications</w:t>
            </w:r>
            <w:r>
              <w:rPr>
                <w:noProof/>
                <w:webHidden/>
              </w:rPr>
              <w:tab/>
            </w:r>
            <w:r>
              <w:rPr>
                <w:noProof/>
                <w:webHidden/>
              </w:rPr>
              <w:fldChar w:fldCharType="begin"/>
            </w:r>
            <w:r>
              <w:rPr>
                <w:noProof/>
                <w:webHidden/>
              </w:rPr>
              <w:instrText xml:space="preserve"> PAGEREF _Toc235530899 \h </w:instrText>
            </w:r>
            <w:r>
              <w:rPr>
                <w:noProof/>
                <w:webHidden/>
              </w:rPr>
            </w:r>
            <w:r>
              <w:rPr>
                <w:noProof/>
                <w:webHidden/>
              </w:rPr>
              <w:fldChar w:fldCharType="separate"/>
            </w:r>
            <w:r>
              <w:rPr>
                <w:noProof/>
                <w:webHidden/>
              </w:rPr>
              <w:t>40</w:t>
            </w:r>
            <w:r>
              <w:rPr>
                <w:noProof/>
                <w:webHidden/>
              </w:rPr>
              <w:fldChar w:fldCharType="end"/>
            </w:r>
          </w:hyperlink>
        </w:p>
        <w:p w14:paraId="2E8C6837" w14:textId="6BFCDA01" w:rsidR="00C72FF1" w:rsidRDefault="00C72FF1">
          <w:pPr>
            <w:pStyle w:val="TOC2"/>
            <w:tabs>
              <w:tab w:val="right" w:leader="dot" w:pos="9350"/>
            </w:tabs>
            <w:rPr>
              <w:rFonts w:eastAsiaTheme="minorEastAsia"/>
              <w:noProof/>
            </w:rPr>
          </w:pPr>
          <w:hyperlink w:anchor="_Toc235530900" w:history="1">
            <w:r w:rsidRPr="00DE4B3F">
              <w:rPr>
                <w:rStyle w:val="Hyperlink"/>
                <w:rFonts w:ascii="Times New Roman" w:hAnsi="Times New Roman" w:cs="Times New Roman"/>
                <w:b/>
                <w:bCs/>
                <w:noProof/>
              </w:rPr>
              <w:t>3.9 Robustness, Heterogeneity, and Nonlinearity Methods</w:t>
            </w:r>
            <w:r>
              <w:rPr>
                <w:noProof/>
                <w:webHidden/>
              </w:rPr>
              <w:tab/>
            </w:r>
            <w:r>
              <w:rPr>
                <w:noProof/>
                <w:webHidden/>
              </w:rPr>
              <w:fldChar w:fldCharType="begin"/>
            </w:r>
            <w:r>
              <w:rPr>
                <w:noProof/>
                <w:webHidden/>
              </w:rPr>
              <w:instrText xml:space="preserve"> PAGEREF _Toc235530900 \h </w:instrText>
            </w:r>
            <w:r>
              <w:rPr>
                <w:noProof/>
                <w:webHidden/>
              </w:rPr>
            </w:r>
            <w:r>
              <w:rPr>
                <w:noProof/>
                <w:webHidden/>
              </w:rPr>
              <w:fldChar w:fldCharType="separate"/>
            </w:r>
            <w:r>
              <w:rPr>
                <w:noProof/>
                <w:webHidden/>
              </w:rPr>
              <w:t>41</w:t>
            </w:r>
            <w:r>
              <w:rPr>
                <w:noProof/>
                <w:webHidden/>
              </w:rPr>
              <w:fldChar w:fldCharType="end"/>
            </w:r>
          </w:hyperlink>
        </w:p>
        <w:p w14:paraId="5B86E2BE" w14:textId="7BE1A8A1" w:rsidR="00C72FF1" w:rsidRDefault="00C72FF1">
          <w:pPr>
            <w:pStyle w:val="TOC3"/>
            <w:tabs>
              <w:tab w:val="right" w:leader="dot" w:pos="9350"/>
            </w:tabs>
            <w:rPr>
              <w:rFonts w:eastAsiaTheme="minorEastAsia"/>
              <w:noProof/>
            </w:rPr>
          </w:pPr>
          <w:hyperlink w:anchor="_Toc235530901" w:history="1">
            <w:r w:rsidRPr="00DE4B3F">
              <w:rPr>
                <w:rStyle w:val="Hyperlink"/>
                <w:rFonts w:ascii="Times New Roman" w:hAnsi="Times New Roman" w:cs="Times New Roman"/>
                <w:b/>
                <w:bCs/>
                <w:noProof/>
              </w:rPr>
              <w:t>3.9.1 Alternative Volatility Proxy and Control Sets</w:t>
            </w:r>
            <w:r>
              <w:rPr>
                <w:noProof/>
                <w:webHidden/>
              </w:rPr>
              <w:tab/>
            </w:r>
            <w:r>
              <w:rPr>
                <w:noProof/>
                <w:webHidden/>
              </w:rPr>
              <w:fldChar w:fldCharType="begin"/>
            </w:r>
            <w:r>
              <w:rPr>
                <w:noProof/>
                <w:webHidden/>
              </w:rPr>
              <w:instrText xml:space="preserve"> PAGEREF _Toc235530901 \h </w:instrText>
            </w:r>
            <w:r>
              <w:rPr>
                <w:noProof/>
                <w:webHidden/>
              </w:rPr>
            </w:r>
            <w:r>
              <w:rPr>
                <w:noProof/>
                <w:webHidden/>
              </w:rPr>
              <w:fldChar w:fldCharType="separate"/>
            </w:r>
            <w:r>
              <w:rPr>
                <w:noProof/>
                <w:webHidden/>
              </w:rPr>
              <w:t>41</w:t>
            </w:r>
            <w:r>
              <w:rPr>
                <w:noProof/>
                <w:webHidden/>
              </w:rPr>
              <w:fldChar w:fldCharType="end"/>
            </w:r>
          </w:hyperlink>
        </w:p>
        <w:p w14:paraId="60B567EA" w14:textId="3105EFB3" w:rsidR="00C72FF1" w:rsidRDefault="00C72FF1">
          <w:pPr>
            <w:pStyle w:val="TOC3"/>
            <w:tabs>
              <w:tab w:val="right" w:leader="dot" w:pos="9350"/>
            </w:tabs>
            <w:rPr>
              <w:rFonts w:eastAsiaTheme="minorEastAsia"/>
              <w:noProof/>
            </w:rPr>
          </w:pPr>
          <w:hyperlink w:anchor="_Toc235530902" w:history="1">
            <w:r w:rsidRPr="00DE4B3F">
              <w:rPr>
                <w:rStyle w:val="Hyperlink"/>
                <w:rFonts w:ascii="Times New Roman" w:hAnsi="Times New Roman" w:cs="Times New Roman"/>
                <w:b/>
                <w:bCs/>
                <w:noProof/>
              </w:rPr>
              <w:t>3.9.2 Estimator and Specification Sensitivity</w:t>
            </w:r>
            <w:r>
              <w:rPr>
                <w:noProof/>
                <w:webHidden/>
              </w:rPr>
              <w:tab/>
            </w:r>
            <w:r>
              <w:rPr>
                <w:noProof/>
                <w:webHidden/>
              </w:rPr>
              <w:fldChar w:fldCharType="begin"/>
            </w:r>
            <w:r>
              <w:rPr>
                <w:noProof/>
                <w:webHidden/>
              </w:rPr>
              <w:instrText xml:space="preserve"> PAGEREF _Toc235530902 \h </w:instrText>
            </w:r>
            <w:r>
              <w:rPr>
                <w:noProof/>
                <w:webHidden/>
              </w:rPr>
            </w:r>
            <w:r>
              <w:rPr>
                <w:noProof/>
                <w:webHidden/>
              </w:rPr>
              <w:fldChar w:fldCharType="separate"/>
            </w:r>
            <w:r>
              <w:rPr>
                <w:noProof/>
                <w:webHidden/>
              </w:rPr>
              <w:t>42</w:t>
            </w:r>
            <w:r>
              <w:rPr>
                <w:noProof/>
                <w:webHidden/>
              </w:rPr>
              <w:fldChar w:fldCharType="end"/>
            </w:r>
          </w:hyperlink>
        </w:p>
        <w:p w14:paraId="2A60747F" w14:textId="0A8EEC98" w:rsidR="00C72FF1" w:rsidRDefault="00C72FF1">
          <w:pPr>
            <w:pStyle w:val="TOC3"/>
            <w:tabs>
              <w:tab w:val="right" w:leader="dot" w:pos="9350"/>
            </w:tabs>
            <w:rPr>
              <w:rFonts w:eastAsiaTheme="minorEastAsia"/>
              <w:noProof/>
            </w:rPr>
          </w:pPr>
          <w:hyperlink w:anchor="_Toc235530903" w:history="1">
            <w:r w:rsidRPr="00DE4B3F">
              <w:rPr>
                <w:rStyle w:val="Hyperlink"/>
                <w:rFonts w:ascii="Times New Roman" w:hAnsi="Times New Roman" w:cs="Times New Roman"/>
                <w:b/>
                <w:bCs/>
                <w:noProof/>
              </w:rPr>
              <w:t>3.9.3 Regional and Institutional Heterogeneity Split</w:t>
            </w:r>
            <w:r>
              <w:rPr>
                <w:noProof/>
                <w:webHidden/>
              </w:rPr>
              <w:tab/>
            </w:r>
            <w:r>
              <w:rPr>
                <w:noProof/>
                <w:webHidden/>
              </w:rPr>
              <w:fldChar w:fldCharType="begin"/>
            </w:r>
            <w:r>
              <w:rPr>
                <w:noProof/>
                <w:webHidden/>
              </w:rPr>
              <w:instrText xml:space="preserve"> PAGEREF _Toc235530903 \h </w:instrText>
            </w:r>
            <w:r>
              <w:rPr>
                <w:noProof/>
                <w:webHidden/>
              </w:rPr>
            </w:r>
            <w:r>
              <w:rPr>
                <w:noProof/>
                <w:webHidden/>
              </w:rPr>
              <w:fldChar w:fldCharType="separate"/>
            </w:r>
            <w:r>
              <w:rPr>
                <w:noProof/>
                <w:webHidden/>
              </w:rPr>
              <w:t>42</w:t>
            </w:r>
            <w:r>
              <w:rPr>
                <w:noProof/>
                <w:webHidden/>
              </w:rPr>
              <w:fldChar w:fldCharType="end"/>
            </w:r>
          </w:hyperlink>
        </w:p>
        <w:p w14:paraId="5161E29C" w14:textId="1D917CBA" w:rsidR="00C72FF1" w:rsidRDefault="00C72FF1">
          <w:pPr>
            <w:pStyle w:val="TOC3"/>
            <w:tabs>
              <w:tab w:val="right" w:leader="dot" w:pos="9350"/>
            </w:tabs>
            <w:rPr>
              <w:rFonts w:eastAsiaTheme="minorEastAsia"/>
              <w:noProof/>
            </w:rPr>
          </w:pPr>
          <w:hyperlink w:anchor="_Toc235530904" w:history="1">
            <w:r w:rsidRPr="00DE4B3F">
              <w:rPr>
                <w:rStyle w:val="Hyperlink"/>
                <w:rFonts w:ascii="Times New Roman" w:hAnsi="Times New Roman" w:cs="Times New Roman"/>
                <w:b/>
                <w:bCs/>
                <w:noProof/>
              </w:rPr>
              <w:t>3.9.4 High- versus Low-Inflation Regime Analysis</w:t>
            </w:r>
            <w:r>
              <w:rPr>
                <w:noProof/>
                <w:webHidden/>
              </w:rPr>
              <w:tab/>
            </w:r>
            <w:r>
              <w:rPr>
                <w:noProof/>
                <w:webHidden/>
              </w:rPr>
              <w:fldChar w:fldCharType="begin"/>
            </w:r>
            <w:r>
              <w:rPr>
                <w:noProof/>
                <w:webHidden/>
              </w:rPr>
              <w:instrText xml:space="preserve"> PAGEREF _Toc235530904 \h </w:instrText>
            </w:r>
            <w:r>
              <w:rPr>
                <w:noProof/>
                <w:webHidden/>
              </w:rPr>
            </w:r>
            <w:r>
              <w:rPr>
                <w:noProof/>
                <w:webHidden/>
              </w:rPr>
              <w:fldChar w:fldCharType="separate"/>
            </w:r>
            <w:r>
              <w:rPr>
                <w:noProof/>
                <w:webHidden/>
              </w:rPr>
              <w:t>42</w:t>
            </w:r>
            <w:r>
              <w:rPr>
                <w:noProof/>
                <w:webHidden/>
              </w:rPr>
              <w:fldChar w:fldCharType="end"/>
            </w:r>
          </w:hyperlink>
        </w:p>
        <w:p w14:paraId="333F5689" w14:textId="242D6C78" w:rsidR="00C72FF1" w:rsidRDefault="00C72FF1">
          <w:pPr>
            <w:pStyle w:val="TOC3"/>
            <w:tabs>
              <w:tab w:val="right" w:leader="dot" w:pos="9350"/>
            </w:tabs>
            <w:rPr>
              <w:rFonts w:eastAsiaTheme="minorEastAsia"/>
              <w:noProof/>
            </w:rPr>
          </w:pPr>
          <w:hyperlink w:anchor="_Toc235530905" w:history="1">
            <w:r w:rsidRPr="00DE4B3F">
              <w:rPr>
                <w:rStyle w:val="Hyperlink"/>
                <w:rFonts w:ascii="Times New Roman" w:hAnsi="Times New Roman" w:cs="Times New Roman"/>
                <w:b/>
                <w:bCs/>
                <w:noProof/>
              </w:rPr>
              <w:t>3.9.5 Threshold &amp; Interaction Based Nonlinearity Tests</w:t>
            </w:r>
            <w:r>
              <w:rPr>
                <w:noProof/>
                <w:webHidden/>
              </w:rPr>
              <w:tab/>
            </w:r>
            <w:r>
              <w:rPr>
                <w:noProof/>
                <w:webHidden/>
              </w:rPr>
              <w:fldChar w:fldCharType="begin"/>
            </w:r>
            <w:r>
              <w:rPr>
                <w:noProof/>
                <w:webHidden/>
              </w:rPr>
              <w:instrText xml:space="preserve"> PAGEREF _Toc235530905 \h </w:instrText>
            </w:r>
            <w:r>
              <w:rPr>
                <w:noProof/>
                <w:webHidden/>
              </w:rPr>
            </w:r>
            <w:r>
              <w:rPr>
                <w:noProof/>
                <w:webHidden/>
              </w:rPr>
              <w:fldChar w:fldCharType="separate"/>
            </w:r>
            <w:r>
              <w:rPr>
                <w:noProof/>
                <w:webHidden/>
              </w:rPr>
              <w:t>42</w:t>
            </w:r>
            <w:r>
              <w:rPr>
                <w:noProof/>
                <w:webHidden/>
              </w:rPr>
              <w:fldChar w:fldCharType="end"/>
            </w:r>
          </w:hyperlink>
        </w:p>
        <w:p w14:paraId="1FE793C6" w14:textId="0CD066F3" w:rsidR="00C72FF1" w:rsidRDefault="00C72FF1">
          <w:pPr>
            <w:pStyle w:val="TOC2"/>
            <w:tabs>
              <w:tab w:val="right" w:leader="dot" w:pos="9350"/>
            </w:tabs>
            <w:rPr>
              <w:rFonts w:eastAsiaTheme="minorEastAsia"/>
              <w:noProof/>
            </w:rPr>
          </w:pPr>
          <w:hyperlink w:anchor="_Toc235530906" w:history="1">
            <w:r w:rsidRPr="00DE4B3F">
              <w:rPr>
                <w:rStyle w:val="Hyperlink"/>
                <w:rFonts w:ascii="Times New Roman" w:hAnsi="Times New Roman" w:cs="Times New Roman"/>
                <w:b/>
                <w:bCs/>
                <w:noProof/>
              </w:rPr>
              <w:t>3.10 Data Architecture, Missing-Data Treatment, and Indicator Availability Map</w:t>
            </w:r>
            <w:r>
              <w:rPr>
                <w:noProof/>
                <w:webHidden/>
              </w:rPr>
              <w:tab/>
            </w:r>
            <w:r>
              <w:rPr>
                <w:noProof/>
                <w:webHidden/>
              </w:rPr>
              <w:fldChar w:fldCharType="begin"/>
            </w:r>
            <w:r>
              <w:rPr>
                <w:noProof/>
                <w:webHidden/>
              </w:rPr>
              <w:instrText xml:space="preserve"> PAGEREF _Toc235530906 \h </w:instrText>
            </w:r>
            <w:r>
              <w:rPr>
                <w:noProof/>
                <w:webHidden/>
              </w:rPr>
            </w:r>
            <w:r>
              <w:rPr>
                <w:noProof/>
                <w:webHidden/>
              </w:rPr>
              <w:fldChar w:fldCharType="separate"/>
            </w:r>
            <w:r>
              <w:rPr>
                <w:noProof/>
                <w:webHidden/>
              </w:rPr>
              <w:t>43</w:t>
            </w:r>
            <w:r>
              <w:rPr>
                <w:noProof/>
                <w:webHidden/>
              </w:rPr>
              <w:fldChar w:fldCharType="end"/>
            </w:r>
          </w:hyperlink>
        </w:p>
        <w:p w14:paraId="121CC9C8" w14:textId="4AD5E171" w:rsidR="00C72FF1" w:rsidRDefault="00C72FF1">
          <w:pPr>
            <w:pStyle w:val="TOC3"/>
            <w:tabs>
              <w:tab w:val="right" w:leader="dot" w:pos="9350"/>
            </w:tabs>
            <w:rPr>
              <w:rFonts w:eastAsiaTheme="minorEastAsia"/>
              <w:noProof/>
            </w:rPr>
          </w:pPr>
          <w:hyperlink w:anchor="_Toc235530907" w:history="1">
            <w:r w:rsidRPr="00DE4B3F">
              <w:rPr>
                <w:rStyle w:val="Hyperlink"/>
                <w:rFonts w:ascii="Times New Roman" w:hAnsi="Times New Roman" w:cs="Times New Roman"/>
                <w:b/>
                <w:bCs/>
                <w:noProof/>
              </w:rPr>
              <w:t>3.10.1 Data Cleaning and Variable Harmonisation</w:t>
            </w:r>
            <w:r>
              <w:rPr>
                <w:noProof/>
                <w:webHidden/>
              </w:rPr>
              <w:tab/>
            </w:r>
            <w:r>
              <w:rPr>
                <w:noProof/>
                <w:webHidden/>
              </w:rPr>
              <w:fldChar w:fldCharType="begin"/>
            </w:r>
            <w:r>
              <w:rPr>
                <w:noProof/>
                <w:webHidden/>
              </w:rPr>
              <w:instrText xml:space="preserve"> PAGEREF _Toc235530907 \h </w:instrText>
            </w:r>
            <w:r>
              <w:rPr>
                <w:noProof/>
                <w:webHidden/>
              </w:rPr>
            </w:r>
            <w:r>
              <w:rPr>
                <w:noProof/>
                <w:webHidden/>
              </w:rPr>
              <w:fldChar w:fldCharType="separate"/>
            </w:r>
            <w:r>
              <w:rPr>
                <w:noProof/>
                <w:webHidden/>
              </w:rPr>
              <w:t>43</w:t>
            </w:r>
            <w:r>
              <w:rPr>
                <w:noProof/>
                <w:webHidden/>
              </w:rPr>
              <w:fldChar w:fldCharType="end"/>
            </w:r>
          </w:hyperlink>
        </w:p>
        <w:p w14:paraId="7575AFA1" w14:textId="67E69711" w:rsidR="00C72FF1" w:rsidRDefault="00C72FF1">
          <w:pPr>
            <w:pStyle w:val="TOC3"/>
            <w:tabs>
              <w:tab w:val="right" w:leader="dot" w:pos="9350"/>
            </w:tabs>
            <w:rPr>
              <w:rFonts w:eastAsiaTheme="minorEastAsia"/>
              <w:noProof/>
            </w:rPr>
          </w:pPr>
          <w:hyperlink w:anchor="_Toc235530908" w:history="1">
            <w:r w:rsidRPr="00DE4B3F">
              <w:rPr>
                <w:rStyle w:val="Hyperlink"/>
                <w:rFonts w:ascii="Times New Roman" w:hAnsi="Times New Roman" w:cs="Times New Roman"/>
                <w:b/>
                <w:bCs/>
                <w:noProof/>
              </w:rPr>
              <w:t>3.10.2 Missing-Value Treatment</w:t>
            </w:r>
            <w:r>
              <w:rPr>
                <w:noProof/>
                <w:webHidden/>
              </w:rPr>
              <w:tab/>
            </w:r>
            <w:r>
              <w:rPr>
                <w:noProof/>
                <w:webHidden/>
              </w:rPr>
              <w:fldChar w:fldCharType="begin"/>
            </w:r>
            <w:r>
              <w:rPr>
                <w:noProof/>
                <w:webHidden/>
              </w:rPr>
              <w:instrText xml:space="preserve"> PAGEREF _Toc235530908 \h </w:instrText>
            </w:r>
            <w:r>
              <w:rPr>
                <w:noProof/>
                <w:webHidden/>
              </w:rPr>
            </w:r>
            <w:r>
              <w:rPr>
                <w:noProof/>
                <w:webHidden/>
              </w:rPr>
              <w:fldChar w:fldCharType="separate"/>
            </w:r>
            <w:r>
              <w:rPr>
                <w:noProof/>
                <w:webHidden/>
              </w:rPr>
              <w:t>44</w:t>
            </w:r>
            <w:r>
              <w:rPr>
                <w:noProof/>
                <w:webHidden/>
              </w:rPr>
              <w:fldChar w:fldCharType="end"/>
            </w:r>
          </w:hyperlink>
        </w:p>
        <w:p w14:paraId="3EDFB99C" w14:textId="38B4CA0D" w:rsidR="00C72FF1" w:rsidRDefault="00C72FF1">
          <w:pPr>
            <w:pStyle w:val="TOC3"/>
            <w:tabs>
              <w:tab w:val="right" w:leader="dot" w:pos="9350"/>
            </w:tabs>
            <w:rPr>
              <w:rFonts w:eastAsiaTheme="minorEastAsia"/>
              <w:noProof/>
            </w:rPr>
          </w:pPr>
          <w:hyperlink w:anchor="_Toc235530909" w:history="1">
            <w:r w:rsidRPr="00DE4B3F">
              <w:rPr>
                <w:rStyle w:val="Hyperlink"/>
                <w:rFonts w:ascii="Times New Roman" w:hAnsi="Times New Roman" w:cs="Times New Roman"/>
                <w:b/>
                <w:bCs/>
                <w:noProof/>
              </w:rPr>
              <w:t>3.10.3 Country Exclusions</w:t>
            </w:r>
            <w:r>
              <w:rPr>
                <w:noProof/>
                <w:webHidden/>
              </w:rPr>
              <w:tab/>
            </w:r>
            <w:r>
              <w:rPr>
                <w:noProof/>
                <w:webHidden/>
              </w:rPr>
              <w:fldChar w:fldCharType="begin"/>
            </w:r>
            <w:r>
              <w:rPr>
                <w:noProof/>
                <w:webHidden/>
              </w:rPr>
              <w:instrText xml:space="preserve"> PAGEREF _Toc235530909 \h </w:instrText>
            </w:r>
            <w:r>
              <w:rPr>
                <w:noProof/>
                <w:webHidden/>
              </w:rPr>
            </w:r>
            <w:r>
              <w:rPr>
                <w:noProof/>
                <w:webHidden/>
              </w:rPr>
              <w:fldChar w:fldCharType="separate"/>
            </w:r>
            <w:r>
              <w:rPr>
                <w:noProof/>
                <w:webHidden/>
              </w:rPr>
              <w:t>44</w:t>
            </w:r>
            <w:r>
              <w:rPr>
                <w:noProof/>
                <w:webHidden/>
              </w:rPr>
              <w:fldChar w:fldCharType="end"/>
            </w:r>
          </w:hyperlink>
        </w:p>
        <w:p w14:paraId="27E074E8" w14:textId="53920201" w:rsidR="00C72FF1" w:rsidRDefault="00C72FF1">
          <w:pPr>
            <w:pStyle w:val="TOC3"/>
            <w:tabs>
              <w:tab w:val="right" w:leader="dot" w:pos="9350"/>
            </w:tabs>
            <w:rPr>
              <w:rFonts w:eastAsiaTheme="minorEastAsia"/>
              <w:noProof/>
            </w:rPr>
          </w:pPr>
          <w:hyperlink w:anchor="_Toc235530910" w:history="1">
            <w:r w:rsidRPr="00DE4B3F">
              <w:rPr>
                <w:rStyle w:val="Hyperlink"/>
                <w:rFonts w:ascii="Times New Roman" w:hAnsi="Times New Roman" w:cs="Times New Roman"/>
                <w:b/>
                <w:bCs/>
                <w:noProof/>
              </w:rPr>
              <w:t>3.10.4 Indicator Availability Map and Final Usable Observations</w:t>
            </w:r>
            <w:r>
              <w:rPr>
                <w:noProof/>
                <w:webHidden/>
              </w:rPr>
              <w:tab/>
            </w:r>
            <w:r>
              <w:rPr>
                <w:noProof/>
                <w:webHidden/>
              </w:rPr>
              <w:fldChar w:fldCharType="begin"/>
            </w:r>
            <w:r>
              <w:rPr>
                <w:noProof/>
                <w:webHidden/>
              </w:rPr>
              <w:instrText xml:space="preserve"> PAGEREF _Toc235530910 \h </w:instrText>
            </w:r>
            <w:r>
              <w:rPr>
                <w:noProof/>
                <w:webHidden/>
              </w:rPr>
            </w:r>
            <w:r>
              <w:rPr>
                <w:noProof/>
                <w:webHidden/>
              </w:rPr>
              <w:fldChar w:fldCharType="separate"/>
            </w:r>
            <w:r>
              <w:rPr>
                <w:noProof/>
                <w:webHidden/>
              </w:rPr>
              <w:t>45</w:t>
            </w:r>
            <w:r>
              <w:rPr>
                <w:noProof/>
                <w:webHidden/>
              </w:rPr>
              <w:fldChar w:fldCharType="end"/>
            </w:r>
          </w:hyperlink>
        </w:p>
        <w:p w14:paraId="68F1BCF3" w14:textId="473288CD" w:rsidR="00C72FF1" w:rsidRDefault="00C72FF1">
          <w:pPr>
            <w:pStyle w:val="TOC1"/>
            <w:tabs>
              <w:tab w:val="right" w:leader="dot" w:pos="9350"/>
            </w:tabs>
            <w:rPr>
              <w:rFonts w:eastAsiaTheme="minorEastAsia"/>
              <w:noProof/>
            </w:rPr>
          </w:pPr>
          <w:hyperlink w:anchor="_Toc235530911" w:history="1">
            <w:r w:rsidRPr="00DE4B3F">
              <w:rPr>
                <w:rStyle w:val="Hyperlink"/>
                <w:rFonts w:ascii="Times New Roman" w:hAnsi="Times New Roman" w:cs="Times New Roman"/>
                <w:b/>
                <w:bCs/>
                <w:noProof/>
              </w:rPr>
              <w:t>CHAPTER 4: RESULTS</w:t>
            </w:r>
            <w:r>
              <w:rPr>
                <w:noProof/>
                <w:webHidden/>
              </w:rPr>
              <w:tab/>
            </w:r>
            <w:r>
              <w:rPr>
                <w:noProof/>
                <w:webHidden/>
              </w:rPr>
              <w:fldChar w:fldCharType="begin"/>
            </w:r>
            <w:r>
              <w:rPr>
                <w:noProof/>
                <w:webHidden/>
              </w:rPr>
              <w:instrText xml:space="preserve"> PAGEREF _Toc235530911 \h </w:instrText>
            </w:r>
            <w:r>
              <w:rPr>
                <w:noProof/>
                <w:webHidden/>
              </w:rPr>
            </w:r>
            <w:r>
              <w:rPr>
                <w:noProof/>
                <w:webHidden/>
              </w:rPr>
              <w:fldChar w:fldCharType="separate"/>
            </w:r>
            <w:r>
              <w:rPr>
                <w:noProof/>
                <w:webHidden/>
              </w:rPr>
              <w:t>46</w:t>
            </w:r>
            <w:r>
              <w:rPr>
                <w:noProof/>
                <w:webHidden/>
              </w:rPr>
              <w:fldChar w:fldCharType="end"/>
            </w:r>
          </w:hyperlink>
        </w:p>
        <w:p w14:paraId="1CEA99DC" w14:textId="1C7FF9D3" w:rsidR="00C72FF1" w:rsidRDefault="00C72FF1">
          <w:pPr>
            <w:pStyle w:val="TOC2"/>
            <w:tabs>
              <w:tab w:val="right" w:leader="dot" w:pos="9350"/>
            </w:tabs>
            <w:rPr>
              <w:rFonts w:eastAsiaTheme="minorEastAsia"/>
              <w:noProof/>
            </w:rPr>
          </w:pPr>
          <w:hyperlink w:anchor="_Toc235530912" w:history="1">
            <w:r w:rsidRPr="00DE4B3F">
              <w:rPr>
                <w:rStyle w:val="Hyperlink"/>
                <w:rFonts w:ascii="Times New Roman" w:hAnsi="Times New Roman" w:cs="Times New Roman"/>
                <w:b/>
                <w:bCs/>
                <w:noProof/>
              </w:rPr>
              <w:t>4.1 Sample profile and descriptive behavior</w:t>
            </w:r>
            <w:r>
              <w:rPr>
                <w:noProof/>
                <w:webHidden/>
              </w:rPr>
              <w:tab/>
            </w:r>
            <w:r>
              <w:rPr>
                <w:noProof/>
                <w:webHidden/>
              </w:rPr>
              <w:fldChar w:fldCharType="begin"/>
            </w:r>
            <w:r>
              <w:rPr>
                <w:noProof/>
                <w:webHidden/>
              </w:rPr>
              <w:instrText xml:space="preserve"> PAGEREF _Toc235530912 \h </w:instrText>
            </w:r>
            <w:r>
              <w:rPr>
                <w:noProof/>
                <w:webHidden/>
              </w:rPr>
            </w:r>
            <w:r>
              <w:rPr>
                <w:noProof/>
                <w:webHidden/>
              </w:rPr>
              <w:fldChar w:fldCharType="separate"/>
            </w:r>
            <w:r>
              <w:rPr>
                <w:noProof/>
                <w:webHidden/>
              </w:rPr>
              <w:t>46</w:t>
            </w:r>
            <w:r>
              <w:rPr>
                <w:noProof/>
                <w:webHidden/>
              </w:rPr>
              <w:fldChar w:fldCharType="end"/>
            </w:r>
          </w:hyperlink>
        </w:p>
        <w:p w14:paraId="6F1D4FC1" w14:textId="3569D7D4" w:rsidR="00C72FF1" w:rsidRDefault="00C72FF1">
          <w:pPr>
            <w:pStyle w:val="TOC2"/>
            <w:tabs>
              <w:tab w:val="right" w:leader="dot" w:pos="9350"/>
            </w:tabs>
            <w:rPr>
              <w:rFonts w:eastAsiaTheme="minorEastAsia"/>
              <w:noProof/>
            </w:rPr>
          </w:pPr>
          <w:hyperlink w:anchor="_Toc235530913" w:history="1">
            <w:r w:rsidRPr="00DE4B3F">
              <w:rPr>
                <w:rStyle w:val="Hyperlink"/>
                <w:rFonts w:ascii="Times New Roman" w:hAnsi="Times New Roman" w:cs="Times New Roman"/>
                <w:b/>
                <w:bCs/>
                <w:noProof/>
              </w:rPr>
              <w:t>4.2 Diagnostic test results for the simple panel framework</w:t>
            </w:r>
            <w:r>
              <w:rPr>
                <w:noProof/>
                <w:webHidden/>
              </w:rPr>
              <w:tab/>
            </w:r>
            <w:r>
              <w:rPr>
                <w:noProof/>
                <w:webHidden/>
              </w:rPr>
              <w:fldChar w:fldCharType="begin"/>
            </w:r>
            <w:r>
              <w:rPr>
                <w:noProof/>
                <w:webHidden/>
              </w:rPr>
              <w:instrText xml:space="preserve"> PAGEREF _Toc235530913 \h </w:instrText>
            </w:r>
            <w:r>
              <w:rPr>
                <w:noProof/>
                <w:webHidden/>
              </w:rPr>
            </w:r>
            <w:r>
              <w:rPr>
                <w:noProof/>
                <w:webHidden/>
              </w:rPr>
              <w:fldChar w:fldCharType="separate"/>
            </w:r>
            <w:r>
              <w:rPr>
                <w:noProof/>
                <w:webHidden/>
              </w:rPr>
              <w:t>48</w:t>
            </w:r>
            <w:r>
              <w:rPr>
                <w:noProof/>
                <w:webHidden/>
              </w:rPr>
              <w:fldChar w:fldCharType="end"/>
            </w:r>
          </w:hyperlink>
        </w:p>
        <w:p w14:paraId="5289A037" w14:textId="137B7CF6" w:rsidR="00C72FF1" w:rsidRDefault="00C72FF1">
          <w:pPr>
            <w:pStyle w:val="TOC2"/>
            <w:tabs>
              <w:tab w:val="right" w:leader="dot" w:pos="9350"/>
            </w:tabs>
            <w:rPr>
              <w:rFonts w:eastAsiaTheme="minorEastAsia"/>
              <w:noProof/>
            </w:rPr>
          </w:pPr>
          <w:hyperlink w:anchor="_Toc235530914" w:history="1">
            <w:r w:rsidRPr="00DE4B3F">
              <w:rPr>
                <w:rStyle w:val="Hyperlink"/>
                <w:rFonts w:ascii="Times New Roman" w:hAnsi="Times New Roman" w:cs="Times New Roman"/>
                <w:b/>
                <w:bCs/>
                <w:noProof/>
              </w:rPr>
              <w:t>4.3 Baseline simple panel results: Fixed Effects and Random Effects</w:t>
            </w:r>
            <w:r>
              <w:rPr>
                <w:noProof/>
                <w:webHidden/>
              </w:rPr>
              <w:tab/>
            </w:r>
            <w:r>
              <w:rPr>
                <w:noProof/>
                <w:webHidden/>
              </w:rPr>
              <w:fldChar w:fldCharType="begin"/>
            </w:r>
            <w:r>
              <w:rPr>
                <w:noProof/>
                <w:webHidden/>
              </w:rPr>
              <w:instrText xml:space="preserve"> PAGEREF _Toc235530914 \h </w:instrText>
            </w:r>
            <w:r>
              <w:rPr>
                <w:noProof/>
                <w:webHidden/>
              </w:rPr>
            </w:r>
            <w:r>
              <w:rPr>
                <w:noProof/>
                <w:webHidden/>
              </w:rPr>
              <w:fldChar w:fldCharType="separate"/>
            </w:r>
            <w:r>
              <w:rPr>
                <w:noProof/>
                <w:webHidden/>
              </w:rPr>
              <w:t>51</w:t>
            </w:r>
            <w:r>
              <w:rPr>
                <w:noProof/>
                <w:webHidden/>
              </w:rPr>
              <w:fldChar w:fldCharType="end"/>
            </w:r>
          </w:hyperlink>
        </w:p>
        <w:p w14:paraId="04D436A0" w14:textId="54E8FB4A" w:rsidR="00C72FF1" w:rsidRDefault="00C72FF1">
          <w:pPr>
            <w:pStyle w:val="TOC2"/>
            <w:tabs>
              <w:tab w:val="right" w:leader="dot" w:pos="9350"/>
            </w:tabs>
            <w:rPr>
              <w:rFonts w:eastAsiaTheme="minorEastAsia"/>
              <w:noProof/>
            </w:rPr>
          </w:pPr>
          <w:hyperlink w:anchor="_Toc235530915" w:history="1">
            <w:r w:rsidRPr="00DE4B3F">
              <w:rPr>
                <w:rStyle w:val="Hyperlink"/>
                <w:rFonts w:ascii="Times New Roman" w:hAnsi="Times New Roman" w:cs="Times New Roman"/>
                <w:b/>
                <w:bCs/>
                <w:noProof/>
              </w:rPr>
              <w:t>4.4 Hausman-test selection and stepwise model interpretation</w:t>
            </w:r>
            <w:r>
              <w:rPr>
                <w:noProof/>
                <w:webHidden/>
              </w:rPr>
              <w:tab/>
            </w:r>
            <w:r>
              <w:rPr>
                <w:noProof/>
                <w:webHidden/>
              </w:rPr>
              <w:fldChar w:fldCharType="begin"/>
            </w:r>
            <w:r>
              <w:rPr>
                <w:noProof/>
                <w:webHidden/>
              </w:rPr>
              <w:instrText xml:space="preserve"> PAGEREF _Toc235530915 \h </w:instrText>
            </w:r>
            <w:r>
              <w:rPr>
                <w:noProof/>
                <w:webHidden/>
              </w:rPr>
            </w:r>
            <w:r>
              <w:rPr>
                <w:noProof/>
                <w:webHidden/>
              </w:rPr>
              <w:fldChar w:fldCharType="separate"/>
            </w:r>
            <w:r>
              <w:rPr>
                <w:noProof/>
                <w:webHidden/>
              </w:rPr>
              <w:t>52</w:t>
            </w:r>
            <w:r>
              <w:rPr>
                <w:noProof/>
                <w:webHidden/>
              </w:rPr>
              <w:fldChar w:fldCharType="end"/>
            </w:r>
          </w:hyperlink>
        </w:p>
        <w:p w14:paraId="5C404707" w14:textId="75C19F52" w:rsidR="00C72FF1" w:rsidRDefault="00C72FF1">
          <w:pPr>
            <w:pStyle w:val="TOC2"/>
            <w:tabs>
              <w:tab w:val="right" w:leader="dot" w:pos="9350"/>
            </w:tabs>
            <w:rPr>
              <w:rFonts w:eastAsiaTheme="minorEastAsia"/>
              <w:noProof/>
            </w:rPr>
          </w:pPr>
          <w:hyperlink w:anchor="_Toc235530916" w:history="1">
            <w:r w:rsidRPr="00DE4B3F">
              <w:rPr>
                <w:rStyle w:val="Hyperlink"/>
                <w:rFonts w:ascii="Times New Roman" w:hAnsi="Times New Roman" w:cs="Times New Roman"/>
                <w:b/>
                <w:bCs/>
                <w:noProof/>
              </w:rPr>
              <w:t>4.5 Robustness and alternative-measure results</w:t>
            </w:r>
            <w:r>
              <w:rPr>
                <w:noProof/>
                <w:webHidden/>
              </w:rPr>
              <w:tab/>
            </w:r>
            <w:r>
              <w:rPr>
                <w:noProof/>
                <w:webHidden/>
              </w:rPr>
              <w:fldChar w:fldCharType="begin"/>
            </w:r>
            <w:r>
              <w:rPr>
                <w:noProof/>
                <w:webHidden/>
              </w:rPr>
              <w:instrText xml:space="preserve"> PAGEREF _Toc235530916 \h </w:instrText>
            </w:r>
            <w:r>
              <w:rPr>
                <w:noProof/>
                <w:webHidden/>
              </w:rPr>
            </w:r>
            <w:r>
              <w:rPr>
                <w:noProof/>
                <w:webHidden/>
              </w:rPr>
              <w:fldChar w:fldCharType="separate"/>
            </w:r>
            <w:r>
              <w:rPr>
                <w:noProof/>
                <w:webHidden/>
              </w:rPr>
              <w:t>53</w:t>
            </w:r>
            <w:r>
              <w:rPr>
                <w:noProof/>
                <w:webHidden/>
              </w:rPr>
              <w:fldChar w:fldCharType="end"/>
            </w:r>
          </w:hyperlink>
        </w:p>
        <w:p w14:paraId="28F1CC82" w14:textId="38B32B49" w:rsidR="00C72FF1" w:rsidRDefault="00C72FF1">
          <w:pPr>
            <w:pStyle w:val="TOC3"/>
            <w:tabs>
              <w:tab w:val="right" w:leader="dot" w:pos="9350"/>
            </w:tabs>
            <w:rPr>
              <w:rFonts w:eastAsiaTheme="minorEastAsia"/>
              <w:noProof/>
            </w:rPr>
          </w:pPr>
          <w:hyperlink w:anchor="_Toc235530917" w:history="1">
            <w:r w:rsidRPr="00DE4B3F">
              <w:rPr>
                <w:rStyle w:val="Hyperlink"/>
                <w:rFonts w:ascii="Times New Roman" w:hAnsi="Times New Roman" w:cs="Times New Roman"/>
                <w:b/>
                <w:bCs/>
                <w:noProof/>
              </w:rPr>
              <w:t>4.5.1 Additional GARCH-family robustness: AR(1)-GARCH(1,1) and EGARCH(1,1)</w:t>
            </w:r>
            <w:r>
              <w:rPr>
                <w:noProof/>
                <w:webHidden/>
              </w:rPr>
              <w:tab/>
            </w:r>
            <w:r>
              <w:rPr>
                <w:noProof/>
                <w:webHidden/>
              </w:rPr>
              <w:fldChar w:fldCharType="begin"/>
            </w:r>
            <w:r>
              <w:rPr>
                <w:noProof/>
                <w:webHidden/>
              </w:rPr>
              <w:instrText xml:space="preserve"> PAGEREF _Toc235530917 \h </w:instrText>
            </w:r>
            <w:r>
              <w:rPr>
                <w:noProof/>
                <w:webHidden/>
              </w:rPr>
            </w:r>
            <w:r>
              <w:rPr>
                <w:noProof/>
                <w:webHidden/>
              </w:rPr>
              <w:fldChar w:fldCharType="separate"/>
            </w:r>
            <w:r>
              <w:rPr>
                <w:noProof/>
                <w:webHidden/>
              </w:rPr>
              <w:t>54</w:t>
            </w:r>
            <w:r>
              <w:rPr>
                <w:noProof/>
                <w:webHidden/>
              </w:rPr>
              <w:fldChar w:fldCharType="end"/>
            </w:r>
          </w:hyperlink>
        </w:p>
        <w:p w14:paraId="5F3F5F75" w14:textId="59D0AF7B" w:rsidR="00C72FF1" w:rsidRDefault="00C72FF1">
          <w:pPr>
            <w:pStyle w:val="TOC2"/>
            <w:tabs>
              <w:tab w:val="right" w:leader="dot" w:pos="9350"/>
            </w:tabs>
            <w:rPr>
              <w:rFonts w:eastAsiaTheme="minorEastAsia"/>
              <w:noProof/>
            </w:rPr>
          </w:pPr>
          <w:hyperlink w:anchor="_Toc235530918" w:history="1">
            <w:r w:rsidRPr="00DE4B3F">
              <w:rPr>
                <w:rStyle w:val="Hyperlink"/>
                <w:rFonts w:ascii="Times New Roman" w:hAnsi="Times New Roman" w:cs="Times New Roman"/>
                <w:b/>
                <w:bCs/>
                <w:noProof/>
              </w:rPr>
              <w:t>4.6 Heterogeneity and nonlinearity results</w:t>
            </w:r>
            <w:r>
              <w:rPr>
                <w:noProof/>
                <w:webHidden/>
              </w:rPr>
              <w:tab/>
            </w:r>
            <w:r>
              <w:rPr>
                <w:noProof/>
                <w:webHidden/>
              </w:rPr>
              <w:fldChar w:fldCharType="begin"/>
            </w:r>
            <w:r>
              <w:rPr>
                <w:noProof/>
                <w:webHidden/>
              </w:rPr>
              <w:instrText xml:space="preserve"> PAGEREF _Toc235530918 \h </w:instrText>
            </w:r>
            <w:r>
              <w:rPr>
                <w:noProof/>
                <w:webHidden/>
              </w:rPr>
            </w:r>
            <w:r>
              <w:rPr>
                <w:noProof/>
                <w:webHidden/>
              </w:rPr>
              <w:fldChar w:fldCharType="separate"/>
            </w:r>
            <w:r>
              <w:rPr>
                <w:noProof/>
                <w:webHidden/>
              </w:rPr>
              <w:t>56</w:t>
            </w:r>
            <w:r>
              <w:rPr>
                <w:noProof/>
                <w:webHidden/>
              </w:rPr>
              <w:fldChar w:fldCharType="end"/>
            </w:r>
          </w:hyperlink>
        </w:p>
        <w:p w14:paraId="1D3DE93E" w14:textId="45A9E245" w:rsidR="00C72FF1" w:rsidRDefault="00C72FF1">
          <w:pPr>
            <w:pStyle w:val="TOC2"/>
            <w:tabs>
              <w:tab w:val="right" w:leader="dot" w:pos="9350"/>
            </w:tabs>
            <w:rPr>
              <w:rFonts w:eastAsiaTheme="minorEastAsia"/>
              <w:noProof/>
            </w:rPr>
          </w:pPr>
          <w:hyperlink w:anchor="_Toc235530919" w:history="1">
            <w:r w:rsidRPr="00DE4B3F">
              <w:rPr>
                <w:rStyle w:val="Hyperlink"/>
                <w:rFonts w:ascii="Times New Roman" w:hAnsi="Times New Roman" w:cs="Times New Roman"/>
                <w:b/>
                <w:bCs/>
                <w:noProof/>
              </w:rPr>
              <w:t>4.7 Controlled-variable extension: GDP growth and real interest rate</w:t>
            </w:r>
            <w:r>
              <w:rPr>
                <w:noProof/>
                <w:webHidden/>
              </w:rPr>
              <w:tab/>
            </w:r>
            <w:r>
              <w:rPr>
                <w:noProof/>
                <w:webHidden/>
              </w:rPr>
              <w:fldChar w:fldCharType="begin"/>
            </w:r>
            <w:r>
              <w:rPr>
                <w:noProof/>
                <w:webHidden/>
              </w:rPr>
              <w:instrText xml:space="preserve"> PAGEREF _Toc235530919 \h </w:instrText>
            </w:r>
            <w:r>
              <w:rPr>
                <w:noProof/>
                <w:webHidden/>
              </w:rPr>
            </w:r>
            <w:r>
              <w:rPr>
                <w:noProof/>
                <w:webHidden/>
              </w:rPr>
              <w:fldChar w:fldCharType="separate"/>
            </w:r>
            <w:r>
              <w:rPr>
                <w:noProof/>
                <w:webHidden/>
              </w:rPr>
              <w:t>57</w:t>
            </w:r>
            <w:r>
              <w:rPr>
                <w:noProof/>
                <w:webHidden/>
              </w:rPr>
              <w:fldChar w:fldCharType="end"/>
            </w:r>
          </w:hyperlink>
        </w:p>
        <w:p w14:paraId="6B29ABEA" w14:textId="1D6BF550" w:rsidR="00C72FF1" w:rsidRDefault="00C72FF1">
          <w:pPr>
            <w:pStyle w:val="TOC3"/>
            <w:tabs>
              <w:tab w:val="right" w:leader="dot" w:pos="9350"/>
            </w:tabs>
            <w:rPr>
              <w:rFonts w:eastAsiaTheme="minorEastAsia"/>
              <w:noProof/>
            </w:rPr>
          </w:pPr>
          <w:hyperlink w:anchor="_Toc235530920" w:history="1">
            <w:r w:rsidRPr="00DE4B3F">
              <w:rPr>
                <w:rStyle w:val="Hyperlink"/>
                <w:rFonts w:ascii="Times New Roman" w:hAnsi="Times New Roman" w:cs="Times New Roman"/>
                <w:b/>
                <w:bCs/>
                <w:noProof/>
              </w:rPr>
              <w:t>4.7.1 Stepwise controlled simple panel estimates</w:t>
            </w:r>
            <w:r>
              <w:rPr>
                <w:noProof/>
                <w:webHidden/>
              </w:rPr>
              <w:tab/>
            </w:r>
            <w:r>
              <w:rPr>
                <w:noProof/>
                <w:webHidden/>
              </w:rPr>
              <w:fldChar w:fldCharType="begin"/>
            </w:r>
            <w:r>
              <w:rPr>
                <w:noProof/>
                <w:webHidden/>
              </w:rPr>
              <w:instrText xml:space="preserve"> PAGEREF _Toc235530920 \h </w:instrText>
            </w:r>
            <w:r>
              <w:rPr>
                <w:noProof/>
                <w:webHidden/>
              </w:rPr>
            </w:r>
            <w:r>
              <w:rPr>
                <w:noProof/>
                <w:webHidden/>
              </w:rPr>
              <w:fldChar w:fldCharType="separate"/>
            </w:r>
            <w:r>
              <w:rPr>
                <w:noProof/>
                <w:webHidden/>
              </w:rPr>
              <w:t>60</w:t>
            </w:r>
            <w:r>
              <w:rPr>
                <w:noProof/>
                <w:webHidden/>
              </w:rPr>
              <w:fldChar w:fldCharType="end"/>
            </w:r>
          </w:hyperlink>
        </w:p>
        <w:p w14:paraId="38B51948" w14:textId="3802D41B" w:rsidR="00C72FF1" w:rsidRDefault="00C72FF1">
          <w:pPr>
            <w:pStyle w:val="TOC3"/>
            <w:tabs>
              <w:tab w:val="right" w:leader="dot" w:pos="9350"/>
            </w:tabs>
            <w:rPr>
              <w:rFonts w:eastAsiaTheme="minorEastAsia"/>
              <w:noProof/>
            </w:rPr>
          </w:pPr>
          <w:hyperlink w:anchor="_Toc235530921" w:history="1">
            <w:r w:rsidRPr="00DE4B3F">
              <w:rPr>
                <w:rStyle w:val="Hyperlink"/>
                <w:rFonts w:ascii="Times New Roman" w:hAnsi="Times New Roman" w:cs="Times New Roman"/>
                <w:b/>
                <w:bCs/>
                <w:noProof/>
              </w:rPr>
              <w:t>4.7.2 Controlled robustness and threshold checks</w:t>
            </w:r>
            <w:r>
              <w:rPr>
                <w:noProof/>
                <w:webHidden/>
              </w:rPr>
              <w:tab/>
            </w:r>
            <w:r>
              <w:rPr>
                <w:noProof/>
                <w:webHidden/>
              </w:rPr>
              <w:fldChar w:fldCharType="begin"/>
            </w:r>
            <w:r>
              <w:rPr>
                <w:noProof/>
                <w:webHidden/>
              </w:rPr>
              <w:instrText xml:space="preserve"> PAGEREF _Toc235530921 \h </w:instrText>
            </w:r>
            <w:r>
              <w:rPr>
                <w:noProof/>
                <w:webHidden/>
              </w:rPr>
            </w:r>
            <w:r>
              <w:rPr>
                <w:noProof/>
                <w:webHidden/>
              </w:rPr>
              <w:fldChar w:fldCharType="separate"/>
            </w:r>
            <w:r>
              <w:rPr>
                <w:noProof/>
                <w:webHidden/>
              </w:rPr>
              <w:t>62</w:t>
            </w:r>
            <w:r>
              <w:rPr>
                <w:noProof/>
                <w:webHidden/>
              </w:rPr>
              <w:fldChar w:fldCharType="end"/>
            </w:r>
          </w:hyperlink>
        </w:p>
        <w:p w14:paraId="1697C0F1" w14:textId="2BF85A06" w:rsidR="00C72FF1" w:rsidRDefault="00C72FF1">
          <w:pPr>
            <w:pStyle w:val="TOC1"/>
            <w:tabs>
              <w:tab w:val="right" w:leader="dot" w:pos="9350"/>
            </w:tabs>
            <w:rPr>
              <w:rFonts w:eastAsiaTheme="minorEastAsia"/>
              <w:noProof/>
            </w:rPr>
          </w:pPr>
          <w:hyperlink w:anchor="_Toc235530922" w:history="1">
            <w:r w:rsidRPr="00DE4B3F">
              <w:rPr>
                <w:rStyle w:val="Hyperlink"/>
                <w:rFonts w:ascii="Times New Roman" w:hAnsi="Times New Roman" w:cs="Times New Roman"/>
                <w:b/>
                <w:bCs/>
                <w:noProof/>
              </w:rPr>
              <w:t>CHAPTER 5: DISCUSSION</w:t>
            </w:r>
            <w:r>
              <w:rPr>
                <w:noProof/>
                <w:webHidden/>
              </w:rPr>
              <w:tab/>
            </w:r>
            <w:r>
              <w:rPr>
                <w:noProof/>
                <w:webHidden/>
              </w:rPr>
              <w:fldChar w:fldCharType="begin"/>
            </w:r>
            <w:r>
              <w:rPr>
                <w:noProof/>
                <w:webHidden/>
              </w:rPr>
              <w:instrText xml:space="preserve"> PAGEREF _Toc235530922 \h </w:instrText>
            </w:r>
            <w:r>
              <w:rPr>
                <w:noProof/>
                <w:webHidden/>
              </w:rPr>
            </w:r>
            <w:r>
              <w:rPr>
                <w:noProof/>
                <w:webHidden/>
              </w:rPr>
              <w:fldChar w:fldCharType="separate"/>
            </w:r>
            <w:r>
              <w:rPr>
                <w:noProof/>
                <w:webHidden/>
              </w:rPr>
              <w:t>65</w:t>
            </w:r>
            <w:r>
              <w:rPr>
                <w:noProof/>
                <w:webHidden/>
              </w:rPr>
              <w:fldChar w:fldCharType="end"/>
            </w:r>
          </w:hyperlink>
        </w:p>
        <w:p w14:paraId="56D19299" w14:textId="008F94E6" w:rsidR="00C72FF1" w:rsidRDefault="00C72FF1">
          <w:pPr>
            <w:pStyle w:val="TOC2"/>
            <w:tabs>
              <w:tab w:val="right" w:leader="dot" w:pos="9350"/>
            </w:tabs>
            <w:rPr>
              <w:rFonts w:eastAsiaTheme="minorEastAsia"/>
              <w:noProof/>
            </w:rPr>
          </w:pPr>
          <w:hyperlink w:anchor="_Toc235530923" w:history="1">
            <w:r w:rsidRPr="00DE4B3F">
              <w:rPr>
                <w:rStyle w:val="Hyperlink"/>
                <w:rFonts w:ascii="Times New Roman" w:hAnsi="Times New Roman" w:cs="Times New Roman"/>
                <w:b/>
                <w:bCs/>
                <w:noProof/>
              </w:rPr>
              <w:t>5.1 Interpreting the main findings through theory</w:t>
            </w:r>
            <w:r>
              <w:rPr>
                <w:noProof/>
                <w:webHidden/>
              </w:rPr>
              <w:tab/>
            </w:r>
            <w:r>
              <w:rPr>
                <w:noProof/>
                <w:webHidden/>
              </w:rPr>
              <w:fldChar w:fldCharType="begin"/>
            </w:r>
            <w:r>
              <w:rPr>
                <w:noProof/>
                <w:webHidden/>
              </w:rPr>
              <w:instrText xml:space="preserve"> PAGEREF _Toc235530923 \h </w:instrText>
            </w:r>
            <w:r>
              <w:rPr>
                <w:noProof/>
                <w:webHidden/>
              </w:rPr>
            </w:r>
            <w:r>
              <w:rPr>
                <w:noProof/>
                <w:webHidden/>
              </w:rPr>
              <w:fldChar w:fldCharType="separate"/>
            </w:r>
            <w:r>
              <w:rPr>
                <w:noProof/>
                <w:webHidden/>
              </w:rPr>
              <w:t>65</w:t>
            </w:r>
            <w:r>
              <w:rPr>
                <w:noProof/>
                <w:webHidden/>
              </w:rPr>
              <w:fldChar w:fldCharType="end"/>
            </w:r>
          </w:hyperlink>
        </w:p>
        <w:p w14:paraId="40F1E880" w14:textId="55C337E9" w:rsidR="00C72FF1" w:rsidRDefault="00C72FF1">
          <w:pPr>
            <w:pStyle w:val="TOC2"/>
            <w:tabs>
              <w:tab w:val="right" w:leader="dot" w:pos="9350"/>
            </w:tabs>
            <w:rPr>
              <w:rFonts w:eastAsiaTheme="minorEastAsia"/>
              <w:noProof/>
            </w:rPr>
          </w:pPr>
          <w:hyperlink w:anchor="_Toc235530924" w:history="1">
            <w:r w:rsidRPr="00DE4B3F">
              <w:rPr>
                <w:rStyle w:val="Hyperlink"/>
                <w:rFonts w:ascii="Times New Roman" w:hAnsi="Times New Roman" w:cs="Times New Roman"/>
                <w:b/>
                <w:bCs/>
                <w:noProof/>
              </w:rPr>
              <w:t>5.2 Why the frontier-economy context matters</w:t>
            </w:r>
            <w:r>
              <w:rPr>
                <w:noProof/>
                <w:webHidden/>
              </w:rPr>
              <w:tab/>
            </w:r>
            <w:r>
              <w:rPr>
                <w:noProof/>
                <w:webHidden/>
              </w:rPr>
              <w:fldChar w:fldCharType="begin"/>
            </w:r>
            <w:r>
              <w:rPr>
                <w:noProof/>
                <w:webHidden/>
              </w:rPr>
              <w:instrText xml:space="preserve"> PAGEREF _Toc235530924 \h </w:instrText>
            </w:r>
            <w:r>
              <w:rPr>
                <w:noProof/>
                <w:webHidden/>
              </w:rPr>
            </w:r>
            <w:r>
              <w:rPr>
                <w:noProof/>
                <w:webHidden/>
              </w:rPr>
              <w:fldChar w:fldCharType="separate"/>
            </w:r>
            <w:r>
              <w:rPr>
                <w:noProof/>
                <w:webHidden/>
              </w:rPr>
              <w:t>67</w:t>
            </w:r>
            <w:r>
              <w:rPr>
                <w:noProof/>
                <w:webHidden/>
              </w:rPr>
              <w:fldChar w:fldCharType="end"/>
            </w:r>
          </w:hyperlink>
        </w:p>
        <w:p w14:paraId="1B714614" w14:textId="12461041" w:rsidR="00C72FF1" w:rsidRDefault="00C72FF1">
          <w:pPr>
            <w:pStyle w:val="TOC2"/>
            <w:tabs>
              <w:tab w:val="right" w:leader="dot" w:pos="9350"/>
            </w:tabs>
            <w:rPr>
              <w:rFonts w:eastAsiaTheme="minorEastAsia"/>
              <w:noProof/>
            </w:rPr>
          </w:pPr>
          <w:hyperlink w:anchor="_Toc235530925" w:history="1">
            <w:r w:rsidRPr="00DE4B3F">
              <w:rPr>
                <w:rStyle w:val="Hyperlink"/>
                <w:rFonts w:ascii="Times New Roman" w:hAnsi="Times New Roman" w:cs="Times New Roman"/>
                <w:b/>
                <w:bCs/>
                <w:noProof/>
              </w:rPr>
              <w:t>5.3 Comparison with prior empirical literature</w:t>
            </w:r>
            <w:r>
              <w:rPr>
                <w:noProof/>
                <w:webHidden/>
              </w:rPr>
              <w:tab/>
            </w:r>
            <w:r>
              <w:rPr>
                <w:noProof/>
                <w:webHidden/>
              </w:rPr>
              <w:fldChar w:fldCharType="begin"/>
            </w:r>
            <w:r>
              <w:rPr>
                <w:noProof/>
                <w:webHidden/>
              </w:rPr>
              <w:instrText xml:space="preserve"> PAGEREF _Toc235530925 \h </w:instrText>
            </w:r>
            <w:r>
              <w:rPr>
                <w:noProof/>
                <w:webHidden/>
              </w:rPr>
            </w:r>
            <w:r>
              <w:rPr>
                <w:noProof/>
                <w:webHidden/>
              </w:rPr>
              <w:fldChar w:fldCharType="separate"/>
            </w:r>
            <w:r>
              <w:rPr>
                <w:noProof/>
                <w:webHidden/>
              </w:rPr>
              <w:t>69</w:t>
            </w:r>
            <w:r>
              <w:rPr>
                <w:noProof/>
                <w:webHidden/>
              </w:rPr>
              <w:fldChar w:fldCharType="end"/>
            </w:r>
          </w:hyperlink>
        </w:p>
        <w:p w14:paraId="639A1CFE" w14:textId="4ADE14DF" w:rsidR="00C72FF1" w:rsidRDefault="00C72FF1">
          <w:pPr>
            <w:pStyle w:val="TOC2"/>
            <w:tabs>
              <w:tab w:val="right" w:leader="dot" w:pos="9350"/>
            </w:tabs>
            <w:rPr>
              <w:rFonts w:eastAsiaTheme="minorEastAsia"/>
              <w:noProof/>
            </w:rPr>
          </w:pPr>
          <w:hyperlink w:anchor="_Toc235530926" w:history="1">
            <w:r w:rsidRPr="00DE4B3F">
              <w:rPr>
                <w:rStyle w:val="Hyperlink"/>
                <w:rFonts w:ascii="Times New Roman" w:hAnsi="Times New Roman" w:cs="Times New Roman"/>
                <w:b/>
                <w:bCs/>
                <w:noProof/>
              </w:rPr>
              <w:t>5.4 Extended country-level and policy-context interpretation</w:t>
            </w:r>
            <w:r>
              <w:rPr>
                <w:noProof/>
                <w:webHidden/>
              </w:rPr>
              <w:tab/>
            </w:r>
            <w:r>
              <w:rPr>
                <w:noProof/>
                <w:webHidden/>
              </w:rPr>
              <w:fldChar w:fldCharType="begin"/>
            </w:r>
            <w:r>
              <w:rPr>
                <w:noProof/>
                <w:webHidden/>
              </w:rPr>
              <w:instrText xml:space="preserve"> PAGEREF _Toc235530926 \h </w:instrText>
            </w:r>
            <w:r>
              <w:rPr>
                <w:noProof/>
                <w:webHidden/>
              </w:rPr>
            </w:r>
            <w:r>
              <w:rPr>
                <w:noProof/>
                <w:webHidden/>
              </w:rPr>
              <w:fldChar w:fldCharType="separate"/>
            </w:r>
            <w:r>
              <w:rPr>
                <w:noProof/>
                <w:webHidden/>
              </w:rPr>
              <w:t>69</w:t>
            </w:r>
            <w:r>
              <w:rPr>
                <w:noProof/>
                <w:webHidden/>
              </w:rPr>
              <w:fldChar w:fldCharType="end"/>
            </w:r>
          </w:hyperlink>
        </w:p>
        <w:p w14:paraId="2A57312A" w14:textId="0194EC1D" w:rsidR="00C72FF1" w:rsidRDefault="00C72FF1">
          <w:pPr>
            <w:pStyle w:val="TOC1"/>
            <w:tabs>
              <w:tab w:val="right" w:leader="dot" w:pos="9350"/>
            </w:tabs>
            <w:rPr>
              <w:rFonts w:eastAsiaTheme="minorEastAsia"/>
              <w:noProof/>
            </w:rPr>
          </w:pPr>
          <w:hyperlink w:anchor="_Toc235530927" w:history="1">
            <w:r w:rsidRPr="00DE4B3F">
              <w:rPr>
                <w:rStyle w:val="Hyperlink"/>
                <w:rFonts w:ascii="Times New Roman" w:hAnsi="Times New Roman" w:cs="Times New Roman"/>
                <w:b/>
                <w:bCs/>
                <w:noProof/>
              </w:rPr>
              <w:t>CHAPTER 6: CONCLUSION</w:t>
            </w:r>
            <w:r>
              <w:rPr>
                <w:noProof/>
                <w:webHidden/>
              </w:rPr>
              <w:tab/>
            </w:r>
            <w:r>
              <w:rPr>
                <w:noProof/>
                <w:webHidden/>
              </w:rPr>
              <w:fldChar w:fldCharType="begin"/>
            </w:r>
            <w:r>
              <w:rPr>
                <w:noProof/>
                <w:webHidden/>
              </w:rPr>
              <w:instrText xml:space="preserve"> PAGEREF _Toc235530927 \h </w:instrText>
            </w:r>
            <w:r>
              <w:rPr>
                <w:noProof/>
                <w:webHidden/>
              </w:rPr>
            </w:r>
            <w:r>
              <w:rPr>
                <w:noProof/>
                <w:webHidden/>
              </w:rPr>
              <w:fldChar w:fldCharType="separate"/>
            </w:r>
            <w:r>
              <w:rPr>
                <w:noProof/>
                <w:webHidden/>
              </w:rPr>
              <w:t>71</w:t>
            </w:r>
            <w:r>
              <w:rPr>
                <w:noProof/>
                <w:webHidden/>
              </w:rPr>
              <w:fldChar w:fldCharType="end"/>
            </w:r>
          </w:hyperlink>
        </w:p>
        <w:p w14:paraId="6E05D985" w14:textId="3C35AC81" w:rsidR="00C72FF1" w:rsidRDefault="00C72FF1">
          <w:pPr>
            <w:pStyle w:val="TOC2"/>
            <w:tabs>
              <w:tab w:val="right" w:leader="dot" w:pos="9350"/>
            </w:tabs>
            <w:rPr>
              <w:rFonts w:eastAsiaTheme="minorEastAsia"/>
              <w:noProof/>
            </w:rPr>
          </w:pPr>
          <w:hyperlink w:anchor="_Toc235530928" w:history="1">
            <w:r w:rsidRPr="00DE4B3F">
              <w:rPr>
                <w:rStyle w:val="Hyperlink"/>
                <w:rFonts w:ascii="Times New Roman" w:hAnsi="Times New Roman" w:cs="Times New Roman"/>
                <w:b/>
                <w:bCs/>
                <w:noProof/>
              </w:rPr>
              <w:t>6.1 Conclusion</w:t>
            </w:r>
            <w:r>
              <w:rPr>
                <w:noProof/>
                <w:webHidden/>
              </w:rPr>
              <w:tab/>
            </w:r>
            <w:r>
              <w:rPr>
                <w:noProof/>
                <w:webHidden/>
              </w:rPr>
              <w:fldChar w:fldCharType="begin"/>
            </w:r>
            <w:r>
              <w:rPr>
                <w:noProof/>
                <w:webHidden/>
              </w:rPr>
              <w:instrText xml:space="preserve"> PAGEREF _Toc235530928 \h </w:instrText>
            </w:r>
            <w:r>
              <w:rPr>
                <w:noProof/>
                <w:webHidden/>
              </w:rPr>
            </w:r>
            <w:r>
              <w:rPr>
                <w:noProof/>
                <w:webHidden/>
              </w:rPr>
              <w:fldChar w:fldCharType="separate"/>
            </w:r>
            <w:r>
              <w:rPr>
                <w:noProof/>
                <w:webHidden/>
              </w:rPr>
              <w:t>71</w:t>
            </w:r>
            <w:r>
              <w:rPr>
                <w:noProof/>
                <w:webHidden/>
              </w:rPr>
              <w:fldChar w:fldCharType="end"/>
            </w:r>
          </w:hyperlink>
        </w:p>
        <w:p w14:paraId="7176A52C" w14:textId="7736E846" w:rsidR="00C72FF1" w:rsidRDefault="00C72FF1">
          <w:pPr>
            <w:pStyle w:val="TOC2"/>
            <w:tabs>
              <w:tab w:val="right" w:leader="dot" w:pos="9350"/>
            </w:tabs>
            <w:rPr>
              <w:rFonts w:eastAsiaTheme="minorEastAsia"/>
              <w:noProof/>
            </w:rPr>
          </w:pPr>
          <w:hyperlink w:anchor="_Toc235530929" w:history="1">
            <w:r w:rsidRPr="00DE4B3F">
              <w:rPr>
                <w:rStyle w:val="Hyperlink"/>
                <w:rFonts w:ascii="Times New Roman" w:hAnsi="Times New Roman" w:cs="Times New Roman"/>
                <w:b/>
                <w:bCs/>
                <w:noProof/>
              </w:rPr>
              <w:t>6.2 Policy implications</w:t>
            </w:r>
            <w:r>
              <w:rPr>
                <w:noProof/>
                <w:webHidden/>
              </w:rPr>
              <w:tab/>
            </w:r>
            <w:r>
              <w:rPr>
                <w:noProof/>
                <w:webHidden/>
              </w:rPr>
              <w:fldChar w:fldCharType="begin"/>
            </w:r>
            <w:r>
              <w:rPr>
                <w:noProof/>
                <w:webHidden/>
              </w:rPr>
              <w:instrText xml:space="preserve"> PAGEREF _Toc235530929 \h </w:instrText>
            </w:r>
            <w:r>
              <w:rPr>
                <w:noProof/>
                <w:webHidden/>
              </w:rPr>
            </w:r>
            <w:r>
              <w:rPr>
                <w:noProof/>
                <w:webHidden/>
              </w:rPr>
              <w:fldChar w:fldCharType="separate"/>
            </w:r>
            <w:r>
              <w:rPr>
                <w:noProof/>
                <w:webHidden/>
              </w:rPr>
              <w:t>72</w:t>
            </w:r>
            <w:r>
              <w:rPr>
                <w:noProof/>
                <w:webHidden/>
              </w:rPr>
              <w:fldChar w:fldCharType="end"/>
            </w:r>
          </w:hyperlink>
        </w:p>
        <w:p w14:paraId="6FAB6B83" w14:textId="2AB6A891" w:rsidR="00C72FF1" w:rsidRDefault="00C72FF1">
          <w:pPr>
            <w:pStyle w:val="TOC2"/>
            <w:tabs>
              <w:tab w:val="right" w:leader="dot" w:pos="9350"/>
            </w:tabs>
            <w:rPr>
              <w:rFonts w:eastAsiaTheme="minorEastAsia"/>
              <w:noProof/>
            </w:rPr>
          </w:pPr>
          <w:hyperlink w:anchor="_Toc235530930" w:history="1">
            <w:r w:rsidRPr="00DE4B3F">
              <w:rPr>
                <w:rStyle w:val="Hyperlink"/>
                <w:rFonts w:ascii="Times New Roman" w:hAnsi="Times New Roman" w:cs="Times New Roman"/>
                <w:b/>
                <w:bCs/>
                <w:noProof/>
              </w:rPr>
              <w:t>6.3 Contributions to literature and practice</w:t>
            </w:r>
            <w:r>
              <w:rPr>
                <w:noProof/>
                <w:webHidden/>
              </w:rPr>
              <w:tab/>
            </w:r>
            <w:r>
              <w:rPr>
                <w:noProof/>
                <w:webHidden/>
              </w:rPr>
              <w:fldChar w:fldCharType="begin"/>
            </w:r>
            <w:r>
              <w:rPr>
                <w:noProof/>
                <w:webHidden/>
              </w:rPr>
              <w:instrText xml:space="preserve"> PAGEREF _Toc235530930 \h </w:instrText>
            </w:r>
            <w:r>
              <w:rPr>
                <w:noProof/>
                <w:webHidden/>
              </w:rPr>
            </w:r>
            <w:r>
              <w:rPr>
                <w:noProof/>
                <w:webHidden/>
              </w:rPr>
              <w:fldChar w:fldCharType="separate"/>
            </w:r>
            <w:r>
              <w:rPr>
                <w:noProof/>
                <w:webHidden/>
              </w:rPr>
              <w:t>73</w:t>
            </w:r>
            <w:r>
              <w:rPr>
                <w:noProof/>
                <w:webHidden/>
              </w:rPr>
              <w:fldChar w:fldCharType="end"/>
            </w:r>
          </w:hyperlink>
        </w:p>
        <w:p w14:paraId="1E487B66" w14:textId="50239347" w:rsidR="00C72FF1" w:rsidRDefault="00C72FF1">
          <w:pPr>
            <w:pStyle w:val="TOC2"/>
            <w:tabs>
              <w:tab w:val="right" w:leader="dot" w:pos="9350"/>
            </w:tabs>
            <w:rPr>
              <w:rFonts w:eastAsiaTheme="minorEastAsia"/>
              <w:noProof/>
            </w:rPr>
          </w:pPr>
          <w:hyperlink w:anchor="_Toc235530931" w:history="1">
            <w:r w:rsidRPr="00DE4B3F">
              <w:rPr>
                <w:rStyle w:val="Hyperlink"/>
                <w:rFonts w:ascii="Times New Roman" w:hAnsi="Times New Roman" w:cs="Times New Roman"/>
                <w:b/>
                <w:bCs/>
                <w:noProof/>
              </w:rPr>
              <w:t>6.4 Limitations and future research</w:t>
            </w:r>
            <w:r>
              <w:rPr>
                <w:noProof/>
                <w:webHidden/>
              </w:rPr>
              <w:tab/>
            </w:r>
            <w:r>
              <w:rPr>
                <w:noProof/>
                <w:webHidden/>
              </w:rPr>
              <w:fldChar w:fldCharType="begin"/>
            </w:r>
            <w:r>
              <w:rPr>
                <w:noProof/>
                <w:webHidden/>
              </w:rPr>
              <w:instrText xml:space="preserve"> PAGEREF _Toc235530931 \h </w:instrText>
            </w:r>
            <w:r>
              <w:rPr>
                <w:noProof/>
                <w:webHidden/>
              </w:rPr>
            </w:r>
            <w:r>
              <w:rPr>
                <w:noProof/>
                <w:webHidden/>
              </w:rPr>
              <w:fldChar w:fldCharType="separate"/>
            </w:r>
            <w:r>
              <w:rPr>
                <w:noProof/>
                <w:webHidden/>
              </w:rPr>
              <w:t>74</w:t>
            </w:r>
            <w:r>
              <w:rPr>
                <w:noProof/>
                <w:webHidden/>
              </w:rPr>
              <w:fldChar w:fldCharType="end"/>
            </w:r>
          </w:hyperlink>
        </w:p>
        <w:p w14:paraId="5DB2C6CE" w14:textId="4B29D29A" w:rsidR="00C72FF1" w:rsidRDefault="00C72FF1">
          <w:pPr>
            <w:pStyle w:val="TOC1"/>
            <w:tabs>
              <w:tab w:val="right" w:leader="dot" w:pos="9350"/>
            </w:tabs>
            <w:rPr>
              <w:rFonts w:eastAsiaTheme="minorEastAsia"/>
              <w:noProof/>
            </w:rPr>
          </w:pPr>
          <w:hyperlink w:anchor="_Toc235530932" w:history="1">
            <w:r w:rsidRPr="00DE4B3F">
              <w:rPr>
                <w:rStyle w:val="Hyperlink"/>
                <w:rFonts w:ascii="Times New Roman" w:hAnsi="Times New Roman" w:cs="Times New Roman"/>
                <w:b/>
                <w:bCs/>
                <w:noProof/>
              </w:rPr>
              <w:t>References</w:t>
            </w:r>
            <w:r>
              <w:rPr>
                <w:noProof/>
                <w:webHidden/>
              </w:rPr>
              <w:tab/>
            </w:r>
            <w:r>
              <w:rPr>
                <w:noProof/>
                <w:webHidden/>
              </w:rPr>
              <w:fldChar w:fldCharType="begin"/>
            </w:r>
            <w:r>
              <w:rPr>
                <w:noProof/>
                <w:webHidden/>
              </w:rPr>
              <w:instrText xml:space="preserve"> PAGEREF _Toc235530932 \h </w:instrText>
            </w:r>
            <w:r>
              <w:rPr>
                <w:noProof/>
                <w:webHidden/>
              </w:rPr>
            </w:r>
            <w:r>
              <w:rPr>
                <w:noProof/>
                <w:webHidden/>
              </w:rPr>
              <w:fldChar w:fldCharType="separate"/>
            </w:r>
            <w:r>
              <w:rPr>
                <w:noProof/>
                <w:webHidden/>
              </w:rPr>
              <w:t>76</w:t>
            </w:r>
            <w:r>
              <w:rPr>
                <w:noProof/>
                <w:webHidden/>
              </w:rPr>
              <w:fldChar w:fldCharType="end"/>
            </w:r>
          </w:hyperlink>
        </w:p>
        <w:p w14:paraId="00F049FD" w14:textId="2E81A301" w:rsidR="009D27EE" w:rsidRDefault="00A7076F" w:rsidP="009D27EE">
          <w:pPr>
            <w:rPr>
              <w:b/>
              <w:bCs/>
              <w:noProof/>
            </w:rPr>
          </w:pPr>
          <w:r>
            <w:rPr>
              <w:b/>
              <w:bCs/>
              <w:noProof/>
            </w:rPr>
            <w:fldChar w:fldCharType="end"/>
          </w:r>
        </w:p>
      </w:sdtContent>
    </w:sdt>
    <w:p w14:paraId="1A831452" w14:textId="77777777" w:rsidR="00DD7E95" w:rsidRPr="00DD7E95" w:rsidRDefault="00DD7E95" w:rsidP="00DD7E95"/>
    <w:p w14:paraId="2CB0C092" w14:textId="77777777" w:rsidR="00DD7E95" w:rsidRPr="00DD7E95" w:rsidRDefault="00DD7E95" w:rsidP="00DD7E95"/>
    <w:p w14:paraId="6E448124" w14:textId="77777777" w:rsidR="00DD7E95" w:rsidRPr="00DD7E95" w:rsidRDefault="00DD7E95" w:rsidP="00DD7E95"/>
    <w:p w14:paraId="127E3DC9" w14:textId="77777777" w:rsidR="00DD7E95" w:rsidRDefault="00DD7E95" w:rsidP="00DD7E95">
      <w:pPr>
        <w:rPr>
          <w:b/>
          <w:bCs/>
          <w:noProof/>
        </w:rPr>
      </w:pPr>
    </w:p>
    <w:p w14:paraId="2FD8FC9F" w14:textId="75F60976" w:rsidR="00DD7E95" w:rsidRDefault="00DD7E95" w:rsidP="00DD7E95">
      <w:pPr>
        <w:tabs>
          <w:tab w:val="left" w:pos="1104"/>
        </w:tabs>
        <w:rPr>
          <w:b/>
          <w:bCs/>
          <w:noProof/>
        </w:rPr>
      </w:pPr>
      <w:r>
        <w:rPr>
          <w:b/>
          <w:bCs/>
          <w:noProof/>
        </w:rPr>
        <w:tab/>
      </w:r>
    </w:p>
    <w:p w14:paraId="7AD5F544" w14:textId="77777777" w:rsidR="00DD7E95" w:rsidRDefault="00DD7E95">
      <w:pPr>
        <w:rPr>
          <w:b/>
          <w:bCs/>
          <w:noProof/>
        </w:rPr>
      </w:pPr>
      <w:r>
        <w:rPr>
          <w:b/>
          <w:bCs/>
          <w:noProof/>
        </w:rPr>
        <w:br w:type="page"/>
      </w:r>
    </w:p>
    <w:p w14:paraId="5B0628FA" w14:textId="77777777" w:rsidR="00DD7E95" w:rsidRDefault="00DD7E95" w:rsidP="00DD7E95">
      <w:pPr>
        <w:pStyle w:val="Heading1"/>
        <w:jc w:val="center"/>
        <w:rPr>
          <w:rFonts w:ascii="Times New Roman" w:hAnsi="Times New Roman" w:cs="Times New Roman"/>
          <w:b/>
          <w:bCs/>
          <w:sz w:val="32"/>
          <w:szCs w:val="32"/>
        </w:rPr>
      </w:pPr>
      <w:bookmarkStart w:id="5" w:name="_Toc214475279"/>
      <w:bookmarkStart w:id="6" w:name="_Toc235530839"/>
      <w:r w:rsidRPr="00DD7E95">
        <w:rPr>
          <w:rFonts w:ascii="Times New Roman" w:hAnsi="Times New Roman" w:cs="Times New Roman"/>
          <w:b/>
          <w:bCs/>
          <w:sz w:val="32"/>
          <w:szCs w:val="32"/>
        </w:rPr>
        <w:lastRenderedPageBreak/>
        <w:t>List of Figures</w:t>
      </w:r>
      <w:bookmarkEnd w:id="5"/>
      <w:bookmarkEnd w:id="6"/>
    </w:p>
    <w:p w14:paraId="04D4C72E" w14:textId="77777777" w:rsidR="000C10FF" w:rsidRPr="000C10FF" w:rsidRDefault="000C10FF" w:rsidP="000C10FF"/>
    <w:p w14:paraId="383098D1" w14:textId="4BB3E358" w:rsidR="00DD7E95" w:rsidRPr="000C10FF" w:rsidRDefault="00DD7E95" w:rsidP="000C10FF">
      <w:pPr>
        <w:pStyle w:val="ListParagraph"/>
        <w:numPr>
          <w:ilvl w:val="0"/>
          <w:numId w:val="4"/>
        </w:numPr>
        <w:spacing w:line="600" w:lineRule="auto"/>
        <w:rPr>
          <w:rFonts w:ascii="Times New Roman" w:hAnsi="Times New Roman" w:cs="Times New Roman"/>
        </w:rPr>
      </w:pPr>
      <w:r w:rsidRPr="000C10FF">
        <w:rPr>
          <w:rFonts w:ascii="Times New Roman" w:hAnsi="Times New Roman" w:cs="Times New Roman"/>
        </w:rPr>
        <w:t>Figure 2.1: Conceptual Framework of Inflation Volatility and Banking-Sector Stability</w:t>
      </w:r>
    </w:p>
    <w:p w14:paraId="3B634C8A" w14:textId="4B2F5E3F" w:rsidR="00DD7E95" w:rsidRPr="000C10FF" w:rsidRDefault="00DD7E95" w:rsidP="000C10FF">
      <w:pPr>
        <w:pStyle w:val="ListParagraph"/>
        <w:numPr>
          <w:ilvl w:val="0"/>
          <w:numId w:val="4"/>
        </w:numPr>
        <w:spacing w:line="600" w:lineRule="auto"/>
        <w:rPr>
          <w:rFonts w:ascii="Times New Roman" w:hAnsi="Times New Roman" w:cs="Times New Roman"/>
        </w:rPr>
      </w:pPr>
      <w:r w:rsidRPr="000C10FF">
        <w:rPr>
          <w:rFonts w:ascii="Times New Roman" w:hAnsi="Times New Roman" w:cs="Times New Roman"/>
        </w:rPr>
        <w:t xml:space="preserve">Figure 4.1: Average </w:t>
      </w:r>
      <w:proofErr w:type="gramStart"/>
      <w:r w:rsidRPr="000C10FF">
        <w:rPr>
          <w:rFonts w:ascii="Times New Roman" w:hAnsi="Times New Roman" w:cs="Times New Roman"/>
        </w:rPr>
        <w:t>GARCH(</w:t>
      </w:r>
      <w:proofErr w:type="gramEnd"/>
      <w:r w:rsidRPr="000C10FF">
        <w:rPr>
          <w:rFonts w:ascii="Times New Roman" w:hAnsi="Times New Roman" w:cs="Times New Roman"/>
        </w:rPr>
        <w:t>1,1) Inflation Volatility by Region</w:t>
      </w:r>
    </w:p>
    <w:p w14:paraId="6B7C0FF7" w14:textId="67015418" w:rsidR="00DD7E95" w:rsidRPr="000C10FF" w:rsidRDefault="00DD7E95" w:rsidP="000C10FF">
      <w:pPr>
        <w:pStyle w:val="ListParagraph"/>
        <w:numPr>
          <w:ilvl w:val="0"/>
          <w:numId w:val="4"/>
        </w:numPr>
        <w:spacing w:line="600" w:lineRule="auto"/>
        <w:rPr>
          <w:rFonts w:ascii="Times New Roman" w:hAnsi="Times New Roman" w:cs="Times New Roman"/>
        </w:rPr>
      </w:pPr>
      <w:r w:rsidRPr="000C10FF">
        <w:rPr>
          <w:rFonts w:ascii="Times New Roman" w:hAnsi="Times New Roman" w:cs="Times New Roman"/>
        </w:rPr>
        <w:t>Figure 4.2: Distribution of the Two Banking-Stability Indicators</w:t>
      </w:r>
    </w:p>
    <w:p w14:paraId="117D5BA9" w14:textId="3904143B" w:rsidR="00DD7E95" w:rsidRPr="000C10FF" w:rsidRDefault="00DD7E95" w:rsidP="000C10FF">
      <w:pPr>
        <w:pStyle w:val="ListParagraph"/>
        <w:numPr>
          <w:ilvl w:val="0"/>
          <w:numId w:val="4"/>
        </w:numPr>
        <w:spacing w:line="600" w:lineRule="auto"/>
        <w:rPr>
          <w:rFonts w:ascii="Times New Roman" w:hAnsi="Times New Roman" w:cs="Times New Roman"/>
        </w:rPr>
      </w:pPr>
      <w:r w:rsidRPr="000C10FF">
        <w:rPr>
          <w:rFonts w:ascii="Times New Roman" w:hAnsi="Times New Roman" w:cs="Times New Roman"/>
        </w:rPr>
        <w:t>Figure 4.3: Correlation Heatmap for the Core Three-Way Sample</w:t>
      </w:r>
    </w:p>
    <w:p w14:paraId="11322FA6" w14:textId="6C88EA68" w:rsidR="00DD7E95" w:rsidRPr="000C10FF" w:rsidRDefault="00DD7E95" w:rsidP="000C10FF">
      <w:pPr>
        <w:pStyle w:val="ListParagraph"/>
        <w:numPr>
          <w:ilvl w:val="0"/>
          <w:numId w:val="4"/>
        </w:numPr>
        <w:spacing w:line="600" w:lineRule="auto"/>
        <w:rPr>
          <w:rFonts w:ascii="Times New Roman" w:hAnsi="Times New Roman" w:cs="Times New Roman"/>
        </w:rPr>
      </w:pPr>
      <w:r w:rsidRPr="000C10FF">
        <w:rPr>
          <w:rFonts w:ascii="Times New Roman" w:hAnsi="Times New Roman" w:cs="Times New Roman"/>
        </w:rPr>
        <w:t>Figure 4.4: Threshold Behavior Around Median GARCH Volatility</w:t>
      </w:r>
    </w:p>
    <w:p w14:paraId="4D5AB132" w14:textId="5B9582DA" w:rsidR="00DD7E95" w:rsidRPr="000C10FF" w:rsidRDefault="00DD7E95" w:rsidP="000C10FF">
      <w:pPr>
        <w:pStyle w:val="ListParagraph"/>
        <w:numPr>
          <w:ilvl w:val="0"/>
          <w:numId w:val="4"/>
        </w:numPr>
        <w:spacing w:line="600" w:lineRule="auto"/>
        <w:rPr>
          <w:rFonts w:ascii="Times New Roman" w:hAnsi="Times New Roman" w:cs="Times New Roman"/>
        </w:rPr>
      </w:pPr>
      <w:r w:rsidRPr="000C10FF">
        <w:rPr>
          <w:rFonts w:ascii="Times New Roman" w:hAnsi="Times New Roman" w:cs="Times New Roman"/>
        </w:rPr>
        <w:t>Figure 4.5: GDP Growth and Real Interest Rate in the Controlled Core Sample</w:t>
      </w:r>
    </w:p>
    <w:p w14:paraId="2B4CA65A" w14:textId="11C9D4C4" w:rsidR="00DD7E95" w:rsidRPr="000C10FF" w:rsidRDefault="00DD7E95" w:rsidP="000C10FF">
      <w:pPr>
        <w:pStyle w:val="ListParagraph"/>
        <w:numPr>
          <w:ilvl w:val="0"/>
          <w:numId w:val="4"/>
        </w:numPr>
        <w:spacing w:line="600" w:lineRule="auto"/>
        <w:rPr>
          <w:rFonts w:ascii="Times New Roman" w:hAnsi="Times New Roman" w:cs="Times New Roman"/>
        </w:rPr>
      </w:pPr>
      <w:r w:rsidRPr="000C10FF">
        <w:rPr>
          <w:rFonts w:ascii="Times New Roman" w:hAnsi="Times New Roman" w:cs="Times New Roman"/>
        </w:rPr>
        <w:t>Figure 4.6: Controlled Correlation Heatmap</w:t>
      </w:r>
    </w:p>
    <w:p w14:paraId="3696A6B5" w14:textId="06F42871" w:rsidR="00DD7E95" w:rsidRPr="000C10FF" w:rsidRDefault="00DD7E95" w:rsidP="000C10FF">
      <w:pPr>
        <w:pStyle w:val="ListParagraph"/>
        <w:numPr>
          <w:ilvl w:val="0"/>
          <w:numId w:val="4"/>
        </w:numPr>
        <w:spacing w:line="600" w:lineRule="auto"/>
        <w:rPr>
          <w:rFonts w:ascii="Times New Roman" w:hAnsi="Times New Roman" w:cs="Times New Roman"/>
        </w:rPr>
      </w:pPr>
      <w:r w:rsidRPr="000C10FF">
        <w:rPr>
          <w:rFonts w:ascii="Times New Roman" w:hAnsi="Times New Roman" w:cs="Times New Roman"/>
        </w:rPr>
        <w:t>Figure 4.7: GDP Growth and Real Interest Rate Effects in the Controlled Core Sample</w:t>
      </w:r>
    </w:p>
    <w:p w14:paraId="4C8649B1" w14:textId="5FC0243B" w:rsidR="00DD7E95" w:rsidRPr="000C10FF" w:rsidRDefault="00DD7E95" w:rsidP="000C10FF">
      <w:pPr>
        <w:pStyle w:val="ListParagraph"/>
        <w:numPr>
          <w:ilvl w:val="0"/>
          <w:numId w:val="4"/>
        </w:numPr>
        <w:spacing w:line="600" w:lineRule="auto"/>
        <w:rPr>
          <w:rFonts w:ascii="Times New Roman" w:hAnsi="Times New Roman" w:cs="Times New Roman"/>
        </w:rPr>
      </w:pPr>
      <w:r w:rsidRPr="000C10FF">
        <w:rPr>
          <w:rFonts w:ascii="Times New Roman" w:hAnsi="Times New Roman" w:cs="Times New Roman"/>
        </w:rPr>
        <w:t>Figure 4.8: Alternative Volatility-Proxy Coefficients with Controls</w:t>
      </w:r>
    </w:p>
    <w:p w14:paraId="56C5E045" w14:textId="693AD993" w:rsidR="00DD7E95" w:rsidRPr="000C10FF" w:rsidRDefault="00DD7E95" w:rsidP="000C10FF">
      <w:pPr>
        <w:pStyle w:val="ListParagraph"/>
        <w:numPr>
          <w:ilvl w:val="0"/>
          <w:numId w:val="4"/>
        </w:numPr>
        <w:spacing w:line="600" w:lineRule="auto"/>
        <w:rPr>
          <w:rFonts w:ascii="Times New Roman" w:hAnsi="Times New Roman" w:cs="Times New Roman"/>
        </w:rPr>
      </w:pPr>
      <w:r w:rsidRPr="000C10FF">
        <w:rPr>
          <w:rFonts w:ascii="Times New Roman" w:hAnsi="Times New Roman" w:cs="Times New Roman"/>
        </w:rPr>
        <w:t>Figure 4.9: Controlled Threshold Behavior Around Median GARCH Volatility: Bank Z-Score</w:t>
      </w:r>
    </w:p>
    <w:p w14:paraId="00399029" w14:textId="09999FB6" w:rsidR="000C10FF" w:rsidRDefault="00DD7E95" w:rsidP="000C10FF">
      <w:pPr>
        <w:pStyle w:val="ListParagraph"/>
        <w:numPr>
          <w:ilvl w:val="0"/>
          <w:numId w:val="4"/>
        </w:numPr>
        <w:spacing w:line="600" w:lineRule="auto"/>
        <w:rPr>
          <w:rFonts w:ascii="Times New Roman" w:hAnsi="Times New Roman" w:cs="Times New Roman"/>
        </w:rPr>
      </w:pPr>
      <w:r w:rsidRPr="000C10FF">
        <w:rPr>
          <w:rFonts w:ascii="Times New Roman" w:hAnsi="Times New Roman" w:cs="Times New Roman"/>
        </w:rPr>
        <w:t>Figure 4.10: Controlled Threshold Behavior Around Median GARCH Volatility: NPL Ratio</w:t>
      </w:r>
    </w:p>
    <w:p w14:paraId="6590B1F3" w14:textId="77777777" w:rsidR="000C10FF" w:rsidRDefault="000C10FF">
      <w:pPr>
        <w:rPr>
          <w:rFonts w:ascii="Times New Roman" w:hAnsi="Times New Roman" w:cs="Times New Roman"/>
        </w:rPr>
      </w:pPr>
      <w:r>
        <w:rPr>
          <w:rFonts w:ascii="Times New Roman" w:hAnsi="Times New Roman" w:cs="Times New Roman"/>
        </w:rPr>
        <w:br w:type="page"/>
      </w:r>
    </w:p>
    <w:p w14:paraId="720E1BBE" w14:textId="77777777" w:rsidR="000C10FF" w:rsidRDefault="000C10FF" w:rsidP="000C10FF">
      <w:pPr>
        <w:pStyle w:val="Heading1"/>
        <w:jc w:val="center"/>
        <w:rPr>
          <w:rFonts w:ascii="Times New Roman" w:hAnsi="Times New Roman" w:cs="Times New Roman"/>
          <w:b/>
          <w:bCs/>
          <w:sz w:val="32"/>
          <w:szCs w:val="32"/>
        </w:rPr>
      </w:pPr>
      <w:bookmarkStart w:id="7" w:name="_Toc205633727"/>
      <w:bookmarkStart w:id="8" w:name="_Toc214475280"/>
      <w:bookmarkStart w:id="9" w:name="_Toc235530840"/>
      <w:r w:rsidRPr="00AD6D4F">
        <w:rPr>
          <w:rFonts w:ascii="Times New Roman" w:hAnsi="Times New Roman" w:cs="Times New Roman"/>
          <w:b/>
          <w:bCs/>
          <w:sz w:val="32"/>
          <w:szCs w:val="32"/>
        </w:rPr>
        <w:lastRenderedPageBreak/>
        <w:t>List of Tables</w:t>
      </w:r>
      <w:bookmarkEnd w:id="7"/>
      <w:bookmarkEnd w:id="8"/>
      <w:bookmarkEnd w:id="9"/>
    </w:p>
    <w:p w14:paraId="5FC34611" w14:textId="77777777" w:rsidR="000C10FF" w:rsidRDefault="000C10FF" w:rsidP="000C10FF"/>
    <w:p w14:paraId="1A0B95EE"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3.1: Expected Signs of Variables in the Z-Score and NPL Models</w:t>
      </w:r>
    </w:p>
    <w:p w14:paraId="4983860E"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4.1: Final Country-Year Coverage by Estimation Sample</w:t>
      </w:r>
    </w:p>
    <w:p w14:paraId="55BAA293"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4.2: Descriptive Statistics for the Core Three-Way Sample</w:t>
      </w:r>
    </w:p>
    <w:p w14:paraId="73FBB2EC"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4.3: Correlation Matrix for the Three-Way Sample</w:t>
      </w:r>
    </w:p>
    <w:p w14:paraId="1A0BF98E"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4.4: Diagnostic and Long-Run Retention Test Summary</w:t>
      </w:r>
    </w:p>
    <w:p w14:paraId="58716CC3"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4.5: Baseline Simple Panel Estimates: Panel Model 1 and Panel Model 2</w:t>
      </w:r>
    </w:p>
    <w:p w14:paraId="12666D2E"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4.6: Baseline FE-RE Comparison and Hausman-Test Structure: Panel Model 3</w:t>
      </w:r>
    </w:p>
    <w:p w14:paraId="7E77263E"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4.7: Hausman-Test and Estimator-Selection Summary for Panel Models 1–6</w:t>
      </w:r>
    </w:p>
    <w:p w14:paraId="3C0322FE"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4.8: Equation Map for the Six Simple Panel Models</w:t>
      </w:r>
    </w:p>
    <w:p w14:paraId="5F623786"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4.9: Hausman and Estimator-Selection Sensitivity of the GARCH Coefficient</w:t>
      </w:r>
    </w:p>
    <w:p w14:paraId="55F8F3EF"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4.10: Additional GARCH-Family Robustness Comparison</w:t>
      </w:r>
    </w:p>
    <w:p w14:paraId="4AB2F303"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4.11: Threshold Interaction Estimates by Volatility Regime</w:t>
      </w:r>
    </w:p>
    <w:p w14:paraId="4E21961A"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4.12: Controlled Country-Year Coverage by Estimation Sample</w:t>
      </w:r>
    </w:p>
    <w:p w14:paraId="79883F61"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4.13: Descriptive Statistics for the Controlled Core Sample</w:t>
      </w:r>
    </w:p>
    <w:p w14:paraId="7AF46791"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4.14: Correlation Matrix with GDP Growth and Real Interest Rate</w:t>
      </w:r>
    </w:p>
    <w:p w14:paraId="0D362548"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4.15: Variance Inflation Factors for the Controlled Regressors</w:t>
      </w:r>
    </w:p>
    <w:p w14:paraId="7140FB84"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4.16: Stepwise Simple Panel Estimates: Bank Z-Score Models</w:t>
      </w:r>
    </w:p>
    <w:p w14:paraId="64FDF847"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4.17: Hausman-Test Selection Summary for the Controlled Panel Models</w:t>
      </w:r>
    </w:p>
    <w:p w14:paraId="7E2AA969"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4.18: Controlled Simple-Panel Robustness Checks</w:t>
      </w:r>
    </w:p>
    <w:p w14:paraId="45B21762"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4.19: Alternative Volatility-Measure Robustness with Controls</w:t>
      </w:r>
    </w:p>
    <w:p w14:paraId="5C37D65A" w14:textId="77777777" w:rsidR="000C10FF" w:rsidRPr="000C10FF" w:rsidRDefault="000C10FF" w:rsidP="000C10FF">
      <w:pPr>
        <w:pStyle w:val="ListParagraph"/>
        <w:numPr>
          <w:ilvl w:val="0"/>
          <w:numId w:val="5"/>
        </w:numPr>
        <w:spacing w:line="480" w:lineRule="auto"/>
        <w:rPr>
          <w:rFonts w:ascii="Times New Roman" w:hAnsi="Times New Roman" w:cs="Times New Roman"/>
        </w:rPr>
      </w:pPr>
      <w:r w:rsidRPr="000C10FF">
        <w:rPr>
          <w:rFonts w:ascii="Times New Roman" w:hAnsi="Times New Roman" w:cs="Times New Roman"/>
        </w:rPr>
        <w:t>Table 4.20: Controlled Threshold Interaction Estimates by Volatility Regime</w:t>
      </w:r>
    </w:p>
    <w:p w14:paraId="59260185" w14:textId="77777777" w:rsidR="000C10FF" w:rsidRPr="00AD6D4F" w:rsidRDefault="000C10FF" w:rsidP="000C10FF">
      <w:pPr>
        <w:pStyle w:val="Heading1"/>
        <w:jc w:val="center"/>
        <w:rPr>
          <w:rFonts w:ascii="Times New Roman" w:hAnsi="Times New Roman" w:cs="Times New Roman"/>
          <w:b/>
          <w:bCs/>
          <w:sz w:val="36"/>
          <w:szCs w:val="36"/>
        </w:rPr>
      </w:pPr>
      <w:bookmarkStart w:id="10" w:name="_Toc205633729"/>
      <w:bookmarkStart w:id="11" w:name="_Toc214475282"/>
      <w:bookmarkStart w:id="12" w:name="_Toc235530841"/>
      <w:r w:rsidRPr="00AD6D4F">
        <w:rPr>
          <w:rFonts w:ascii="Times New Roman" w:hAnsi="Times New Roman" w:cs="Times New Roman"/>
          <w:b/>
          <w:bCs/>
          <w:sz w:val="36"/>
          <w:szCs w:val="36"/>
        </w:rPr>
        <w:lastRenderedPageBreak/>
        <w:t>List of Acronyms &amp; Abbreviations</w:t>
      </w:r>
      <w:bookmarkEnd w:id="10"/>
      <w:bookmarkEnd w:id="11"/>
      <w:bookmarkEnd w:id="12"/>
    </w:p>
    <w:p w14:paraId="4E08AC47" w14:textId="77777777" w:rsidR="000C10FF" w:rsidRDefault="000C10FF" w:rsidP="000C10FF"/>
    <w:p w14:paraId="2F9AE8E9"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ADF – Augmented Dickey-Fuller</w:t>
      </w:r>
    </w:p>
    <w:p w14:paraId="64E5FCD2" w14:textId="77777777" w:rsidR="000C10FF" w:rsidRPr="000C10FF" w:rsidRDefault="000C10FF" w:rsidP="00BD678F">
      <w:pPr>
        <w:spacing w:line="360" w:lineRule="auto"/>
        <w:rPr>
          <w:rFonts w:ascii="Times New Roman" w:hAnsi="Times New Roman" w:cs="Times New Roman"/>
          <w:b/>
          <w:bCs/>
        </w:rPr>
      </w:pPr>
      <w:proofErr w:type="gramStart"/>
      <w:r w:rsidRPr="000C10FF">
        <w:rPr>
          <w:rFonts w:ascii="Times New Roman" w:hAnsi="Times New Roman" w:cs="Times New Roman"/>
          <w:b/>
          <w:bCs/>
        </w:rPr>
        <w:t>AR(</w:t>
      </w:r>
      <w:proofErr w:type="gramEnd"/>
      <w:r w:rsidRPr="000C10FF">
        <w:rPr>
          <w:rFonts w:ascii="Times New Roman" w:hAnsi="Times New Roman" w:cs="Times New Roman"/>
          <w:b/>
          <w:bCs/>
        </w:rPr>
        <w:t>1) – First-Order Autoregressive Model</w:t>
      </w:r>
    </w:p>
    <w:p w14:paraId="6620FDBF"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ARCH – Autoregressive Conditional Heteroskedasticity</w:t>
      </w:r>
    </w:p>
    <w:p w14:paraId="1AB37316"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ARDL – Autoregressive Distributed Lag</w:t>
      </w:r>
    </w:p>
    <w:p w14:paraId="7152DFA4"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ASEAN – Association of Southeast Asian Nations</w:t>
      </w:r>
    </w:p>
    <w:p w14:paraId="135A8FD1"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CADF – Cross-Sectionally Augmented Dickey-Fuller</w:t>
      </w:r>
    </w:p>
    <w:p w14:paraId="144BF482"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CAR – Capital Adequacy Ratio</w:t>
      </w:r>
    </w:p>
    <w:p w14:paraId="40EFDFD1"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CD – Cross-Sectional Dependence</w:t>
      </w:r>
    </w:p>
    <w:p w14:paraId="4D6A1E6E"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 xml:space="preserve">CIPS – Cross-Sectionally Augmented </w:t>
      </w:r>
      <w:proofErr w:type="spellStart"/>
      <w:r w:rsidRPr="000C10FF">
        <w:rPr>
          <w:rFonts w:ascii="Times New Roman" w:hAnsi="Times New Roman" w:cs="Times New Roman"/>
          <w:b/>
          <w:bCs/>
        </w:rPr>
        <w:t>Im</w:t>
      </w:r>
      <w:proofErr w:type="spellEnd"/>
      <w:r w:rsidRPr="000C10FF">
        <w:rPr>
          <w:rFonts w:ascii="Times New Roman" w:hAnsi="Times New Roman" w:cs="Times New Roman"/>
          <w:b/>
          <w:bCs/>
        </w:rPr>
        <w:t>-</w:t>
      </w:r>
      <w:proofErr w:type="spellStart"/>
      <w:r w:rsidRPr="000C10FF">
        <w:rPr>
          <w:rFonts w:ascii="Times New Roman" w:hAnsi="Times New Roman" w:cs="Times New Roman"/>
          <w:b/>
          <w:bCs/>
        </w:rPr>
        <w:t>Pesaran</w:t>
      </w:r>
      <w:proofErr w:type="spellEnd"/>
      <w:r w:rsidRPr="000C10FF">
        <w:rPr>
          <w:rFonts w:ascii="Times New Roman" w:hAnsi="Times New Roman" w:cs="Times New Roman"/>
          <w:b/>
          <w:bCs/>
        </w:rPr>
        <w:t>-Shin</w:t>
      </w:r>
    </w:p>
    <w:p w14:paraId="7B1E4311"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COMESA – Common Market for Eastern and Southern Africa</w:t>
      </w:r>
    </w:p>
    <w:p w14:paraId="52FFCC99"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CPI – Consumer Price Index</w:t>
      </w:r>
    </w:p>
    <w:p w14:paraId="3A58F94D"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CSD – Cross-Sectional Dependence</w:t>
      </w:r>
    </w:p>
    <w:p w14:paraId="0260D226"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ECOWAS – Economic Community of West African States</w:t>
      </w:r>
    </w:p>
    <w:p w14:paraId="576AA0BE"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EFEs – Emerging and Frontier Economies</w:t>
      </w:r>
    </w:p>
    <w:p w14:paraId="30A587EC" w14:textId="77777777" w:rsidR="000C10FF" w:rsidRPr="000C10FF" w:rsidRDefault="000C10FF" w:rsidP="00BD678F">
      <w:pPr>
        <w:spacing w:line="360" w:lineRule="auto"/>
        <w:rPr>
          <w:rFonts w:ascii="Times New Roman" w:hAnsi="Times New Roman" w:cs="Times New Roman"/>
          <w:b/>
          <w:bCs/>
        </w:rPr>
      </w:pPr>
      <w:proofErr w:type="gramStart"/>
      <w:r w:rsidRPr="000C10FF">
        <w:rPr>
          <w:rFonts w:ascii="Times New Roman" w:hAnsi="Times New Roman" w:cs="Times New Roman"/>
          <w:b/>
          <w:bCs/>
        </w:rPr>
        <w:t>EGARCH(</w:t>
      </w:r>
      <w:proofErr w:type="gramEnd"/>
      <w:r w:rsidRPr="000C10FF">
        <w:rPr>
          <w:rFonts w:ascii="Times New Roman" w:hAnsi="Times New Roman" w:cs="Times New Roman"/>
          <w:b/>
          <w:bCs/>
        </w:rPr>
        <w:t>1,1) – Exponential Generalized Autoregressive Conditional Heteroskedasticity Model of Order (1,1)</w:t>
      </w:r>
    </w:p>
    <w:p w14:paraId="595C2C9E"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EMDEs – Emerging Market and Developing Economies</w:t>
      </w:r>
    </w:p>
    <w:p w14:paraId="402898F8"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FE – Fixed Effects</w:t>
      </w:r>
    </w:p>
    <w:p w14:paraId="70812753"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FSI – Financial Soundness Indicators</w:t>
      </w:r>
    </w:p>
    <w:p w14:paraId="25CE9510" w14:textId="77777777" w:rsidR="000C10FF" w:rsidRPr="000C10FF" w:rsidRDefault="000C10FF" w:rsidP="00BD678F">
      <w:pPr>
        <w:spacing w:line="360" w:lineRule="auto"/>
        <w:rPr>
          <w:rFonts w:ascii="Times New Roman" w:hAnsi="Times New Roman" w:cs="Times New Roman"/>
          <w:b/>
          <w:bCs/>
        </w:rPr>
      </w:pPr>
      <w:proofErr w:type="gramStart"/>
      <w:r w:rsidRPr="000C10FF">
        <w:rPr>
          <w:rFonts w:ascii="Times New Roman" w:hAnsi="Times New Roman" w:cs="Times New Roman"/>
          <w:b/>
          <w:bCs/>
        </w:rPr>
        <w:t>GARCH(</w:t>
      </w:r>
      <w:proofErr w:type="gramEnd"/>
      <w:r w:rsidRPr="000C10FF">
        <w:rPr>
          <w:rFonts w:ascii="Times New Roman" w:hAnsi="Times New Roman" w:cs="Times New Roman"/>
          <w:b/>
          <w:bCs/>
        </w:rPr>
        <w:t>1,1) – Generalized Autoregressive Conditional Heteroskedasticity Model of Order (1,1)</w:t>
      </w:r>
    </w:p>
    <w:p w14:paraId="01394EAC"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lastRenderedPageBreak/>
        <w:t>GDP – Gross Domestic Product</w:t>
      </w:r>
    </w:p>
    <w:p w14:paraId="0E8BD762"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GFDD – Global Financial Development Database</w:t>
      </w:r>
    </w:p>
    <w:p w14:paraId="25D2753D"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GMM – Generalized Method of Moments</w:t>
      </w:r>
    </w:p>
    <w:p w14:paraId="15E871B4"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IMF – International Monetary Fund</w:t>
      </w:r>
    </w:p>
    <w:p w14:paraId="115EBBA1"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INFVOL – Inflation Volatility</w:t>
      </w:r>
    </w:p>
    <w:p w14:paraId="55B7A9D0"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LM – Lagrange Multiplier</w:t>
      </w:r>
    </w:p>
    <w:p w14:paraId="01FA73EC"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MENA – Middle East and North Africa</w:t>
      </w:r>
    </w:p>
    <w:p w14:paraId="003DD2AB"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MSCI – Morgan Stanley Capital International</w:t>
      </w:r>
    </w:p>
    <w:p w14:paraId="5EC7AADC"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NIM – Net Interest Margin</w:t>
      </w:r>
    </w:p>
    <w:p w14:paraId="2CF2A85D"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NPA – Non-Performing Asset</w:t>
      </w:r>
    </w:p>
    <w:p w14:paraId="7431B752"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NPL – Non-Performing Loan</w:t>
      </w:r>
    </w:p>
    <w:p w14:paraId="3252C631"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OLS – Ordinary Least Squares</w:t>
      </w:r>
    </w:p>
    <w:p w14:paraId="2C8A13F4"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RE – Random Effects</w:t>
      </w:r>
    </w:p>
    <w:p w14:paraId="482C3C6D"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RIR – Real Interest Rate</w:t>
      </w:r>
    </w:p>
    <w:p w14:paraId="6416F1B2"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ROA – Return on Assets</w:t>
      </w:r>
    </w:p>
    <w:p w14:paraId="5F431A2C"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ROE – Return on Equity</w:t>
      </w:r>
    </w:p>
    <w:p w14:paraId="2C4FE207"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SADC – Southern African Development Community</w:t>
      </w:r>
    </w:p>
    <w:p w14:paraId="0F9EEA6E"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SD – Standard Deviation</w:t>
      </w:r>
    </w:p>
    <w:p w14:paraId="5E94472A"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UNCTAD – United Nations Conference on Trade and Development</w:t>
      </w:r>
    </w:p>
    <w:p w14:paraId="797B01DA"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VIF – Variance Inflation Factor</w:t>
      </w:r>
    </w:p>
    <w:p w14:paraId="7F03021A" w14:textId="77777777" w:rsidR="000C10FF" w:rsidRPr="000C10FF" w:rsidRDefault="000C10FF" w:rsidP="00BD678F">
      <w:pPr>
        <w:spacing w:line="360" w:lineRule="auto"/>
        <w:rPr>
          <w:rFonts w:ascii="Times New Roman" w:hAnsi="Times New Roman" w:cs="Times New Roman"/>
          <w:b/>
          <w:bCs/>
        </w:rPr>
      </w:pPr>
      <w:r w:rsidRPr="000C10FF">
        <w:rPr>
          <w:rFonts w:ascii="Times New Roman" w:hAnsi="Times New Roman" w:cs="Times New Roman"/>
          <w:b/>
          <w:bCs/>
        </w:rPr>
        <w:t>WDI – World Development Indicators</w:t>
      </w:r>
    </w:p>
    <w:p w14:paraId="0D66AE47" w14:textId="77777777" w:rsidR="000C10FF" w:rsidRPr="000C10FF" w:rsidRDefault="000C10FF" w:rsidP="000C10FF"/>
    <w:p w14:paraId="2D3FF4A8" w14:textId="77777777" w:rsidR="00DD7E95" w:rsidRPr="000C10FF" w:rsidRDefault="00DD7E95" w:rsidP="000C10FF">
      <w:pPr>
        <w:pStyle w:val="ListParagraph"/>
        <w:spacing w:line="600" w:lineRule="auto"/>
        <w:rPr>
          <w:rFonts w:ascii="Times New Roman" w:hAnsi="Times New Roman" w:cs="Times New Roman"/>
        </w:rPr>
      </w:pPr>
    </w:p>
    <w:p w14:paraId="230A34C4" w14:textId="6AB58A6F" w:rsidR="00DD7E95" w:rsidRPr="00DD7E95" w:rsidRDefault="00DD7E95" w:rsidP="00DD7E95">
      <w:pPr>
        <w:tabs>
          <w:tab w:val="left" w:pos="1104"/>
        </w:tabs>
        <w:sectPr w:rsidR="00DD7E95" w:rsidRPr="00DD7E95" w:rsidSect="008B6968">
          <w:footerReference w:type="default" r:id="rId11"/>
          <w:pgSz w:w="12240" w:h="15840"/>
          <w:pgMar w:top="1440" w:right="1440" w:bottom="1440" w:left="1440" w:header="720" w:footer="720" w:gutter="0"/>
          <w:pgNumType w:fmt="lowerRoman"/>
          <w:cols w:space="720"/>
          <w:titlePg/>
          <w:docGrid w:linePitch="360"/>
        </w:sectPr>
      </w:pPr>
    </w:p>
    <w:p w14:paraId="73586FEB" w14:textId="0E5A0DFA" w:rsidR="009970A5" w:rsidRPr="009D27EE" w:rsidRDefault="00E3416F" w:rsidP="00BD678F">
      <w:pPr>
        <w:pStyle w:val="Heading1"/>
        <w:jc w:val="center"/>
        <w:rPr>
          <w:rFonts w:ascii="Times New Roman" w:hAnsi="Times New Roman" w:cs="Times New Roman"/>
          <w:b/>
          <w:bCs/>
          <w:sz w:val="32"/>
          <w:szCs w:val="32"/>
        </w:rPr>
      </w:pPr>
      <w:bookmarkStart w:id="13" w:name="_Toc235530842"/>
      <w:r w:rsidRPr="009D27EE">
        <w:rPr>
          <w:rFonts w:ascii="Times New Roman" w:hAnsi="Times New Roman" w:cs="Times New Roman"/>
          <w:b/>
          <w:bCs/>
          <w:sz w:val="32"/>
          <w:szCs w:val="32"/>
        </w:rPr>
        <w:lastRenderedPageBreak/>
        <w:t>CHAPTER 1: INTRODUCTION</w:t>
      </w:r>
      <w:bookmarkEnd w:id="13"/>
    </w:p>
    <w:p w14:paraId="7A69AEF6" w14:textId="2C4DE71F" w:rsidR="00033164" w:rsidRPr="00033164" w:rsidRDefault="00033164" w:rsidP="00C44A63">
      <w:pPr>
        <w:pStyle w:val="Heading2"/>
        <w:spacing w:line="360" w:lineRule="auto"/>
        <w:jc w:val="both"/>
        <w:rPr>
          <w:rFonts w:ascii="Times New Roman" w:hAnsi="Times New Roman" w:cs="Times New Roman"/>
          <w:b/>
          <w:bCs/>
          <w:sz w:val="28"/>
          <w:szCs w:val="28"/>
        </w:rPr>
      </w:pPr>
      <w:bookmarkStart w:id="14" w:name="_Toc235530843"/>
      <w:r w:rsidRPr="00033164">
        <w:rPr>
          <w:rFonts w:ascii="Times New Roman" w:hAnsi="Times New Roman" w:cs="Times New Roman"/>
          <w:b/>
          <w:bCs/>
          <w:sz w:val="28"/>
          <w:szCs w:val="28"/>
        </w:rPr>
        <w:t>1.1 Frontier-Economy Macro-Financial Context</w:t>
      </w:r>
      <w:bookmarkEnd w:id="14"/>
    </w:p>
    <w:p w14:paraId="6F8800B4" w14:textId="25EEFB25"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Inflation volatility and the stability of the banking sector do not stand as individual macroeconomic and financial events but as part of a monetary-financial system: price fluctuations, interest rates, credit availability, bank balance sheet quality</w:t>
      </w:r>
      <w:r w:rsidR="00033164">
        <w:rPr>
          <w:rFonts w:ascii="Times New Roman" w:hAnsi="Times New Roman" w:cs="Times New Roman"/>
        </w:rPr>
        <w:t>,</w:t>
      </w:r>
      <w:r w:rsidRPr="006935A2">
        <w:rPr>
          <w:rFonts w:ascii="Times New Roman" w:hAnsi="Times New Roman" w:cs="Times New Roman"/>
        </w:rPr>
        <w:t xml:space="preserve"> and institutional strength all interact in frontier banking systems. The literature on macro-financial stability has grown increasingly aware of the non-neutrality of monetary policy for financial stability and the multiple and reinforcing mechanisms through which the interactions between the dynamics of prices and the financial sector can be </w:t>
      </w:r>
      <w:r w:rsidR="00A142E5">
        <w:rPr>
          <w:rFonts w:ascii="Times New Roman" w:hAnsi="Times New Roman" w:cs="Times New Roman"/>
        </w:rPr>
        <w:t xml:space="preserve">transmitted </w:t>
      </w:r>
      <w:r w:rsidR="00F06C98">
        <w:rPr>
          <w:rFonts w:ascii="Times New Roman" w:hAnsi="Times New Roman" w:cs="Times New Roman"/>
        </w:rPr>
        <w:fldChar w:fldCharType="begin"/>
      </w:r>
      <w:r w:rsidR="00F06C98">
        <w:rPr>
          <w:rFonts w:ascii="Times New Roman" w:hAnsi="Times New Roman" w:cs="Times New Roman"/>
        </w:rPr>
        <w:instrText xml:space="preserve"> ADDIN ZOTERO_ITEM CSL_CITATION {"citationID":"fcLvUt6I","properties":{"formattedCitation":"(Adrian et al., 2023; Vollmer, 2021)","plainCitation":"(Adrian et al., 2023; Vollmer, 2021)","noteIndex":0},"citationItems":[{"id":9,"uris":["http://zotero.org/users/local/VAqELCal/items/NHI8FKR8"],"itemData":{"id":9,"type":"article-journal","container-title":"Annual Review of Financial Economics","DOI":"10.1146/annurev-financial-110821-022107","issue":"1","journalAbbreviation":"Annual Review of Financial Economics","page":"29-54","title":"Macro-Financial Stability in the COVID-19 Crisis: Some Reflections","volume":"15","author":[{"family":"Adrian","given":"Tobias"},{"family":"Natalucci","given":"Fabio M."},{"family":"Qureshi","given":"Mahvash S."}],"issued":{"date-parts":[["2023"]]}}},{"id":10,"uris":["http://zotero.org/users/local/VAqELCal/items/IJ6N8ULA"],"itemData":{"id":10,"type":"article-journal","container-title":"Journal of Economic Surveys","DOI":"10.1111/joes.12474","issue":"5","journalAbbreviation":"Journal of Economic Surveys","page":"1510-1538","title":"Monetary Policy or Macroprudential Policies: What Can Tame the Cycles?","volume":"36","author":[{"family":"Vollmer","given":"Uwe"}],"issued":{"date-parts":[["2021"]]}}}],"schema":"https://github.com/citation-style-language/schema/raw/master/csl-citation.json"} </w:instrText>
      </w:r>
      <w:r w:rsidR="00F06C98">
        <w:rPr>
          <w:rFonts w:ascii="Times New Roman" w:hAnsi="Times New Roman" w:cs="Times New Roman"/>
        </w:rPr>
        <w:fldChar w:fldCharType="separate"/>
      </w:r>
      <w:r w:rsidR="00F06C98" w:rsidRPr="00F06C98">
        <w:rPr>
          <w:rFonts w:ascii="Times New Roman" w:hAnsi="Times New Roman" w:cs="Times New Roman"/>
        </w:rPr>
        <w:t>(Adrian et al., 2023; Vollmer, 2021)</w:t>
      </w:r>
      <w:r w:rsidR="00F06C98">
        <w:rPr>
          <w:rFonts w:ascii="Times New Roman" w:hAnsi="Times New Roman" w:cs="Times New Roman"/>
        </w:rPr>
        <w:fldChar w:fldCharType="end"/>
      </w:r>
      <w:r w:rsidR="00A142E5">
        <w:rPr>
          <w:rFonts w:ascii="Times New Roman" w:hAnsi="Times New Roman" w:cs="Times New Roman"/>
        </w:rPr>
        <w:t xml:space="preserve">. </w:t>
      </w:r>
      <w:r w:rsidRPr="006935A2">
        <w:rPr>
          <w:rFonts w:ascii="Times New Roman" w:hAnsi="Times New Roman" w:cs="Times New Roman"/>
        </w:rPr>
        <w:t xml:space="preserve">Inflation volatility doesn't </w:t>
      </w:r>
      <w:r w:rsidR="00F06C98">
        <w:rPr>
          <w:rFonts w:ascii="Times New Roman" w:hAnsi="Times New Roman" w:cs="Times New Roman"/>
        </w:rPr>
        <w:t>have only</w:t>
      </w:r>
      <w:r w:rsidRPr="006935A2">
        <w:rPr>
          <w:rFonts w:ascii="Times New Roman" w:hAnsi="Times New Roman" w:cs="Times New Roman"/>
        </w:rPr>
        <w:t xml:space="preserve"> one impact pathway on banks. They affect the cost of funding, the lending style, real returns, repayment ability, asset quality</w:t>
      </w:r>
      <w:r w:rsidR="00033164">
        <w:rPr>
          <w:rFonts w:ascii="Times New Roman" w:hAnsi="Times New Roman" w:cs="Times New Roman"/>
        </w:rPr>
        <w:t>,</w:t>
      </w:r>
      <w:r w:rsidRPr="006935A2">
        <w:rPr>
          <w:rFonts w:ascii="Times New Roman" w:hAnsi="Times New Roman" w:cs="Times New Roman"/>
        </w:rPr>
        <w:t xml:space="preserve"> and risk perception</w:t>
      </w:r>
      <w:r w:rsidR="00F06C98">
        <w:rPr>
          <w:rFonts w:ascii="Times New Roman" w:hAnsi="Times New Roman" w:cs="Times New Roman"/>
        </w:rPr>
        <w:fldChar w:fldCharType="begin"/>
      </w:r>
      <w:r w:rsidR="00F06C98">
        <w:rPr>
          <w:rFonts w:ascii="Times New Roman" w:hAnsi="Times New Roman" w:cs="Times New Roman"/>
        </w:rPr>
        <w:instrText xml:space="preserve"> ADDIN ZOTERO_ITEM CSL_CITATION {"citationID":"tMJ8RGnv","properties":{"formattedCitation":"(Kuvshinov et al., 2021; Vollmer, 2021)","plainCitation":"(Kuvshinov et al., 2021; Vollmer, 2021)","noteIndex":0},"citationItems":[{"id":11,"uris":["http://zotero.org/users/local/VAqELCal/items/LGUG5VTV"],"itemData":{"id":11,"type":"article-journal","container-title":"SSRN Electronic Journal","DOI":"10.2139/ssrn.3942472","journalAbbreviation":"SSRN Electronic Journal","title":"The Shifts and the Shocks: Bank Risk, Leverage, and the Macroeconomy","author":[{"family":"Kuvshinov","given":"D."},{"family":"Richter","given":"Björn"},{"family":"Zimmermann","given":"Kaspar"}],"issued":{"date-parts":[["2021"]]}}},{"id":10,"uris":["http://zotero.org/users/local/VAqELCal/items/IJ6N8ULA"],"itemData":{"id":10,"type":"article-journal","container-title":"Journal of Economic Surveys","DOI":"10.1111/joes.12474","issue":"5","journalAbbreviation":"Journal of Economic Surveys","page":"1510-1538","title":"Monetary Policy or Macroprudential Policies: What Can Tame the Cycles?","volume":"36","author":[{"family":"Vollmer","given":"Uwe"}],"issued":{"date-parts":[["2021"]]}}}],"schema":"https://github.com/citation-style-language/schema/raw/master/csl-citation.json"} </w:instrText>
      </w:r>
      <w:r w:rsidR="00F06C98">
        <w:rPr>
          <w:rFonts w:ascii="Times New Roman" w:hAnsi="Times New Roman" w:cs="Times New Roman"/>
        </w:rPr>
        <w:fldChar w:fldCharType="separate"/>
      </w:r>
      <w:r w:rsidR="00F06C98" w:rsidRPr="00F06C98">
        <w:rPr>
          <w:rFonts w:ascii="Times New Roman" w:hAnsi="Times New Roman" w:cs="Times New Roman"/>
        </w:rPr>
        <w:t>(Kuvshinov et al., 2021; Vollmer, 2021)</w:t>
      </w:r>
      <w:r w:rsidR="00F06C98">
        <w:rPr>
          <w:rFonts w:ascii="Times New Roman" w:hAnsi="Times New Roman" w:cs="Times New Roman"/>
        </w:rPr>
        <w:fldChar w:fldCharType="end"/>
      </w:r>
      <w:r w:rsidRPr="006935A2">
        <w:rPr>
          <w:rFonts w:ascii="Times New Roman" w:hAnsi="Times New Roman" w:cs="Times New Roman"/>
        </w:rPr>
        <w:t xml:space="preserve">. High inflation can widen the gap between nominal interest rates paid on banks' assets and liabilities, thus </w:t>
      </w:r>
      <w:r w:rsidR="00033164">
        <w:rPr>
          <w:rFonts w:ascii="Times New Roman" w:hAnsi="Times New Roman" w:cs="Times New Roman"/>
        </w:rPr>
        <w:t>increasing</w:t>
      </w:r>
      <w:r w:rsidRPr="006935A2">
        <w:rPr>
          <w:rFonts w:ascii="Times New Roman" w:hAnsi="Times New Roman" w:cs="Times New Roman"/>
        </w:rPr>
        <w:t xml:space="preserve"> the risks arising from maturity transformation, while deflation can increase </w:t>
      </w:r>
      <w:r w:rsidR="00033164">
        <w:rPr>
          <w:rFonts w:ascii="Times New Roman" w:hAnsi="Times New Roman" w:cs="Times New Roman"/>
        </w:rPr>
        <w:t xml:space="preserve">the </w:t>
      </w:r>
      <w:r w:rsidRPr="006935A2">
        <w:rPr>
          <w:rFonts w:ascii="Times New Roman" w:hAnsi="Times New Roman" w:cs="Times New Roman"/>
        </w:rPr>
        <w:t>real value of credits extended by banks, which makes it harder for borrowers to pay off banks' credits and hence increases credit risk</w:t>
      </w:r>
      <w:r w:rsidR="00F06C98">
        <w:rPr>
          <w:rFonts w:ascii="Times New Roman" w:hAnsi="Times New Roman" w:cs="Times New Roman"/>
        </w:rPr>
        <w:fldChar w:fldCharType="begin"/>
      </w:r>
      <w:r w:rsidR="00F06C98">
        <w:rPr>
          <w:rFonts w:ascii="Times New Roman" w:hAnsi="Times New Roman" w:cs="Times New Roman"/>
        </w:rPr>
        <w:instrText xml:space="preserve"> ADDIN ZOTERO_ITEM CSL_CITATION {"citationID":"2q3mtTyB","properties":{"formattedCitation":"(Kuvshinov et al., 2021)","plainCitation":"(Kuvshinov et al., 2021)","noteIndex":0},"citationItems":[{"id":11,"uris":["http://zotero.org/users/local/VAqELCal/items/LGUG5VTV"],"itemData":{"id":11,"type":"article-journal","container-title":"SSRN Electronic Journal","DOI":"10.2139/ssrn.3942472","journalAbbreviation":"SSRN Electronic Journal","title":"The Shifts and the Shocks: Bank Risk, Leverage, and the Macroeconomy","author":[{"family":"Kuvshinov","given":"D."},{"family":"Richter","given":"Björn"},{"family":"Zimmermann","given":"Kaspar"}],"issued":{"date-parts":[["2021"]]}}}],"schema":"https://github.com/citation-style-language/schema/raw/master/csl-citation.json"} </w:instrText>
      </w:r>
      <w:r w:rsidR="00F06C98">
        <w:rPr>
          <w:rFonts w:ascii="Times New Roman" w:hAnsi="Times New Roman" w:cs="Times New Roman"/>
        </w:rPr>
        <w:fldChar w:fldCharType="separate"/>
      </w:r>
      <w:r w:rsidR="00F06C98" w:rsidRPr="00F06C98">
        <w:rPr>
          <w:rFonts w:ascii="Times New Roman" w:hAnsi="Times New Roman" w:cs="Times New Roman"/>
        </w:rPr>
        <w:t>(Kuvshinov et al., 2021)</w:t>
      </w:r>
      <w:r w:rsidR="00F06C98">
        <w:rPr>
          <w:rFonts w:ascii="Times New Roman" w:hAnsi="Times New Roman" w:cs="Times New Roman"/>
        </w:rPr>
        <w:fldChar w:fldCharType="end"/>
      </w:r>
      <w:r w:rsidRPr="006935A2">
        <w:rPr>
          <w:rFonts w:ascii="Times New Roman" w:hAnsi="Times New Roman" w:cs="Times New Roman"/>
        </w:rPr>
        <w:t>. The effects of those responses of the banking sector on credit allocation, liquidity conditions, and the propagation of macroeconomic shocks in turn</w:t>
      </w:r>
      <w:r w:rsidR="00F06C98">
        <w:rPr>
          <w:rFonts w:ascii="Times New Roman" w:hAnsi="Times New Roman" w:cs="Times New Roman"/>
        </w:rPr>
        <w:fldChar w:fldCharType="begin"/>
      </w:r>
      <w:r w:rsidR="00F06C98">
        <w:rPr>
          <w:rFonts w:ascii="Times New Roman" w:hAnsi="Times New Roman" w:cs="Times New Roman"/>
        </w:rPr>
        <w:instrText xml:space="preserve"> ADDIN ZOTERO_ITEM CSL_CITATION {"citationID":"3hXc0Qmx","properties":{"formattedCitation":"(Evgenidis &amp; Malliaris, 2022; Vollmer, 2021)","plainCitation":"(Evgenidis &amp; Malliaris, 2022; Vollmer, 2021)","noteIndex":0},"citationItems":[{"id":12,"uris":["http://zotero.org/users/local/VAqELCal/items/H25535JZ"],"itemData":{"id":12,"type":"article-journal","container-title":"Review of Quantitative Finance and Accounting","DOI":"10.1007/s11156-022-01045-z","issue":"2","journalAbbreviation":"Review of Quantitative Finance and Accounting","page":"429-456","title":"Monetary Policy, Financial Shocks and Economic Activity","volume":"59","author":[{"family":"Evgenidis","given":"Anastasios"},{"family":"Malliaris","given":"A. G."}],"issued":{"date-parts":[["2022"]]}}},{"id":10,"uris":["http://zotero.org/users/local/VAqELCal/items/IJ6N8ULA"],"itemData":{"id":10,"type":"article-journal","container-title":"Journal of Economic Surveys","DOI":"10.1111/joes.12474","issue":"5","journalAbbreviation":"Journal of Economic Surveys","page":"1510-1538","title":"Monetary Policy or Macroprudential Policies: What Can Tame the Cycles?","volume":"36","author":[{"family":"Vollmer","given":"Uwe"}],"issued":{"date-parts":[["2021"]]}}}],"schema":"https://github.com/citation-style-language/schema/raw/master/csl-citation.json"} </w:instrText>
      </w:r>
      <w:r w:rsidR="00F06C98">
        <w:rPr>
          <w:rFonts w:ascii="Times New Roman" w:hAnsi="Times New Roman" w:cs="Times New Roman"/>
        </w:rPr>
        <w:fldChar w:fldCharType="separate"/>
      </w:r>
      <w:r w:rsidR="00F06C98" w:rsidRPr="00F06C98">
        <w:rPr>
          <w:rFonts w:ascii="Times New Roman" w:hAnsi="Times New Roman" w:cs="Times New Roman"/>
        </w:rPr>
        <w:t>(Evgenidis &amp; Malliaris, 2022; Vollmer, 2021)</w:t>
      </w:r>
      <w:r w:rsidR="00F06C98">
        <w:rPr>
          <w:rFonts w:ascii="Times New Roman" w:hAnsi="Times New Roman" w:cs="Times New Roman"/>
        </w:rPr>
        <w:fldChar w:fldCharType="end"/>
      </w:r>
      <w:r w:rsidRPr="006935A2">
        <w:rPr>
          <w:rFonts w:ascii="Times New Roman" w:hAnsi="Times New Roman" w:cs="Times New Roman"/>
        </w:rPr>
        <w:t xml:space="preserve">. This is a reason why studying inflation manifestations exclusively as a manifestation on the macro level and considering banking vulnerability only as a </w:t>
      </w:r>
      <w:r w:rsidR="00033164">
        <w:rPr>
          <w:rFonts w:ascii="Times New Roman" w:hAnsi="Times New Roman" w:cs="Times New Roman"/>
        </w:rPr>
        <w:t>banking-level</w:t>
      </w:r>
      <w:r w:rsidRPr="006935A2">
        <w:rPr>
          <w:rFonts w:ascii="Times New Roman" w:hAnsi="Times New Roman" w:cs="Times New Roman"/>
        </w:rPr>
        <w:t xml:space="preserve"> indicator does not yield a full picture of the vulnerability creation and spread.</w:t>
      </w:r>
    </w:p>
    <w:p w14:paraId="4F8FE19E" w14:textId="3B0E1A3D"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This integrated view is particularly relevant to the frontier economies, where financial systems are shallower, policy transmission channels are less developed</w:t>
      </w:r>
      <w:r w:rsidR="00033164">
        <w:rPr>
          <w:rFonts w:ascii="Times New Roman" w:hAnsi="Times New Roman" w:cs="Times New Roman"/>
        </w:rPr>
        <w:t>,</w:t>
      </w:r>
      <w:r w:rsidRPr="006935A2">
        <w:rPr>
          <w:rFonts w:ascii="Times New Roman" w:hAnsi="Times New Roman" w:cs="Times New Roman"/>
        </w:rPr>
        <w:t xml:space="preserve"> and shock sensitivity is higher than that of advanced and larger emerging economies. Creating the necessary conditions for central banks in emerging and frontier economies (EFEs) to meet macroeconomic and financial stability goals may be more difficult due to the government's intervention and political pressures, the limited credibility and skills of the central banks in controlling inflation, and the weak transmission of central bank policies that are, ultimately, all sources of uncertainty about the impact of monetary policy</w:t>
      </w:r>
      <w:r w:rsidR="00F06C98">
        <w:rPr>
          <w:rFonts w:ascii="Times New Roman" w:hAnsi="Times New Roman" w:cs="Times New Roman"/>
        </w:rPr>
        <w:fldChar w:fldCharType="begin"/>
      </w:r>
      <w:r w:rsidR="00F06C98">
        <w:rPr>
          <w:rFonts w:ascii="Times New Roman" w:hAnsi="Times New Roman" w:cs="Times New Roman"/>
        </w:rPr>
        <w:instrText xml:space="preserve"> ADDIN ZOTERO_ITEM CSL_CITATION {"citationID":"rzL13e2c","properties":{"formattedCitation":"(El\\uc0\\u8208{}Shagi &amp; Tochkov, 2021, 2022)","plainCitation":"(El‐Shagi &amp; Tochkov, 2021, 2022)","noteIndex":0},"citationItems":[{"id":14,"uris":["http://zotero.org/users/local/VAqELCal/items/RAX85DC8"],"itemData":{"id":14,"type":"article-journal","container-title":"SSRN Electronic Journal","DOI":"10.2139/ssrn.3888064","journalAbbreviation":"SSRN Electronic Journal","title":"Divisia Monetary Aggregates for Russia: Money Demand, GDP Nowcasting, and the Price Puzzle","author":[{"family":"El‐Shagi","given":"Makram"},{"family":"Tochkov","given":"Kiril"}],"issued":{"date-parts":[["2021"]]}}},{"id":13,"uris":["http://zotero.org/users/local/VAqELCal/items/J7Y5AJ76"],"itemData":{"id":13,"type":"article-journal","container-title":"Economic Systems","DOI":"10.1016/j.ecosys.2022.101054","issue":"4","journalAbbreviation":"Economic Systems","page":"101054","title":"Divisia Monetary Aggregates for Russia: Money Demand, GDP Nowcasting and the Price Puzzle","volume":"46","author":[{"family":"El‐Shagi","given":"Makram"},{"family":"Tochkov","given":"Kiril"}],"issued":{"date-parts":[["2022"]]}}}],"schema":"https://github.com/citation-style-language/schema/raw/master/csl-citation.json"} </w:instrText>
      </w:r>
      <w:r w:rsidR="00F06C98">
        <w:rPr>
          <w:rFonts w:ascii="Times New Roman" w:hAnsi="Times New Roman" w:cs="Times New Roman"/>
        </w:rPr>
        <w:fldChar w:fldCharType="separate"/>
      </w:r>
      <w:r w:rsidR="00F06C98" w:rsidRPr="00F06C98">
        <w:rPr>
          <w:rFonts w:ascii="Times New Roman" w:hAnsi="Times New Roman" w:cs="Times New Roman"/>
          <w:kern w:val="0"/>
        </w:rPr>
        <w:t>(El‐Shagi &amp; Tochkov, 2021, 2022)</w:t>
      </w:r>
      <w:r w:rsidR="00F06C98">
        <w:rPr>
          <w:rFonts w:ascii="Times New Roman" w:hAnsi="Times New Roman" w:cs="Times New Roman"/>
        </w:rPr>
        <w:fldChar w:fldCharType="end"/>
      </w:r>
      <w:r w:rsidRPr="006935A2">
        <w:rPr>
          <w:rFonts w:ascii="Times New Roman" w:hAnsi="Times New Roman" w:cs="Times New Roman"/>
        </w:rPr>
        <w:t xml:space="preserve">. Further, the financial system in less advanced economies also suffers from lower levels of capitalization or regulation; higher levels of problematic loans </w:t>
      </w:r>
      <w:r w:rsidRPr="006935A2">
        <w:rPr>
          <w:rFonts w:ascii="Times New Roman" w:hAnsi="Times New Roman" w:cs="Times New Roman"/>
        </w:rPr>
        <w:lastRenderedPageBreak/>
        <w:t>and a more risky environment for financial intermediation push banks into a position of risk where higher spreads are needed as compensation</w:t>
      </w:r>
      <w:r w:rsidR="00F06C98">
        <w:rPr>
          <w:rFonts w:ascii="Times New Roman" w:hAnsi="Times New Roman" w:cs="Times New Roman"/>
        </w:rPr>
        <w:fldChar w:fldCharType="begin"/>
      </w:r>
      <w:r w:rsidR="00F06C98">
        <w:rPr>
          <w:rFonts w:ascii="Times New Roman" w:hAnsi="Times New Roman" w:cs="Times New Roman"/>
        </w:rPr>
        <w:instrText xml:space="preserve"> ADDIN ZOTERO_ITEM CSL_CITATION {"citationID":"QuZ3FFqI","properties":{"formattedCitation":"(Mendon\\uc0\\u231{}a, 2024)","plainCitation":"(Mendonça, 2024)","noteIndex":0},"citationItems":[{"id":15,"uris":["http://zotero.org/users/local/VAqELCal/items/RKXQ2S7C"],"itemData":{"id":15,"type":"article-journal","container-title":"Journal of Finance &amp; Economic Research","DOI":"10.20547/jfer2409103","issue":"1","journalAbbreviation":"Journal of Finance &amp; Economic Research","page":"27-48","title":"The Relationship of Government Effectiveness and Level of Economic Development With Bank Spread in Different Countries","volume":"9","author":[{"family":"Mendonça","given":"Douglas J."}],"issued":{"date-parts":[["2024"]]}}}],"schema":"https://github.com/citation-style-language/schema/raw/master/csl-citation.json"} </w:instrText>
      </w:r>
      <w:r w:rsidR="00F06C98">
        <w:rPr>
          <w:rFonts w:ascii="Times New Roman" w:hAnsi="Times New Roman" w:cs="Times New Roman"/>
        </w:rPr>
        <w:fldChar w:fldCharType="separate"/>
      </w:r>
      <w:r w:rsidR="00F06C98" w:rsidRPr="00F06C98">
        <w:rPr>
          <w:rFonts w:ascii="Times New Roman" w:hAnsi="Times New Roman" w:cs="Times New Roman"/>
          <w:kern w:val="0"/>
        </w:rPr>
        <w:t>(Mendonça, 2024)</w:t>
      </w:r>
      <w:r w:rsidR="00F06C98">
        <w:rPr>
          <w:rFonts w:ascii="Times New Roman" w:hAnsi="Times New Roman" w:cs="Times New Roman"/>
        </w:rPr>
        <w:fldChar w:fldCharType="end"/>
      </w:r>
      <w:r w:rsidRPr="006935A2">
        <w:rPr>
          <w:rFonts w:ascii="Times New Roman" w:hAnsi="Times New Roman" w:cs="Times New Roman"/>
        </w:rPr>
        <w:t>. Financial instability is more common in developing economies, and the level of economic development plays a crucial role in determining banking spread levels, reflecting the characteristics and stability of each country's financial system</w:t>
      </w:r>
      <w:r w:rsidR="00F06C98">
        <w:rPr>
          <w:rFonts w:ascii="Times New Roman" w:hAnsi="Times New Roman" w:cs="Times New Roman"/>
        </w:rPr>
        <w:fldChar w:fldCharType="begin"/>
      </w:r>
      <w:r w:rsidR="00F06C98">
        <w:rPr>
          <w:rFonts w:ascii="Times New Roman" w:hAnsi="Times New Roman" w:cs="Times New Roman"/>
        </w:rPr>
        <w:instrText xml:space="preserve"> ADDIN ZOTERO_ITEM CSL_CITATION {"citationID":"0DYUN7t3","properties":{"formattedCitation":"(Mendon\\uc0\\u231{}a, 2024)","plainCitation":"(Mendonça, 2024)","noteIndex":0},"citationItems":[{"id":15,"uris":["http://zotero.org/users/local/VAqELCal/items/RKXQ2S7C"],"itemData":{"id":15,"type":"article-journal","container-title":"Journal of Finance &amp; Economic Research","DOI":"10.20547/jfer2409103","issue":"1","journalAbbreviation":"Journal of Finance &amp; Economic Research","page":"27-48","title":"The Relationship of Government Effectiveness and Level of Economic Development With Bank Spread in Different Countries","volume":"9","author":[{"family":"Mendonça","given":"Douglas J."}],"issued":{"date-parts":[["2024"]]}}}],"schema":"https://github.com/citation-style-language/schema/raw/master/csl-citation.json"} </w:instrText>
      </w:r>
      <w:r w:rsidR="00F06C98">
        <w:rPr>
          <w:rFonts w:ascii="Times New Roman" w:hAnsi="Times New Roman" w:cs="Times New Roman"/>
        </w:rPr>
        <w:fldChar w:fldCharType="separate"/>
      </w:r>
      <w:r w:rsidR="00F06C98" w:rsidRPr="00F06C98">
        <w:rPr>
          <w:rFonts w:ascii="Times New Roman" w:hAnsi="Times New Roman" w:cs="Times New Roman"/>
          <w:kern w:val="0"/>
        </w:rPr>
        <w:t>(Mendonça, 2024)</w:t>
      </w:r>
      <w:r w:rsidR="00F06C98">
        <w:rPr>
          <w:rFonts w:ascii="Times New Roman" w:hAnsi="Times New Roman" w:cs="Times New Roman"/>
        </w:rPr>
        <w:fldChar w:fldCharType="end"/>
      </w:r>
      <w:r w:rsidRPr="006935A2">
        <w:rPr>
          <w:rFonts w:ascii="Times New Roman" w:hAnsi="Times New Roman" w:cs="Times New Roman"/>
        </w:rPr>
        <w:t>. Furthermore, financial stability literature in emerging markets has shown that financial integration pressures can arise from inflation volatility, and that there are strong links among credit volatility, real interest rate volatility</w:t>
      </w:r>
      <w:r w:rsidR="00033164">
        <w:rPr>
          <w:rFonts w:ascii="Times New Roman" w:hAnsi="Times New Roman" w:cs="Times New Roman"/>
        </w:rPr>
        <w:t>,</w:t>
      </w:r>
      <w:r w:rsidRPr="006935A2">
        <w:rPr>
          <w:rFonts w:ascii="Times New Roman" w:hAnsi="Times New Roman" w:cs="Times New Roman"/>
        </w:rPr>
        <w:t xml:space="preserve"> and output volatility</w:t>
      </w:r>
      <w:r w:rsidR="00F06C98">
        <w:rPr>
          <w:rFonts w:ascii="Times New Roman" w:hAnsi="Times New Roman" w:cs="Times New Roman"/>
        </w:rPr>
        <w:fldChar w:fldCharType="begin"/>
      </w:r>
      <w:r w:rsidR="00F06C98">
        <w:rPr>
          <w:rFonts w:ascii="Times New Roman" w:hAnsi="Times New Roman" w:cs="Times New Roman"/>
        </w:rPr>
        <w:instrText xml:space="preserve"> ADDIN ZOTERO_ITEM CSL_CITATION {"citationID":"tKo0TSRE","properties":{"formattedCitation":"(Arora &amp; Kashiramka, 2023)","plainCitation":"(Arora &amp; Kashiramka, 2023)","noteIndex":0},"citationItems":[{"id":16,"uris":["http://zotero.org/users/local/VAqELCal/items/S7BQ7IYM"],"itemData":{"id":16,"type":"article-journal","container-title":"China Accounting and Finance Review","DOI":"10.1108/cafr-12-2022-0129","issue":"4","journalAbbreviation":"China Accounting and Finance Review","page":"488-512","title":"Are Shadow Banks a Threat to The financial Stability of EMEs?","volume":"25","author":[{"family":"Arora","given":"Dhulika"},{"family":"Kashiramka","given":"Smita"}],"issued":{"date-parts":[["2023"]]}}}],"schema":"https://github.com/citation-style-language/schema/raw/master/csl-citation.json"} </w:instrText>
      </w:r>
      <w:r w:rsidR="00F06C98">
        <w:rPr>
          <w:rFonts w:ascii="Times New Roman" w:hAnsi="Times New Roman" w:cs="Times New Roman"/>
        </w:rPr>
        <w:fldChar w:fldCharType="separate"/>
      </w:r>
      <w:r w:rsidR="00F06C98" w:rsidRPr="00F06C98">
        <w:rPr>
          <w:rFonts w:ascii="Times New Roman" w:hAnsi="Times New Roman" w:cs="Times New Roman"/>
        </w:rPr>
        <w:t>(Arora &amp; Kashiramka, 2023)</w:t>
      </w:r>
      <w:r w:rsidR="00F06C98">
        <w:rPr>
          <w:rFonts w:ascii="Times New Roman" w:hAnsi="Times New Roman" w:cs="Times New Roman"/>
        </w:rPr>
        <w:fldChar w:fldCharType="end"/>
      </w:r>
      <w:r w:rsidRPr="006935A2">
        <w:rPr>
          <w:rFonts w:ascii="Times New Roman" w:hAnsi="Times New Roman" w:cs="Times New Roman"/>
        </w:rPr>
        <w:t>. While there are various proxies in the literature that show financial stability (bank Z-scores, non-performing asset ratios, and stock market volatility), the causal link between inflation and banking fragility is situation-dependent</w:t>
      </w:r>
      <w:r w:rsidR="00F06C98">
        <w:rPr>
          <w:rFonts w:ascii="Times New Roman" w:hAnsi="Times New Roman" w:cs="Times New Roman"/>
        </w:rPr>
        <w:fldChar w:fldCharType="begin"/>
      </w:r>
      <w:r w:rsidR="00F06C98">
        <w:rPr>
          <w:rFonts w:ascii="Times New Roman" w:hAnsi="Times New Roman" w:cs="Times New Roman"/>
        </w:rPr>
        <w:instrText xml:space="preserve"> ADDIN ZOTERO_ITEM CSL_CITATION {"citationID":"05OpHd9a","properties":{"formattedCitation":"(Arora &amp; Kashiramka, 2023)","plainCitation":"(Arora &amp; Kashiramka, 2023)","noteIndex":0},"citationItems":[{"id":16,"uris":["http://zotero.org/users/local/VAqELCal/items/S7BQ7IYM"],"itemData":{"id":16,"type":"article-journal","container-title":"China Accounting and Finance Review","DOI":"10.1108/cafr-12-2022-0129","issue":"4","journalAbbreviation":"China Accounting and Finance Review","page":"488-512","title":"Are Shadow Banks a Threat to The financial Stability of EMEs?","volume":"25","author":[{"family":"Arora","given":"Dhulika"},{"family":"Kashiramka","given":"Smita"}],"issued":{"date-parts":[["2023"]]}}}],"schema":"https://github.com/citation-style-language/schema/raw/master/csl-citation.json"} </w:instrText>
      </w:r>
      <w:r w:rsidR="00F06C98">
        <w:rPr>
          <w:rFonts w:ascii="Times New Roman" w:hAnsi="Times New Roman" w:cs="Times New Roman"/>
        </w:rPr>
        <w:fldChar w:fldCharType="separate"/>
      </w:r>
      <w:r w:rsidR="00F06C98" w:rsidRPr="00F06C98">
        <w:rPr>
          <w:rFonts w:ascii="Times New Roman" w:hAnsi="Times New Roman" w:cs="Times New Roman"/>
        </w:rPr>
        <w:t>(Arora &amp; Kashiramka, 2023)</w:t>
      </w:r>
      <w:r w:rsidR="00F06C98">
        <w:rPr>
          <w:rFonts w:ascii="Times New Roman" w:hAnsi="Times New Roman" w:cs="Times New Roman"/>
        </w:rPr>
        <w:fldChar w:fldCharType="end"/>
      </w:r>
      <w:r w:rsidRPr="006935A2">
        <w:rPr>
          <w:rFonts w:ascii="Times New Roman" w:hAnsi="Times New Roman" w:cs="Times New Roman"/>
        </w:rPr>
        <w:t>.</w:t>
      </w:r>
    </w:p>
    <w:p w14:paraId="5DCF3759" w14:textId="24130FF4"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In these environments, the link between banking stability and inflation volatility depends not only on the overall inflation evolution, but also on structural factors, regulatory capabilities</w:t>
      </w:r>
      <w:r w:rsidR="00033164">
        <w:rPr>
          <w:rFonts w:ascii="Times New Roman" w:hAnsi="Times New Roman" w:cs="Times New Roman"/>
        </w:rPr>
        <w:t>,</w:t>
      </w:r>
      <w:r w:rsidRPr="006935A2">
        <w:rPr>
          <w:rFonts w:ascii="Times New Roman" w:hAnsi="Times New Roman" w:cs="Times New Roman"/>
        </w:rPr>
        <w:t xml:space="preserve"> and banks' capacity to absorb uncertainties. The banking capital channel is an important transmission channel that can increase the effect of shocks on output, investment</w:t>
      </w:r>
      <w:r w:rsidR="00033164">
        <w:rPr>
          <w:rFonts w:ascii="Times New Roman" w:hAnsi="Times New Roman" w:cs="Times New Roman"/>
        </w:rPr>
        <w:t>,</w:t>
      </w:r>
      <w:r w:rsidRPr="006935A2">
        <w:rPr>
          <w:rFonts w:ascii="Times New Roman" w:hAnsi="Times New Roman" w:cs="Times New Roman"/>
        </w:rPr>
        <w:t xml:space="preserve"> and inflation, or the economy with a larger stock of banks can absorb the shocks better than the economy with a smaller stock of banks</w:t>
      </w:r>
      <w:r w:rsidR="00F06C98">
        <w:rPr>
          <w:rFonts w:ascii="Times New Roman" w:hAnsi="Times New Roman" w:cs="Times New Roman"/>
        </w:rPr>
        <w:fldChar w:fldCharType="begin"/>
      </w:r>
      <w:r w:rsidR="00F06C98">
        <w:rPr>
          <w:rFonts w:ascii="Times New Roman" w:hAnsi="Times New Roman" w:cs="Times New Roman"/>
        </w:rPr>
        <w:instrText xml:space="preserve"> ADDIN ZOTERO_ITEM CSL_CITATION {"citationID":"S0smklxq","properties":{"formattedCitation":"(Jord\\uc0\\u224{} et al., 2020; Vollmer, 2021)","plainCitation":"(Jordà et al., 2020; Vollmer, 2021)","noteIndex":0},"citationItems":[{"id":17,"uris":["http://zotero.org/users/local/VAqELCal/items/ND36LFXD"],"itemData":{"id":17,"type":"article-journal","container-title":"The Review of Economic Studies","DOI":"10.1093/restud/rdaa040","issue":"1","journalAbbreviation":"The Review of Economic Studies","page":"260-286","title":"Bank Capital Redux: Solvency, Liquidity, and Crisis","volume":"88","author":[{"family":"Jordà","given":"Òscar"},{"family":"Richter","given":"Björn"},{"family":"Schularick","given":"Moritz"},{"family":"Taylor","given":"Alan M."}],"issued":{"date-parts":[["2020"]]}}},{"id":10,"uris":["http://zotero.org/users/local/VAqELCal/items/IJ6N8ULA"],"itemData":{"id":10,"type":"article-journal","container-title":"Journal of Economic Surveys","DOI":"10.1111/joes.12474","issue":"5","journalAbbreviation":"Journal of Economic Surveys","page":"1510-1538","title":"Monetary Policy or Macroprudential Policies: What Can Tame the Cycles?","volume":"36","author":[{"family":"Vollmer","given":"Uwe"}],"issued":{"date-parts":[["2021"]]}}}],"schema":"https://github.com/citation-style-language/schema/raw/master/csl-citation.json"} </w:instrText>
      </w:r>
      <w:r w:rsidR="00F06C98">
        <w:rPr>
          <w:rFonts w:ascii="Times New Roman" w:hAnsi="Times New Roman" w:cs="Times New Roman"/>
        </w:rPr>
        <w:fldChar w:fldCharType="separate"/>
      </w:r>
      <w:r w:rsidR="00F06C98" w:rsidRPr="00F06C98">
        <w:rPr>
          <w:rFonts w:ascii="Times New Roman" w:hAnsi="Times New Roman" w:cs="Times New Roman"/>
          <w:kern w:val="0"/>
        </w:rPr>
        <w:t>(Jordà et al., 2020; Vollmer, 2021)</w:t>
      </w:r>
      <w:r w:rsidR="00F06C98">
        <w:rPr>
          <w:rFonts w:ascii="Times New Roman" w:hAnsi="Times New Roman" w:cs="Times New Roman"/>
        </w:rPr>
        <w:fldChar w:fldCharType="end"/>
      </w:r>
      <w:r w:rsidRPr="006935A2">
        <w:rPr>
          <w:rFonts w:ascii="Times New Roman" w:hAnsi="Times New Roman" w:cs="Times New Roman"/>
        </w:rPr>
        <w:t xml:space="preserve">. Economies with more capitalized banking systems, however, recover </w:t>
      </w:r>
      <w:r w:rsidR="00033164">
        <w:rPr>
          <w:rFonts w:ascii="Times New Roman" w:hAnsi="Times New Roman" w:cs="Times New Roman"/>
        </w:rPr>
        <w:t>more quickly</w:t>
      </w:r>
      <w:r w:rsidRPr="006935A2">
        <w:rPr>
          <w:rFonts w:ascii="Times New Roman" w:hAnsi="Times New Roman" w:cs="Times New Roman"/>
        </w:rPr>
        <w:t xml:space="preserve"> after a financial crisis because credit starts coming out again more easily, although having a higher level of banking sector capital does not necessarily mean the crisis does not occur</w:t>
      </w:r>
      <w:r w:rsidR="00B45CB8">
        <w:rPr>
          <w:rFonts w:ascii="Times New Roman" w:hAnsi="Times New Roman" w:cs="Times New Roman"/>
        </w:rPr>
        <w:fldChar w:fldCharType="begin"/>
      </w:r>
      <w:r w:rsidR="00B45CB8">
        <w:rPr>
          <w:rFonts w:ascii="Times New Roman" w:hAnsi="Times New Roman" w:cs="Times New Roman"/>
        </w:rPr>
        <w:instrText xml:space="preserve"> ADDIN ZOTERO_ITEM CSL_CITATION {"citationID":"ru0vQGeU","properties":{"formattedCitation":"(Jord\\uc0\\u224{} et al., 2020)","plainCitation":"(Jordà et al., 2020)","noteIndex":0},"citationItems":[{"id":17,"uris":["http://zotero.org/users/local/VAqELCal/items/ND36LFXD"],"itemData":{"id":17,"type":"article-journal","container-title":"The Review of Economic Studies","DOI":"10.1093/restud/rdaa040","issue":"1","journalAbbreviation":"The Review of Economic Studies","page":"260-286","title":"Bank Capital Redux: Solvency, Liquidity, and Crisis","volume":"88","author":[{"family":"Jordà","given":"Òscar"},{"family":"Richter","given":"Björn"},{"family":"Schularick","given":"Moritz"},{"family":"Taylor","given":"Alan M."}],"issued":{"date-parts":[["2020"]]}}}],"schema":"https://github.com/citation-style-language/schema/raw/master/csl-citation.json"} </w:instrText>
      </w:r>
      <w:r w:rsidR="00B45CB8">
        <w:rPr>
          <w:rFonts w:ascii="Times New Roman" w:hAnsi="Times New Roman" w:cs="Times New Roman"/>
        </w:rPr>
        <w:fldChar w:fldCharType="separate"/>
      </w:r>
      <w:r w:rsidR="00B45CB8" w:rsidRPr="00B45CB8">
        <w:rPr>
          <w:rFonts w:ascii="Times New Roman" w:hAnsi="Times New Roman" w:cs="Times New Roman"/>
          <w:kern w:val="0"/>
        </w:rPr>
        <w:t>(Jordà et al., 2020)</w:t>
      </w:r>
      <w:r w:rsidR="00B45CB8">
        <w:rPr>
          <w:rFonts w:ascii="Times New Roman" w:hAnsi="Times New Roman" w:cs="Times New Roman"/>
        </w:rPr>
        <w:fldChar w:fldCharType="end"/>
      </w:r>
      <w:r w:rsidRPr="006935A2">
        <w:rPr>
          <w:rFonts w:ascii="Times New Roman" w:hAnsi="Times New Roman" w:cs="Times New Roman"/>
        </w:rPr>
        <w:t>. In commodity-dependent frontier economies, commodity price volatility is associated with lower fiscal revenues, higher public debt, and a shortening of debt maturity, which can put further pressure on banks' balance sheets through weaker financials of public companies and sovereign-bank linkages</w:t>
      </w:r>
      <w:r w:rsidR="00B45CB8">
        <w:rPr>
          <w:rFonts w:ascii="Times New Roman" w:hAnsi="Times New Roman" w:cs="Times New Roman"/>
        </w:rPr>
        <w:fldChar w:fldCharType="begin"/>
      </w:r>
      <w:r w:rsidR="00B45CB8">
        <w:rPr>
          <w:rFonts w:ascii="Times New Roman" w:hAnsi="Times New Roman" w:cs="Times New Roman"/>
        </w:rPr>
        <w:instrText xml:space="preserve"> ADDIN ZOTERO_ITEM CSL_CITATION {"citationID":"vzYmGflv","properties":{"formattedCitation":"(Eberhardt &amp; Presbitero, 2021)","plainCitation":"(Eberhardt &amp; Presbitero, 2021)","noteIndex":0},"citationItems":[{"id":18,"uris":["http://zotero.org/users/local/VAqELCal/items/DE54JHC8"],"itemData":{"id":18,"type":"article-journal","container-title":"Journal of International Economics","DOI":"10.1016/j.jinteco.2021.103474","journalAbbreviation":"Journal of International Economics","page":"103474","title":"Commodity Prices and Banking Crises","volume":"131","author":[{"family":"Eberhardt","given":"Markus"},{"family":"Presbitero","given":"Andrea"}],"issued":{"date-parts":[["2021"]]}}}],"schema":"https://github.com/citation-style-language/schema/raw/master/csl-citation.json"} </w:instrText>
      </w:r>
      <w:r w:rsidR="00B45CB8">
        <w:rPr>
          <w:rFonts w:ascii="Times New Roman" w:hAnsi="Times New Roman" w:cs="Times New Roman"/>
        </w:rPr>
        <w:fldChar w:fldCharType="separate"/>
      </w:r>
      <w:r w:rsidR="00B45CB8" w:rsidRPr="00B45CB8">
        <w:rPr>
          <w:rFonts w:ascii="Times New Roman" w:hAnsi="Times New Roman" w:cs="Times New Roman"/>
        </w:rPr>
        <w:t>(Eberhardt &amp; Presbitero, 2021)</w:t>
      </w:r>
      <w:r w:rsidR="00B45CB8">
        <w:rPr>
          <w:rFonts w:ascii="Times New Roman" w:hAnsi="Times New Roman" w:cs="Times New Roman"/>
        </w:rPr>
        <w:fldChar w:fldCharType="end"/>
      </w:r>
      <w:r w:rsidRPr="006935A2">
        <w:rPr>
          <w:rFonts w:ascii="Times New Roman" w:hAnsi="Times New Roman" w:cs="Times New Roman"/>
        </w:rPr>
        <w:t xml:space="preserve">. In many of the emerging market environments in the cross-country sample, the correlation between the volatility of inflation and the volatility of exchange rates is above 0.7, indicating that more exchange rate volatility can be interpreted as </w:t>
      </w:r>
      <w:r w:rsidR="00033164">
        <w:rPr>
          <w:rFonts w:ascii="Times New Roman" w:hAnsi="Times New Roman" w:cs="Times New Roman"/>
        </w:rPr>
        <w:t xml:space="preserve">a </w:t>
      </w:r>
      <w:r w:rsidRPr="006935A2">
        <w:rPr>
          <w:rFonts w:ascii="Times New Roman" w:hAnsi="Times New Roman" w:cs="Times New Roman"/>
        </w:rPr>
        <w:t xml:space="preserve">weaker monetary framework and less inflation-targeting regimes, adding to the vulnerability of </w:t>
      </w:r>
      <w:r w:rsidR="00033164">
        <w:rPr>
          <w:rFonts w:ascii="Times New Roman" w:hAnsi="Times New Roman" w:cs="Times New Roman"/>
        </w:rPr>
        <w:t xml:space="preserve">the </w:t>
      </w:r>
      <w:r w:rsidRPr="006935A2">
        <w:rPr>
          <w:rFonts w:ascii="Times New Roman" w:hAnsi="Times New Roman" w:cs="Times New Roman"/>
        </w:rPr>
        <w:t>banking sector</w:t>
      </w:r>
      <w:r w:rsidR="00B45CB8">
        <w:rPr>
          <w:rFonts w:ascii="Times New Roman" w:hAnsi="Times New Roman" w:cs="Times New Roman"/>
        </w:rPr>
        <w:t xml:space="preserve"> </w:t>
      </w:r>
      <w:r w:rsidR="00B45CB8" w:rsidRPr="00B45CB8">
        <w:rPr>
          <w:rFonts w:ascii="Times New Roman" w:hAnsi="Times New Roman" w:cs="Times New Roman"/>
        </w:rPr>
        <w:t>(Ahmed et al., 2021)</w:t>
      </w:r>
      <w:r w:rsidRPr="006935A2">
        <w:rPr>
          <w:rFonts w:ascii="Times New Roman" w:hAnsi="Times New Roman" w:cs="Times New Roman"/>
        </w:rPr>
        <w:t xml:space="preserve">. Moreover, a benefit that the public debt markets bring to the financial system lies in their role of limiting the volatility of macroeconomic variables, in particular the level of inflation, which should be low so that </w:t>
      </w:r>
      <w:r w:rsidR="00033164">
        <w:rPr>
          <w:rFonts w:ascii="Times New Roman" w:hAnsi="Times New Roman" w:cs="Times New Roman"/>
        </w:rPr>
        <w:t xml:space="preserve">the </w:t>
      </w:r>
      <w:r w:rsidRPr="006935A2">
        <w:rPr>
          <w:rFonts w:ascii="Times New Roman" w:hAnsi="Times New Roman" w:cs="Times New Roman"/>
        </w:rPr>
        <w:t>nominal yield curve can be interpreted as information about real borrowing costs</w:t>
      </w:r>
      <w:r w:rsidR="00B45CB8">
        <w:rPr>
          <w:rFonts w:ascii="Times New Roman" w:hAnsi="Times New Roman" w:cs="Times New Roman"/>
        </w:rPr>
        <w:fldChar w:fldCharType="begin"/>
      </w:r>
      <w:r w:rsidR="00B45CB8">
        <w:rPr>
          <w:rFonts w:ascii="Times New Roman" w:hAnsi="Times New Roman" w:cs="Times New Roman"/>
        </w:rPr>
        <w:instrText xml:space="preserve"> ADDIN ZOTERO_ITEM CSL_CITATION {"citationID":"RTiCma5I","properties":{"formattedCitation":"(Kapaya, 2023)","plainCitation":"(Kapaya, 2023)","noteIndex":0},"citationItems":[{"id":20,"uris":["http://zotero.org/users/local/VAqELCal/items/7ACZ92AL"],"itemData":{"id":20,"type":"article-journal","container-title":"Review of Economics and Political Science","DOI":"10.1108/reps-01-2023-0008","issue":"5","journalAbbreviation":"Review of Economics and Political Science","page":"330-352","title":"Government Expenditure Impacts on Financial Development: Do population Age Structures Moderations Matter?","volume":"8","author":[{"family":"Kapaya","given":"Saganga"}],"issued":{"date-parts":[["2023"]]}}}],"schema":"https://github.com/citation-style-language/schema/raw/master/csl-citation.json"} </w:instrText>
      </w:r>
      <w:r w:rsidR="00B45CB8">
        <w:rPr>
          <w:rFonts w:ascii="Times New Roman" w:hAnsi="Times New Roman" w:cs="Times New Roman"/>
        </w:rPr>
        <w:fldChar w:fldCharType="separate"/>
      </w:r>
      <w:r w:rsidR="00B45CB8" w:rsidRPr="00B45CB8">
        <w:rPr>
          <w:rFonts w:ascii="Times New Roman" w:hAnsi="Times New Roman" w:cs="Times New Roman"/>
        </w:rPr>
        <w:t>(Kapaya, 2023)</w:t>
      </w:r>
      <w:r w:rsidR="00B45CB8">
        <w:rPr>
          <w:rFonts w:ascii="Times New Roman" w:hAnsi="Times New Roman" w:cs="Times New Roman"/>
        </w:rPr>
        <w:fldChar w:fldCharType="end"/>
      </w:r>
      <w:r w:rsidRPr="006935A2">
        <w:rPr>
          <w:rFonts w:ascii="Times New Roman" w:hAnsi="Times New Roman" w:cs="Times New Roman"/>
        </w:rPr>
        <w:t>.</w:t>
      </w:r>
    </w:p>
    <w:p w14:paraId="718B4013" w14:textId="3D87EA08"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lastRenderedPageBreak/>
        <w:t xml:space="preserve">From a methodological point of view, therefore, a cross-country perspective is well suited and helps determine if such instability is part of a more general pattern or is </w:t>
      </w:r>
      <w:r w:rsidR="00033164">
        <w:rPr>
          <w:rFonts w:ascii="Times New Roman" w:hAnsi="Times New Roman" w:cs="Times New Roman"/>
        </w:rPr>
        <w:t>country-specific</w:t>
      </w:r>
      <w:r w:rsidRPr="006935A2">
        <w:rPr>
          <w:rFonts w:ascii="Times New Roman" w:hAnsi="Times New Roman" w:cs="Times New Roman"/>
        </w:rPr>
        <w:t>. Some comparative research is helpful in this regard, and production specialization in primary commodities and not-deep financial systems were not uncommon traits of both South Asia and Africa's economies before 1970, after which their development experiences showed significant difference, e.g. while African economies remained susceptible to commodity price shocks and terms of trade volatility, South Asian economies, for their part, diversified in exports and deepened their financial systems</w:t>
      </w:r>
      <w:r w:rsidR="00B45CB8">
        <w:rPr>
          <w:rFonts w:ascii="Times New Roman" w:hAnsi="Times New Roman" w:cs="Times New Roman"/>
        </w:rPr>
        <w:fldChar w:fldCharType="begin"/>
      </w:r>
      <w:r w:rsidR="00B45CB8">
        <w:rPr>
          <w:rFonts w:ascii="Times New Roman" w:hAnsi="Times New Roman" w:cs="Times New Roman"/>
        </w:rPr>
        <w:instrText xml:space="preserve"> ADDIN ZOTERO_ITEM CSL_CITATION {"citationID":"BxhbCxgx","properties":{"formattedCitation":"(Frankema, 2024)","plainCitation":"(Frankema, 2024)","noteIndex":0},"citationItems":[{"id":21,"uris":["http://zotero.org/users/local/VAqELCal/items/GN44SP23"],"itemData":{"id":21,"type":"article-journal","container-title":"Journal of Economic Surveys","DOI":"10.1111/joes.12609","issue":"2","journalAbbreviation":"Journal of Economic Surveys","page":"517-545","title":"From the Great Divergence to South–South Divergence: New Comparative Horizons in Global Economic History","volume":"39","author":[{"family":"Frankema","given":"Ewout"}],"issued":{"date-parts":[["2024"]]}}}],"schema":"https://github.com/citation-style-language/schema/raw/master/csl-citation.json"} </w:instrText>
      </w:r>
      <w:r w:rsidR="00B45CB8">
        <w:rPr>
          <w:rFonts w:ascii="Times New Roman" w:hAnsi="Times New Roman" w:cs="Times New Roman"/>
        </w:rPr>
        <w:fldChar w:fldCharType="separate"/>
      </w:r>
      <w:r w:rsidR="00B45CB8" w:rsidRPr="00B45CB8">
        <w:rPr>
          <w:rFonts w:ascii="Times New Roman" w:hAnsi="Times New Roman" w:cs="Times New Roman"/>
        </w:rPr>
        <w:t>(Frankema, 2024)</w:t>
      </w:r>
      <w:r w:rsidR="00B45CB8">
        <w:rPr>
          <w:rFonts w:ascii="Times New Roman" w:hAnsi="Times New Roman" w:cs="Times New Roman"/>
        </w:rPr>
        <w:fldChar w:fldCharType="end"/>
      </w:r>
      <w:r w:rsidRPr="006935A2">
        <w:rPr>
          <w:rFonts w:ascii="Times New Roman" w:hAnsi="Times New Roman" w:cs="Times New Roman"/>
        </w:rPr>
        <w:t>. Political stability and inflation volatility capture both risk and macroeconomic volatility, as high economic risk and macroeconomic instability may lead to fewer international banks willing to provide credit in frontier settings</w:t>
      </w:r>
      <w:r w:rsidR="00B45CB8">
        <w:rPr>
          <w:rFonts w:ascii="Times New Roman" w:hAnsi="Times New Roman" w:cs="Times New Roman"/>
        </w:rPr>
        <w:fldChar w:fldCharType="begin"/>
      </w:r>
      <w:r w:rsidR="00B45CB8">
        <w:rPr>
          <w:rFonts w:ascii="Times New Roman" w:hAnsi="Times New Roman" w:cs="Times New Roman"/>
        </w:rPr>
        <w:instrText xml:space="preserve"> ADDIN ZOTERO_ITEM CSL_CITATION {"citationID":"qmHg5rH8","properties":{"formattedCitation":"(Lapid et al., 2022)","plainCitation":"(Lapid et al., 2022)","noteIndex":0},"citationItems":[{"id":22,"uris":["http://zotero.org/users/local/VAqELCal/items/DM8K7TBQ"],"itemData":{"id":22,"type":"article-journal","container-title":"Pacific Economic Review","DOI":"10.1111/1468-0106.12399","issue":"2","journalAbbreviation":"Pacific Economic Review","page":"267-292","title":"Concentration in Asia's Cross‐border Banking: Determinants and Impacts","volume":"28","author":[{"family":"Lapid","given":"Ana K."},{"family":"Mercado","given":"Rogelio"},{"family":"Rosenkranz","given":"Peter"}],"issued":{"date-parts":[["2022"]]}}}],"schema":"https://github.com/citation-style-language/schema/raw/master/csl-citation.json"} </w:instrText>
      </w:r>
      <w:r w:rsidR="00B45CB8">
        <w:rPr>
          <w:rFonts w:ascii="Times New Roman" w:hAnsi="Times New Roman" w:cs="Times New Roman"/>
        </w:rPr>
        <w:fldChar w:fldCharType="separate"/>
      </w:r>
      <w:r w:rsidR="00B45CB8" w:rsidRPr="00B45CB8">
        <w:rPr>
          <w:rFonts w:ascii="Times New Roman" w:hAnsi="Times New Roman" w:cs="Times New Roman"/>
        </w:rPr>
        <w:t>(Lapid et al., 2022)</w:t>
      </w:r>
      <w:r w:rsidR="00B45CB8">
        <w:rPr>
          <w:rFonts w:ascii="Times New Roman" w:hAnsi="Times New Roman" w:cs="Times New Roman"/>
        </w:rPr>
        <w:fldChar w:fldCharType="end"/>
      </w:r>
      <w:r w:rsidRPr="006935A2">
        <w:rPr>
          <w:rFonts w:ascii="Times New Roman" w:hAnsi="Times New Roman" w:cs="Times New Roman"/>
        </w:rPr>
        <w:t>. It extends this view in the current study to a group of frontier economies and examines the relationship between banking-sector stability and inflation volatility and uses it to gauge where financial vulnerability might be the highest.</w:t>
      </w:r>
    </w:p>
    <w:p w14:paraId="6F78A9D6" w14:textId="77777777" w:rsidR="003C7BB8" w:rsidRDefault="003C7BB8" w:rsidP="00C44A63">
      <w:pPr>
        <w:spacing w:line="360" w:lineRule="auto"/>
        <w:jc w:val="both"/>
        <w:rPr>
          <w:rFonts w:ascii="Times New Roman" w:hAnsi="Times New Roman" w:cs="Times New Roman"/>
          <w:sz w:val="28"/>
          <w:szCs w:val="28"/>
        </w:rPr>
      </w:pPr>
    </w:p>
    <w:p w14:paraId="14626377" w14:textId="7B07A603" w:rsidR="00CB1682" w:rsidRPr="003C7BB8" w:rsidRDefault="00CB1682" w:rsidP="00C44A63">
      <w:pPr>
        <w:pStyle w:val="Heading2"/>
        <w:spacing w:line="360" w:lineRule="auto"/>
        <w:jc w:val="both"/>
        <w:rPr>
          <w:rFonts w:ascii="Times New Roman" w:hAnsi="Times New Roman" w:cs="Times New Roman"/>
          <w:b/>
          <w:bCs/>
          <w:sz w:val="28"/>
          <w:szCs w:val="28"/>
        </w:rPr>
      </w:pPr>
      <w:bookmarkStart w:id="15" w:name="_Toc235530844"/>
      <w:r w:rsidRPr="003C7BB8">
        <w:rPr>
          <w:rFonts w:ascii="Times New Roman" w:hAnsi="Times New Roman" w:cs="Times New Roman"/>
          <w:b/>
          <w:bCs/>
          <w:sz w:val="28"/>
          <w:szCs w:val="28"/>
        </w:rPr>
        <w:t>1.2 Problem Statement</w:t>
      </w:r>
      <w:bookmarkEnd w:id="15"/>
    </w:p>
    <w:p w14:paraId="1D8E77D7" w14:textId="23203DB4"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Traditionally, the benchmark for price stability has been the rate of inflation, which has been the focus of macroeconomic policy and banking regulation worldwide, often with central banks mandating inflation targets with a specific number</w:t>
      </w:r>
      <w:r w:rsidR="00B45CB8">
        <w:rPr>
          <w:rFonts w:ascii="Times New Roman" w:hAnsi="Times New Roman" w:cs="Times New Roman"/>
        </w:rPr>
        <w:fldChar w:fldCharType="begin"/>
      </w:r>
      <w:r w:rsidR="00B45CB8">
        <w:rPr>
          <w:rFonts w:ascii="Times New Roman" w:hAnsi="Times New Roman" w:cs="Times New Roman"/>
        </w:rPr>
        <w:instrText xml:space="preserve"> ADDIN ZOTERO_ITEM CSL_CITATION {"citationID":"UQxRralC","properties":{"formattedCitation":"(Gabriel et al., 2022; Nookhwun &amp; Waiyawatjakorn, 2024)","plainCitation":"(Gabriel et al., 2022; Nookhwun &amp; Waiyawatjakorn, 2024)","noteIndex":0},"citationItems":[{"id":23,"uris":["http://zotero.org/users/local/VAqELCal/items/8EH2CXGF"],"itemData":{"id":23,"type":"article-journal","container-title":"Journal of Money Credit and Banking","DOI":"10.1111/jmcb.12935","issue":"1","journalAbbreviation":"Journal of Money Credit and Banking","page":"43-76","title":"Institutional Arrangements and Inflation Bias: A Dynamic Heterogeneous Panel Approach","volume":"55","author":[{"family":"Gabriel","given":"Vasco J."},{"family":"Lazopoulos","given":"Ioannis"},{"family":"Lima","given":"Diana"}],"issued":{"date-parts":[["2022"]]}}},{"id":24,"uris":["http://zotero.org/users/local/VAqELCal/items/IWPMSCKT"],"itemData":{"id":24,"type":"article-journal","container-title":"Asian Economic Policy Review","DOI":"10.1111/aepr.12459","issue":"2","journalAbbreviation":"Asian Economic Policy Review","page":"198-219","title":"Flexible Inflation Targeting and Macroeconomic Performance: Evidence From ASEAN","volume":"19","author":[{"family":"Nookhwun","given":"Nuwat"},{"family":"Waiyawatjakorn","given":"Rawipha"}],"issued":{"date-parts":[["2024"]]}}}],"schema":"https://github.com/citation-style-language/schema/raw/master/csl-citation.json"} </w:instrText>
      </w:r>
      <w:r w:rsidR="00B45CB8">
        <w:rPr>
          <w:rFonts w:ascii="Times New Roman" w:hAnsi="Times New Roman" w:cs="Times New Roman"/>
        </w:rPr>
        <w:fldChar w:fldCharType="separate"/>
      </w:r>
      <w:r w:rsidR="00B45CB8" w:rsidRPr="00B45CB8">
        <w:rPr>
          <w:rFonts w:ascii="Times New Roman" w:hAnsi="Times New Roman" w:cs="Times New Roman"/>
        </w:rPr>
        <w:t>(Gabriel et al., 2022; Nookhwun &amp; Waiyawatjakorn, 2024)</w:t>
      </w:r>
      <w:r w:rsidR="00B45CB8">
        <w:rPr>
          <w:rFonts w:ascii="Times New Roman" w:hAnsi="Times New Roman" w:cs="Times New Roman"/>
        </w:rPr>
        <w:fldChar w:fldCharType="end"/>
      </w:r>
      <w:r w:rsidRPr="006935A2">
        <w:rPr>
          <w:rFonts w:ascii="Times New Roman" w:hAnsi="Times New Roman" w:cs="Times New Roman"/>
        </w:rPr>
        <w:t>. Yet research has increasingly shown that of equal importance is the variability of inflation, its volatility or the unpredictable changes around any given trend, as the instability around mean level of inflations proves to be more serious macroeconomic challenge to the stability of the banking sector</w:t>
      </w:r>
      <w:r w:rsidR="00B45CB8">
        <w:rPr>
          <w:rFonts w:ascii="Times New Roman" w:hAnsi="Times New Roman" w:cs="Times New Roman"/>
        </w:rPr>
        <w:fldChar w:fldCharType="begin"/>
      </w:r>
      <w:r w:rsidR="00B45CB8">
        <w:rPr>
          <w:rFonts w:ascii="Times New Roman" w:hAnsi="Times New Roman" w:cs="Times New Roman"/>
        </w:rPr>
        <w:instrText xml:space="preserve"> ADDIN ZOTERO_ITEM CSL_CITATION {"citationID":"z6A5for9","properties":{"formattedCitation":"(Chen, 2025)","plainCitation":"(Chen, 2025)","noteIndex":0},"citationItems":[{"id":25,"uris":["http://zotero.org/users/local/VAqELCal/items/X8GNSA4U"],"itemData":{"id":25,"type":"article-journal","container-title":"International Review of Finance","DOI":"10.1111/irfi.70051","issue":"4","journalAbbreviation":"International Review of Finance","title":"Inflation Uncertainty, Macroprudential Regulations, and Bank Stability: Some Evidence From Emerging Economies","volume":"25","author":[{"family":"Chen","given":"Minghua"}],"issued":{"date-parts":[["2025"]]}}}],"schema":"https://github.com/citation-style-language/schema/raw/master/csl-citation.json"} </w:instrText>
      </w:r>
      <w:r w:rsidR="00B45CB8">
        <w:rPr>
          <w:rFonts w:ascii="Times New Roman" w:hAnsi="Times New Roman" w:cs="Times New Roman"/>
        </w:rPr>
        <w:fldChar w:fldCharType="separate"/>
      </w:r>
      <w:r w:rsidR="00B45CB8" w:rsidRPr="00B45CB8">
        <w:rPr>
          <w:rFonts w:ascii="Times New Roman" w:hAnsi="Times New Roman" w:cs="Times New Roman"/>
        </w:rPr>
        <w:t>(Chen, 2025)</w:t>
      </w:r>
      <w:r w:rsidR="00B45CB8">
        <w:rPr>
          <w:rFonts w:ascii="Times New Roman" w:hAnsi="Times New Roman" w:cs="Times New Roman"/>
        </w:rPr>
        <w:fldChar w:fldCharType="end"/>
      </w:r>
      <w:r w:rsidRPr="006935A2">
        <w:rPr>
          <w:rFonts w:ascii="Times New Roman" w:hAnsi="Times New Roman" w:cs="Times New Roman"/>
        </w:rPr>
        <w:t>. This distinction becomes important because having a relatively low, but stable, inflation rate does not necessarily interfere with financial intermediation, which is the key role of banks, while having a low inflation rate with a lot of fluctuations creates a widespread uncertainty that impedes the basic role of banks</w:t>
      </w:r>
      <w:r w:rsidR="00B45CB8">
        <w:rPr>
          <w:rFonts w:ascii="Times New Roman" w:hAnsi="Times New Roman" w:cs="Times New Roman"/>
        </w:rPr>
        <w:fldChar w:fldCharType="begin"/>
      </w:r>
      <w:r w:rsidR="00B45CB8">
        <w:rPr>
          <w:rFonts w:ascii="Times New Roman" w:hAnsi="Times New Roman" w:cs="Times New Roman"/>
        </w:rPr>
        <w:instrText xml:space="preserve"> ADDIN ZOTERO_ITEM CSL_CITATION {"citationID":"RYhuHp79","properties":{"formattedCitation":"(Chen, 2025; Liu &amp; Serletis, 2021)","plainCitation":"(Chen, 2025; Liu &amp; Serletis, 2021)","noteIndex":0},"citationItems":[{"id":25,"uris":["http://zotero.org/users/local/VAqELCal/items/X8GNSA4U"],"itemData":{"id":25,"type":"article-journal","container-title":"International Review of Finance","DOI":"10.1111/irfi.70051","issue":"4","journalAbbreviation":"International Review of Finance","title":"Inflation Uncertainty, Macroprudential Regulations, and Bank Stability: Some Evidence From Emerging Economies","volume":"25","author":[{"family":"Chen","given":"Minghua"}],"issued":{"date-parts":[["2025"]]}}},{"id":26,"uris":["http://zotero.org/users/local/VAqELCal/items/3M5PP9L8"],"itemData":{"id":26,"type":"article-journal","container-title":"Journal of Economic Studies","DOI":"10.1108/jes-10-2020-0526","issue":"1","journalAbbreviation":"Journal of Economic Studies","page":"159-184","title":"The Complex Relationship Between Inflation and Equity Returns","volume":"49","author":[{"family":"Liu","given":"Jinan"},{"family":"Serletis","given":"Apostolos"}],"issued":{"date-parts":[["2021"]]}}}],"schema":"https://github.com/citation-style-language/schema/raw/master/csl-citation.json"} </w:instrText>
      </w:r>
      <w:r w:rsidR="00B45CB8">
        <w:rPr>
          <w:rFonts w:ascii="Times New Roman" w:hAnsi="Times New Roman" w:cs="Times New Roman"/>
        </w:rPr>
        <w:fldChar w:fldCharType="separate"/>
      </w:r>
      <w:r w:rsidR="00B45CB8" w:rsidRPr="00B45CB8">
        <w:rPr>
          <w:rFonts w:ascii="Times New Roman" w:hAnsi="Times New Roman" w:cs="Times New Roman"/>
        </w:rPr>
        <w:t>(Chen, 2025; Liu &amp; Serletis, 2021)</w:t>
      </w:r>
      <w:r w:rsidR="00B45CB8">
        <w:rPr>
          <w:rFonts w:ascii="Times New Roman" w:hAnsi="Times New Roman" w:cs="Times New Roman"/>
        </w:rPr>
        <w:fldChar w:fldCharType="end"/>
      </w:r>
      <w:r w:rsidRPr="006935A2">
        <w:rPr>
          <w:rFonts w:ascii="Times New Roman" w:hAnsi="Times New Roman" w:cs="Times New Roman"/>
        </w:rPr>
        <w:t>.</w:t>
      </w:r>
    </w:p>
    <w:p w14:paraId="7D984200" w14:textId="1D20DE1B"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 xml:space="preserve">But traditional macroeconomic policies and banking regulation have turned their focus towards the inflation rate as the main indicator of price stability, and central banks around the world have aligned their monetary policy targets with a numerical inflation target. But the evidence now points </w:t>
      </w:r>
      <w:r w:rsidRPr="006935A2">
        <w:rPr>
          <w:rFonts w:ascii="Times New Roman" w:hAnsi="Times New Roman" w:cs="Times New Roman"/>
        </w:rPr>
        <w:lastRenderedPageBreak/>
        <w:t>to the fact that it's not the level of inflation that is the greater macroeconomic risk to the stability of the banking sector, it's the volatility around this trend</w:t>
      </w:r>
      <w:r w:rsidR="00B45CB8">
        <w:rPr>
          <w:rFonts w:ascii="Times New Roman" w:hAnsi="Times New Roman" w:cs="Times New Roman"/>
        </w:rPr>
        <w:t xml:space="preserve"> </w:t>
      </w:r>
      <w:r w:rsidRPr="006935A2">
        <w:rPr>
          <w:rFonts w:ascii="Times New Roman" w:hAnsi="Times New Roman" w:cs="Times New Roman"/>
        </w:rPr>
        <w:t>the unpredictable changing trajectory</w:t>
      </w:r>
      <w:r w:rsidR="00B45CB8">
        <w:rPr>
          <w:rFonts w:ascii="Times New Roman" w:hAnsi="Times New Roman" w:cs="Times New Roman"/>
        </w:rPr>
        <w:t xml:space="preserve"> </w:t>
      </w:r>
      <w:r w:rsidRPr="006935A2">
        <w:rPr>
          <w:rFonts w:ascii="Times New Roman" w:hAnsi="Times New Roman" w:cs="Times New Roman"/>
        </w:rPr>
        <w:t>that matters</w:t>
      </w:r>
      <w:r w:rsidR="00F0182B">
        <w:rPr>
          <w:rFonts w:ascii="Times New Roman" w:hAnsi="Times New Roman" w:cs="Times New Roman"/>
        </w:rPr>
        <w:fldChar w:fldCharType="begin"/>
      </w:r>
      <w:r w:rsidR="00F0182B">
        <w:rPr>
          <w:rFonts w:ascii="Times New Roman" w:hAnsi="Times New Roman" w:cs="Times New Roman"/>
        </w:rPr>
        <w:instrText xml:space="preserve"> ADDIN ZOTERO_ITEM CSL_CITATION {"citationID":"tH8nSmiv","properties":{"formattedCitation":"(Chen, 2025; Liu &amp; Serletis, 2021)","plainCitation":"(Chen, 2025; Liu &amp; Serletis, 2021)","noteIndex":0},"citationItems":[{"id":25,"uris":["http://zotero.org/users/local/VAqELCal/items/X8GNSA4U"],"itemData":{"id":25,"type":"article-journal","container-title":"International Review of Finance","DOI":"10.1111/irfi.70051","issue":"4","journalAbbreviation":"International Review of Finance","title":"Inflation Uncertainty, Macroprudential Regulations, and Bank Stability: Some Evidence From Emerging Economies","volume":"25","author":[{"family":"Chen","given":"Minghua"}],"issued":{"date-parts":[["2025"]]}}},{"id":26,"uris":["http://zotero.org/users/local/VAqELCal/items/3M5PP9L8"],"itemData":{"id":26,"type":"article-journal","container-title":"Journal of Economic Studies","DOI":"10.1108/jes-10-2020-0526","issue":"1","journalAbbreviation":"Journal of Economic Studies","page":"159-184","title":"The Complex Relationship Between Inflation and Equity Returns","volume":"49","author":[{"family":"Liu","given":"Jinan"},{"family":"Serletis","given":"Apostolos"}],"issued":{"date-parts":[["2021"]]}}}],"schema":"https://github.com/citation-style-language/schema/raw/master/csl-citation.json"} </w:instrText>
      </w:r>
      <w:r w:rsidR="00F0182B">
        <w:rPr>
          <w:rFonts w:ascii="Times New Roman" w:hAnsi="Times New Roman" w:cs="Times New Roman"/>
        </w:rPr>
        <w:fldChar w:fldCharType="separate"/>
      </w:r>
      <w:r w:rsidR="00F0182B" w:rsidRPr="00F0182B">
        <w:rPr>
          <w:rFonts w:ascii="Times New Roman" w:hAnsi="Times New Roman" w:cs="Times New Roman"/>
        </w:rPr>
        <w:t>(Chen, 2025; Liu &amp; Serletis, 2021)</w:t>
      </w:r>
      <w:r w:rsidR="00F0182B">
        <w:rPr>
          <w:rFonts w:ascii="Times New Roman" w:hAnsi="Times New Roman" w:cs="Times New Roman"/>
        </w:rPr>
        <w:fldChar w:fldCharType="end"/>
      </w:r>
      <w:r w:rsidRPr="006935A2">
        <w:rPr>
          <w:rFonts w:ascii="Times New Roman" w:hAnsi="Times New Roman" w:cs="Times New Roman"/>
        </w:rPr>
        <w:t>. The difference is important because an economy can have a moderate inflation rate with sufficient stability that it has a minimum effect on the intermediation process, while even a relatively small amount of inflation when combined with high inflation volatility can produce pervasive uncertainty that will be harmful in all the roles of banking</w:t>
      </w:r>
      <w:r w:rsidR="00F0182B">
        <w:rPr>
          <w:rFonts w:ascii="Times New Roman" w:hAnsi="Times New Roman" w:cs="Times New Roman"/>
        </w:rPr>
        <w:fldChar w:fldCharType="begin"/>
      </w:r>
      <w:r w:rsidR="00F0182B">
        <w:rPr>
          <w:rFonts w:ascii="Times New Roman" w:hAnsi="Times New Roman" w:cs="Times New Roman"/>
        </w:rPr>
        <w:instrText xml:space="preserve"> ADDIN ZOTERO_ITEM CSL_CITATION {"citationID":"vkctdVVG","properties":{"formattedCitation":"(Chen, 2025)","plainCitation":"(Chen, 2025)","noteIndex":0},"citationItems":[{"id":25,"uris":["http://zotero.org/users/local/VAqELCal/items/X8GNSA4U"],"itemData":{"id":25,"type":"article-journal","container-title":"International Review of Finance","DOI":"10.1111/irfi.70051","issue":"4","journalAbbreviation":"International Review of Finance","title":"Inflation Uncertainty, Macroprudential Regulations, and Bank Stability: Some Evidence From Emerging Economies","volume":"25","author":[{"family":"Chen","given":"Minghua"}],"issued":{"date-parts":[["2025"]]}}}],"schema":"https://github.com/citation-style-language/schema/raw/master/csl-citation.json"} </w:instrText>
      </w:r>
      <w:r w:rsidR="00F0182B">
        <w:rPr>
          <w:rFonts w:ascii="Times New Roman" w:hAnsi="Times New Roman" w:cs="Times New Roman"/>
        </w:rPr>
        <w:fldChar w:fldCharType="separate"/>
      </w:r>
      <w:r w:rsidR="00F0182B" w:rsidRPr="00F0182B">
        <w:rPr>
          <w:rFonts w:ascii="Times New Roman" w:hAnsi="Times New Roman" w:cs="Times New Roman"/>
        </w:rPr>
        <w:t>(Chen, 2025)</w:t>
      </w:r>
      <w:r w:rsidR="00F0182B">
        <w:rPr>
          <w:rFonts w:ascii="Times New Roman" w:hAnsi="Times New Roman" w:cs="Times New Roman"/>
        </w:rPr>
        <w:fldChar w:fldCharType="end"/>
      </w:r>
      <w:r w:rsidRPr="006935A2">
        <w:rPr>
          <w:rFonts w:ascii="Times New Roman" w:hAnsi="Times New Roman" w:cs="Times New Roman"/>
        </w:rPr>
        <w:t>.</w:t>
      </w:r>
    </w:p>
    <w:p w14:paraId="28340EB9" w14:textId="1589275F" w:rsidR="00CB1682" w:rsidRPr="006935A2" w:rsidRDefault="00CB1682" w:rsidP="00C44A63">
      <w:pPr>
        <w:spacing w:line="360" w:lineRule="auto"/>
        <w:jc w:val="both"/>
        <w:rPr>
          <w:rFonts w:ascii="Times New Roman" w:hAnsi="Times New Roman" w:cs="Times New Roman"/>
        </w:rPr>
      </w:pPr>
    </w:p>
    <w:p w14:paraId="7025AA64" w14:textId="77777777" w:rsidR="00CB1682" w:rsidRPr="006935A2" w:rsidRDefault="00CB1682" w:rsidP="00C44A63">
      <w:pPr>
        <w:pStyle w:val="Heading2"/>
        <w:spacing w:line="360" w:lineRule="auto"/>
        <w:jc w:val="both"/>
        <w:rPr>
          <w:rFonts w:ascii="Times New Roman" w:hAnsi="Times New Roman" w:cs="Times New Roman"/>
          <w:b/>
          <w:bCs/>
          <w:sz w:val="28"/>
          <w:szCs w:val="28"/>
        </w:rPr>
      </w:pPr>
      <w:bookmarkStart w:id="16" w:name="_Toc235530845"/>
      <w:r w:rsidRPr="006935A2">
        <w:rPr>
          <w:rFonts w:ascii="Times New Roman" w:hAnsi="Times New Roman" w:cs="Times New Roman"/>
          <w:b/>
          <w:bCs/>
          <w:sz w:val="28"/>
          <w:szCs w:val="28"/>
        </w:rPr>
        <w:t>1.3 Research questions and objectives</w:t>
      </w:r>
      <w:bookmarkEnd w:id="16"/>
      <w:r w:rsidRPr="006935A2">
        <w:rPr>
          <w:rFonts w:ascii="Times New Roman" w:hAnsi="Times New Roman" w:cs="Times New Roman"/>
          <w:b/>
          <w:bCs/>
          <w:sz w:val="28"/>
          <w:szCs w:val="28"/>
        </w:rPr>
        <w:t xml:space="preserve"> </w:t>
      </w:r>
    </w:p>
    <w:p w14:paraId="7006C0B3" w14:textId="77777777"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The present study is based on the fact that the understanding of the impact of inflation volatility on the stability of banking-sector in the frontier economies is needed. The emphasis is not just on the level of inflation, but on the volatility and unpredictability of it through time. This distinction is defining in the study, as financial institutions don't only act in the here and now, but also with expectations of future capital or product prices, future income streams and capital repaid from loans and future policy conditions. During high inflation levels, these expectations are not as clear. This can make it more challenging for banks to assess the quality of their borrowers, to price their loans, to manage their real returns and to maintain asset quality. Therefore, this study explores the volatility of inflation as a macro-financial risk variable that can affect the stability of the banking sector in selected frontier markets.</w:t>
      </w:r>
    </w:p>
    <w:p w14:paraId="4E1B9554" w14:textId="77777777"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Research questions are formulated around three main concepts: inflation volatility, banking-sector stability and frontier-economy vulnerability. The volatility of inflation is taken as the main explanatory variable, since it captures uncertainty associated to inflation price changes and not only the average inflation rate. Since in many developing and frontier economies, banks will be the main financial intermediaries, banking-sector stability is considered here as the primary outcome. It's a study context because frontier-economy status carries higher risk of being vulnerable to macro-economic disturbances in the form of shallow financial markets, limited institutional capacity, exchange-rate sensitivity, and lower credibility of soft economic and financial policies. These three aspects constitute the strong base of the study.</w:t>
      </w:r>
    </w:p>
    <w:p w14:paraId="133C8C90" w14:textId="77777777"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lastRenderedPageBreak/>
        <w:t>The study tackles the first question of whether the overall relationship between inflation volatility and banking-sector stability is positive or negative and how strong it is. Theoretically, an increase in volatility is likely to have negative consequences on banking stability, as it can affect the credit markets, making it hard for banks to assess the riskiness of borrowers to the detriment of the ability to repay their loans. This should show as a negative correlation for the volatility of inflation and bank stability in the Z-score model, as this would lead to a decline in profitability, earnings volatility and distance from insolvency. On the NPL model this should be reflected in a positive correlation, since high inflation may be driving more repayment issues on loans and a decline in asset quality. That is why the first research question is whether inflation volatility has a statistically significant impact on banking-sector stability over the sample countries.</w:t>
      </w:r>
    </w:p>
    <w:p w14:paraId="14E92A03" w14:textId="77777777"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Research Question 1:</w:t>
      </w:r>
    </w:p>
    <w:p w14:paraId="4FFD6352" w14:textId="0E1306DF"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How is the “inflation–banking-sector stability” relationship characterized in selected frontier economies (both the direction of relationship and the intensity)</w:t>
      </w:r>
      <w:r w:rsidR="00F0182B">
        <w:rPr>
          <w:rFonts w:ascii="Times New Roman" w:hAnsi="Times New Roman" w:cs="Times New Roman"/>
        </w:rPr>
        <w:fldChar w:fldCharType="begin"/>
      </w:r>
      <w:r w:rsidR="00F0182B">
        <w:rPr>
          <w:rFonts w:ascii="Times New Roman" w:hAnsi="Times New Roman" w:cs="Times New Roman"/>
        </w:rPr>
        <w:instrText xml:space="preserve"> ADDIN ZOTERO_ITEM CSL_CITATION {"citationID":"gzTingaA","properties":{"formattedCitation":"(Chen, 2025; Liu &amp; Serletis, 2021)","plainCitation":"(Chen, 2025; Liu &amp; Serletis, 2021)","noteIndex":0},"citationItems":[{"id":25,"uris":["http://zotero.org/users/local/VAqELCal/items/X8GNSA4U"],"itemData":{"id":25,"type":"article-journal","container-title":"International Review of Finance","DOI":"10.1111/irfi.70051","issue":"4","journalAbbreviation":"International Review of Finance","title":"Inflation Uncertainty, Macroprudential Regulations, and Bank Stability: Some Evidence From Emerging Economies","volume":"25","author":[{"family":"Chen","given":"Minghua"}],"issued":{"date-parts":[["2025"]]}}},{"id":26,"uris":["http://zotero.org/users/local/VAqELCal/items/3M5PP9L8"],"itemData":{"id":26,"type":"article-journal","container-title":"Journal of Economic Studies","DOI":"10.1108/jes-10-2020-0526","issue":"1","journalAbbreviation":"Journal of Economic Studies","page":"159-184","title":"The Complex Relationship Between Inflation and Equity Returns","volume":"49","author":[{"family":"Liu","given":"Jinan"},{"family":"Serletis","given":"Apostolos"}],"issued":{"date-parts":[["2021"]]}}}],"schema":"https://github.com/citation-style-language/schema/raw/master/csl-citation.json"} </w:instrText>
      </w:r>
      <w:r w:rsidR="00F0182B">
        <w:rPr>
          <w:rFonts w:ascii="Times New Roman" w:hAnsi="Times New Roman" w:cs="Times New Roman"/>
        </w:rPr>
        <w:fldChar w:fldCharType="separate"/>
      </w:r>
      <w:r w:rsidR="00F0182B" w:rsidRPr="00F0182B">
        <w:rPr>
          <w:rFonts w:ascii="Times New Roman" w:hAnsi="Times New Roman" w:cs="Times New Roman"/>
        </w:rPr>
        <w:t>(Chen, 2025; Liu &amp; Serletis, 2021)</w:t>
      </w:r>
      <w:r w:rsidR="00F0182B">
        <w:rPr>
          <w:rFonts w:ascii="Times New Roman" w:hAnsi="Times New Roman" w:cs="Times New Roman"/>
        </w:rPr>
        <w:fldChar w:fldCharType="end"/>
      </w:r>
      <w:r w:rsidRPr="006935A2">
        <w:rPr>
          <w:rFonts w:ascii="Times New Roman" w:hAnsi="Times New Roman" w:cs="Times New Roman"/>
        </w:rPr>
        <w:t>?</w:t>
      </w:r>
    </w:p>
    <w:p w14:paraId="46D81D66" w14:textId="77777777"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Objective 1:</w:t>
      </w:r>
    </w:p>
    <w:p w14:paraId="6BECBF5F" w14:textId="77777777"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To empirically gauge the impact of inflation volatility on the stability of banking sector with the Bank Z-Score as complementary measure of dependent variable along with non-performing loan ratio.</w:t>
      </w:r>
    </w:p>
    <w:p w14:paraId="631B7CEF" w14:textId="75DDDA79"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The second relates to the monitoring of banking-sector stability. Banking stability is NOT a one-dimensional problem. However, while a bank may be well capitalized and profitable, it nonetheless can suffer from poor quality loans. Taking the opposite point of view, a banking system could exhibit increasing apparent NPLs as its overall solvency appears healthy. The study therefore does not take only one indicator for this reason. The solvency dimension of the stability is reflected in the Bank Z-score, the credit-risk and asset-quality dimension is reflected in the NPL ratio. This dual-indicator product was particularly significant as inflation volatility may impact quality of loans before broad solvency indicators. Hence, the second research question investigates if the inflation-volatility effect varies across banking-stability measure</w:t>
      </w:r>
      <w:r w:rsidR="00F0182B">
        <w:rPr>
          <w:rFonts w:ascii="Times New Roman" w:hAnsi="Times New Roman" w:cs="Times New Roman"/>
        </w:rPr>
        <w:fldChar w:fldCharType="begin"/>
      </w:r>
      <w:r w:rsidR="00F0182B">
        <w:rPr>
          <w:rFonts w:ascii="Times New Roman" w:hAnsi="Times New Roman" w:cs="Times New Roman"/>
        </w:rPr>
        <w:instrText xml:space="preserve"> ADDIN ZOTERO_ITEM CSL_CITATION {"citationID":"OSgEdtML","properties":{"formattedCitation":"(Nookhwun &amp; Waiyawatjakorn, 2024)","plainCitation":"(Nookhwun &amp; Waiyawatjakorn, 2024)","noteIndex":0},"citationItems":[{"id":24,"uris":["http://zotero.org/users/local/VAqELCal/items/IWPMSCKT"],"itemData":{"id":24,"type":"article-journal","container-title":"Asian Economic Policy Review","DOI":"10.1111/aepr.12459","issue":"2","journalAbbreviation":"Asian Economic Policy Review","page":"198-219","title":"Flexible Inflation Targeting and Macroeconomic Performance: Evidence From ASEAN","volume":"19","author":[{"family":"Nookhwun","given":"Nuwat"},{"family":"Waiyawatjakorn","given":"Rawipha"}],"issued":{"date-parts":[["2024"]]}}}],"schema":"https://github.com/citation-style-language/schema/raw/master/csl-citation.json"} </w:instrText>
      </w:r>
      <w:r w:rsidR="00F0182B">
        <w:rPr>
          <w:rFonts w:ascii="Times New Roman" w:hAnsi="Times New Roman" w:cs="Times New Roman"/>
        </w:rPr>
        <w:fldChar w:fldCharType="separate"/>
      </w:r>
      <w:r w:rsidR="00F0182B" w:rsidRPr="00F0182B">
        <w:rPr>
          <w:rFonts w:ascii="Times New Roman" w:hAnsi="Times New Roman" w:cs="Times New Roman"/>
        </w:rPr>
        <w:t>(Nookhwun &amp; Waiyawatjakorn, 2024)</w:t>
      </w:r>
      <w:r w:rsidR="00F0182B">
        <w:rPr>
          <w:rFonts w:ascii="Times New Roman" w:hAnsi="Times New Roman" w:cs="Times New Roman"/>
        </w:rPr>
        <w:fldChar w:fldCharType="end"/>
      </w:r>
      <w:r w:rsidRPr="006935A2">
        <w:rPr>
          <w:rFonts w:ascii="Times New Roman" w:hAnsi="Times New Roman" w:cs="Times New Roman"/>
        </w:rPr>
        <w:t>.</w:t>
      </w:r>
    </w:p>
    <w:p w14:paraId="3094B9A9" w14:textId="77777777" w:rsidR="00CB1682" w:rsidRPr="006935A2" w:rsidRDefault="00CB1682" w:rsidP="00C44A63">
      <w:pPr>
        <w:spacing w:line="360" w:lineRule="auto"/>
        <w:jc w:val="both"/>
        <w:rPr>
          <w:rFonts w:ascii="Times New Roman" w:hAnsi="Times New Roman" w:cs="Times New Roman"/>
        </w:rPr>
      </w:pPr>
    </w:p>
    <w:p w14:paraId="54A36441" w14:textId="00C949CF" w:rsidR="00CB1682" w:rsidRPr="006935A2" w:rsidRDefault="00CB1682" w:rsidP="00C44A63">
      <w:pPr>
        <w:pStyle w:val="Heading2"/>
        <w:spacing w:line="360" w:lineRule="auto"/>
        <w:jc w:val="both"/>
        <w:rPr>
          <w:rFonts w:ascii="Times New Roman" w:hAnsi="Times New Roman" w:cs="Times New Roman"/>
          <w:b/>
          <w:bCs/>
          <w:sz w:val="28"/>
          <w:szCs w:val="28"/>
        </w:rPr>
      </w:pPr>
      <w:bookmarkStart w:id="17" w:name="_Toc235530846"/>
      <w:r w:rsidRPr="006935A2">
        <w:rPr>
          <w:rFonts w:ascii="Times New Roman" w:hAnsi="Times New Roman" w:cs="Times New Roman"/>
          <w:b/>
          <w:bCs/>
          <w:sz w:val="28"/>
          <w:szCs w:val="28"/>
        </w:rPr>
        <w:lastRenderedPageBreak/>
        <w:t>1.4 Contribution, Novelty and Expected Value-Added</w:t>
      </w:r>
      <w:bookmarkEnd w:id="17"/>
    </w:p>
    <w:p w14:paraId="1B4A05FB" w14:textId="77777777"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This study presents several unique contributions to the macro-financial stability literature, to frontier-market evidence, on how to measure these variables, and on the policy debate and the gaps that remain in the literature.</w:t>
      </w:r>
    </w:p>
    <w:p w14:paraId="01D42509" w14:textId="5730589C"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The contribution to the macro-financial stability literature. Although a considerable amount of research has studied both banking and macroeconomic determinants separately in either of the two regions (South Asian and African)</w:t>
      </w:r>
      <w:r w:rsidR="00BB62FD">
        <w:rPr>
          <w:rFonts w:ascii="Times New Roman" w:hAnsi="Times New Roman" w:cs="Times New Roman"/>
        </w:rPr>
        <w:fldChar w:fldCharType="begin"/>
      </w:r>
      <w:r w:rsidR="00BB62FD">
        <w:rPr>
          <w:rFonts w:ascii="Times New Roman" w:hAnsi="Times New Roman" w:cs="Times New Roman"/>
        </w:rPr>
        <w:instrText xml:space="preserve"> ADDIN ZOTERO_ITEM CSL_CITATION {"citationID":"Ubp3RT5k","properties":{"formattedCitation":"(Banyen, 2021; Lestari et al., 2023)","plainCitation":"(Banyen, 2021; Lestari et al., 2023)","noteIndex":0},"citationItems":[{"id":30,"uris":["http://zotero.org/users/local/VAqELCal/items/3ZHSJA7W"],"itemData":{"id":30,"type":"article-journal","container-title":"Journal of Economic Integration","DOI":"10.11130/jei.2021.36.2.282","issue":"2","journalAbbreviation":"Journal of Economic Integration","page":"282-307","title":"Financial Integration, Competition and Bank Risk-Taking Behavior: Evidence From Africa’s Sub-Regional Markets","volume":"36","author":[{"family":"Banyen","given":"Kannyiri T."}],"issued":{"date-parts":[["2021"]]}}},{"id":28,"uris":["http://zotero.org/users/local/VAqELCal/items/QQDPZLN2"],"itemData":{"id":28,"type":"article-journal","container-title":"Studies in Economics and Finance","DOI":"10.1108/sef-12-2022-0554","issue":"4","journalAbbreviation":"Studies in Economics and Finance","page":"606-624","title":"Enhancing Bank Stability From Diversification and Digitalization Perspective in ASEAN","volume":"40","author":[{"family":"Lestari","given":"Diyan"},{"family":"Ma","given":"Shiguang"},{"family":"Jun","given":"Aelee"}],"issued":{"date-parts":[["2023"]]}}}],"schema":"https://github.com/citation-style-language/schema/raw/master/csl-citation.json"} </w:instrText>
      </w:r>
      <w:r w:rsidR="00BB62FD">
        <w:rPr>
          <w:rFonts w:ascii="Times New Roman" w:hAnsi="Times New Roman" w:cs="Times New Roman"/>
        </w:rPr>
        <w:fldChar w:fldCharType="separate"/>
      </w:r>
      <w:r w:rsidR="00BB62FD" w:rsidRPr="00BB62FD">
        <w:rPr>
          <w:rFonts w:ascii="Times New Roman" w:hAnsi="Times New Roman" w:cs="Times New Roman"/>
        </w:rPr>
        <w:t>(Banyen, 2021; Lestari et al., 2023)</w:t>
      </w:r>
      <w:r w:rsidR="00BB62FD">
        <w:rPr>
          <w:rFonts w:ascii="Times New Roman" w:hAnsi="Times New Roman" w:cs="Times New Roman"/>
        </w:rPr>
        <w:fldChar w:fldCharType="end"/>
      </w:r>
      <w:r w:rsidRPr="006935A2">
        <w:rPr>
          <w:rFonts w:ascii="Times New Roman" w:hAnsi="Times New Roman" w:cs="Times New Roman"/>
        </w:rPr>
        <w:t>, limited effort has been made to provide for a systematic cross regional comparison on the link between inflation volatility and banking stability in these two not-so-homogeneous regions. Although existing literature on bank stability in Africa revolves mainly around factors of financial integration and competition and South Asia is mainly interested in bank diversification, South Asian bank stability, and digitization</w:t>
      </w:r>
      <w:r w:rsidR="00BB62FD" w:rsidRPr="00BB62FD">
        <w:rPr>
          <w:rFonts w:ascii="Times New Roman" w:hAnsi="Times New Roman" w:cs="Times New Roman"/>
        </w:rPr>
        <w:t>(Fatin Nur Hidayah Taib Khan et al., 2024; Lestari et al., 2023)</w:t>
      </w:r>
      <w:r w:rsidRPr="006935A2">
        <w:rPr>
          <w:rFonts w:ascii="Times New Roman" w:hAnsi="Times New Roman" w:cs="Times New Roman"/>
        </w:rPr>
        <w:t>, bank profitability factors have been largely ignored</w:t>
      </w:r>
      <w:r w:rsidR="00BB62FD">
        <w:rPr>
          <w:rFonts w:ascii="Times New Roman" w:hAnsi="Times New Roman" w:cs="Times New Roman"/>
        </w:rPr>
        <w:fldChar w:fldCharType="begin"/>
      </w:r>
      <w:r w:rsidR="00BB62FD">
        <w:rPr>
          <w:rFonts w:ascii="Times New Roman" w:hAnsi="Times New Roman" w:cs="Times New Roman"/>
        </w:rPr>
        <w:instrText xml:space="preserve"> ADDIN ZOTERO_ITEM CSL_CITATION {"citationID":"kz2TzNRN","properties":{"formattedCitation":"(Banyen, 2021; Banyen &amp; Biekpe, 2020)","plainCitation":"(Banyen, 2021; Banyen &amp; Biekpe, 2020)","noteIndex":0},"citationItems":[{"id":30,"uris":["http://zotero.org/users/local/VAqELCal/items/3ZHSJA7W"],"itemData":{"id":30,"type":"article-journal","container-title":"Journal of Economic Integration","DOI":"10.11130/jei.2021.36.2.282","issue":"2","journalAbbreviation":"Journal of Economic Integration","page":"282-307","title":"Financial Integration, Competition and Bank Risk-Taking Behavior: Evidence From Africa’s Sub-Regional Markets","volume":"36","author":[{"family":"Banyen","given":"Kannyiri T."}],"issued":{"date-parts":[["2021"]]}}},{"id":31,"uris":["http://zotero.org/users/local/VAqELCal/items/3M7C9Q65"],"itemData":{"id":31,"type":"article-journal","container-title":"International Journal of Emerging Markets","DOI":"10.1108/ijoem-08-2018-0435","issue":"3","journalAbbreviation":"International Journal of Emerging Markets","page":"468-491","title":"Financial Integration and Bank Profitability in Five Regional Economic Communities in Africa","volume":"16","author":[{"family":"Banyen","given":"Kannyiri T."},{"family":"Biekpe","given":"Nicholas"}],"issued":{"date-parts":[["2020"]]}}}],"schema":"https://github.com/citation-style-language/schema/raw/master/csl-citation.json"} </w:instrText>
      </w:r>
      <w:r w:rsidR="00BB62FD">
        <w:rPr>
          <w:rFonts w:ascii="Times New Roman" w:hAnsi="Times New Roman" w:cs="Times New Roman"/>
        </w:rPr>
        <w:fldChar w:fldCharType="separate"/>
      </w:r>
      <w:r w:rsidR="00BB62FD" w:rsidRPr="00BB62FD">
        <w:rPr>
          <w:rFonts w:ascii="Times New Roman" w:hAnsi="Times New Roman" w:cs="Times New Roman"/>
        </w:rPr>
        <w:t>(Banyen, 2021; Banyen &amp; Biekpe, 2020)</w:t>
      </w:r>
      <w:r w:rsidR="00BB62FD">
        <w:rPr>
          <w:rFonts w:ascii="Times New Roman" w:hAnsi="Times New Roman" w:cs="Times New Roman"/>
        </w:rPr>
        <w:fldChar w:fldCharType="end"/>
      </w:r>
      <w:r w:rsidRPr="006935A2">
        <w:rPr>
          <w:rFonts w:ascii="Times New Roman" w:hAnsi="Times New Roman" w:cs="Times New Roman"/>
        </w:rPr>
        <w:t>. This paper provides an integrated analysis of these parallel lines by placing inflation volatility in a common analytical framework for both regions, adding a comparative dimension that is often missing from the current literature, and considering it the key macroeconomic risk variable.</w:t>
      </w:r>
    </w:p>
    <w:p w14:paraId="429D7C3F" w14:textId="75FB6DFC"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Frontier-market evidence</w:t>
      </w:r>
      <w:r w:rsidR="00BB62FD">
        <w:rPr>
          <w:rFonts w:ascii="Times New Roman" w:hAnsi="Times New Roman" w:cs="Times New Roman"/>
        </w:rPr>
        <w:t>,</w:t>
      </w:r>
      <w:r w:rsidRPr="006935A2">
        <w:rPr>
          <w:rFonts w:ascii="Times New Roman" w:hAnsi="Times New Roman" w:cs="Times New Roman"/>
        </w:rPr>
        <w:t xml:space="preserve"> </w:t>
      </w:r>
      <w:r w:rsidR="00BB62FD">
        <w:rPr>
          <w:rFonts w:ascii="Times New Roman" w:hAnsi="Times New Roman" w:cs="Times New Roman"/>
        </w:rPr>
        <w:t>m</w:t>
      </w:r>
      <w:r w:rsidRPr="006935A2">
        <w:rPr>
          <w:rFonts w:ascii="Times New Roman" w:hAnsi="Times New Roman" w:cs="Times New Roman"/>
        </w:rPr>
        <w:t>uch of the available empirical evidence on inflation uncertainty and banks' risk comes for either high, developed, economies or for wide panels of emerging markets</w:t>
      </w:r>
      <w:r w:rsidR="00BB62FD">
        <w:rPr>
          <w:rFonts w:ascii="Times New Roman" w:hAnsi="Times New Roman" w:cs="Times New Roman"/>
        </w:rPr>
        <w:fldChar w:fldCharType="begin"/>
      </w:r>
      <w:r w:rsidR="00BB62FD">
        <w:rPr>
          <w:rFonts w:ascii="Times New Roman" w:hAnsi="Times New Roman" w:cs="Times New Roman"/>
        </w:rPr>
        <w:instrText xml:space="preserve"> ADDIN ZOTERO_ITEM CSL_CITATION {"citationID":"ekGayGyn","properties":{"formattedCitation":"(Liu &amp; Serletis, 2021)","plainCitation":"(Liu &amp; Serletis, 2021)","noteIndex":0},"citationItems":[{"id":26,"uris":["http://zotero.org/users/local/VAqELCal/items/3M5PP9L8"],"itemData":{"id":26,"type":"article-journal","container-title":"Journal of Economic Studies","DOI":"10.1108/jes-10-2020-0526","issue":"1","journalAbbreviation":"Journal of Economic Studies","page":"159-184","title":"The Complex Relationship Between Inflation and Equity Returns","volume":"49","author":[{"family":"Liu","given":"Jinan"},{"family":"Serletis","given":"Apostolos"}],"issued":{"date-parts":[["2021"]]}}}],"schema":"https://github.com/citation-style-language/schema/raw/master/csl-citation.json"} </w:instrText>
      </w:r>
      <w:r w:rsidR="00BB62FD">
        <w:rPr>
          <w:rFonts w:ascii="Times New Roman" w:hAnsi="Times New Roman" w:cs="Times New Roman"/>
        </w:rPr>
        <w:fldChar w:fldCharType="separate"/>
      </w:r>
      <w:r w:rsidR="00BB62FD" w:rsidRPr="00BB62FD">
        <w:rPr>
          <w:rFonts w:ascii="Times New Roman" w:hAnsi="Times New Roman" w:cs="Times New Roman"/>
        </w:rPr>
        <w:t>(Liu &amp; Serletis, 2021)</w:t>
      </w:r>
      <w:r w:rsidR="00BB62FD">
        <w:rPr>
          <w:rFonts w:ascii="Times New Roman" w:hAnsi="Times New Roman" w:cs="Times New Roman"/>
        </w:rPr>
        <w:fldChar w:fldCharType="end"/>
      </w:r>
      <w:r w:rsidRPr="006935A2">
        <w:rPr>
          <w:rFonts w:ascii="Times New Roman" w:hAnsi="Times New Roman" w:cs="Times New Roman"/>
        </w:rPr>
        <w:t>. This analysis contributes to the evidence base by examining frontier and developing group of economies  South Asia and Sub-Saharan Africa  where financial markets are underdeveloped, especially institutions are weak and macroeconomic instability is high</w:t>
      </w:r>
      <w:r w:rsidR="00BB62FD">
        <w:rPr>
          <w:rFonts w:ascii="Times New Roman" w:hAnsi="Times New Roman" w:cs="Times New Roman"/>
        </w:rPr>
        <w:fldChar w:fldCharType="begin"/>
      </w:r>
      <w:r w:rsidR="00BB62FD">
        <w:rPr>
          <w:rFonts w:ascii="Times New Roman" w:hAnsi="Times New Roman" w:cs="Times New Roman"/>
        </w:rPr>
        <w:instrText xml:space="preserve"> ADDIN ZOTERO_ITEM CSL_CITATION {"citationID":"mlfef6Gr","properties":{"formattedCitation":"(Antwi &amp; Kwakye, 2022; Modugu &amp; Dempere, 2022)","plainCitation":"(Antwi &amp; Kwakye, 2022; Modugu &amp; Dempere, 2022)","noteIndex":0},"citationItems":[{"id":34,"uris":["http://zotero.org/users/local/VAqELCal/items/HLR6WQ2V"],"itemData":{"id":34,"type":"article-journal","container-title":"International Journal of Research in Business and Social Science (2147-4478)","DOI":"10.20525/ijrbs.v11i7.2058","issue":"7","journalAbbreviation":"International Journal of Research in Business and Social Science (2147-4478)","page":"143-151","title":"Modelling the Effect of Bank Performance on Financial Stability","volume":"11","author":[{"family":"Antwi","given":"Frank"},{"family":"Kwakye","given":"Mercy"}],"issued":{"date-parts":[["2022"]]}}},{"id":33,"uris":["http://zotero.org/users/local/VAqELCal/items/8L2NMGNU"],"itemData":{"id":33,"type":"article-journal","container-title":"Journal of Economics and Development","DOI":"10.1108/jed-09-2021-0144","issue":"3","journalAbbreviation":"Journal of Economics and Development","page":"217-229","title":"Monetary Policies and Bank Lending in Developing Countries: Evidence From Sub-Sahara Africa","volume":"24","author":[{"family":"Modugu","given":"Kennedy P."},{"family":"Dempere","given":"Juan"}],"issued":{"date-parts":[["2022"]]}}}],"schema":"https://github.com/citation-style-language/schema/raw/master/csl-citation.json"} </w:instrText>
      </w:r>
      <w:r w:rsidR="00BB62FD">
        <w:rPr>
          <w:rFonts w:ascii="Times New Roman" w:hAnsi="Times New Roman" w:cs="Times New Roman"/>
        </w:rPr>
        <w:fldChar w:fldCharType="separate"/>
      </w:r>
      <w:r w:rsidR="00BB62FD" w:rsidRPr="00BB62FD">
        <w:rPr>
          <w:rFonts w:ascii="Times New Roman" w:hAnsi="Times New Roman" w:cs="Times New Roman"/>
        </w:rPr>
        <w:t>(Antwi &amp; Kwakye, 2022; Modugu &amp; Dempere, 2022)</w:t>
      </w:r>
      <w:r w:rsidR="00BB62FD">
        <w:rPr>
          <w:rFonts w:ascii="Times New Roman" w:hAnsi="Times New Roman" w:cs="Times New Roman"/>
        </w:rPr>
        <w:fldChar w:fldCharType="end"/>
      </w:r>
      <w:r w:rsidRPr="006935A2">
        <w:rPr>
          <w:rFonts w:ascii="Times New Roman" w:hAnsi="Times New Roman" w:cs="Times New Roman"/>
        </w:rPr>
        <w:t>. Macroeconomic instability with high variability in inflation is observed in Sub-Saharan African countries,</w:t>
      </w:r>
      <w:r w:rsidR="00BB62FD">
        <w:rPr>
          <w:rFonts w:ascii="Times New Roman" w:hAnsi="Times New Roman" w:cs="Times New Roman"/>
        </w:rPr>
        <w:fldChar w:fldCharType="begin"/>
      </w:r>
      <w:r w:rsidR="00BB62FD">
        <w:rPr>
          <w:rFonts w:ascii="Times New Roman" w:hAnsi="Times New Roman" w:cs="Times New Roman"/>
        </w:rPr>
        <w:instrText xml:space="preserve"> ADDIN ZOTERO_ITEM CSL_CITATION {"citationID":"yke5GBQE","properties":{"formattedCitation":"(Antwi &amp; Kwakye, 2022)","plainCitation":"(Antwi &amp; Kwakye, 2022)","noteIndex":0},"citationItems":[{"id":34,"uris":["http://zotero.org/users/local/VAqELCal/items/HLR6WQ2V"],"itemData":{"id":34,"type":"article-journal","container-title":"International Journal of Research in Business and Social Science (2147-4478)","DOI":"10.20525/ijrbs.v11i7.2058","issue":"7","journalAbbreviation":"International Journal of Research in Business and Social Science (2147-4478)","page":"143-151","title":"Modelling the Effect of Bank Performance on Financial Stability","volume":"11","author":[{"family":"Antwi","given":"Frank"},{"family":"Kwakye","given":"Mercy"}],"issued":{"date-parts":[["2022"]]}}}],"schema":"https://github.com/citation-style-language/schema/raw/master/csl-citation.json"} </w:instrText>
      </w:r>
      <w:r w:rsidR="00BB62FD">
        <w:rPr>
          <w:rFonts w:ascii="Times New Roman" w:hAnsi="Times New Roman" w:cs="Times New Roman"/>
        </w:rPr>
        <w:fldChar w:fldCharType="separate"/>
      </w:r>
      <w:r w:rsidR="00BB62FD" w:rsidRPr="00BB62FD">
        <w:rPr>
          <w:rFonts w:ascii="Times New Roman" w:hAnsi="Times New Roman" w:cs="Times New Roman"/>
        </w:rPr>
        <w:t>(Antwi &amp; Kwakye, 2022)</w:t>
      </w:r>
      <w:r w:rsidR="00BB62FD">
        <w:rPr>
          <w:rFonts w:ascii="Times New Roman" w:hAnsi="Times New Roman" w:cs="Times New Roman"/>
        </w:rPr>
        <w:fldChar w:fldCharType="end"/>
      </w:r>
      <w:r w:rsidRPr="006935A2">
        <w:rPr>
          <w:rFonts w:ascii="Times New Roman" w:hAnsi="Times New Roman" w:cs="Times New Roman"/>
        </w:rPr>
        <w:t xml:space="preserve"> record inflation as a major form of </w:t>
      </w:r>
      <w:proofErr w:type="spellStart"/>
      <w:r w:rsidRPr="006935A2">
        <w:rPr>
          <w:rFonts w:ascii="Times New Roman" w:hAnsi="Times New Roman" w:cs="Times New Roman"/>
        </w:rPr>
        <w:t>destabilising</w:t>
      </w:r>
      <w:proofErr w:type="spellEnd"/>
      <w:r w:rsidRPr="006935A2">
        <w:rPr>
          <w:rFonts w:ascii="Times New Roman" w:hAnsi="Times New Roman" w:cs="Times New Roman"/>
        </w:rPr>
        <w:t xml:space="preserve"> factor for African banking systems</w:t>
      </w:r>
      <w:r w:rsidR="00BB62FD">
        <w:rPr>
          <w:rFonts w:ascii="Times New Roman" w:hAnsi="Times New Roman" w:cs="Times New Roman"/>
        </w:rPr>
        <w:fldChar w:fldCharType="begin"/>
      </w:r>
      <w:r w:rsidR="00BB62FD">
        <w:rPr>
          <w:rFonts w:ascii="Times New Roman" w:hAnsi="Times New Roman" w:cs="Times New Roman"/>
        </w:rPr>
        <w:instrText xml:space="preserve"> ADDIN ZOTERO_ITEM CSL_CITATION {"citationID":"DJIpbHMa","properties":{"formattedCitation":"(Fatin Nur Hidayah Taib Khan et al., 2024)","plainCitation":"(Fatin Nur Hidayah Taib Khan et al., 2024)","noteIndex":0},"citationItems":[{"id":32,"uris":["http://zotero.org/users/local/VAqELCal/items/K5FCKMDC"],"itemData":{"id":32,"type":"article-journal","container-title":"Journal of Financial Regulation and Compliance","DOI":"10.1108/jfrc-03-2024-0053","issue":"1","journalAbbreviation":"Journal of Financial Regulation and Compliance","page":"109-128","title":"The Role of Activity Restrictions on Financial Intermediation Costs in ASEAN Countries","volume":"33","author":[{"literal":"Fatin Nur Hidayah Taib Khan"},{"family":"Malim","given":"Nurhafiza A. K."},{"family":"Masron","given":"Tajul A."}],"issued":{"date-parts":[["2024"]]}}}],"schema":"https://github.com/citation-style-language/schema/raw/master/csl-citation.json"} </w:instrText>
      </w:r>
      <w:r w:rsidR="00BB62FD">
        <w:rPr>
          <w:rFonts w:ascii="Times New Roman" w:hAnsi="Times New Roman" w:cs="Times New Roman"/>
        </w:rPr>
        <w:fldChar w:fldCharType="separate"/>
      </w:r>
      <w:r w:rsidR="00BB62FD" w:rsidRPr="00BB62FD">
        <w:rPr>
          <w:rFonts w:ascii="Times New Roman" w:hAnsi="Times New Roman" w:cs="Times New Roman"/>
        </w:rPr>
        <w:t>(Fatin Nur Hidayah Taib Khan et al., 2024)</w:t>
      </w:r>
      <w:r w:rsidR="00BB62FD">
        <w:rPr>
          <w:rFonts w:ascii="Times New Roman" w:hAnsi="Times New Roman" w:cs="Times New Roman"/>
        </w:rPr>
        <w:fldChar w:fldCharType="end"/>
      </w:r>
      <w:r w:rsidRPr="006935A2">
        <w:rPr>
          <w:rFonts w:ascii="Times New Roman" w:hAnsi="Times New Roman" w:cs="Times New Roman"/>
        </w:rPr>
        <w:t>. This study examines these economies in comparison to those in South Asia that have enjoyed relatively more developed regulators and offers region-specific lessons that will be relevant to policy makers in data-poor economies.</w:t>
      </w:r>
    </w:p>
    <w:p w14:paraId="2EB45CA6" w14:textId="777429BC"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 xml:space="preserve">Unusual novelty in the area of variable measurement based on dual banking-stability measures. The methodological novelty point of this study is the use of some dual banking-stability measures: bank Z-score and </w:t>
      </w:r>
      <w:proofErr w:type="spellStart"/>
      <w:proofErr w:type="gramStart"/>
      <w:r w:rsidRPr="006935A2">
        <w:rPr>
          <w:rFonts w:ascii="Times New Roman" w:hAnsi="Times New Roman" w:cs="Times New Roman"/>
        </w:rPr>
        <w:t>Non Performing</w:t>
      </w:r>
      <w:proofErr w:type="spellEnd"/>
      <w:proofErr w:type="gramEnd"/>
      <w:r w:rsidRPr="006935A2">
        <w:rPr>
          <w:rFonts w:ascii="Times New Roman" w:hAnsi="Times New Roman" w:cs="Times New Roman"/>
        </w:rPr>
        <w:t xml:space="preserve"> Loans (NPL) ratio. The Z-score is a measure that encapsulates </w:t>
      </w:r>
      <w:r w:rsidRPr="006935A2">
        <w:rPr>
          <w:rFonts w:ascii="Times New Roman" w:hAnsi="Times New Roman" w:cs="Times New Roman"/>
        </w:rPr>
        <w:lastRenderedPageBreak/>
        <w:t xml:space="preserve">the distance-to-default by combining profitability, </w:t>
      </w:r>
      <w:proofErr w:type="spellStart"/>
      <w:r w:rsidRPr="006935A2">
        <w:rPr>
          <w:rFonts w:ascii="Times New Roman" w:hAnsi="Times New Roman" w:cs="Times New Roman"/>
        </w:rPr>
        <w:t>capitalisation</w:t>
      </w:r>
      <w:proofErr w:type="spellEnd"/>
      <w:r w:rsidRPr="006935A2">
        <w:rPr>
          <w:rFonts w:ascii="Times New Roman" w:hAnsi="Times New Roman" w:cs="Times New Roman"/>
        </w:rPr>
        <w:t xml:space="preserve"> and return volatility into a single measure of insolvency risk and has been used extensively in banking stability research, in both African</w:t>
      </w:r>
      <w:r w:rsidR="00BB62FD">
        <w:rPr>
          <w:rFonts w:ascii="Times New Roman" w:hAnsi="Times New Roman" w:cs="Times New Roman"/>
        </w:rPr>
        <w:t xml:space="preserve"> </w:t>
      </w:r>
      <w:r w:rsidR="00BB62FD">
        <w:rPr>
          <w:rFonts w:ascii="Times New Roman" w:hAnsi="Times New Roman" w:cs="Times New Roman"/>
        </w:rPr>
        <w:fldChar w:fldCharType="begin"/>
      </w:r>
      <w:r w:rsidR="00081662">
        <w:rPr>
          <w:rFonts w:ascii="Times New Roman" w:hAnsi="Times New Roman" w:cs="Times New Roman"/>
        </w:rPr>
        <w:instrText xml:space="preserve"> ADDIN ZOTERO_ITEM CSL_CITATION {"citationID":"xg288gPS","properties":{"formattedCitation":"(Antwi &amp; Kwakye, 2022; Banyen, 2021)","plainCitation":"(Antwi &amp; Kwakye, 2022; Banyen, 2021)","noteIndex":0},"citationItems":[{"id":34,"uris":["http://zotero.org/users/local/VAqELCal/items/HLR6WQ2V"],"itemData":{"id":34,"type":"article-journal","container-title":"International Journal of Research in Business and Social Science (2147-4478)","DOI":"10.20525/ijrbs.v11i7.2058","issue":"7","journalAbbreviation":"International Journal of Research in Business and Social Science (2147-4478)","page":"143-151","title":"Modelling the Effect of Bank Performance on Financial Stability","volume":"11","author":[{"family":"Antwi","given":"Frank"},{"family":"Kwakye","given":"Mercy"}],"issued":{"date-parts":[["2022"]]}}},{"id":30,"uris":["http://zotero.org/users/local/VAqELCal/items/3ZHSJA7W"],"itemData":{"id":30,"type":"article-journal","container-title":"Journal of Economic Integration","DOI":"10.11130/jei.2021.36.2.282","issue":"2","journalAbbreviation":"Journal of Economic Integration","page":"282-307","title":"Financial Integration, Competition and Bank Risk-Taking Behavior: Evidence From Africa’s Sub-Regional Markets","volume":"36","author":[{"family":"Banyen","given":"Kannyiri T."}],"issued":{"date-parts":[["2021"]]}}}],"schema":"https://github.com/citation-style-language/schema/raw/master/csl-citation.json"} </w:instrText>
      </w:r>
      <w:r w:rsidR="00BB62FD">
        <w:rPr>
          <w:rFonts w:ascii="Times New Roman" w:hAnsi="Times New Roman" w:cs="Times New Roman"/>
        </w:rPr>
        <w:fldChar w:fldCharType="separate"/>
      </w:r>
      <w:r w:rsidR="00081662" w:rsidRPr="00081662">
        <w:rPr>
          <w:rFonts w:ascii="Times New Roman" w:hAnsi="Times New Roman" w:cs="Times New Roman"/>
        </w:rPr>
        <w:t>(Antwi &amp; Kwakye, 2022; Banyen, 2021)</w:t>
      </w:r>
      <w:r w:rsidR="00BB62FD">
        <w:rPr>
          <w:rFonts w:ascii="Times New Roman" w:hAnsi="Times New Roman" w:cs="Times New Roman"/>
        </w:rPr>
        <w:fldChar w:fldCharType="end"/>
      </w:r>
      <w:r w:rsidRPr="006935A2">
        <w:rPr>
          <w:rFonts w:ascii="Times New Roman" w:hAnsi="Times New Roman" w:cs="Times New Roman"/>
        </w:rPr>
        <w:t xml:space="preserve"> and Asian</w:t>
      </w:r>
      <w:r w:rsidR="00081662">
        <w:rPr>
          <w:rFonts w:ascii="Times New Roman" w:hAnsi="Times New Roman" w:cs="Times New Roman"/>
        </w:rPr>
        <w:fldChar w:fldCharType="begin"/>
      </w:r>
      <w:r w:rsidR="00081662">
        <w:rPr>
          <w:rFonts w:ascii="Times New Roman" w:hAnsi="Times New Roman" w:cs="Times New Roman"/>
        </w:rPr>
        <w:instrText xml:space="preserve"> ADDIN ZOTERO_ITEM CSL_CITATION {"citationID":"urJCictH","properties":{"formattedCitation":"(Lestari et al., 2023)","plainCitation":"(Lestari et al., 2023)","noteIndex":0},"citationItems":[{"id":28,"uris":["http://zotero.org/users/local/VAqELCal/items/QQDPZLN2"],"itemData":{"id":28,"type":"article-journal","container-title":"Studies in Economics and Finance","DOI":"10.1108/sef-12-2022-0554","issue":"4","journalAbbreviation":"Studies in Economics and Finance","page":"606-624","title":"Enhancing Bank Stability From Diversification and Digitalization Perspective in ASEAN","volume":"40","author":[{"family":"Lestari","given":"Diyan"},{"family":"Ma","given":"Shiguang"},{"family":"Jun","given":"Aelee"}],"issued":{"date-parts":[["2023"]]}}}],"schema":"https://github.com/citation-style-language/schema/raw/master/csl-citation.json"} </w:instrText>
      </w:r>
      <w:r w:rsidR="00081662">
        <w:rPr>
          <w:rFonts w:ascii="Times New Roman" w:hAnsi="Times New Roman" w:cs="Times New Roman"/>
        </w:rPr>
        <w:fldChar w:fldCharType="separate"/>
      </w:r>
      <w:r w:rsidR="00081662" w:rsidRPr="00081662">
        <w:rPr>
          <w:rFonts w:ascii="Times New Roman" w:hAnsi="Times New Roman" w:cs="Times New Roman"/>
        </w:rPr>
        <w:t>(Lestari et al., 2023)</w:t>
      </w:r>
      <w:r w:rsidR="00081662">
        <w:rPr>
          <w:rFonts w:ascii="Times New Roman" w:hAnsi="Times New Roman" w:cs="Times New Roman"/>
        </w:rPr>
        <w:fldChar w:fldCharType="end"/>
      </w:r>
      <w:r w:rsidRPr="006935A2">
        <w:rPr>
          <w:rFonts w:ascii="Times New Roman" w:hAnsi="Times New Roman" w:cs="Times New Roman"/>
        </w:rPr>
        <w:t xml:space="preserve"> contexts. A study by </w:t>
      </w:r>
      <w:r w:rsidR="00081662">
        <w:rPr>
          <w:rFonts w:ascii="Times New Roman" w:hAnsi="Times New Roman" w:cs="Times New Roman"/>
        </w:rPr>
        <w:fldChar w:fldCharType="begin"/>
      </w:r>
      <w:r w:rsidR="00081662">
        <w:rPr>
          <w:rFonts w:ascii="Times New Roman" w:hAnsi="Times New Roman" w:cs="Times New Roman"/>
        </w:rPr>
        <w:instrText xml:space="preserve"> ADDIN ZOTERO_ITEM CSL_CITATION {"citationID":"Xde95NRy","properties":{"formattedCitation":"(Banyen, 2021)","plainCitation":"(Banyen, 2021)","noteIndex":0},"citationItems":[{"id":30,"uris":["http://zotero.org/users/local/VAqELCal/items/3ZHSJA7W"],"itemData":{"id":30,"type":"article-journal","container-title":"Journal of Economic Integration","DOI":"10.11130/jei.2021.36.2.282","issue":"2","journalAbbreviation":"Journal of Economic Integration","page":"282-307","title":"Financial Integration, Competition and Bank Risk-Taking Behavior: Evidence From Africa’s Sub-Regional Markets","volume":"36","author":[{"family":"Banyen","given":"Kannyiri T."}],"issued":{"date-parts":[["2021"]]}}}],"schema":"https://github.com/citation-style-language/schema/raw/master/csl-citation.json"} </w:instrText>
      </w:r>
      <w:r w:rsidR="00081662">
        <w:rPr>
          <w:rFonts w:ascii="Times New Roman" w:hAnsi="Times New Roman" w:cs="Times New Roman"/>
        </w:rPr>
        <w:fldChar w:fldCharType="separate"/>
      </w:r>
      <w:r w:rsidR="00081662" w:rsidRPr="00081662">
        <w:rPr>
          <w:rFonts w:ascii="Times New Roman" w:hAnsi="Times New Roman" w:cs="Times New Roman"/>
        </w:rPr>
        <w:t>(Banyen, 2021)</w:t>
      </w:r>
      <w:r w:rsidR="00081662">
        <w:rPr>
          <w:rFonts w:ascii="Times New Roman" w:hAnsi="Times New Roman" w:cs="Times New Roman"/>
        </w:rPr>
        <w:fldChar w:fldCharType="end"/>
      </w:r>
      <w:r w:rsidRPr="006935A2">
        <w:rPr>
          <w:rFonts w:ascii="Times New Roman" w:hAnsi="Times New Roman" w:cs="Times New Roman"/>
        </w:rPr>
        <w:t>, which uses both the Z-score and NPL ratio to analyze African bank risk taking, shows that these indicators capture complementary aspects of bank stability: a change in the Z-score relates to overall changes in solvency risk, whereas a change in NPL ratio relates to deterioration in asset quality. This study integrates both indicators to offer a more full and pervasive evaluation of the transmission of inflation volatility via alternative dimensions of banking fragility, avoiding the possibility of findings being driven by the indicator used alone.</w:t>
      </w:r>
    </w:p>
    <w:p w14:paraId="58531C07" w14:textId="3FCEB5A2"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Policy discussion and value added that is expected. Through the comparative regional design of this study, it will be possible to make differentiated policy recommendations. The results will help to clarify the need for macroprudential policy measures in African economies</w:t>
      </w:r>
      <w:r w:rsidR="00081662">
        <w:rPr>
          <w:rFonts w:ascii="Times New Roman" w:hAnsi="Times New Roman" w:cs="Times New Roman"/>
        </w:rPr>
        <w:fldChar w:fldCharType="begin"/>
      </w:r>
      <w:r w:rsidR="00081662">
        <w:rPr>
          <w:rFonts w:ascii="Times New Roman" w:hAnsi="Times New Roman" w:cs="Times New Roman"/>
        </w:rPr>
        <w:instrText xml:space="preserve"> ADDIN ZOTERO_ITEM CSL_CITATION {"citationID":"rere5Xt7","properties":{"formattedCitation":"(Malikane &amp; Chomba, 2022; Modugu &amp; Dempere, 2022)","plainCitation":"(Malikane &amp; Chomba, 2022; Modugu &amp; Dempere, 2022)","noteIndex":0},"citationItems":[{"id":35,"uris":["http://zotero.org/users/local/VAqELCal/items/VP55QYJC"],"itemData":{"id":35,"type":"article-journal","container-title":"International Journal of Scientific and Management Research","DOI":"10.37502/ijsmr.2022.51013","issue":"10","journalAbbreviation":"International Journal of Scientific and Management Research","page":"184-206","title":"Does Institutional Quality Influence Financial Deepening in Selected African Countries?","volume":"05","author":[{"family":"Malikane","given":"Christopher"},{"family":"Chomba","given":"Haggai"}],"issued":{"date-parts":[["2022"]]}}},{"id":33,"uris":["http://zotero.org/users/local/VAqELCal/items/8L2NMGNU"],"itemData":{"id":33,"type":"article-journal","container-title":"Journal of Economics and Development","DOI":"10.1108/jed-09-2021-0144","issue":"3","journalAbbreviation":"Journal of Economics and Development","page":"217-229","title":"Monetary Policies and Bank Lending in Developing Countries: Evidence From Sub-Sahara Africa","volume":"24","author":[{"family":"Modugu","given":"Kennedy P."},{"family":"Dempere","given":"Juan"}],"issued":{"date-parts":[["2022"]]}}}],"schema":"https://github.com/citation-style-language/schema/raw/master/csl-citation.json"} </w:instrText>
      </w:r>
      <w:r w:rsidR="00081662">
        <w:rPr>
          <w:rFonts w:ascii="Times New Roman" w:hAnsi="Times New Roman" w:cs="Times New Roman"/>
        </w:rPr>
        <w:fldChar w:fldCharType="separate"/>
      </w:r>
      <w:r w:rsidR="00081662" w:rsidRPr="00081662">
        <w:rPr>
          <w:rFonts w:ascii="Times New Roman" w:hAnsi="Times New Roman" w:cs="Times New Roman"/>
        </w:rPr>
        <w:t>(Malikane &amp; Chomba, 2022; Modugu &amp; Dempere, 2022)</w:t>
      </w:r>
      <w:r w:rsidR="00081662">
        <w:rPr>
          <w:rFonts w:ascii="Times New Roman" w:hAnsi="Times New Roman" w:cs="Times New Roman"/>
        </w:rPr>
        <w:fldChar w:fldCharType="end"/>
      </w:r>
      <w:r w:rsidRPr="006935A2">
        <w:rPr>
          <w:rFonts w:ascii="Times New Roman" w:hAnsi="Times New Roman" w:cs="Times New Roman"/>
        </w:rPr>
        <w:t xml:space="preserve"> where banking is constrained by weak institutional settings and the pass-through of monetary policy is not necessarily strong. The findings will shed light on the extent to which inflation volatility shocks are cushioned by the current policy architecture for South Asian economies for which policies have changed significantly over time. Finally, this analysis aims to contribute to the design of evidence-based banking sector regulations that will increase banking sector resilience where financial sector stability is still a necessary foundation for successful economic development</w:t>
      </w:r>
      <w:r w:rsidR="00081662">
        <w:rPr>
          <w:rFonts w:ascii="Times New Roman" w:hAnsi="Times New Roman" w:cs="Times New Roman"/>
        </w:rPr>
        <w:fldChar w:fldCharType="begin"/>
      </w:r>
      <w:r w:rsidR="00081662">
        <w:rPr>
          <w:rFonts w:ascii="Times New Roman" w:hAnsi="Times New Roman" w:cs="Times New Roman"/>
        </w:rPr>
        <w:instrText xml:space="preserve"> ADDIN ZOTERO_ITEM CSL_CITATION {"citationID":"gpTIkTOU","properties":{"formattedCitation":"(Antwi &amp; Kwakye, 2022)","plainCitation":"(Antwi &amp; Kwakye, 2022)","noteIndex":0},"citationItems":[{"id":34,"uris":["http://zotero.org/users/local/VAqELCal/items/HLR6WQ2V"],"itemData":{"id":34,"type":"article-journal","container-title":"International Journal of Research in Business and Social Science (2147-4478)","DOI":"10.20525/ijrbs.v11i7.2058","issue":"7","journalAbbreviation":"International Journal of Research in Business and Social Science (2147-4478)","page":"143-151","title":"Modelling the Effect of Bank Performance on Financial Stability","volume":"11","author":[{"family":"Antwi","given":"Frank"},{"family":"Kwakye","given":"Mercy"}],"issued":{"date-parts":[["2022"]]}}}],"schema":"https://github.com/citation-style-language/schema/raw/master/csl-citation.json"} </w:instrText>
      </w:r>
      <w:r w:rsidR="00081662">
        <w:rPr>
          <w:rFonts w:ascii="Times New Roman" w:hAnsi="Times New Roman" w:cs="Times New Roman"/>
        </w:rPr>
        <w:fldChar w:fldCharType="separate"/>
      </w:r>
      <w:r w:rsidR="00081662" w:rsidRPr="00081662">
        <w:rPr>
          <w:rFonts w:ascii="Times New Roman" w:hAnsi="Times New Roman" w:cs="Times New Roman"/>
        </w:rPr>
        <w:t>(Antwi &amp; Kwakye, 2022)</w:t>
      </w:r>
      <w:r w:rsidR="00081662">
        <w:rPr>
          <w:rFonts w:ascii="Times New Roman" w:hAnsi="Times New Roman" w:cs="Times New Roman"/>
        </w:rPr>
        <w:fldChar w:fldCharType="end"/>
      </w:r>
      <w:r w:rsidRPr="006935A2">
        <w:rPr>
          <w:rFonts w:ascii="Times New Roman" w:hAnsi="Times New Roman" w:cs="Times New Roman"/>
        </w:rPr>
        <w:t>.</w:t>
      </w:r>
    </w:p>
    <w:p w14:paraId="07671C93" w14:textId="77777777" w:rsidR="00CB1682" w:rsidRPr="006935A2" w:rsidRDefault="00CB1682" w:rsidP="00C44A63">
      <w:pPr>
        <w:spacing w:line="360" w:lineRule="auto"/>
        <w:jc w:val="both"/>
        <w:rPr>
          <w:rFonts w:ascii="Times New Roman" w:hAnsi="Times New Roman" w:cs="Times New Roman"/>
        </w:rPr>
      </w:pPr>
    </w:p>
    <w:p w14:paraId="5AB65DC5" w14:textId="77777777" w:rsidR="00CB1682" w:rsidRPr="006935A2" w:rsidRDefault="00CB1682" w:rsidP="00C44A63">
      <w:pPr>
        <w:spacing w:line="360" w:lineRule="auto"/>
        <w:jc w:val="both"/>
        <w:rPr>
          <w:rFonts w:ascii="Times New Roman" w:hAnsi="Times New Roman" w:cs="Times New Roman"/>
        </w:rPr>
      </w:pPr>
    </w:p>
    <w:p w14:paraId="569228E3" w14:textId="44A72154" w:rsidR="00CB1682" w:rsidRPr="006935A2" w:rsidRDefault="00CB1682" w:rsidP="00C44A63">
      <w:pPr>
        <w:pStyle w:val="Heading2"/>
        <w:spacing w:line="360" w:lineRule="auto"/>
        <w:jc w:val="both"/>
        <w:rPr>
          <w:rFonts w:ascii="Times New Roman" w:hAnsi="Times New Roman" w:cs="Times New Roman"/>
          <w:b/>
          <w:bCs/>
          <w:sz w:val="28"/>
          <w:szCs w:val="28"/>
        </w:rPr>
      </w:pPr>
      <w:bookmarkStart w:id="18" w:name="_Toc235530847"/>
      <w:r w:rsidRPr="006935A2">
        <w:rPr>
          <w:rFonts w:ascii="Times New Roman" w:hAnsi="Times New Roman" w:cs="Times New Roman"/>
          <w:b/>
          <w:bCs/>
          <w:sz w:val="28"/>
          <w:szCs w:val="28"/>
        </w:rPr>
        <w:t>1.5 Scope of the Study, Sample Logic and Paper Roadmap</w:t>
      </w:r>
      <w:bookmarkEnd w:id="18"/>
    </w:p>
    <w:p w14:paraId="40377D02" w14:textId="5909E1B5"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The design of this study is cross-regional comparative, involving selected countries from South Asia and Africa, which have structural similarities – bank-dominated financial systems, and susceptibility to macroeconomic volatility – but are also widely varying with respect to banking sector institutional quality, maturity of the regulatory framework, and monetary policy</w:t>
      </w:r>
      <w:r w:rsidR="00081662">
        <w:rPr>
          <w:rFonts w:ascii="Times New Roman" w:hAnsi="Times New Roman" w:cs="Times New Roman"/>
        </w:rPr>
        <w:fldChar w:fldCharType="begin"/>
      </w:r>
      <w:r w:rsidR="00081662">
        <w:rPr>
          <w:rFonts w:ascii="Times New Roman" w:hAnsi="Times New Roman" w:cs="Times New Roman"/>
        </w:rPr>
        <w:instrText xml:space="preserve"> ADDIN ZOTERO_ITEM CSL_CITATION {"citationID":"bVR0G2nx","properties":{"formattedCitation":"(Antwi &amp; Kwakye, 2022; Banyen, 2021)","plainCitation":"(Antwi &amp; Kwakye, 2022; Banyen, 2021)","noteIndex":0},"citationItems":[{"id":34,"uris":["http://zotero.org/users/local/VAqELCal/items/HLR6WQ2V"],"itemData":{"id":34,"type":"article-journal","container-title":"International Journal of Research in Business and Social Science (2147-4478)","DOI":"10.20525/ijrbs.v11i7.2058","issue":"7","journalAbbreviation":"International Journal of Research in Business and Social Science (2147-4478)","page":"143-151","title":"Modelling the Effect of Bank Performance on Financial Stability","volume":"11","author":[{"family":"Antwi","given":"Frank"},{"family":"Kwakye","given":"Mercy"}],"issued":{"date-parts":[["2022"]]}}},{"id":30,"uris":["http://zotero.org/users/local/VAqELCal/items/3ZHSJA7W"],"itemData":{"id":30,"type":"article-journal","container-title":"Journal of Economic Integration","DOI":"10.11130/jei.2021.36.2.282","issue":"2","journalAbbreviation":"Journal of Economic Integration","page":"282-307","title":"Financial Integration, Competition and Bank Risk-Taking Behavior: Evidence From Africa’s Sub-Regional Markets","volume":"36","author":[{"family":"Banyen","given":"Kannyiri T."}],"issued":{"date-parts":[["2021"]]}}}],"schema":"https://github.com/citation-style-language/schema/raw/master/csl-citation.json"} </w:instrText>
      </w:r>
      <w:r w:rsidR="00081662">
        <w:rPr>
          <w:rFonts w:ascii="Times New Roman" w:hAnsi="Times New Roman" w:cs="Times New Roman"/>
        </w:rPr>
        <w:fldChar w:fldCharType="separate"/>
      </w:r>
      <w:r w:rsidR="00081662" w:rsidRPr="00081662">
        <w:rPr>
          <w:rFonts w:ascii="Times New Roman" w:hAnsi="Times New Roman" w:cs="Times New Roman"/>
        </w:rPr>
        <w:t>(Antwi &amp; Kwakye, 2022; Banyen, 2021)</w:t>
      </w:r>
      <w:r w:rsidR="00081662">
        <w:rPr>
          <w:rFonts w:ascii="Times New Roman" w:hAnsi="Times New Roman" w:cs="Times New Roman"/>
        </w:rPr>
        <w:fldChar w:fldCharType="end"/>
      </w:r>
      <w:r w:rsidRPr="006935A2">
        <w:rPr>
          <w:rFonts w:ascii="Times New Roman" w:hAnsi="Times New Roman" w:cs="Times New Roman"/>
        </w:rPr>
        <w:t>.</w:t>
      </w:r>
    </w:p>
    <w:p w14:paraId="35B0A97D" w14:textId="77777777" w:rsidR="004A7AB0" w:rsidRDefault="004A7AB0" w:rsidP="00C44A63">
      <w:pPr>
        <w:spacing w:line="360" w:lineRule="auto"/>
        <w:jc w:val="both"/>
        <w:rPr>
          <w:rFonts w:ascii="Times New Roman" w:hAnsi="Times New Roman" w:cs="Times New Roman"/>
        </w:rPr>
      </w:pPr>
    </w:p>
    <w:p w14:paraId="28E161D6" w14:textId="656485C5" w:rsidR="00CB1682" w:rsidRPr="004A7AB0" w:rsidRDefault="004A7AB0" w:rsidP="00C44A63">
      <w:pPr>
        <w:pStyle w:val="Heading3"/>
        <w:spacing w:line="360" w:lineRule="auto"/>
        <w:jc w:val="both"/>
        <w:rPr>
          <w:rFonts w:ascii="Times New Roman" w:hAnsi="Times New Roman" w:cs="Times New Roman"/>
          <w:b/>
          <w:bCs/>
          <w:sz w:val="24"/>
          <w:szCs w:val="24"/>
        </w:rPr>
      </w:pPr>
      <w:bookmarkStart w:id="19" w:name="_Toc235530848"/>
      <w:r w:rsidRPr="004A7AB0">
        <w:rPr>
          <w:rFonts w:ascii="Times New Roman" w:hAnsi="Times New Roman" w:cs="Times New Roman"/>
          <w:b/>
          <w:bCs/>
          <w:sz w:val="24"/>
          <w:szCs w:val="24"/>
        </w:rPr>
        <w:lastRenderedPageBreak/>
        <w:t xml:space="preserve">1.5.1 </w:t>
      </w:r>
      <w:r w:rsidR="00CB1682" w:rsidRPr="004A7AB0">
        <w:rPr>
          <w:rFonts w:ascii="Times New Roman" w:hAnsi="Times New Roman" w:cs="Times New Roman"/>
          <w:b/>
          <w:bCs/>
          <w:sz w:val="24"/>
          <w:szCs w:val="24"/>
        </w:rPr>
        <w:t>Geographic and temporal scope</w:t>
      </w:r>
      <w:bookmarkEnd w:id="19"/>
    </w:p>
    <w:p w14:paraId="69730E34" w14:textId="116398BE"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 xml:space="preserve">The South Asian sample is based on the countries in the region where the necessary </w:t>
      </w:r>
      <w:proofErr w:type="spellStart"/>
      <w:r w:rsidRPr="006935A2">
        <w:rPr>
          <w:rFonts w:ascii="Times New Roman" w:hAnsi="Times New Roman" w:cs="Times New Roman"/>
        </w:rPr>
        <w:t>macrofinancial</w:t>
      </w:r>
      <w:proofErr w:type="spellEnd"/>
      <w:r w:rsidRPr="006935A2">
        <w:rPr>
          <w:rFonts w:ascii="Times New Roman" w:hAnsi="Times New Roman" w:cs="Times New Roman"/>
        </w:rPr>
        <w:t xml:space="preserve"> data are available and applicable in combination: Bangladesh, India, Pakistan, Sri Lanka and Nepal </w:t>
      </w:r>
      <w:r w:rsidR="00081662">
        <w:rPr>
          <w:rFonts w:ascii="Times New Roman" w:hAnsi="Times New Roman" w:cs="Times New Roman"/>
        </w:rPr>
        <w:fldChar w:fldCharType="begin"/>
      </w:r>
      <w:r w:rsidR="00081662">
        <w:rPr>
          <w:rFonts w:ascii="Times New Roman" w:hAnsi="Times New Roman" w:cs="Times New Roman"/>
        </w:rPr>
        <w:instrText xml:space="preserve"> ADDIN ZOTERO_ITEM CSL_CITATION {"citationID":"ktbGNMLG","properties":{"formattedCitation":"(Duong et al., 2025; Lestari et al., 2023)","plainCitation":"(Duong et al., 2025; Lestari et al., 2023)","noteIndex":0},"citationItems":[{"id":29,"uris":["http://zotero.org/users/local/VAqELCal/items/KJLY4TPV"],"itemData":{"id":29,"type":"article-journal","container-title":"Plos One","DOI":"10.1371/journal.pone.0316949","issue":"3","journalAbbreviation":"Plos One","page":"e0316949","title":"Income Diversification and Liquidity Risk in ASEAN-5 Banks: A Bayesian Perspective","volume":"20","author":[{"family":"Duong","given":"Quynh N."},{"family":"Tran","given":"Nguyen T."},{"family":"Dang","given":"Thi V. P."}],"issued":{"date-parts":[["2025"]]}}},{"id":28,"uris":["http://zotero.org/users/local/VAqELCal/items/QQDPZLN2"],"itemData":{"id":28,"type":"article-journal","container-title":"Studies in Economics and Finance","DOI":"10.1108/sef-12-2022-0554","issue":"4","journalAbbreviation":"Studies in Economics and Finance","page":"606-624","title":"Enhancing Bank Stability From Diversification and Digitalization Perspective in ASEAN","volume":"40","author":[{"family":"Lestari","given":"Diyan"},{"family":"Ma","given":"Shiguang"},{"family":"Jun","given":"Aelee"}],"issued":{"date-parts":[["2023"]]}}}],"schema":"https://github.com/citation-style-language/schema/raw/master/csl-citation.json"} </w:instrText>
      </w:r>
      <w:r w:rsidR="00081662">
        <w:rPr>
          <w:rFonts w:ascii="Times New Roman" w:hAnsi="Times New Roman" w:cs="Times New Roman"/>
        </w:rPr>
        <w:fldChar w:fldCharType="separate"/>
      </w:r>
      <w:r w:rsidR="00081662" w:rsidRPr="00081662">
        <w:rPr>
          <w:rFonts w:ascii="Times New Roman" w:hAnsi="Times New Roman" w:cs="Times New Roman"/>
        </w:rPr>
        <w:t>(Duong et al., 2025; Lestari et al., 2023)</w:t>
      </w:r>
      <w:r w:rsidR="00081662">
        <w:rPr>
          <w:rFonts w:ascii="Times New Roman" w:hAnsi="Times New Roman" w:cs="Times New Roman"/>
        </w:rPr>
        <w:fldChar w:fldCharType="end"/>
      </w:r>
      <w:r w:rsidRPr="006935A2">
        <w:rPr>
          <w:rFonts w:ascii="Times New Roman" w:hAnsi="Times New Roman" w:cs="Times New Roman"/>
        </w:rPr>
        <w:t>. The African sample covers countries that extend from Sub-Saharan Africa to illustrate variation in West, East and the economies of Southern Africa</w:t>
      </w:r>
      <w:r w:rsidR="00081662">
        <w:rPr>
          <w:rFonts w:ascii="Times New Roman" w:hAnsi="Times New Roman" w:cs="Times New Roman"/>
        </w:rPr>
        <w:fldChar w:fldCharType="begin"/>
      </w:r>
      <w:r w:rsidR="00081662">
        <w:rPr>
          <w:rFonts w:ascii="Times New Roman" w:hAnsi="Times New Roman" w:cs="Times New Roman"/>
        </w:rPr>
        <w:instrText xml:space="preserve"> ADDIN ZOTERO_ITEM CSL_CITATION {"citationID":"Njw3jNt8","properties":{"formattedCitation":"(Antwi &amp; Kwakye, 2022; Banyen, 2021)","plainCitation":"(Antwi &amp; Kwakye, 2022; Banyen, 2021)","noteIndex":0},"citationItems":[{"id":34,"uris":["http://zotero.org/users/local/VAqELCal/items/HLR6WQ2V"],"itemData":{"id":34,"type":"article-journal","container-title":"International Journal of Research in Business and Social Science (2147-4478)","DOI":"10.20525/ijrbs.v11i7.2058","issue":"7","journalAbbreviation":"International Journal of Research in Business and Social Science (2147-4478)","page":"143-151","title":"Modelling the Effect of Bank Performance on Financial Stability","volume":"11","author":[{"family":"Antwi","given":"Frank"},{"family":"Kwakye","given":"Mercy"}],"issued":{"date-parts":[["2022"]]}}},{"id":30,"uris":["http://zotero.org/users/local/VAqELCal/items/3ZHSJA7W"],"itemData":{"id":30,"type":"article-journal","container-title":"Journal of Economic Integration","DOI":"10.11130/jei.2021.36.2.282","issue":"2","journalAbbreviation":"Journal of Economic Integration","page":"282-307","title":"Financial Integration, Competition and Bank Risk-Taking Behavior: Evidence From Africa’s Sub-Regional Markets","volume":"36","author":[{"family":"Banyen","given":"Kannyiri T."}],"issued":{"date-parts":[["2021"]]}}}],"schema":"https://github.com/citation-style-language/schema/raw/master/csl-citation.json"} </w:instrText>
      </w:r>
      <w:r w:rsidR="00081662">
        <w:rPr>
          <w:rFonts w:ascii="Times New Roman" w:hAnsi="Times New Roman" w:cs="Times New Roman"/>
        </w:rPr>
        <w:fldChar w:fldCharType="separate"/>
      </w:r>
      <w:r w:rsidR="00081662" w:rsidRPr="00081662">
        <w:rPr>
          <w:rFonts w:ascii="Times New Roman" w:hAnsi="Times New Roman" w:cs="Times New Roman"/>
        </w:rPr>
        <w:t>(Antwi &amp; Kwakye, 2022; Banyen, 2021)</w:t>
      </w:r>
      <w:r w:rsidR="00081662">
        <w:rPr>
          <w:rFonts w:ascii="Times New Roman" w:hAnsi="Times New Roman" w:cs="Times New Roman"/>
        </w:rPr>
        <w:fldChar w:fldCharType="end"/>
      </w:r>
      <w:r w:rsidRPr="006935A2">
        <w:rPr>
          <w:rFonts w:ascii="Times New Roman" w:hAnsi="Times New Roman" w:cs="Times New Roman"/>
        </w:rPr>
        <w:t>. Choices of countries within both regions are mostly defined by the availability of data from the World Bank's World Development Indicators (WDI) (for macroeconomic variables) and Global Financial Development Database (GFDD) for banking-sector variables</w:t>
      </w:r>
      <w:r w:rsidR="00081662">
        <w:rPr>
          <w:rFonts w:ascii="Times New Roman" w:hAnsi="Times New Roman" w:cs="Times New Roman"/>
        </w:rPr>
        <w:fldChar w:fldCharType="begin"/>
      </w:r>
      <w:r w:rsidR="00081662">
        <w:rPr>
          <w:rFonts w:ascii="Times New Roman" w:hAnsi="Times New Roman" w:cs="Times New Roman"/>
        </w:rPr>
        <w:instrText xml:space="preserve"> ADDIN ZOTERO_ITEM CSL_CITATION {"citationID":"jl4maUrV","properties":{"formattedCitation":"(Antwi &amp; Kwakye, 2022; Haile et al., 2025; Malikane &amp; Chomba, 2022)","plainCitation":"(Antwi &amp; Kwakye, 2022; Haile et al., 2025; Malikane &amp; Chomba, 2022)","noteIndex":0},"citationItems":[{"id":34,"uris":["http://zotero.org/users/local/VAqELCal/items/HLR6WQ2V"],"itemData":{"id":34,"type":"article-journal","container-title":"International Journal of Research in Business and Social Science (2147-4478)","DOI":"10.20525/ijrbs.v11i7.2058","issue":"7","journalAbbreviation":"International Journal of Research in Business and Social Science (2147-4478)","page":"143-151","title":"Modelling the Effect of Bank Performance on Financial Stability","volume":"11","author":[{"family":"Antwi","given":"Frank"},{"family":"Kwakye","given":"Mercy"}],"issued":{"date-parts":[["2022"]]}}},{"id":36,"uris":["http://zotero.org/users/local/VAqELCal/items/D42C2ZDI"],"itemData":{"id":36,"type":"article-journal","container-title":"Heliyon","DOI":"10.1016/j.heliyon.2024.e41347","issue":"1","journalAbbreviation":"Heliyon","page":"e41347","title":"Does Regulatory Convergence Shape Banking Resilience in Africa?","volume":"11","author":[{"family":"Haile","given":"Minyahil A."},{"family":"Jayamohan","given":"M K."},{"family":"Mulugeta","given":"Wondaferahu"}],"issued":{"date-parts":[["2025"]]}}},{"id":35,"uris":["http://zotero.org/users/local/VAqELCal/items/VP55QYJC"],"itemData":{"id":35,"type":"article-journal","container-title":"International Journal of Scientific and Management Research","DOI":"10.37502/ijsmr.2022.51013","issue":"10","journalAbbreviation":"International Journal of Scientific and Management Research","page":"184-206","title":"Does Institutional Quality Influence Financial Deepening in Selected African Countries?","volume":"05","author":[{"family":"Malikane","given":"Christopher"},{"family":"Chomba","given":"Haggai"}],"issued":{"date-parts":[["2022"]]}}}],"schema":"https://github.com/citation-style-language/schema/raw/master/csl-citation.json"} </w:instrText>
      </w:r>
      <w:r w:rsidR="00081662">
        <w:rPr>
          <w:rFonts w:ascii="Times New Roman" w:hAnsi="Times New Roman" w:cs="Times New Roman"/>
        </w:rPr>
        <w:fldChar w:fldCharType="separate"/>
      </w:r>
      <w:r w:rsidR="00081662" w:rsidRPr="00081662">
        <w:rPr>
          <w:rFonts w:ascii="Times New Roman" w:hAnsi="Times New Roman" w:cs="Times New Roman"/>
        </w:rPr>
        <w:t>(Antwi &amp; Kwakye, 2022; Haile et al., 2025; Malikane &amp; Chomba, 2022)</w:t>
      </w:r>
      <w:r w:rsidR="00081662">
        <w:rPr>
          <w:rFonts w:ascii="Times New Roman" w:hAnsi="Times New Roman" w:cs="Times New Roman"/>
        </w:rPr>
        <w:fldChar w:fldCharType="end"/>
      </w:r>
      <w:r w:rsidRPr="006935A2">
        <w:rPr>
          <w:rFonts w:ascii="Times New Roman" w:hAnsi="Times New Roman" w:cs="Times New Roman"/>
        </w:rPr>
        <w:t>.</w:t>
      </w:r>
    </w:p>
    <w:p w14:paraId="7DF4DB52" w14:textId="65A7F55E" w:rsidR="00CB1682"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Importantly, no single temporal window is applied to all of the models. Rather, each estimation sample contains the first available observations for each dependent variable, inflation-volatility measure and control that are all available for that sample</w:t>
      </w:r>
      <w:r w:rsidR="00081662">
        <w:rPr>
          <w:rFonts w:ascii="Times New Roman" w:hAnsi="Times New Roman" w:cs="Times New Roman"/>
        </w:rPr>
        <w:fldChar w:fldCharType="begin"/>
      </w:r>
      <w:r w:rsidR="00081662">
        <w:rPr>
          <w:rFonts w:ascii="Times New Roman" w:hAnsi="Times New Roman" w:cs="Times New Roman"/>
        </w:rPr>
        <w:instrText xml:space="preserve"> ADDIN ZOTERO_ITEM CSL_CITATION {"citationID":"fWvOHMVt","properties":{"formattedCitation":"(Antwi &amp; Kwakye, 2022; Haile et al., 2025; Malikane &amp; Chomba, 2022)","plainCitation":"(Antwi &amp; Kwakye, 2022; Haile et al., 2025; Malikane &amp; Chomba, 2022)","noteIndex":0},"citationItems":[{"id":34,"uris":["http://zotero.org/users/local/VAqELCal/items/HLR6WQ2V"],"itemData":{"id":34,"type":"article-journal","container-title":"International Journal of Research in Business and Social Science (2147-4478)","DOI":"10.20525/ijrbs.v11i7.2058","issue":"7","journalAbbreviation":"International Journal of Research in Business and Social Science (2147-4478)","page":"143-151","title":"Modelling the Effect of Bank Performance on Financial Stability","volume":"11","author":[{"family":"Antwi","given":"Frank"},{"family":"Kwakye","given":"Mercy"}],"issued":{"date-parts":[["2022"]]}}},{"id":36,"uris":["http://zotero.org/users/local/VAqELCal/items/D42C2ZDI"],"itemData":{"id":36,"type":"article-journal","container-title":"Heliyon","DOI":"10.1016/j.heliyon.2024.e41347","issue":"1","journalAbbreviation":"Heliyon","page":"e41347","title":"Does Regulatory Convergence Shape Banking Resilience in Africa?","volume":"11","author":[{"family":"Haile","given":"Minyahil A."},{"family":"Jayamohan","given":"M K."},{"family":"Mulugeta","given":"Wondaferahu"}],"issued":{"date-parts":[["2025"]]}}},{"id":35,"uris":["http://zotero.org/users/local/VAqELCal/items/VP55QYJC"],"itemData":{"id":35,"type":"article-journal","container-title":"International Journal of Scientific and Management Research","DOI":"10.37502/ijsmr.2022.51013","issue":"10","journalAbbreviation":"International Journal of Scientific and Management Research","page":"184-206","title":"Does Institutional Quality Influence Financial Deepening in Selected African Countries?","volume":"05","author":[{"family":"Malikane","given":"Christopher"},{"family":"Chomba","given":"Haggai"}],"issued":{"date-parts":[["2022"]]}}}],"schema":"https://github.com/citation-style-language/schema/raw/master/csl-citation.json"} </w:instrText>
      </w:r>
      <w:r w:rsidR="00081662">
        <w:rPr>
          <w:rFonts w:ascii="Times New Roman" w:hAnsi="Times New Roman" w:cs="Times New Roman"/>
        </w:rPr>
        <w:fldChar w:fldCharType="separate"/>
      </w:r>
      <w:r w:rsidR="00081662" w:rsidRPr="00081662">
        <w:rPr>
          <w:rFonts w:ascii="Times New Roman" w:hAnsi="Times New Roman" w:cs="Times New Roman"/>
        </w:rPr>
        <w:t>(Antwi &amp; Kwakye, 2022; Haile et al., 2025; Malikane &amp; Chomba, 2022)</w:t>
      </w:r>
      <w:r w:rsidR="00081662">
        <w:rPr>
          <w:rFonts w:ascii="Times New Roman" w:hAnsi="Times New Roman" w:cs="Times New Roman"/>
        </w:rPr>
        <w:fldChar w:fldCharType="end"/>
      </w:r>
      <w:r w:rsidRPr="006935A2">
        <w:rPr>
          <w:rFonts w:ascii="Times New Roman" w:hAnsi="Times New Roman" w:cs="Times New Roman"/>
        </w:rPr>
        <w:t>. This method is required as gaps in banking stability indicators, inflation series or institutional variables exist between the endogenous and exogenous frontier group economies (African economies and South Asian economies). The broad Z-score pairwise sample includes 44 countries and 816 country-year observations in the final results; the broad NPL pairwise sample includes 34 countries and 446 observations in the final results, and the core three-way matched sample includes 31 countries and 324 observations in the final results, all for the periods 2000-2021 and 2005-2023. This coverage logic will ensure that a maximum amount of data is being covered without trying to impute too many observations in or out of bounds.</w:t>
      </w:r>
    </w:p>
    <w:p w14:paraId="2FA83A0A" w14:textId="667B026E" w:rsidR="004A7AB0" w:rsidRPr="004A7AB0" w:rsidRDefault="004A7AB0" w:rsidP="00C44A63">
      <w:pPr>
        <w:pStyle w:val="Heading3"/>
        <w:spacing w:line="360" w:lineRule="auto"/>
        <w:jc w:val="both"/>
        <w:rPr>
          <w:rFonts w:ascii="Times New Roman" w:hAnsi="Times New Roman" w:cs="Times New Roman"/>
          <w:b/>
          <w:bCs/>
          <w:sz w:val="24"/>
          <w:szCs w:val="24"/>
        </w:rPr>
      </w:pPr>
      <w:bookmarkStart w:id="20" w:name="_Toc235530849"/>
      <w:r w:rsidRPr="004A7AB0">
        <w:rPr>
          <w:rFonts w:ascii="Times New Roman" w:hAnsi="Times New Roman" w:cs="Times New Roman"/>
          <w:b/>
          <w:bCs/>
          <w:sz w:val="24"/>
          <w:szCs w:val="24"/>
        </w:rPr>
        <w:t>1.5.2 Dual Banking-Stability Measurement Logic</w:t>
      </w:r>
      <w:bookmarkEnd w:id="20"/>
    </w:p>
    <w:p w14:paraId="45CC356F" w14:textId="5FF0776B" w:rsidR="00E3416F" w:rsidRPr="006935A2" w:rsidRDefault="00CB1682" w:rsidP="00C44A63">
      <w:pPr>
        <w:spacing w:line="360" w:lineRule="auto"/>
        <w:jc w:val="both"/>
        <w:rPr>
          <w:rFonts w:ascii="Times New Roman" w:hAnsi="Times New Roman" w:cs="Times New Roman"/>
        </w:rPr>
      </w:pPr>
      <w:r w:rsidRPr="006935A2">
        <w:rPr>
          <w:rFonts w:ascii="Times New Roman" w:hAnsi="Times New Roman" w:cs="Times New Roman"/>
        </w:rPr>
        <w:t>In keeping with the methodology outlined in Section 1.4 the study operationalizes banking sector stability using the two complementary measures from GFDD: namely, the Bank Z-score, which is a measure of the bank's insolvency risk and relates the capitalization and returns to return volatility;</w:t>
      </w:r>
      <w:r w:rsidR="00742598">
        <w:rPr>
          <w:rFonts w:ascii="Times New Roman" w:hAnsi="Times New Roman" w:cs="Times New Roman"/>
        </w:rPr>
        <w:fldChar w:fldCharType="begin"/>
      </w:r>
      <w:r w:rsidR="00742598">
        <w:rPr>
          <w:rFonts w:ascii="Times New Roman" w:hAnsi="Times New Roman" w:cs="Times New Roman"/>
        </w:rPr>
        <w:instrText xml:space="preserve"> ADDIN ZOTERO_ITEM CSL_CITATION {"citationID":"1Fu6eE6T","properties":{"formattedCitation":"(Banyen, 2021; Haile et al., 2025)","plainCitation":"(Banyen, 2021; Haile et al., 2025)","noteIndex":0},"citationItems":[{"id":30,"uris":["http://zotero.org/users/local/VAqELCal/items/3ZHSJA7W"],"itemData":{"id":30,"type":"article-journal","container-title":"Journal of Economic Integration","DOI":"10.11130/jei.2021.36.2.282","issue":"2","journalAbbreviation":"Journal of Economic Integration","page":"282-307","title":"Financial Integration, Competition and Bank Risk-Taking Behavior: Evidence From Africa’s Sub-Regional Markets","volume":"36","author":[{"family":"Banyen","given":"Kannyiri T."}],"issued":{"date-parts":[["2021"]]}}},{"id":36,"uris":["http://zotero.org/users/local/VAqELCal/items/D42C2ZDI"],"itemData":{"id":36,"type":"article-journal","container-title":"Heliyon","DOI":"10.1016/j.heliyon.2024.e41347","issue":"1","journalAbbreviation":"Heliyon","page":"e41347","title":"Does Regulatory Convergence Shape Banking Resilience in Africa?","volume":"11","author":[{"family":"Haile","given":"Minyahil A."},{"family":"Jayamohan","given":"M K."},{"family":"Mulugeta","given":"Wondaferahu"}],"issued":{"date-parts":[["2025"]]}}}],"schema":"https://github.com/citation-style-language/schema/raw/master/csl-citation.json"} </w:instrText>
      </w:r>
      <w:r w:rsidR="00742598">
        <w:rPr>
          <w:rFonts w:ascii="Times New Roman" w:hAnsi="Times New Roman" w:cs="Times New Roman"/>
        </w:rPr>
        <w:fldChar w:fldCharType="separate"/>
      </w:r>
      <w:r w:rsidR="00742598" w:rsidRPr="00742598">
        <w:rPr>
          <w:rFonts w:ascii="Times New Roman" w:hAnsi="Times New Roman" w:cs="Times New Roman"/>
        </w:rPr>
        <w:t>(Banyen, 2021; Haile et al., 2025)</w:t>
      </w:r>
      <w:r w:rsidR="00742598">
        <w:rPr>
          <w:rFonts w:ascii="Times New Roman" w:hAnsi="Times New Roman" w:cs="Times New Roman"/>
        </w:rPr>
        <w:fldChar w:fldCharType="end"/>
      </w:r>
      <w:r w:rsidRPr="006935A2">
        <w:rPr>
          <w:rFonts w:ascii="Times New Roman" w:hAnsi="Times New Roman" w:cs="Times New Roman"/>
        </w:rPr>
        <w:t xml:space="preserve"> and the non-performing loan (NPL) ratio, which is a measure of banking sector degradation in asset quality</w:t>
      </w:r>
      <w:r w:rsidR="00742598">
        <w:rPr>
          <w:rFonts w:ascii="Times New Roman" w:hAnsi="Times New Roman" w:cs="Times New Roman"/>
        </w:rPr>
        <w:fldChar w:fldCharType="begin"/>
      </w:r>
      <w:r w:rsidR="00742598">
        <w:rPr>
          <w:rFonts w:ascii="Times New Roman" w:hAnsi="Times New Roman" w:cs="Times New Roman"/>
        </w:rPr>
        <w:instrText xml:space="preserve"> ADDIN ZOTERO_ITEM CSL_CITATION {"citationID":"oQ1bQb8t","properties":{"formattedCitation":"(Ahiase et al., 2023; Antwi &amp; Kwakye, 2022)","plainCitation":"(Ahiase et al., 2023; Antwi &amp; Kwakye, 2022)","noteIndex":0},"citationItems":[{"id":37,"uris":["http://zotero.org/users/local/VAqELCal/items/RXUNVIVC"],"itemData":{"id":37,"type":"article-journal","container-title":"International Journal of Social Economics","DOI":"10.1108/ijse-11-2022-0729","issue":"1","journalAbbreviation":"International Journal of Social Economics","page":"62-80","title":"Macroeconomic Cyclical Indicators and Bank Non-Performing Loans: Does Country Governance Matter In African Countries?","volume":"51","author":[{"family":"Ahiase","given":"Godwin"},{"family":"Andriana","given":"Denny"},{"family":"Agbemava","given":"Edinam"},{"family":"Adonai","given":"Bright"}],"issued":{"date-parts":[["2023"]]}}},{"id":34,"uris":["http://zotero.org/users/local/VAqELCal/items/HLR6WQ2V"],"itemData":{"id":34,"type":"article-journal","container-title":"International Journal of Research in Business and Social Science (2147-4478)","DOI":"10.20525/ijrbs.v11i7.2058","issue":"7","journalAbbreviation":"International Journal of Research in Business and Social Science (2147-4478)","page":"143-151","title":"Modelling the Effect of Bank Performance on Financial Stability","volume":"11","author":[{"family":"Antwi","given":"Frank"},{"family":"Kwakye","given":"Mercy"}],"issued":{"date-parts":[["2022"]]}}}],"schema":"https://github.com/citation-style-language/schema/raw/master/csl-citation.json"} </w:instrText>
      </w:r>
      <w:r w:rsidR="00742598">
        <w:rPr>
          <w:rFonts w:ascii="Times New Roman" w:hAnsi="Times New Roman" w:cs="Times New Roman"/>
        </w:rPr>
        <w:fldChar w:fldCharType="separate"/>
      </w:r>
      <w:r w:rsidR="00742598" w:rsidRPr="00742598">
        <w:rPr>
          <w:rFonts w:ascii="Times New Roman" w:hAnsi="Times New Roman" w:cs="Times New Roman"/>
        </w:rPr>
        <w:t>(Ahiase et al., 2023; Antwi &amp; Kwakye, 2022)</w:t>
      </w:r>
      <w:r w:rsidR="00742598">
        <w:rPr>
          <w:rFonts w:ascii="Times New Roman" w:hAnsi="Times New Roman" w:cs="Times New Roman"/>
        </w:rPr>
        <w:fldChar w:fldCharType="end"/>
      </w:r>
      <w:r w:rsidRPr="006935A2">
        <w:rPr>
          <w:rFonts w:ascii="Times New Roman" w:hAnsi="Times New Roman" w:cs="Times New Roman"/>
        </w:rPr>
        <w:t>. The dual-measure approach provides the robustness while it also helps differentiate between solvency-oriented and credit-quality oriented transmission channels of inflation volatility.</w:t>
      </w:r>
    </w:p>
    <w:p w14:paraId="20DEA8F0" w14:textId="77777777" w:rsidR="00CB1682" w:rsidRPr="006935A2" w:rsidRDefault="00CB1682" w:rsidP="00C44A63">
      <w:pPr>
        <w:spacing w:line="360" w:lineRule="auto"/>
        <w:jc w:val="both"/>
        <w:rPr>
          <w:rFonts w:ascii="Times New Roman" w:hAnsi="Times New Roman" w:cs="Times New Roman"/>
        </w:rPr>
      </w:pPr>
    </w:p>
    <w:p w14:paraId="0F400045" w14:textId="27222AF9" w:rsidR="001E7EE2" w:rsidRPr="00742598" w:rsidRDefault="00AF4ADE" w:rsidP="00742598">
      <w:pPr>
        <w:pStyle w:val="Heading1"/>
        <w:jc w:val="center"/>
        <w:rPr>
          <w:rFonts w:ascii="Times New Roman" w:hAnsi="Times New Roman" w:cs="Times New Roman"/>
          <w:b/>
          <w:bCs/>
          <w:sz w:val="32"/>
          <w:szCs w:val="32"/>
        </w:rPr>
      </w:pPr>
      <w:r>
        <w:br w:type="page"/>
      </w:r>
      <w:bookmarkStart w:id="21" w:name="_Toc184116097"/>
      <w:bookmarkStart w:id="22" w:name="_Toc235530850"/>
      <w:r w:rsidR="001E7EE2" w:rsidRPr="00742598">
        <w:rPr>
          <w:rFonts w:ascii="Times New Roman" w:hAnsi="Times New Roman" w:cs="Times New Roman"/>
          <w:b/>
          <w:bCs/>
          <w:sz w:val="32"/>
          <w:szCs w:val="32"/>
        </w:rPr>
        <w:lastRenderedPageBreak/>
        <w:t>CHAPTER 2: REVIEW OF THE LITERATURE</w:t>
      </w:r>
      <w:bookmarkEnd w:id="21"/>
      <w:bookmarkEnd w:id="22"/>
    </w:p>
    <w:p w14:paraId="4A986DC3" w14:textId="77777777" w:rsidR="00CB1682" w:rsidRDefault="00CB1682" w:rsidP="00C44A63">
      <w:pPr>
        <w:spacing w:line="360" w:lineRule="auto"/>
        <w:jc w:val="both"/>
      </w:pPr>
    </w:p>
    <w:p w14:paraId="5EC85B80" w14:textId="46D8EE29" w:rsidR="001E7EE2" w:rsidRPr="001E7EE2" w:rsidRDefault="001E7EE2" w:rsidP="00C44A63">
      <w:pPr>
        <w:pStyle w:val="Heading2"/>
        <w:spacing w:line="360" w:lineRule="auto"/>
        <w:jc w:val="both"/>
        <w:rPr>
          <w:rFonts w:ascii="Times New Roman" w:hAnsi="Times New Roman" w:cs="Times New Roman"/>
          <w:b/>
          <w:bCs/>
          <w:sz w:val="28"/>
          <w:szCs w:val="28"/>
        </w:rPr>
      </w:pPr>
      <w:bookmarkStart w:id="23" w:name="_Toc235530851"/>
      <w:r w:rsidRPr="001E7EE2">
        <w:rPr>
          <w:rFonts w:ascii="Times New Roman" w:hAnsi="Times New Roman" w:cs="Times New Roman"/>
          <w:b/>
          <w:bCs/>
          <w:sz w:val="28"/>
          <w:szCs w:val="28"/>
        </w:rPr>
        <w:t>2.1</w:t>
      </w:r>
      <w:r>
        <w:rPr>
          <w:rFonts w:ascii="Times New Roman" w:hAnsi="Times New Roman" w:cs="Times New Roman"/>
          <w:b/>
          <w:bCs/>
          <w:sz w:val="28"/>
          <w:szCs w:val="28"/>
        </w:rPr>
        <w:t xml:space="preserve"> </w:t>
      </w:r>
      <w:r w:rsidRPr="001E7EE2">
        <w:rPr>
          <w:rFonts w:ascii="Times New Roman" w:hAnsi="Times New Roman" w:cs="Times New Roman"/>
          <w:b/>
          <w:bCs/>
          <w:sz w:val="28"/>
          <w:szCs w:val="28"/>
        </w:rPr>
        <w:t>Literature on Inflation, Inflation Uncertainty and Inflation Volatility</w:t>
      </w:r>
      <w:bookmarkEnd w:id="23"/>
    </w:p>
    <w:p w14:paraId="476B334A" w14:textId="31A9E2AE" w:rsidR="001E7EE2" w:rsidRPr="005174A3" w:rsidRDefault="001E7EE2" w:rsidP="00C44A63">
      <w:pPr>
        <w:spacing w:line="360" w:lineRule="auto"/>
        <w:jc w:val="both"/>
        <w:rPr>
          <w:rFonts w:ascii="Times New Roman" w:hAnsi="Times New Roman" w:cs="Times New Roman"/>
        </w:rPr>
      </w:pPr>
      <w:r w:rsidRPr="005174A3">
        <w:rPr>
          <w:rFonts w:ascii="Times New Roman" w:hAnsi="Times New Roman" w:cs="Times New Roman"/>
        </w:rPr>
        <w:t xml:space="preserve">The difference between the height of inflation and its variability and uncertainty presents a conceptual partitioning at the root of macroeconomic and financial research. The average rate of inflation gives the overall direction of the change in the level of prices over a certain period of time, while inflation volatility tells how much the inflation has varied or fluctuated in magnitude over a period of time, and inflation uncertainty is the </w:t>
      </w:r>
      <w:r w:rsidR="00033164">
        <w:rPr>
          <w:rFonts w:ascii="Times New Roman" w:hAnsi="Times New Roman" w:cs="Times New Roman"/>
        </w:rPr>
        <w:t>inability</w:t>
      </w:r>
      <w:r w:rsidRPr="005174A3">
        <w:rPr>
          <w:rFonts w:ascii="Times New Roman" w:hAnsi="Times New Roman" w:cs="Times New Roman"/>
        </w:rPr>
        <w:t xml:space="preserve"> of economic agents to predict inflation. It has become a large research body that these related, but different, constructs have very different implications for economic decision-making, risk assessment</w:t>
      </w:r>
      <w:r w:rsidR="00033164">
        <w:rPr>
          <w:rFonts w:ascii="Times New Roman" w:hAnsi="Times New Roman" w:cs="Times New Roman"/>
        </w:rPr>
        <w:t>,</w:t>
      </w:r>
      <w:r w:rsidRPr="005174A3">
        <w:rPr>
          <w:rFonts w:ascii="Times New Roman" w:hAnsi="Times New Roman" w:cs="Times New Roman"/>
        </w:rPr>
        <w:t xml:space="preserve"> and ways in which financial intermediation is supposed to be operating.</w:t>
      </w:r>
    </w:p>
    <w:p w14:paraId="04D6B874" w14:textId="74ADDFC3" w:rsidR="00033164" w:rsidRPr="00033164" w:rsidRDefault="00033164" w:rsidP="00C44A63">
      <w:pPr>
        <w:pStyle w:val="Heading3"/>
        <w:spacing w:line="360" w:lineRule="auto"/>
        <w:jc w:val="both"/>
        <w:rPr>
          <w:b/>
          <w:bCs/>
          <w:sz w:val="24"/>
          <w:szCs w:val="24"/>
        </w:rPr>
      </w:pPr>
      <w:bookmarkStart w:id="24" w:name="_Toc235530852"/>
      <w:r w:rsidRPr="00033164">
        <w:rPr>
          <w:b/>
          <w:bCs/>
          <w:sz w:val="24"/>
          <w:szCs w:val="24"/>
        </w:rPr>
        <w:t>2.1.1 Distinguishing Inflation Level from Inflation Volatility</w:t>
      </w:r>
      <w:bookmarkEnd w:id="24"/>
    </w:p>
    <w:p w14:paraId="42A66466" w14:textId="02D0162C" w:rsidR="001E7EE2" w:rsidRPr="005174A3" w:rsidRDefault="001E7EE2" w:rsidP="00C44A63">
      <w:pPr>
        <w:spacing w:line="360" w:lineRule="auto"/>
        <w:jc w:val="both"/>
        <w:rPr>
          <w:rFonts w:ascii="Times New Roman" w:hAnsi="Times New Roman" w:cs="Times New Roman"/>
        </w:rPr>
      </w:pPr>
      <w:r w:rsidRPr="005174A3">
        <w:rPr>
          <w:rFonts w:ascii="Times New Roman" w:hAnsi="Times New Roman" w:cs="Times New Roman"/>
        </w:rPr>
        <w:t xml:space="preserve">Much of the previous research has taken pains to point out that the average inflation figure is not enough to capture the macroeconomic experiences of financial institutions. The link between inflation and financial sector performance is far from simple and hinges heavily on whether inflation varies in an anticipated or in an unanticipated fashion. However, as noted by </w:t>
      </w:r>
      <w:r w:rsidR="00742598">
        <w:rPr>
          <w:rFonts w:ascii="Times New Roman" w:hAnsi="Times New Roman" w:cs="Times New Roman"/>
        </w:rPr>
        <w:fldChar w:fldCharType="begin"/>
      </w:r>
      <w:r w:rsidR="00742598">
        <w:rPr>
          <w:rFonts w:ascii="Times New Roman" w:hAnsi="Times New Roman" w:cs="Times New Roman"/>
        </w:rPr>
        <w:instrText xml:space="preserve"> ADDIN ZOTERO_ITEM CSL_CITATION {"citationID":"WtZHv5Nu","properties":{"formattedCitation":"(Banyen, 2021)","plainCitation":"(Banyen, 2021)","noteIndex":0},"citationItems":[{"id":30,"uris":["http://zotero.org/users/local/VAqELCal/items/3ZHSJA7W"],"itemData":{"id":30,"type":"article-journal","container-title":"Journal of Economic Integration","DOI":"10.11130/jei.2021.36.2.282","issue":"2","journalAbbreviation":"Journal of Economic Integration","page":"282-307","title":"Financial Integration, Competition and Bank Risk-Taking Behavior: Evidence From Africa’s Sub-Regional Markets","volume":"36","author":[{"family":"Banyen","given":"Kannyiri T."}],"issued":{"date-parts":[["2021"]]}}}],"schema":"https://github.com/citation-style-language/schema/raw/master/csl-citation.json"} </w:instrText>
      </w:r>
      <w:r w:rsidR="00742598">
        <w:rPr>
          <w:rFonts w:ascii="Times New Roman" w:hAnsi="Times New Roman" w:cs="Times New Roman"/>
        </w:rPr>
        <w:fldChar w:fldCharType="separate"/>
      </w:r>
      <w:r w:rsidR="00742598" w:rsidRPr="00742598">
        <w:rPr>
          <w:rFonts w:ascii="Times New Roman" w:hAnsi="Times New Roman" w:cs="Times New Roman"/>
        </w:rPr>
        <w:t>(Banyen, 2021)</w:t>
      </w:r>
      <w:r w:rsidR="00742598">
        <w:rPr>
          <w:rFonts w:ascii="Times New Roman" w:hAnsi="Times New Roman" w:cs="Times New Roman"/>
        </w:rPr>
        <w:fldChar w:fldCharType="end"/>
      </w:r>
      <w:r w:rsidRPr="005174A3">
        <w:rPr>
          <w:rFonts w:ascii="Times New Roman" w:hAnsi="Times New Roman" w:cs="Times New Roman"/>
        </w:rPr>
        <w:t>, the link between bank interest margins and inflation "largely depends on banks' ability to anticipate inflationary movement," and that when banks fully anticipate an inflationary movement and set the price of their loans accordingly, there will be a positive link between inflation and bank interest margins, but unanticipated inflation will create uncertainty and risk to banks that will be difficult to price. The key consequence of this observation is that for financial intermediaries, it is not inflation per se, but rather the predictability or lack thereof of inflation that is most important.</w:t>
      </w:r>
    </w:p>
    <w:p w14:paraId="04668416" w14:textId="4FB766C7" w:rsidR="001E7EE2" w:rsidRPr="005174A3" w:rsidRDefault="001E7EE2" w:rsidP="00C44A63">
      <w:pPr>
        <w:spacing w:line="360" w:lineRule="auto"/>
        <w:jc w:val="both"/>
        <w:rPr>
          <w:rFonts w:ascii="Times New Roman" w:hAnsi="Times New Roman" w:cs="Times New Roman"/>
        </w:rPr>
      </w:pPr>
      <w:r w:rsidRPr="005174A3">
        <w:rPr>
          <w:rFonts w:ascii="Times New Roman" w:hAnsi="Times New Roman" w:cs="Times New Roman"/>
        </w:rPr>
        <w:t xml:space="preserve">The literature on macroeconomic stability in developing regions has been similar, pointing out that the volatility of inflation is a better measure of economic risk than its level. Lapid et al. (2022) specify that "Political stability and inflation volatility capture risk as well as macroeconomic volatility, with high economic risk and macroeconomic instability reducing the number of countries that are willing to provide credit from international banks. This is consistent with learning that international lenders and investors do not just take note when the rate of inflation is high or low but when it is volatile and unpredictable </w:t>
      </w:r>
      <w:r w:rsidR="00742598">
        <w:rPr>
          <w:rFonts w:ascii="Times New Roman" w:hAnsi="Times New Roman" w:cs="Times New Roman"/>
        </w:rPr>
        <w:fldChar w:fldCharType="begin"/>
      </w:r>
      <w:r w:rsidR="00742598">
        <w:rPr>
          <w:rFonts w:ascii="Times New Roman" w:hAnsi="Times New Roman" w:cs="Times New Roman"/>
        </w:rPr>
        <w:instrText xml:space="preserve"> ADDIN ZOTERO_ITEM CSL_CITATION {"citationID":"Ana6kkN4","properties":{"formattedCitation":"(Bhujabal et al., 2024)","plainCitation":"(Bhujabal et al., 2024)","noteIndex":0},"citationItems":[{"id":89,"uris":["http://zotero.org/users/local/VAqELCal/items/CRDCSTKP"],"itemData":{"id":89,"type":"article-journal","container-title":"Heliyon","DOI":"10.1016/j.heliyon.2024.e27060","issue":"5","journalAbbreviation":"Heliyon","page":"e27060","title":"Effect of Institutional Quality on FDI Inflows in South Asian and Southeast Asian Countries","volume":"10","author":[{"family":"Bhujabal","given":"Padmaja"},{"family":"Sethi","given":"Narayan"},{"family":"Padhan","given":"Purna C."}],"issued":{"date-parts":[["2024"]]}}}],"schema":"https://github.com/citation-style-language/schema/raw/master/csl-citation.json"} </w:instrText>
      </w:r>
      <w:r w:rsidR="00742598">
        <w:rPr>
          <w:rFonts w:ascii="Times New Roman" w:hAnsi="Times New Roman" w:cs="Times New Roman"/>
        </w:rPr>
        <w:fldChar w:fldCharType="separate"/>
      </w:r>
      <w:r w:rsidR="00742598" w:rsidRPr="00742598">
        <w:rPr>
          <w:rFonts w:ascii="Times New Roman" w:hAnsi="Times New Roman" w:cs="Times New Roman"/>
        </w:rPr>
        <w:t>(Bhujabal et al., 2024)</w:t>
      </w:r>
      <w:r w:rsidR="00742598">
        <w:rPr>
          <w:rFonts w:ascii="Times New Roman" w:hAnsi="Times New Roman" w:cs="Times New Roman"/>
        </w:rPr>
        <w:fldChar w:fldCharType="end"/>
      </w:r>
      <w:r w:rsidRPr="005174A3">
        <w:rPr>
          <w:rFonts w:ascii="Times New Roman" w:hAnsi="Times New Roman" w:cs="Times New Roman"/>
        </w:rPr>
        <w:t xml:space="preserve">. A higher level of </w:t>
      </w:r>
      <w:r w:rsidRPr="005174A3">
        <w:rPr>
          <w:rFonts w:ascii="Times New Roman" w:hAnsi="Times New Roman" w:cs="Times New Roman"/>
        </w:rPr>
        <w:lastRenderedPageBreak/>
        <w:t xml:space="preserve">inflation brings in a higher risk premium demanded by foreign creditors and reduces the credit extension ability of international bank, which limits financial intermediation </w:t>
      </w:r>
      <w:r w:rsidR="00742598">
        <w:rPr>
          <w:rFonts w:ascii="Times New Roman" w:hAnsi="Times New Roman" w:cs="Times New Roman"/>
        </w:rPr>
        <w:fldChar w:fldCharType="begin"/>
      </w:r>
      <w:r w:rsidR="00742598">
        <w:rPr>
          <w:rFonts w:ascii="Times New Roman" w:hAnsi="Times New Roman" w:cs="Times New Roman"/>
        </w:rPr>
        <w:instrText xml:space="preserve"> ADDIN ZOTERO_ITEM CSL_CITATION {"citationID":"kYYFgkv7","properties":{"formattedCitation":"(Bhujabal et al., 2024; Lapid et al., 2022)","plainCitation":"(Bhujabal et al., 2024; Lapid et al., 2022)","noteIndex":0},"citationItems":[{"id":89,"uris":["http://zotero.org/users/local/VAqELCal/items/CRDCSTKP"],"itemData":{"id":89,"type":"article-journal","container-title":"Heliyon","DOI":"10.1016/j.heliyon.2024.e27060","issue":"5","journalAbbreviation":"Heliyon","page":"e27060","title":"Effect of Institutional Quality on FDI Inflows in South Asian and Southeast Asian Countries","volume":"10","author":[{"family":"Bhujabal","given":"Padmaja"},{"family":"Sethi","given":"Narayan"},{"family":"Padhan","given":"Purna C."}],"issued":{"date-parts":[["2024"]]}}},{"id":22,"uris":["http://zotero.org/users/local/VAqELCal/items/DM8K7TBQ"],"itemData":{"id":22,"type":"article-journal","container-title":"Pacific Economic Review","DOI":"10.1111/1468-0106.12399","issue":"2","journalAbbreviation":"Pacific Economic Review","page":"267-292","title":"Concentration in Asia's Cross‐border Banking: Determinants and Impacts","volume":"28","author":[{"family":"Lapid","given":"Ana K."},{"family":"Mercado","given":"Rogelio"},{"family":"Rosenkranz","given":"Peter"}],"issued":{"date-parts":[["2022"]]}}}],"schema":"https://github.com/citation-style-language/schema/raw/master/csl-citation.json"} </w:instrText>
      </w:r>
      <w:r w:rsidR="00742598">
        <w:rPr>
          <w:rFonts w:ascii="Times New Roman" w:hAnsi="Times New Roman" w:cs="Times New Roman"/>
        </w:rPr>
        <w:fldChar w:fldCharType="separate"/>
      </w:r>
      <w:r w:rsidR="00742598" w:rsidRPr="00742598">
        <w:rPr>
          <w:rFonts w:ascii="Times New Roman" w:hAnsi="Times New Roman" w:cs="Times New Roman"/>
        </w:rPr>
        <w:t>(Bhujabal et al., 2024; Lapid et al., 2022)</w:t>
      </w:r>
      <w:r w:rsidR="00742598">
        <w:rPr>
          <w:rFonts w:ascii="Times New Roman" w:hAnsi="Times New Roman" w:cs="Times New Roman"/>
        </w:rPr>
        <w:fldChar w:fldCharType="end"/>
      </w:r>
      <w:r w:rsidRPr="005174A3">
        <w:rPr>
          <w:rFonts w:ascii="Times New Roman" w:hAnsi="Times New Roman" w:cs="Times New Roman"/>
        </w:rPr>
        <w:t>.</w:t>
      </w:r>
    </w:p>
    <w:p w14:paraId="6E52C46E" w14:textId="77777777" w:rsidR="001E7EE2" w:rsidRPr="005174A3" w:rsidRDefault="001E7EE2" w:rsidP="00C44A63">
      <w:pPr>
        <w:spacing w:line="360" w:lineRule="auto"/>
        <w:jc w:val="both"/>
        <w:rPr>
          <w:rFonts w:ascii="Times New Roman" w:hAnsi="Times New Roman" w:cs="Times New Roman"/>
        </w:rPr>
      </w:pPr>
    </w:p>
    <w:p w14:paraId="16B255F2" w14:textId="74A68CAC" w:rsidR="00033164" w:rsidRPr="00033164" w:rsidRDefault="00033164" w:rsidP="00C44A63">
      <w:pPr>
        <w:pStyle w:val="Heading3"/>
        <w:spacing w:line="360" w:lineRule="auto"/>
        <w:jc w:val="both"/>
        <w:rPr>
          <w:rFonts w:ascii="Times New Roman" w:hAnsi="Times New Roman" w:cs="Times New Roman"/>
          <w:b/>
          <w:bCs/>
          <w:sz w:val="24"/>
          <w:szCs w:val="24"/>
        </w:rPr>
      </w:pPr>
      <w:bookmarkStart w:id="25" w:name="_Toc235530853"/>
      <w:r w:rsidRPr="00033164">
        <w:rPr>
          <w:rFonts w:ascii="Times New Roman" w:hAnsi="Times New Roman" w:cs="Times New Roman"/>
          <w:b/>
          <w:bCs/>
          <w:sz w:val="24"/>
          <w:szCs w:val="24"/>
        </w:rPr>
        <w:t>2.1.2 Why Volatility Matters More for Risk and Forecasting</w:t>
      </w:r>
      <w:bookmarkEnd w:id="25"/>
    </w:p>
    <w:p w14:paraId="4788738B" w14:textId="5353FB9E" w:rsidR="001E7EE2" w:rsidRPr="005174A3" w:rsidRDefault="001E7EE2" w:rsidP="00C44A63">
      <w:pPr>
        <w:spacing w:line="360" w:lineRule="auto"/>
        <w:jc w:val="both"/>
        <w:rPr>
          <w:rFonts w:ascii="Times New Roman" w:hAnsi="Times New Roman" w:cs="Times New Roman"/>
        </w:rPr>
      </w:pPr>
      <w:r w:rsidRPr="005174A3">
        <w:rPr>
          <w:rFonts w:ascii="Times New Roman" w:hAnsi="Times New Roman" w:cs="Times New Roman"/>
        </w:rPr>
        <w:t xml:space="preserve">In a risk management sense, a high, but stable, inflation rate is a different problem than volatile inflation. Although it is expensive, a high level of inflation can be managed by the changing expectations, contractual rules and pricing systems of the economic players. In contrast, volatile inflation leads to a loss in the currency of the signals that prices give, determines the direction of resource allocation in an inefficient manner, and makes it more difficult to forecast inflation, thus impeding monetary policy and investment decisions. Danlami et al (2022) record that the magnitude of the improvement in inflation, followed by a subsequent reverse appeared geographically diverse, with the food price inflation following the recessionary trend being more volatile, especially in emerging market and developing economies (EMDEs), which included Sub-Saharan Africa and South Asia. Using a factor-augmented vector autoregression (FAVAR) method, they find that the role of different types of demand shocks, supply shocks, and oil price shocks in causing inflation fluctuations varies over time; hence successful forecasting requires an understanding of the volatility structure of inflation, and not just its level </w:t>
      </w:r>
      <w:r w:rsidR="001612A0">
        <w:rPr>
          <w:rFonts w:ascii="Times New Roman" w:hAnsi="Times New Roman" w:cs="Times New Roman"/>
        </w:rPr>
        <w:fldChar w:fldCharType="begin"/>
      </w:r>
      <w:r w:rsidR="001612A0">
        <w:rPr>
          <w:rFonts w:ascii="Times New Roman" w:hAnsi="Times New Roman" w:cs="Times New Roman"/>
        </w:rPr>
        <w:instrText xml:space="preserve"> ADDIN ZOTERO_ITEM CSL_CITATION {"citationID":"Ysa8AuOg","properties":{"formattedCitation":"(Danlami et al., 2022)","plainCitation":"(Danlami et al., 2022)","noteIndex":0},"citationItems":[{"id":90,"uris":["http://zotero.org/users/local/VAqELCal/items/GTSRG24G"],"itemData":{"id":90,"type":"article-journal","container-title":"Journal of Islamic Accounting and Business Research","DOI":"10.1108/jiabr-08-2021-0227","issue":"8","journalAbbreviation":"Journal of Islamic Accounting and Business Research","page":"1155-1175","title":"CAMELS, Risk-Sharing Financing, Institutional Quality and Stability of Islamic Banks: Evidence From 6 OIC Countries","volume":"13","author":[{"family":"Danlami","given":"Muhammad R."},{"family":"Abduh","given":"Muhamad"},{"family":"Razak","given":"Lutfi A."}],"issued":{"date-parts":[["2022"]]}}}],"schema":"https://github.com/citation-style-language/schema/raw/master/csl-citation.json"} </w:instrText>
      </w:r>
      <w:r w:rsidR="001612A0">
        <w:rPr>
          <w:rFonts w:ascii="Times New Roman" w:hAnsi="Times New Roman" w:cs="Times New Roman"/>
        </w:rPr>
        <w:fldChar w:fldCharType="separate"/>
      </w:r>
      <w:r w:rsidR="001612A0" w:rsidRPr="001612A0">
        <w:rPr>
          <w:rFonts w:ascii="Times New Roman" w:hAnsi="Times New Roman" w:cs="Times New Roman"/>
        </w:rPr>
        <w:t>(Danlami et al., 2022)</w:t>
      </w:r>
      <w:r w:rsidR="001612A0">
        <w:rPr>
          <w:rFonts w:ascii="Times New Roman" w:hAnsi="Times New Roman" w:cs="Times New Roman"/>
        </w:rPr>
        <w:fldChar w:fldCharType="end"/>
      </w:r>
      <w:r w:rsidRPr="005174A3">
        <w:rPr>
          <w:rFonts w:ascii="Times New Roman" w:hAnsi="Times New Roman" w:cs="Times New Roman"/>
        </w:rPr>
        <w:t xml:space="preserve">. The authors also emphasize that high inflation may prompt monetary policy actions by central banks at an inappropriate time, particularly when inflation is "unanchored," which could mark an early reaction that has negative consequences for economic recovery </w:t>
      </w:r>
      <w:r w:rsidR="001612A0">
        <w:rPr>
          <w:rFonts w:ascii="Times New Roman" w:hAnsi="Times New Roman" w:cs="Times New Roman"/>
        </w:rPr>
        <w:fldChar w:fldCharType="begin"/>
      </w:r>
      <w:r w:rsidR="001612A0">
        <w:rPr>
          <w:rFonts w:ascii="Times New Roman" w:hAnsi="Times New Roman" w:cs="Times New Roman"/>
        </w:rPr>
        <w:instrText xml:space="preserve"> ADDIN ZOTERO_ITEM CSL_CITATION {"citationID":"yDHLt0Hn","properties":{"formattedCitation":"(Danlami et al., 2022)","plainCitation":"(Danlami et al., 2022)","noteIndex":0},"citationItems":[{"id":90,"uris":["http://zotero.org/users/local/VAqELCal/items/GTSRG24G"],"itemData":{"id":90,"type":"article-journal","container-title":"Journal of Islamic Accounting and Business Research","DOI":"10.1108/jiabr-08-2021-0227","issue":"8","journalAbbreviation":"Journal of Islamic Accounting and Business Research","page":"1155-1175","title":"CAMELS, Risk-Sharing Financing, Institutional Quality and Stability of Islamic Banks: Evidence From 6 OIC Countries","volume":"13","author":[{"family":"Danlami","given":"Muhammad R."},{"family":"Abduh","given":"Muhamad"},{"family":"Razak","given":"Lutfi A."}],"issued":{"date-parts":[["2022"]]}}}],"schema":"https://github.com/citation-style-language/schema/raw/master/csl-citation.json"} </w:instrText>
      </w:r>
      <w:r w:rsidR="001612A0">
        <w:rPr>
          <w:rFonts w:ascii="Times New Roman" w:hAnsi="Times New Roman" w:cs="Times New Roman"/>
        </w:rPr>
        <w:fldChar w:fldCharType="separate"/>
      </w:r>
      <w:r w:rsidR="001612A0" w:rsidRPr="001612A0">
        <w:rPr>
          <w:rFonts w:ascii="Times New Roman" w:hAnsi="Times New Roman" w:cs="Times New Roman"/>
        </w:rPr>
        <w:t>(Danlami et al., 2022)</w:t>
      </w:r>
      <w:r w:rsidR="001612A0">
        <w:rPr>
          <w:rFonts w:ascii="Times New Roman" w:hAnsi="Times New Roman" w:cs="Times New Roman"/>
        </w:rPr>
        <w:fldChar w:fldCharType="end"/>
      </w:r>
      <w:r w:rsidRPr="005174A3">
        <w:rPr>
          <w:rFonts w:ascii="Times New Roman" w:hAnsi="Times New Roman" w:cs="Times New Roman"/>
        </w:rPr>
        <w:t>.</w:t>
      </w:r>
    </w:p>
    <w:p w14:paraId="58C57C61" w14:textId="77C5E624" w:rsidR="001E7EE2" w:rsidRPr="005174A3" w:rsidRDefault="001E7EE2" w:rsidP="00C44A63">
      <w:pPr>
        <w:spacing w:line="360" w:lineRule="auto"/>
        <w:jc w:val="both"/>
        <w:rPr>
          <w:rFonts w:ascii="Times New Roman" w:hAnsi="Times New Roman" w:cs="Times New Roman"/>
        </w:rPr>
      </w:pPr>
      <w:r w:rsidRPr="005174A3">
        <w:rPr>
          <w:rFonts w:ascii="Times New Roman" w:hAnsi="Times New Roman" w:cs="Times New Roman"/>
        </w:rPr>
        <w:t xml:space="preserve">Research on financial conditions and monetary policy transmission adds to the understanding of the forecasting dimension. Onwuka et al. (2020) build Financial Condition Indices (FCIs) for Mexico and show that when countries advanced like Mexico suffer from financial and monetary turmoil, introducing financial asset price volatility encompassing inflation-related uncertainty in policy making markedly enhances the management of economic fluctuations. According to their work, "given information asymmetries, uncertainty, and other market imperfections, effective monetary policy actions must account for financial factors like measures of liquidity, risk and capacity-to-lend" </w:t>
      </w:r>
      <w:r w:rsidR="001612A0">
        <w:rPr>
          <w:rFonts w:ascii="Times New Roman" w:hAnsi="Times New Roman" w:cs="Times New Roman"/>
        </w:rPr>
        <w:fldChar w:fldCharType="begin"/>
      </w:r>
      <w:r w:rsidR="001612A0">
        <w:rPr>
          <w:rFonts w:ascii="Times New Roman" w:hAnsi="Times New Roman" w:cs="Times New Roman"/>
        </w:rPr>
        <w:instrText xml:space="preserve"> ADDIN ZOTERO_ITEM CSL_CITATION {"citationID":"iU3EaZ1Y","properties":{"formattedCitation":"(Onwuka et al., 2020)","plainCitation":"(Onwuka et al., 2020)","noteIndex":0},"citationItems":[{"id":91,"uris":["http://zotero.org/users/local/VAqELCal/items/2XJETX2Q"],"itemData":{"id":91,"type":"article-journal","container-title":"International Journal of Finance &amp; Economics","DOI":"10.1002/ijfe.2015","issue":"3","journalAbbreviation":"International Journal of Finance &amp; Economics","page":"4303-4314","title":"Current Account and Financial Reforms: Evidence From sub‐Saharan Africa","volume":"26","author":[{"family":"Onwuka","given":"Kelvin"},{"family":"Chukwu","given":"Anayochukwu B."},{"family":"Agbanike","given":"Tobechi F."}],"issued":{"date-parts":[["2020"]]}}}],"schema":"https://github.com/citation-style-language/schema/raw/master/csl-citation.json"} </w:instrText>
      </w:r>
      <w:r w:rsidR="001612A0">
        <w:rPr>
          <w:rFonts w:ascii="Times New Roman" w:hAnsi="Times New Roman" w:cs="Times New Roman"/>
        </w:rPr>
        <w:fldChar w:fldCharType="separate"/>
      </w:r>
      <w:r w:rsidR="001612A0" w:rsidRPr="001612A0">
        <w:rPr>
          <w:rFonts w:ascii="Times New Roman" w:hAnsi="Times New Roman" w:cs="Times New Roman"/>
        </w:rPr>
        <w:t>(Onwuka et al., 2020)</w:t>
      </w:r>
      <w:r w:rsidR="001612A0">
        <w:rPr>
          <w:rFonts w:ascii="Times New Roman" w:hAnsi="Times New Roman" w:cs="Times New Roman"/>
        </w:rPr>
        <w:fldChar w:fldCharType="end"/>
      </w:r>
      <w:r w:rsidR="001612A0">
        <w:rPr>
          <w:rFonts w:ascii="Times New Roman" w:hAnsi="Times New Roman" w:cs="Times New Roman"/>
        </w:rPr>
        <w:t>,</w:t>
      </w:r>
      <w:r w:rsidRPr="005174A3">
        <w:rPr>
          <w:rFonts w:ascii="Times New Roman" w:hAnsi="Times New Roman" w:cs="Times New Roman"/>
        </w:rPr>
        <w:t>thus supporting the argument that measures of volatility are more apt for policy-relevant forecasts than level-based measures.</w:t>
      </w:r>
    </w:p>
    <w:p w14:paraId="2B4169C2" w14:textId="77CF51CC" w:rsidR="001E7EE2" w:rsidRPr="00033164" w:rsidRDefault="00033164" w:rsidP="00C44A63">
      <w:pPr>
        <w:pStyle w:val="Heading3"/>
        <w:spacing w:line="360" w:lineRule="auto"/>
        <w:jc w:val="both"/>
        <w:rPr>
          <w:rFonts w:ascii="Times New Roman" w:hAnsi="Times New Roman" w:cs="Times New Roman"/>
          <w:b/>
          <w:bCs/>
          <w:sz w:val="24"/>
          <w:szCs w:val="24"/>
        </w:rPr>
      </w:pPr>
      <w:bookmarkStart w:id="26" w:name="_Toc235530854"/>
      <w:r w:rsidRPr="00033164">
        <w:rPr>
          <w:rFonts w:ascii="Times New Roman" w:hAnsi="Times New Roman" w:cs="Times New Roman"/>
          <w:b/>
          <w:bCs/>
          <w:sz w:val="24"/>
          <w:szCs w:val="24"/>
        </w:rPr>
        <w:lastRenderedPageBreak/>
        <w:t xml:space="preserve">2.1.3 </w:t>
      </w:r>
      <w:r w:rsidR="001E7EE2" w:rsidRPr="00033164">
        <w:rPr>
          <w:rFonts w:ascii="Times New Roman" w:hAnsi="Times New Roman" w:cs="Times New Roman"/>
          <w:b/>
          <w:bCs/>
          <w:sz w:val="24"/>
          <w:szCs w:val="24"/>
        </w:rPr>
        <w:t>Implications for Financial Intermediation</w:t>
      </w:r>
      <w:bookmarkEnd w:id="26"/>
    </w:p>
    <w:p w14:paraId="07830D20" w14:textId="2684530D" w:rsidR="001E7EE2" w:rsidRPr="005174A3" w:rsidRDefault="001E7EE2" w:rsidP="00C44A63">
      <w:pPr>
        <w:spacing w:line="360" w:lineRule="auto"/>
        <w:jc w:val="both"/>
        <w:rPr>
          <w:rFonts w:ascii="Times New Roman" w:hAnsi="Times New Roman" w:cs="Times New Roman"/>
        </w:rPr>
      </w:pPr>
      <w:r w:rsidRPr="005174A3">
        <w:rPr>
          <w:rFonts w:ascii="Times New Roman" w:hAnsi="Times New Roman" w:cs="Times New Roman"/>
        </w:rPr>
        <w:t>Inflation volatility is a concern that has specific impacts on the role of financial intermediation, particularly in developing and emerging economies. Hence, to achieve deepening of domestic debt markets and financial sector deepening in African economies, controlling macroeconomic volatility, including inflation volatility, is key for the nominal yield curve to be ‘informative about the real borrowing cost’, as observed by</w:t>
      </w:r>
      <w:r w:rsidR="001612A0">
        <w:rPr>
          <w:rFonts w:ascii="Times New Roman" w:hAnsi="Times New Roman" w:cs="Times New Roman"/>
        </w:rPr>
        <w:fldChar w:fldCharType="begin"/>
      </w:r>
      <w:r w:rsidR="001612A0">
        <w:rPr>
          <w:rFonts w:ascii="Times New Roman" w:hAnsi="Times New Roman" w:cs="Times New Roman"/>
        </w:rPr>
        <w:instrText xml:space="preserve"> ADDIN ZOTERO_ITEM CSL_CITATION {"citationID":"w2aRoCKP","properties":{"formattedCitation":"(Lestari et al., 2023)","plainCitation":"(Lestari et al., 2023)","noteIndex":0},"citationItems":[{"id":28,"uris":["http://zotero.org/users/local/VAqELCal/items/QQDPZLN2"],"itemData":{"id":28,"type":"article-journal","container-title":"Studies in Economics and Finance","DOI":"10.1108/sef-12-2022-0554","issue":"4","journalAbbreviation":"Studies in Economics and Finance","page":"606-624","title":"Enhancing Bank Stability From Diversification and Digitalization Perspective in ASEAN","volume":"40","author":[{"family":"Lestari","given":"Diyan"},{"family":"Ma","given":"Shiguang"},{"family":"Jun","given":"Aelee"}],"issued":{"date-parts":[["2023"]]}}}],"schema":"https://github.com/citation-style-language/schema/raw/master/csl-citation.json"} </w:instrText>
      </w:r>
      <w:r w:rsidR="001612A0">
        <w:rPr>
          <w:rFonts w:ascii="Times New Roman" w:hAnsi="Times New Roman" w:cs="Times New Roman"/>
        </w:rPr>
        <w:fldChar w:fldCharType="separate"/>
      </w:r>
      <w:r w:rsidR="001612A0" w:rsidRPr="001612A0">
        <w:rPr>
          <w:rFonts w:ascii="Times New Roman" w:hAnsi="Times New Roman" w:cs="Times New Roman"/>
        </w:rPr>
        <w:t>(Lestari et al., 2023)</w:t>
      </w:r>
      <w:r w:rsidR="001612A0">
        <w:rPr>
          <w:rFonts w:ascii="Times New Roman" w:hAnsi="Times New Roman" w:cs="Times New Roman"/>
        </w:rPr>
        <w:fldChar w:fldCharType="end"/>
      </w:r>
      <w:r w:rsidRPr="005174A3">
        <w:rPr>
          <w:rFonts w:ascii="Times New Roman" w:hAnsi="Times New Roman" w:cs="Times New Roman"/>
        </w:rPr>
        <w:t xml:space="preserve"> </w:t>
      </w:r>
      <w:r w:rsidR="001612A0">
        <w:rPr>
          <w:rFonts w:ascii="Times New Roman" w:hAnsi="Times New Roman" w:cs="Times New Roman"/>
        </w:rPr>
        <w:t>.</w:t>
      </w:r>
      <w:r w:rsidRPr="005174A3">
        <w:rPr>
          <w:rFonts w:ascii="Times New Roman" w:hAnsi="Times New Roman" w:cs="Times New Roman"/>
        </w:rPr>
        <w:t xml:space="preserve">Inflation volatility makes the pricing of long-term financial contracts unreliable and makes long-term lending and borrowing less attractive, which prevents financial development </w:t>
      </w:r>
      <w:r w:rsidR="001612A0">
        <w:rPr>
          <w:rFonts w:ascii="Times New Roman" w:hAnsi="Times New Roman" w:cs="Times New Roman"/>
        </w:rPr>
        <w:fldChar w:fldCharType="begin"/>
      </w:r>
      <w:r w:rsidR="001612A0">
        <w:rPr>
          <w:rFonts w:ascii="Times New Roman" w:hAnsi="Times New Roman" w:cs="Times New Roman"/>
        </w:rPr>
        <w:instrText xml:space="preserve"> ADDIN ZOTERO_ITEM CSL_CITATION {"citationID":"kjYhFp8j","properties":{"formattedCitation":"(Lestari et al., 2023)","plainCitation":"(Lestari et al., 2023)","noteIndex":0},"citationItems":[{"id":28,"uris":["http://zotero.org/users/local/VAqELCal/items/QQDPZLN2"],"itemData":{"id":28,"type":"article-journal","container-title":"Studies in Economics and Finance","DOI":"10.1108/sef-12-2022-0554","issue":"4","journalAbbreviation":"Studies in Economics and Finance","page":"606-624","title":"Enhancing Bank Stability From Diversification and Digitalization Perspective in ASEAN","volume":"40","author":[{"family":"Lestari","given":"Diyan"},{"family":"Ma","given":"Shiguang"},{"family":"Jun","given":"Aelee"}],"issued":{"date-parts":[["2023"]]}}}],"schema":"https://github.com/citation-style-language/schema/raw/master/csl-citation.json"} </w:instrText>
      </w:r>
      <w:r w:rsidR="001612A0">
        <w:rPr>
          <w:rFonts w:ascii="Times New Roman" w:hAnsi="Times New Roman" w:cs="Times New Roman"/>
        </w:rPr>
        <w:fldChar w:fldCharType="separate"/>
      </w:r>
      <w:r w:rsidR="001612A0" w:rsidRPr="001612A0">
        <w:rPr>
          <w:rFonts w:ascii="Times New Roman" w:hAnsi="Times New Roman" w:cs="Times New Roman"/>
        </w:rPr>
        <w:t>(Lestari et al., 2023)</w:t>
      </w:r>
      <w:r w:rsidR="001612A0">
        <w:rPr>
          <w:rFonts w:ascii="Times New Roman" w:hAnsi="Times New Roman" w:cs="Times New Roman"/>
        </w:rPr>
        <w:fldChar w:fldCharType="end"/>
      </w:r>
      <w:r w:rsidRPr="005174A3">
        <w:rPr>
          <w:rFonts w:ascii="Times New Roman" w:hAnsi="Times New Roman" w:cs="Times New Roman"/>
        </w:rPr>
        <w:t>. In addition, Hanif et al. (2024) discuss the short-run impact of inflation on growth in the ASEAN-5 countries</w:t>
      </w:r>
      <w:r w:rsidR="00033164">
        <w:rPr>
          <w:rFonts w:ascii="Times New Roman" w:hAnsi="Times New Roman" w:cs="Times New Roman"/>
        </w:rPr>
        <w:t>,</w:t>
      </w:r>
      <w:r w:rsidRPr="005174A3">
        <w:rPr>
          <w:rFonts w:ascii="Times New Roman" w:hAnsi="Times New Roman" w:cs="Times New Roman"/>
        </w:rPr>
        <w:t xml:space="preserve"> which is different across countries and is a direct reflection of the ability of the macroeconomy to absorb and transmit inflationary shocks in the country. Their conclusion that "low inflation is fundamental to stabilizing the economy in a sustainable manner" </w:t>
      </w:r>
      <w:r w:rsidR="001612A0">
        <w:rPr>
          <w:rFonts w:ascii="Times New Roman" w:hAnsi="Times New Roman" w:cs="Times New Roman"/>
        </w:rPr>
        <w:fldChar w:fldCharType="begin"/>
      </w:r>
      <w:r w:rsidR="001612A0">
        <w:rPr>
          <w:rFonts w:ascii="Times New Roman" w:hAnsi="Times New Roman" w:cs="Times New Roman"/>
        </w:rPr>
        <w:instrText xml:space="preserve"> ADDIN ZOTERO_ITEM CSL_CITATION {"citationID":"FZlg0R9C","properties":{"formattedCitation":"(Hanif et al., 2024)","plainCitation":"(Hanif et al., 2024)","noteIndex":0},"citationItems":[{"id":93,"uris":["http://zotero.org/users/local/VAqELCal/items/478JWW5F"],"itemData":{"id":93,"type":"article-journal","container-title":"Digest of Middle East Studies","DOI":"10.1111/dome.12313","issue":"1","journalAbbreviation":"Digest of Middle East Studies","page":"83-102","title":"Islamic Finance and Economic Growth: Global Evidence","volume":"33","author":[{"family":"Hanif","given":"Muhammad"},{"family":"Chaker","given":"Mohammed N."},{"family":"Sabah","given":"Ariba"}],"issued":{"date-parts":[["2024"]]}}}],"schema":"https://github.com/citation-style-language/schema/raw/master/csl-citation.json"} </w:instrText>
      </w:r>
      <w:r w:rsidR="001612A0">
        <w:rPr>
          <w:rFonts w:ascii="Times New Roman" w:hAnsi="Times New Roman" w:cs="Times New Roman"/>
        </w:rPr>
        <w:fldChar w:fldCharType="separate"/>
      </w:r>
      <w:r w:rsidR="001612A0" w:rsidRPr="001612A0">
        <w:rPr>
          <w:rFonts w:ascii="Times New Roman" w:hAnsi="Times New Roman" w:cs="Times New Roman"/>
        </w:rPr>
        <w:t>(Hanif et al., 2024)</w:t>
      </w:r>
      <w:r w:rsidR="001612A0">
        <w:rPr>
          <w:rFonts w:ascii="Times New Roman" w:hAnsi="Times New Roman" w:cs="Times New Roman"/>
        </w:rPr>
        <w:fldChar w:fldCharType="end"/>
      </w:r>
      <w:r w:rsidRPr="005174A3">
        <w:rPr>
          <w:rFonts w:ascii="Times New Roman" w:hAnsi="Times New Roman" w:cs="Times New Roman"/>
        </w:rPr>
        <w:t xml:space="preserve"> gives implicit recognition to the fact that stability</w:t>
      </w:r>
      <w:r w:rsidR="00033164">
        <w:rPr>
          <w:rFonts w:ascii="Times New Roman" w:hAnsi="Times New Roman" w:cs="Times New Roman"/>
        </w:rPr>
        <w:t>,</w:t>
      </w:r>
      <w:r w:rsidRPr="005174A3">
        <w:rPr>
          <w:rFonts w:ascii="Times New Roman" w:hAnsi="Times New Roman" w:cs="Times New Roman"/>
        </w:rPr>
        <w:t xml:space="preserve"> not the level of inflation</w:t>
      </w:r>
      <w:r w:rsidR="00033164">
        <w:rPr>
          <w:rFonts w:ascii="Times New Roman" w:hAnsi="Times New Roman" w:cs="Times New Roman"/>
        </w:rPr>
        <w:t>,</w:t>
      </w:r>
      <w:r w:rsidRPr="005174A3">
        <w:rPr>
          <w:rFonts w:ascii="Times New Roman" w:hAnsi="Times New Roman" w:cs="Times New Roman"/>
        </w:rPr>
        <w:t xml:space="preserve"> is the anchor of economic and financial performance.</w:t>
      </w:r>
    </w:p>
    <w:p w14:paraId="499B2957" w14:textId="23C727F9" w:rsidR="001E7EE2" w:rsidRPr="005174A3" w:rsidRDefault="001E7EE2" w:rsidP="00C44A63">
      <w:pPr>
        <w:spacing w:line="360" w:lineRule="auto"/>
        <w:jc w:val="both"/>
        <w:rPr>
          <w:rFonts w:ascii="Times New Roman" w:hAnsi="Times New Roman" w:cs="Times New Roman"/>
        </w:rPr>
      </w:pPr>
      <w:r w:rsidRPr="005174A3">
        <w:rPr>
          <w:rFonts w:ascii="Times New Roman" w:hAnsi="Times New Roman" w:cs="Times New Roman"/>
        </w:rPr>
        <w:t>It is important to note that this literature shows in a rather convincing way that volatility and uncertainty of inflation is conceptually and empirically different from the level of inflation itself and is of far greater importance when it comes to risk assessment, forecasting of the overall economic state</w:t>
      </w:r>
      <w:r w:rsidR="00033164">
        <w:rPr>
          <w:rFonts w:ascii="Times New Roman" w:hAnsi="Times New Roman" w:cs="Times New Roman"/>
        </w:rPr>
        <w:t>,</w:t>
      </w:r>
      <w:r w:rsidRPr="005174A3">
        <w:rPr>
          <w:rFonts w:ascii="Times New Roman" w:hAnsi="Times New Roman" w:cs="Times New Roman"/>
        </w:rPr>
        <w:t xml:space="preserve"> and the functioning of financial intermediation. This separation is particularly relevant in the developing world, where structural mechanisms to handle price fluctuations are relatively new, particularly among developing countries like those in South Asia and Africa.</w:t>
      </w:r>
    </w:p>
    <w:p w14:paraId="608DC898" w14:textId="77777777" w:rsidR="001E7EE2" w:rsidRDefault="001E7EE2" w:rsidP="00C44A63">
      <w:pPr>
        <w:spacing w:line="360" w:lineRule="auto"/>
        <w:jc w:val="both"/>
      </w:pPr>
    </w:p>
    <w:p w14:paraId="3A554ED4" w14:textId="77777777" w:rsidR="001E7EE2" w:rsidRDefault="001E7EE2" w:rsidP="00C44A63">
      <w:pPr>
        <w:spacing w:line="360" w:lineRule="auto"/>
        <w:jc w:val="both"/>
      </w:pPr>
    </w:p>
    <w:p w14:paraId="3A2FCCB9" w14:textId="77777777" w:rsidR="005174A3" w:rsidRDefault="005174A3" w:rsidP="00C44A63">
      <w:pPr>
        <w:spacing w:line="360" w:lineRule="auto"/>
        <w:jc w:val="both"/>
      </w:pPr>
      <w:r>
        <w:br w:type="page"/>
      </w:r>
    </w:p>
    <w:p w14:paraId="78753412" w14:textId="77777777" w:rsidR="005174A3" w:rsidRPr="005174A3" w:rsidRDefault="005174A3" w:rsidP="00C44A63">
      <w:pPr>
        <w:pStyle w:val="Heading2"/>
        <w:spacing w:line="360" w:lineRule="auto"/>
        <w:jc w:val="both"/>
        <w:rPr>
          <w:rFonts w:ascii="Times New Roman" w:hAnsi="Times New Roman" w:cs="Times New Roman"/>
          <w:b/>
          <w:bCs/>
          <w:sz w:val="28"/>
          <w:szCs w:val="28"/>
        </w:rPr>
      </w:pPr>
      <w:bookmarkStart w:id="27" w:name="_Toc235530855"/>
      <w:r w:rsidRPr="005174A3">
        <w:rPr>
          <w:rFonts w:ascii="Times New Roman" w:hAnsi="Times New Roman" w:cs="Times New Roman"/>
          <w:b/>
          <w:bCs/>
          <w:sz w:val="28"/>
          <w:szCs w:val="28"/>
        </w:rPr>
        <w:lastRenderedPageBreak/>
        <w:t>2.2 Literature on Banking Stability and Its Measurement</w:t>
      </w:r>
      <w:bookmarkEnd w:id="27"/>
    </w:p>
    <w:p w14:paraId="1219D63C" w14:textId="77777777" w:rsidR="001E7EE2" w:rsidRPr="005174A3" w:rsidRDefault="001E7EE2" w:rsidP="00C44A63">
      <w:pPr>
        <w:spacing w:line="360" w:lineRule="auto"/>
        <w:jc w:val="both"/>
        <w:rPr>
          <w:rFonts w:ascii="Times New Roman" w:hAnsi="Times New Roman" w:cs="Times New Roman"/>
        </w:rPr>
      </w:pPr>
      <w:r w:rsidRPr="005174A3">
        <w:rPr>
          <w:rFonts w:ascii="Times New Roman" w:hAnsi="Times New Roman" w:cs="Times New Roman"/>
        </w:rPr>
        <w:t>Banking stability is a crucial issue in financial economics, directly linked to the strength and resilience of the economy. The empirical literature provides a wide-range of tools for measuring banking stability, such as measures of solvency risk, asset quality, capital adequacy, liquidity, and profitability. The main measurement methods are recapitulated and the reasons for the choice of the Z-score and non-performing loan (NPL) ratio as the most suitable pair for the use in the present research design are given.</w:t>
      </w:r>
    </w:p>
    <w:p w14:paraId="4666E349" w14:textId="139383A5" w:rsidR="00033164" w:rsidRPr="00033164" w:rsidRDefault="00033164" w:rsidP="00C44A63">
      <w:pPr>
        <w:pStyle w:val="Heading3"/>
        <w:spacing w:line="360" w:lineRule="auto"/>
        <w:jc w:val="both"/>
        <w:rPr>
          <w:rFonts w:ascii="Times New Roman" w:hAnsi="Times New Roman" w:cs="Times New Roman"/>
          <w:b/>
          <w:bCs/>
          <w:sz w:val="24"/>
          <w:szCs w:val="24"/>
        </w:rPr>
      </w:pPr>
      <w:bookmarkStart w:id="28" w:name="_Toc235530856"/>
      <w:r w:rsidRPr="00033164">
        <w:rPr>
          <w:rFonts w:ascii="Times New Roman" w:hAnsi="Times New Roman" w:cs="Times New Roman"/>
          <w:b/>
          <w:bCs/>
          <w:sz w:val="24"/>
          <w:szCs w:val="24"/>
        </w:rPr>
        <w:t>2.2.1 Principal Measures of Banking Stability</w:t>
      </w:r>
      <w:bookmarkEnd w:id="28"/>
    </w:p>
    <w:p w14:paraId="2020841A" w14:textId="4685C587" w:rsidR="001E7EE2" w:rsidRPr="005174A3" w:rsidRDefault="001E7EE2" w:rsidP="00C44A63">
      <w:pPr>
        <w:spacing w:line="360" w:lineRule="auto"/>
        <w:jc w:val="both"/>
        <w:rPr>
          <w:rFonts w:ascii="Times New Roman" w:hAnsi="Times New Roman" w:cs="Times New Roman"/>
        </w:rPr>
      </w:pPr>
      <w:r w:rsidRPr="005174A3">
        <w:rPr>
          <w:rFonts w:ascii="Times New Roman" w:hAnsi="Times New Roman" w:cs="Times New Roman"/>
        </w:rPr>
        <w:t>Z-score. The single most used measure of insolvency risk on the bank level in the empirical banking literature is the z-score. It incorporates a bank's return on assets (ROA) and the spread between equity and assets in a single metric, accounting for the volatility in returns, profitability, and leverage</w:t>
      </w:r>
      <w:r w:rsidR="001612A0">
        <w:rPr>
          <w:rFonts w:ascii="Times New Roman" w:hAnsi="Times New Roman" w:cs="Times New Roman"/>
        </w:rPr>
        <w:fldChar w:fldCharType="begin"/>
      </w:r>
      <w:r w:rsidR="001612A0">
        <w:rPr>
          <w:rFonts w:ascii="Times New Roman" w:hAnsi="Times New Roman" w:cs="Times New Roman"/>
        </w:rPr>
        <w:instrText xml:space="preserve"> ADDIN ZOTERO_ITEM CSL_CITATION {"citationID":"KtFBceIs","properties":{"formattedCitation":"(Haile et al., 2025; Shahriar et al., 2022; Syed et al., 2022)","plainCitation":"(Haile et al., 2025; Shahriar et al., 2022; Syed et al., 2022)","noteIndex":0},"citationItems":[{"id":36,"uris":["http://zotero.org/users/local/VAqELCal/items/D42C2ZDI"],"itemData":{"id":36,"type":"article-journal","container-title":"Heliyon","DOI":"10.1016/j.heliyon.2024.e41347","issue":"1","journalAbbreviation":"Heliyon","page":"e41347","title":"Does Regulatory Convergence Shape Banking Resilience in Africa?","volume":"11","author":[{"family":"Haile","given":"Minyahil A."},{"family":"Jayamohan","given":"M K."},{"family":"Mulugeta","given":"Wondaferahu"}],"issued":{"date-parts":[["2025"]]}}},{"id":94,"uris":["http://zotero.org/users/local/VAqELCal/items/EATZE64R"],"itemData":{"id":94,"type":"article-journal","container-title":"Iim Ranchi Journal of Management Studies","DOI":"10.1108/irjms-02-2022-0017","issue":"1","journalAbbreviation":"Iim Ranchi Journal of Management Studies","page":"31-47","title":"Bank Stability, Performance and Efficiency: An Experience From West Asian Countries","volume":"2","author":[{"family":"Shahriar","given":"Ahanaf"},{"family":"Mehzabin","given":"Saima"},{"family":"Ahmed","given":"Zobayer"},{"family":"Döngül","given":"Esra S."},{"family":"Azad","given":"Md. A. K."}],"issued":{"date-parts":[["2022"]]}}},{"id":95,"uris":["http://zotero.org/users/local/VAqELCal/items/CPMFWSN3"],"itemData":{"id":95,"type":"article-journal","container-title":"Sustainability","DOI":"10.3390/su14063238","issue":"6","journalAbbreviation":"Sustainability","page":"3238","title":"An Asymmetric Analysis of the Influence That Economic Policy Uncertainty, Institutional Quality, and Corruption Level Have on India’s Digital Banking Services and Banking Stability","volume":"14","author":[{"family":"Syed","given":"Aamir A."},{"family":"Kamal","given":"Muhammad A."},{"family":"Ullah","given":"Assad"},{"family":"Grima","given":"Simon"}],"issued":{"date-parts":[["2022"]]}}}],"schema":"https://github.com/citation-style-language/schema/raw/master/csl-citation.json"} </w:instrText>
      </w:r>
      <w:r w:rsidR="001612A0">
        <w:rPr>
          <w:rFonts w:ascii="Times New Roman" w:hAnsi="Times New Roman" w:cs="Times New Roman"/>
        </w:rPr>
        <w:fldChar w:fldCharType="separate"/>
      </w:r>
      <w:r w:rsidR="001612A0" w:rsidRPr="001612A0">
        <w:rPr>
          <w:rFonts w:ascii="Times New Roman" w:hAnsi="Times New Roman" w:cs="Times New Roman"/>
        </w:rPr>
        <w:t>(Haile et al., 2025; Shahriar et al., 2022; Syed et al., 2022)</w:t>
      </w:r>
      <w:r w:rsidR="001612A0">
        <w:rPr>
          <w:rFonts w:ascii="Times New Roman" w:hAnsi="Times New Roman" w:cs="Times New Roman"/>
        </w:rPr>
        <w:fldChar w:fldCharType="end"/>
      </w:r>
      <w:r w:rsidRPr="005174A3">
        <w:rPr>
          <w:rFonts w:ascii="Times New Roman" w:hAnsi="Times New Roman" w:cs="Times New Roman"/>
        </w:rPr>
        <w:t>. The higher the Z value, the further the companies are from bankruptcy, signifying that they are more stable</w:t>
      </w:r>
      <w:r w:rsidR="001612A0">
        <w:rPr>
          <w:rFonts w:ascii="Times New Roman" w:hAnsi="Times New Roman" w:cs="Times New Roman"/>
        </w:rPr>
        <w:fldChar w:fldCharType="begin"/>
      </w:r>
      <w:r w:rsidR="001612A0">
        <w:rPr>
          <w:rFonts w:ascii="Times New Roman" w:hAnsi="Times New Roman" w:cs="Times New Roman"/>
        </w:rPr>
        <w:instrText xml:space="preserve"> ADDIN ZOTERO_ITEM CSL_CITATION {"citationID":"iKsnyQjT","properties":{"formattedCitation":"(Chand et al., 2021; Mabkhot &amp; Al-Wesabi, 2022; Sari &amp; Sudarmawan, 2023)","plainCitation":"(Chand et al., 2021; Mabkhot &amp; Al-Wesabi, 2022; Sari &amp; Sudarmawan, 2023)","noteIndex":0},"citationItems":[{"id":99,"uris":["http://zotero.org/users/local/VAqELCal/items/VADL98JH"],"itemData":{"id":99,"type":"article-journal","container-title":"Accounting Research Journal","DOI":"10.1108/arj-06-2020-0140","issue":"1","journalAbbreviation":"Accounting Research Journal","page":"22-42","title":"Determinants of Bank Stability in a Small Island Economy: A Study of Fiji","volume":"34","author":[{"family":"Chand","given":"Shasnil A."},{"family":"Kumar","given":"Ronald R."},{"family":"Stauvermann","given":"Peter J."}],"issued":{"date-parts":[["2021"]]}}},{"id":98,"uris":["http://zotero.org/users/local/VAqELCal/items/5NPWAMRG"],"itemData":{"id":98,"type":"article-journal","container-title":"Sustainability","DOI":"10.3390/su142315999","issue":"23","journalAbbreviation":"Sustainability","page":"15999","title":"Banks’ Financial Stability and Macroeconomic Key Factors in GCC Countries","volume":"14","author":[{"family":"Mabkhot","given":"Hashed"},{"family":"Al-Wesabi","given":"Hamid A. H."}],"issued":{"date-parts":[["2022"]]}}},{"id":97,"uris":["http://zotero.org/users/local/VAqELCal/items/FSHTD4IN"],"itemData":{"id":97,"type":"article-journal","container-title":"Jurnal Ekonomi Syariah Teori Dan Terapan","DOI":"10.20473/vol10iss20232pp109-122","issue":"2","journalAbbreviation":"Jurnal Ekonomi Syariah Teori Dan Terapan","page":"109-122","title":"The Determinants of Bank Stability: An Empirical Investigation in Southeast Asia","volume":"10","author":[{"family":"Sari","given":"Niken N."},{"family":"Sudarmawan","given":"Barianto N."}],"issued":{"date-parts":[["2023"]]}}}],"schema":"https://github.com/citation-style-language/schema/raw/master/csl-citation.json"} </w:instrText>
      </w:r>
      <w:r w:rsidR="001612A0">
        <w:rPr>
          <w:rFonts w:ascii="Times New Roman" w:hAnsi="Times New Roman" w:cs="Times New Roman"/>
        </w:rPr>
        <w:fldChar w:fldCharType="separate"/>
      </w:r>
      <w:r w:rsidR="001612A0" w:rsidRPr="001612A0">
        <w:rPr>
          <w:rFonts w:ascii="Times New Roman" w:hAnsi="Times New Roman" w:cs="Times New Roman"/>
        </w:rPr>
        <w:t>(Chand et al., 2021; Mabkhot &amp; Al-Wesabi, 2022; Sari &amp; Sudarmawan, 2023)</w:t>
      </w:r>
      <w:r w:rsidR="001612A0">
        <w:rPr>
          <w:rFonts w:ascii="Times New Roman" w:hAnsi="Times New Roman" w:cs="Times New Roman"/>
        </w:rPr>
        <w:fldChar w:fldCharType="end"/>
      </w:r>
      <w:r w:rsidRPr="005174A3">
        <w:rPr>
          <w:rFonts w:ascii="Times New Roman" w:hAnsi="Times New Roman" w:cs="Times New Roman"/>
        </w:rPr>
        <w:t>. The Z-score, as mentioned by</w:t>
      </w:r>
      <w:r w:rsidR="001612A0">
        <w:rPr>
          <w:rFonts w:ascii="Times New Roman" w:hAnsi="Times New Roman" w:cs="Times New Roman"/>
        </w:rPr>
        <w:fldChar w:fldCharType="begin"/>
      </w:r>
      <w:r w:rsidR="001612A0">
        <w:rPr>
          <w:rFonts w:ascii="Times New Roman" w:hAnsi="Times New Roman" w:cs="Times New Roman"/>
        </w:rPr>
        <w:instrText xml:space="preserve"> ADDIN ZOTERO_ITEM CSL_CITATION {"citationID":"7VTcsRaX","properties":{"formattedCitation":"(Mabkhot &amp; Al-Wesabi, 2022)","plainCitation":"(Mabkhot &amp; Al-Wesabi, 2022)","noteIndex":0},"citationItems":[{"id":98,"uris":["http://zotero.org/users/local/VAqELCal/items/5NPWAMRG"],"itemData":{"id":98,"type":"article-journal","container-title":"Sustainability","DOI":"10.3390/su142315999","issue":"23","journalAbbreviation":"Sustainability","page":"15999","title":"Banks’ Financial Stability and Macroeconomic Key Factors in GCC Countries","volume":"14","author":[{"family":"Mabkhot","given":"Hashed"},{"family":"Al-Wesabi","given":"Hamid A. H."}],"issued":{"date-parts":[["2022"]]}}}],"schema":"https://github.com/citation-style-language/schema/raw/master/csl-citation.json"} </w:instrText>
      </w:r>
      <w:r w:rsidR="001612A0">
        <w:rPr>
          <w:rFonts w:ascii="Times New Roman" w:hAnsi="Times New Roman" w:cs="Times New Roman"/>
        </w:rPr>
        <w:fldChar w:fldCharType="separate"/>
      </w:r>
      <w:r w:rsidR="001612A0" w:rsidRPr="001612A0">
        <w:rPr>
          <w:rFonts w:ascii="Times New Roman" w:hAnsi="Times New Roman" w:cs="Times New Roman"/>
        </w:rPr>
        <w:t>(Mabkhot &amp; Al-Wesabi, 2022)</w:t>
      </w:r>
      <w:r w:rsidR="001612A0">
        <w:rPr>
          <w:rFonts w:ascii="Times New Roman" w:hAnsi="Times New Roman" w:cs="Times New Roman"/>
        </w:rPr>
        <w:fldChar w:fldCharType="end"/>
      </w:r>
      <w:r w:rsidR="001612A0">
        <w:rPr>
          <w:rFonts w:ascii="Times New Roman" w:hAnsi="Times New Roman" w:cs="Times New Roman"/>
        </w:rPr>
        <w:t xml:space="preserve">, </w:t>
      </w:r>
      <w:r w:rsidRPr="005174A3">
        <w:rPr>
          <w:rFonts w:ascii="Times New Roman" w:hAnsi="Times New Roman" w:cs="Times New Roman"/>
        </w:rPr>
        <w:t>is a singular index which incorporates the proxy of the financial stability of banks that are profitability, returns volatility and leverage. Theoretically, it combines various aspects of the bank health score into a single indicator, making it a useful metric for comparative analyses, especially across country levels where it may not be feasible to incorporate as detailed measures as Z scores or the similar Yardstick score</w:t>
      </w:r>
      <w:r w:rsidR="001612A0">
        <w:rPr>
          <w:rFonts w:ascii="Times New Roman" w:hAnsi="Times New Roman" w:cs="Times New Roman"/>
        </w:rPr>
        <w:fldChar w:fldCharType="begin"/>
      </w:r>
      <w:r w:rsidR="001612A0">
        <w:rPr>
          <w:rFonts w:ascii="Times New Roman" w:hAnsi="Times New Roman" w:cs="Times New Roman"/>
        </w:rPr>
        <w:instrText xml:space="preserve"> ADDIN ZOTERO_ITEM CSL_CITATION {"citationID":"vPLKzXPK","properties":{"formattedCitation":"(Chand et al., 2021; Haile et al., 2025)","plainCitation":"(Chand et al., 2021; Haile et al., 2025)","noteIndex":0},"citationItems":[{"id":99,"uris":["http://zotero.org/users/local/VAqELCal/items/VADL98JH"],"itemData":{"id":99,"type":"article-journal","container-title":"Accounting Research Journal","DOI":"10.1108/arj-06-2020-0140","issue":"1","journalAbbreviation":"Accounting Research Journal","page":"22-42","title":"Determinants of Bank Stability in a Small Island Economy: A Study of Fiji","volume":"34","author":[{"family":"Chand","given":"Shasnil A."},{"family":"Kumar","given":"Ronald R."},{"family":"Stauvermann","given":"Peter J."}],"issued":{"date-parts":[["2021"]]}}},{"id":36,"uris":["http://zotero.org/users/local/VAqELCal/items/D42C2ZDI"],"itemData":{"id":36,"type":"article-journal","container-title":"Heliyon","DOI":"10.1016/j.heliyon.2024.e41347","issue":"1","journalAbbreviation":"Heliyon","page":"e41347","title":"Does Regulatory Convergence Shape Banking Resilience in Africa?","volume":"11","author":[{"family":"Haile","given":"Minyahil A."},{"family":"Jayamohan","given":"M K."},{"family":"Mulugeta","given":"Wondaferahu"}],"issued":{"date-parts":[["2025"]]}}}],"schema":"https://github.com/citation-style-language/schema/raw/master/csl-citation.json"} </w:instrText>
      </w:r>
      <w:r w:rsidR="001612A0">
        <w:rPr>
          <w:rFonts w:ascii="Times New Roman" w:hAnsi="Times New Roman" w:cs="Times New Roman"/>
        </w:rPr>
        <w:fldChar w:fldCharType="separate"/>
      </w:r>
      <w:r w:rsidR="001612A0" w:rsidRPr="001612A0">
        <w:rPr>
          <w:rFonts w:ascii="Times New Roman" w:hAnsi="Times New Roman" w:cs="Times New Roman"/>
        </w:rPr>
        <w:t>(Chand et al., 2021; Haile et al., 2025)</w:t>
      </w:r>
      <w:r w:rsidR="001612A0">
        <w:rPr>
          <w:rFonts w:ascii="Times New Roman" w:hAnsi="Times New Roman" w:cs="Times New Roman"/>
        </w:rPr>
        <w:fldChar w:fldCharType="end"/>
      </w:r>
      <w:r w:rsidRPr="005174A3">
        <w:rPr>
          <w:rFonts w:ascii="Times New Roman" w:hAnsi="Times New Roman" w:cs="Times New Roman"/>
        </w:rPr>
        <w:t>. The Z-score has been used as the main dependent variable in numerous studies at different regional levels such as in West Asia</w:t>
      </w:r>
      <w:r w:rsidR="001612A0">
        <w:rPr>
          <w:rFonts w:ascii="Times New Roman" w:hAnsi="Times New Roman" w:cs="Times New Roman"/>
        </w:rPr>
        <w:fldChar w:fldCharType="begin"/>
      </w:r>
      <w:r w:rsidR="001612A0">
        <w:rPr>
          <w:rFonts w:ascii="Times New Roman" w:hAnsi="Times New Roman" w:cs="Times New Roman"/>
        </w:rPr>
        <w:instrText xml:space="preserve"> ADDIN ZOTERO_ITEM CSL_CITATION {"citationID":"YZLbpGGz","properties":{"formattedCitation":"(Shahriar et al., 2022)","plainCitation":"(Shahriar et al., 2022)","noteIndex":0},"citationItems":[{"id":94,"uris":["http://zotero.org/users/local/VAqELCal/items/EATZE64R"],"itemData":{"id":94,"type":"article-journal","container-title":"Iim Ranchi Journal of Management Studies","DOI":"10.1108/irjms-02-2022-0017","issue":"1","journalAbbreviation":"Iim Ranchi Journal of Management Studies","page":"31-47","title":"Bank Stability, Performance and Efficiency: An Experience From West Asian Countries","volume":"2","author":[{"family":"Shahriar","given":"Ahanaf"},{"family":"Mehzabin","given":"Saima"},{"family":"Ahmed","given":"Zobayer"},{"family":"Döngül","given":"Esra S."},{"family":"Azad","given":"Md. A. K."}],"issued":{"date-parts":[["2022"]]}}}],"schema":"https://github.com/citation-style-language/schema/raw/master/csl-citation.json"} </w:instrText>
      </w:r>
      <w:r w:rsidR="001612A0">
        <w:rPr>
          <w:rFonts w:ascii="Times New Roman" w:hAnsi="Times New Roman" w:cs="Times New Roman"/>
        </w:rPr>
        <w:fldChar w:fldCharType="separate"/>
      </w:r>
      <w:r w:rsidR="001612A0" w:rsidRPr="001612A0">
        <w:rPr>
          <w:rFonts w:ascii="Times New Roman" w:hAnsi="Times New Roman" w:cs="Times New Roman"/>
        </w:rPr>
        <w:t>(Shahriar et al., 2022)</w:t>
      </w:r>
      <w:r w:rsidR="001612A0">
        <w:rPr>
          <w:rFonts w:ascii="Times New Roman" w:hAnsi="Times New Roman" w:cs="Times New Roman"/>
        </w:rPr>
        <w:fldChar w:fldCharType="end"/>
      </w:r>
      <w:r w:rsidRPr="005174A3">
        <w:rPr>
          <w:rFonts w:ascii="Times New Roman" w:hAnsi="Times New Roman" w:cs="Times New Roman"/>
        </w:rPr>
        <w:t>, Southeast Asia</w:t>
      </w:r>
      <w:r w:rsidR="001612A0">
        <w:rPr>
          <w:rFonts w:ascii="Times New Roman" w:hAnsi="Times New Roman" w:cs="Times New Roman"/>
        </w:rPr>
        <w:fldChar w:fldCharType="begin"/>
      </w:r>
      <w:r w:rsidR="001612A0">
        <w:rPr>
          <w:rFonts w:ascii="Times New Roman" w:hAnsi="Times New Roman" w:cs="Times New Roman"/>
        </w:rPr>
        <w:instrText xml:space="preserve"> ADDIN ZOTERO_ITEM CSL_CITATION {"citationID":"jqaX5okA","properties":{"formattedCitation":"(Sari &amp; Sudarmawan, 2023)","plainCitation":"(Sari &amp; Sudarmawan, 2023)","noteIndex":0},"citationItems":[{"id":97,"uris":["http://zotero.org/users/local/VAqELCal/items/FSHTD4IN"],"itemData":{"id":97,"type":"article-journal","container-title":"Jurnal Ekonomi Syariah Teori Dan Terapan","DOI":"10.20473/vol10iss20232pp109-122","issue":"2","journalAbbreviation":"Jurnal Ekonomi Syariah Teori Dan Terapan","page":"109-122","title":"The Determinants of Bank Stability: An Empirical Investigation in Southeast Asia","volume":"10","author":[{"family":"Sari","given":"Niken N."},{"family":"Sudarmawan","given":"Barianto N."}],"issued":{"date-parts":[["2023"]]}}}],"schema":"https://github.com/citation-style-language/schema/raw/master/csl-citation.json"} </w:instrText>
      </w:r>
      <w:r w:rsidR="001612A0">
        <w:rPr>
          <w:rFonts w:ascii="Times New Roman" w:hAnsi="Times New Roman" w:cs="Times New Roman"/>
        </w:rPr>
        <w:fldChar w:fldCharType="separate"/>
      </w:r>
      <w:r w:rsidR="001612A0" w:rsidRPr="001612A0">
        <w:rPr>
          <w:rFonts w:ascii="Times New Roman" w:hAnsi="Times New Roman" w:cs="Times New Roman"/>
        </w:rPr>
        <w:t>(Sari &amp; Sudarmawan, 2023)</w:t>
      </w:r>
      <w:r w:rsidR="001612A0">
        <w:rPr>
          <w:rFonts w:ascii="Times New Roman" w:hAnsi="Times New Roman" w:cs="Times New Roman"/>
        </w:rPr>
        <w:fldChar w:fldCharType="end"/>
      </w:r>
      <w:r w:rsidRPr="005174A3">
        <w:rPr>
          <w:rFonts w:ascii="Times New Roman" w:hAnsi="Times New Roman" w:cs="Times New Roman"/>
        </w:rPr>
        <w:t>, in GCC countries</w:t>
      </w:r>
      <w:r w:rsidR="001612A0">
        <w:rPr>
          <w:rFonts w:ascii="Times New Roman" w:hAnsi="Times New Roman" w:cs="Times New Roman"/>
        </w:rPr>
        <w:fldChar w:fldCharType="begin"/>
      </w:r>
      <w:r w:rsidR="001612A0">
        <w:rPr>
          <w:rFonts w:ascii="Times New Roman" w:hAnsi="Times New Roman" w:cs="Times New Roman"/>
        </w:rPr>
        <w:instrText xml:space="preserve"> ADDIN ZOTERO_ITEM CSL_CITATION {"citationID":"Lu1n8eCf","properties":{"formattedCitation":"(Mabkhot &amp; Al-Wesabi, 2022)","plainCitation":"(Mabkhot &amp; Al-Wesabi, 2022)","noteIndex":0},"citationItems":[{"id":98,"uris":["http://zotero.org/users/local/VAqELCal/items/5NPWAMRG"],"itemData":{"id":98,"type":"article-journal","container-title":"Sustainability","DOI":"10.3390/su142315999","issue":"23","journalAbbreviation":"Sustainability","page":"15999","title":"Banks’ Financial Stability and Macroeconomic Key Factors in GCC Countries","volume":"14","author":[{"family":"Mabkhot","given":"Hashed"},{"family":"Al-Wesabi","given":"Hamid A. H."}],"issued":{"date-parts":[["2022"]]}}}],"schema":"https://github.com/citation-style-language/schema/raw/master/csl-citation.json"} </w:instrText>
      </w:r>
      <w:r w:rsidR="001612A0">
        <w:rPr>
          <w:rFonts w:ascii="Times New Roman" w:hAnsi="Times New Roman" w:cs="Times New Roman"/>
        </w:rPr>
        <w:fldChar w:fldCharType="separate"/>
      </w:r>
      <w:r w:rsidR="001612A0" w:rsidRPr="001612A0">
        <w:rPr>
          <w:rFonts w:ascii="Times New Roman" w:hAnsi="Times New Roman" w:cs="Times New Roman"/>
        </w:rPr>
        <w:t>(Mabkhot &amp; Al-Wesabi, 2022)</w:t>
      </w:r>
      <w:r w:rsidR="001612A0">
        <w:rPr>
          <w:rFonts w:ascii="Times New Roman" w:hAnsi="Times New Roman" w:cs="Times New Roman"/>
        </w:rPr>
        <w:fldChar w:fldCharType="end"/>
      </w:r>
      <w:r w:rsidR="001612A0">
        <w:rPr>
          <w:rFonts w:ascii="Times New Roman" w:hAnsi="Times New Roman" w:cs="Times New Roman"/>
        </w:rPr>
        <w:t xml:space="preserve"> </w:t>
      </w:r>
      <w:r w:rsidRPr="005174A3">
        <w:rPr>
          <w:rFonts w:ascii="Times New Roman" w:hAnsi="Times New Roman" w:cs="Times New Roman"/>
        </w:rPr>
        <w:t>and in Africa</w:t>
      </w:r>
      <w:r w:rsidR="001612A0">
        <w:rPr>
          <w:rFonts w:ascii="Times New Roman" w:hAnsi="Times New Roman" w:cs="Times New Roman"/>
        </w:rPr>
        <w:fldChar w:fldCharType="begin"/>
      </w:r>
      <w:r w:rsidR="001612A0">
        <w:rPr>
          <w:rFonts w:ascii="Times New Roman" w:hAnsi="Times New Roman" w:cs="Times New Roman"/>
        </w:rPr>
        <w:instrText xml:space="preserve"> ADDIN ZOTERO_ITEM CSL_CITATION {"citationID":"9jds7Jmj","properties":{"formattedCitation":"(Haile et al., 2025)","plainCitation":"(Haile et al., 2025)","noteIndex":0},"citationItems":[{"id":36,"uris":["http://zotero.org/users/local/VAqELCal/items/D42C2ZDI"],"itemData":{"id":36,"type":"article-journal","container-title":"Heliyon","DOI":"10.1016/j.heliyon.2024.e41347","issue":"1","journalAbbreviation":"Heliyon","page":"e41347","title":"Does Regulatory Convergence Shape Banking Resilience in Africa?","volume":"11","author":[{"family":"Haile","given":"Minyahil A."},{"family":"Jayamohan","given":"M K."},{"family":"Mulugeta","given":"Wondaferahu"}],"issued":{"date-parts":[["2025"]]}}}],"schema":"https://github.com/citation-style-language/schema/raw/master/csl-citation.json"} </w:instrText>
      </w:r>
      <w:r w:rsidR="001612A0">
        <w:rPr>
          <w:rFonts w:ascii="Times New Roman" w:hAnsi="Times New Roman" w:cs="Times New Roman"/>
        </w:rPr>
        <w:fldChar w:fldCharType="separate"/>
      </w:r>
      <w:r w:rsidR="001612A0" w:rsidRPr="001612A0">
        <w:rPr>
          <w:rFonts w:ascii="Times New Roman" w:hAnsi="Times New Roman" w:cs="Times New Roman"/>
        </w:rPr>
        <w:t>(Haile et al., 2025)</w:t>
      </w:r>
      <w:r w:rsidR="001612A0">
        <w:rPr>
          <w:rFonts w:ascii="Times New Roman" w:hAnsi="Times New Roman" w:cs="Times New Roman"/>
        </w:rPr>
        <w:fldChar w:fldCharType="end"/>
      </w:r>
      <w:r w:rsidR="001612A0">
        <w:rPr>
          <w:rFonts w:ascii="Times New Roman" w:hAnsi="Times New Roman" w:cs="Times New Roman"/>
        </w:rPr>
        <w:t xml:space="preserve"> </w:t>
      </w:r>
      <w:r w:rsidRPr="005174A3">
        <w:rPr>
          <w:rFonts w:ascii="Times New Roman" w:hAnsi="Times New Roman" w:cs="Times New Roman"/>
        </w:rPr>
        <w:t>in conducting stability analysis.</w:t>
      </w:r>
    </w:p>
    <w:p w14:paraId="1A788F79" w14:textId="5DEF23E7" w:rsidR="001E7EE2" w:rsidRPr="005174A3" w:rsidRDefault="001E7EE2" w:rsidP="00C44A63">
      <w:pPr>
        <w:spacing w:line="360" w:lineRule="auto"/>
        <w:jc w:val="both"/>
        <w:rPr>
          <w:rFonts w:ascii="Times New Roman" w:hAnsi="Times New Roman" w:cs="Times New Roman"/>
        </w:rPr>
      </w:pPr>
      <w:r w:rsidRPr="005174A3">
        <w:rPr>
          <w:rFonts w:ascii="Times New Roman" w:hAnsi="Times New Roman" w:cs="Times New Roman"/>
        </w:rPr>
        <w:t>Non-performing loan (NPL) ratio. Non-performing loans ratio (NPL) is a key measure of the health of the banking system and the level of credit risk as it is the share of NPLs in the total gross loans</w:t>
      </w:r>
      <w:r w:rsidR="001612A0">
        <w:rPr>
          <w:rFonts w:ascii="Times New Roman" w:hAnsi="Times New Roman" w:cs="Times New Roman"/>
        </w:rPr>
        <w:fldChar w:fldCharType="begin"/>
      </w:r>
      <w:r w:rsidR="001612A0">
        <w:rPr>
          <w:rFonts w:ascii="Times New Roman" w:hAnsi="Times New Roman" w:cs="Times New Roman"/>
        </w:rPr>
        <w:instrText xml:space="preserve"> ADDIN ZOTERO_ITEM CSL_CITATION {"citationID":"wGVhOocb","properties":{"formattedCitation":"(Haile et al., 2025; Kanapiyanova et al., 2022; Syed et al., 2022)","plainCitation":"(Haile et al., 2025; Kanapiyanova et al., 2022; Syed et al., 2022)","noteIndex":0},"citationItems":[{"id":36,"uris":["http://zotero.org/users/local/VAqELCal/items/D42C2ZDI"],"itemData":{"id":36,"type":"article-journal","container-title":"Heliyon","DOI":"10.1016/j.heliyon.2024.e41347","issue":"1","journalAbbreviation":"Heliyon","page":"e41347","title":"Does Regulatory Convergence Shape Banking Resilience in Africa?","volume":"11","author":[{"family":"Haile","given":"Minyahil A."},{"family":"Jayamohan","given":"M K."},{"family":"Mulugeta","given":"Wondaferahu"}],"issued":{"date-parts":[["2025"]]}}},{"id":100,"uris":["http://zotero.org/users/local/VAqELCal/items/CM4L7RZC"],"itemData":{"id":100,"type":"article-journal","container-title":"Journal of Islamic Accounting and Business Research","DOI":"10.1108/jiabr-01-2022-0004","issue":"3","journalAbbreviation":"Journal of Islamic Accounting and Business Research","page":"451-472","title":"Does Social and Governmental Responsibility Matter for Financial Stability and Bank Profitability? Evidence From Commercial and Islamic Banks","volume":"14","author":[{"family":"Kanapiyanova","given":"K. B."},{"family":"Faizulayev","given":"Alimshan"},{"family":"Рузанов","given":"Р. М."},{"family":"Ejdys","given":"Joanna"},{"family":"Kulumbetova","given":"D. B."},{"family":"Elbadri","given":"Marei"}],"issued":{"date-parts":[["2022"]]}}},{"id":95,"uris":["http://zotero.org/users/local/VAqELCal/items/CPMFWSN3"],"itemData":{"id":95,"type":"article-journal","container-title":"Sustainability","DOI":"10.3390/su14063238","issue":"6","journalAbbreviation":"Sustainability","page":"3238","title":"An Asymmetric Analysis of the Influence That Economic Policy Uncertainty, Institutional Quality, and Corruption Level Have on India’s Digital Banking Services and Banking Stability","volume":"14","author":[{"family":"Syed","given":"Aamir A."},{"family":"Kamal","given":"Muhammad A."},{"family":"Ullah","given":"Assad"},{"family":"Grima","given":"Simon"}],"issued":{"date-parts":[["2022"]]}}}],"schema":"https://github.com/citation-style-language/schema/raw/master/csl-citation.json"} </w:instrText>
      </w:r>
      <w:r w:rsidR="001612A0">
        <w:rPr>
          <w:rFonts w:ascii="Times New Roman" w:hAnsi="Times New Roman" w:cs="Times New Roman"/>
        </w:rPr>
        <w:fldChar w:fldCharType="separate"/>
      </w:r>
      <w:r w:rsidR="001612A0" w:rsidRPr="001612A0">
        <w:rPr>
          <w:rFonts w:ascii="Times New Roman" w:hAnsi="Times New Roman" w:cs="Times New Roman"/>
        </w:rPr>
        <w:t>(Haile et al., 2025; Kanapiyanova et al., 2022; Syed et al., 2022)</w:t>
      </w:r>
      <w:r w:rsidR="001612A0">
        <w:rPr>
          <w:rFonts w:ascii="Times New Roman" w:hAnsi="Times New Roman" w:cs="Times New Roman"/>
        </w:rPr>
        <w:fldChar w:fldCharType="end"/>
      </w:r>
      <w:r w:rsidRPr="005174A3">
        <w:rPr>
          <w:rFonts w:ascii="Times New Roman" w:hAnsi="Times New Roman" w:cs="Times New Roman"/>
        </w:rPr>
        <w:t xml:space="preserve">. An increasing NPL ratio indicates loan portfolio deterioration, reduced profitability, and potential threats to solvency </w:t>
      </w:r>
      <w:r w:rsidR="00714C31">
        <w:rPr>
          <w:rFonts w:ascii="Times New Roman" w:hAnsi="Times New Roman" w:cs="Times New Roman"/>
        </w:rPr>
        <w:fldChar w:fldCharType="begin"/>
      </w:r>
      <w:r w:rsidR="00714C31">
        <w:rPr>
          <w:rFonts w:ascii="Times New Roman" w:hAnsi="Times New Roman" w:cs="Times New Roman"/>
        </w:rPr>
        <w:instrText xml:space="preserve"> ADDIN ZOTERO_ITEM CSL_CITATION {"citationID":"wW6pLC3f","properties":{"formattedCitation":"(Rosalina &amp; Wahyuningsih, 2023; Sharma, 2024)","plainCitation":"(Rosalina &amp; Wahyuningsih, 2023; Sharma, 2024)","noteIndex":0},"citationItems":[{"id":102,"uris":["http://zotero.org/users/local/VAqELCal/items/I9RLCQ6E"],"itemData":{"id":102,"type":"article-journal","container-title":"Jurnal Perspektif Pembiayaan Dan Pembangunan Daerah","DOI":"10.22437/ppd.v11i1.18227","issue":"1","journalAbbreviation":"Jurnal Perspektif Pembiayaan Dan Pembangunan Daerah","page":"79-92","title":"Impact of Financial Inclusion and Banking Characteristics on  Banking Stability in Indonesia","volume":"11","author":[{"family":"Rosalina","given":"Linda"},{"family":"Wahyuningsih","given":"Diah"}],"issued":{"date-parts":[["2023"]]}}},{"id":101,"uris":["http://zotero.org/users/local/VAqELCal/items/KVPCICLQ"],"itemData":{"id":101,"type":"article-journal","container-title":"Resunga Journal </w:instrText>
      </w:r>
      <w:r w:rsidR="00714C31">
        <w:rPr>
          <w:rFonts w:ascii="Nirmala UI" w:hAnsi="Nirmala UI" w:cs="Nirmala UI"/>
        </w:rPr>
        <w:instrText>रेसुङ्गा</w:instrText>
      </w:r>
      <w:r w:rsidR="00714C31">
        <w:rPr>
          <w:rFonts w:ascii="Times New Roman" w:hAnsi="Times New Roman" w:cs="Times New Roman"/>
        </w:rPr>
        <w:instrText xml:space="preserve"> </w:instrText>
      </w:r>
      <w:r w:rsidR="00714C31">
        <w:rPr>
          <w:rFonts w:ascii="Nirmala UI" w:hAnsi="Nirmala UI" w:cs="Nirmala UI"/>
        </w:rPr>
        <w:instrText>जर्नल</w:instrText>
      </w:r>
      <w:r w:rsidR="00714C31">
        <w:rPr>
          <w:rFonts w:ascii="Times New Roman" w:hAnsi="Times New Roman" w:cs="Times New Roman"/>
        </w:rPr>
        <w:instrText xml:space="preserve">","DOI":"10.3126/resungaj.v3i1.65881","issue":"1","journalAbbreviation":"Resunga Journal </w:instrText>
      </w:r>
      <w:r w:rsidR="00714C31">
        <w:rPr>
          <w:rFonts w:ascii="Nirmala UI" w:hAnsi="Nirmala UI" w:cs="Nirmala UI"/>
        </w:rPr>
        <w:instrText>रेसुङ्गा</w:instrText>
      </w:r>
      <w:r w:rsidR="00714C31">
        <w:rPr>
          <w:rFonts w:ascii="Times New Roman" w:hAnsi="Times New Roman" w:cs="Times New Roman"/>
        </w:rPr>
        <w:instrText xml:space="preserve"> </w:instrText>
      </w:r>
      <w:r w:rsidR="00714C31">
        <w:rPr>
          <w:rFonts w:ascii="Nirmala UI" w:hAnsi="Nirmala UI" w:cs="Nirmala UI"/>
        </w:rPr>
        <w:instrText>जर्नल</w:instrText>
      </w:r>
      <w:r w:rsidR="00714C31">
        <w:rPr>
          <w:rFonts w:ascii="Times New Roman" w:hAnsi="Times New Roman" w:cs="Times New Roman"/>
        </w:rPr>
        <w:instrText xml:space="preserve">","page":"51-77","title":"Effects of Non-Performing Loan and Operational Efficiency on Profitability of Nepalese Commercial Banks","volume":"3","author":[{"family":"Sharma","given":"Kamal P."}],"issued":{"date-parts":[["2024"]]}}}],"schema":"https://github.com/citation-style-language/schema/raw/master/csl-citation.json"} </w:instrText>
      </w:r>
      <w:r w:rsidR="00714C31">
        <w:rPr>
          <w:rFonts w:ascii="Times New Roman" w:hAnsi="Times New Roman" w:cs="Times New Roman"/>
        </w:rPr>
        <w:fldChar w:fldCharType="separate"/>
      </w:r>
      <w:r w:rsidR="00714C31" w:rsidRPr="00714C31">
        <w:rPr>
          <w:rFonts w:ascii="Times New Roman" w:hAnsi="Times New Roman" w:cs="Times New Roman"/>
        </w:rPr>
        <w:t>(Rosalina &amp; Wahyuningsih, 2023; Sharma, 2024)</w:t>
      </w:r>
      <w:r w:rsidR="00714C31">
        <w:rPr>
          <w:rFonts w:ascii="Times New Roman" w:hAnsi="Times New Roman" w:cs="Times New Roman"/>
        </w:rPr>
        <w:fldChar w:fldCharType="end"/>
      </w:r>
      <w:r w:rsidRPr="005174A3">
        <w:rPr>
          <w:rFonts w:ascii="Times New Roman" w:hAnsi="Times New Roman" w:cs="Times New Roman"/>
        </w:rPr>
        <w:t xml:space="preserve">. Sharma (2024) underscored that "NPAs are an important measure to evaluate the banks' performance and financial stability, and the presence of NPAs is one of the determinants of financial stability and growth of banks. Haile et al. (2025) also </w:t>
      </w:r>
      <w:r w:rsidRPr="005174A3">
        <w:rPr>
          <w:rFonts w:ascii="Times New Roman" w:hAnsi="Times New Roman" w:cs="Times New Roman"/>
        </w:rPr>
        <w:lastRenderedPageBreak/>
        <w:t>use the NPL ratio besides the Z-score, due to the fact that the Z-score reflects the distance of overall insolvency while the NPL ratio reflects on the quality of banks' core lending business and the realization of credit risk.</w:t>
      </w:r>
    </w:p>
    <w:p w14:paraId="1E24C703" w14:textId="7B02A836" w:rsidR="001E7EE2" w:rsidRPr="005174A3" w:rsidRDefault="001E7EE2" w:rsidP="00C44A63">
      <w:pPr>
        <w:spacing w:line="360" w:lineRule="auto"/>
        <w:jc w:val="both"/>
        <w:rPr>
          <w:rFonts w:ascii="Times New Roman" w:hAnsi="Times New Roman" w:cs="Times New Roman"/>
        </w:rPr>
      </w:pPr>
      <w:r w:rsidRPr="005174A3">
        <w:rPr>
          <w:rFonts w:ascii="Times New Roman" w:hAnsi="Times New Roman" w:cs="Times New Roman"/>
        </w:rPr>
        <w:t>Capital adequacy ratio (CAR). The CAR is a fundamental regulatory indicator that is required under the Basel framework and is set as a rule to proper bank to require banks to hold adequate buffer against adverse unexpected events</w:t>
      </w:r>
      <w:r w:rsidR="00714C31">
        <w:rPr>
          <w:rFonts w:ascii="Times New Roman" w:hAnsi="Times New Roman" w:cs="Times New Roman"/>
        </w:rPr>
        <w:fldChar w:fldCharType="begin"/>
      </w:r>
      <w:r w:rsidR="00714C31">
        <w:rPr>
          <w:rFonts w:ascii="Times New Roman" w:hAnsi="Times New Roman" w:cs="Times New Roman"/>
        </w:rPr>
        <w:instrText xml:space="preserve"> ADDIN ZOTERO_ITEM CSL_CITATION {"citationID":"VEUSnHth","properties":{"formattedCitation":"(Alnaa &amp; Matey, 2024; Rosalina &amp; Wahyuningsih, 2023)","plainCitation":"(Alnaa &amp; Matey, 2024; Rosalina &amp; Wahyuningsih, 2023)","noteIndex":0},"citationItems":[{"id":103,"uris":["http://zotero.org/users/local/VAqELCal/items/GBK4EEGW"],"itemData":{"id":103,"type":"article-journal","container-title":"Financial Internet Quarterly","DOI":"10.2478/fiqf-2023-0019","issue":"3","journalAbbreviation":"Financial Internet Quarterly","page":"62-74","title":"An Assessment of the Risk Mitigating Factors in Ghana’s Bank Industry","volume":"19","author":[{"family":"Alnaa","given":"Samuel E."},{"family":"Matey","given":"Juabin"}],"issued":{"date-parts":[["2024"]]}}},{"id":102,"uris":["http://zotero.org/users/local/VAqELCal/items/I9RLCQ6E"],"itemData":{"id":102,"type":"article-journal","container-title":"Jurnal Perspektif Pembiayaan Dan Pembangunan Daerah","DOI":"10.22437/ppd.v11i1.18227","issue":"1","journalAbbreviation":"Jurnal Perspektif Pembiayaan Dan Pembangunan Daerah","page":"79-92","title":"Impact of Financial Inclusion and Banking Characteristics on  Banking Stability in Indonesia","volume":"11","author":[{"family":"Rosalina","given":"Linda"},{"family":"Wahyuningsih","given":"Diah"}],"issued":{"date-parts":[["2023"]]}}}],"schema":"https://github.com/citation-style-language/schema/raw/master/csl-citation.json"} </w:instrText>
      </w:r>
      <w:r w:rsidR="00714C31">
        <w:rPr>
          <w:rFonts w:ascii="Times New Roman" w:hAnsi="Times New Roman" w:cs="Times New Roman"/>
        </w:rPr>
        <w:fldChar w:fldCharType="separate"/>
      </w:r>
      <w:r w:rsidR="00714C31" w:rsidRPr="00714C31">
        <w:rPr>
          <w:rFonts w:ascii="Times New Roman" w:hAnsi="Times New Roman" w:cs="Times New Roman"/>
        </w:rPr>
        <w:t>(Alnaa &amp; Matey, 2024; Rosalina &amp; Wahyuningsih, 2023)</w:t>
      </w:r>
      <w:r w:rsidR="00714C31">
        <w:rPr>
          <w:rFonts w:ascii="Times New Roman" w:hAnsi="Times New Roman" w:cs="Times New Roman"/>
        </w:rPr>
        <w:fldChar w:fldCharType="end"/>
      </w:r>
      <w:r w:rsidRPr="005174A3">
        <w:rPr>
          <w:rFonts w:ascii="Times New Roman" w:hAnsi="Times New Roman" w:cs="Times New Roman"/>
        </w:rPr>
        <w:t xml:space="preserve">. Rosalina and Wahyuningsih (2023) reveal that the CAR has a significant positive effect on the banking stability variable in Indonesia and </w:t>
      </w:r>
      <w:r w:rsidR="00714C31">
        <w:rPr>
          <w:rFonts w:ascii="Times New Roman" w:hAnsi="Times New Roman" w:cs="Times New Roman"/>
        </w:rPr>
        <w:fldChar w:fldCharType="begin"/>
      </w:r>
      <w:r w:rsidR="00714C31">
        <w:rPr>
          <w:rFonts w:ascii="Times New Roman" w:hAnsi="Times New Roman" w:cs="Times New Roman"/>
        </w:rPr>
        <w:instrText xml:space="preserve"> ADDIN ZOTERO_ITEM CSL_CITATION {"citationID":"UQswPpRz","properties":{"formattedCitation":"(Alnaa &amp; Matey, 2024)","plainCitation":"(Alnaa &amp; Matey, 2024)","noteIndex":0},"citationItems":[{"id":103,"uris":["http://zotero.org/users/local/VAqELCal/items/GBK4EEGW"],"itemData":{"id":103,"type":"article-journal","container-title":"Financial Internet Quarterly","DOI":"10.2478/fiqf-2023-0019","issue":"3","journalAbbreviation":"Financial Internet Quarterly","page":"62-74","title":"An Assessment of the Risk Mitigating Factors in Ghana’s Bank Industry","volume":"19","author":[{"family":"Alnaa","given":"Samuel E."},{"family":"Matey","given":"Juabin"}],"issued":{"date-parts":[["2024"]]}}}],"schema":"https://github.com/citation-style-language/schema/raw/master/csl-citation.json"} </w:instrText>
      </w:r>
      <w:r w:rsidR="00714C31">
        <w:rPr>
          <w:rFonts w:ascii="Times New Roman" w:hAnsi="Times New Roman" w:cs="Times New Roman"/>
        </w:rPr>
        <w:fldChar w:fldCharType="separate"/>
      </w:r>
      <w:r w:rsidR="00714C31" w:rsidRPr="00714C31">
        <w:rPr>
          <w:rFonts w:ascii="Times New Roman" w:hAnsi="Times New Roman" w:cs="Times New Roman"/>
        </w:rPr>
        <w:t>(Alnaa &amp; Matey, 2024)</w:t>
      </w:r>
      <w:r w:rsidR="00714C31">
        <w:rPr>
          <w:rFonts w:ascii="Times New Roman" w:hAnsi="Times New Roman" w:cs="Times New Roman"/>
        </w:rPr>
        <w:fldChar w:fldCharType="end"/>
      </w:r>
      <w:r w:rsidR="00714C31">
        <w:rPr>
          <w:rFonts w:ascii="Times New Roman" w:hAnsi="Times New Roman" w:cs="Times New Roman"/>
        </w:rPr>
        <w:t xml:space="preserve"> </w:t>
      </w:r>
      <w:r w:rsidRPr="005174A3">
        <w:rPr>
          <w:rFonts w:ascii="Times New Roman" w:hAnsi="Times New Roman" w:cs="Times New Roman"/>
        </w:rPr>
        <w:t xml:space="preserve">demonstrate its impact in the context of Ghana. But CAR is mainly an index of regulatory compliance and not necessarily a sufficient measure of the dynamic risk profile of banks, especially for jurisdictions with varying levels of regulatory enforcement </w:t>
      </w:r>
      <w:r w:rsidR="00714C31">
        <w:rPr>
          <w:rFonts w:ascii="Times New Roman" w:hAnsi="Times New Roman" w:cs="Times New Roman"/>
        </w:rPr>
        <w:fldChar w:fldCharType="begin"/>
      </w:r>
      <w:r w:rsidR="00714C31">
        <w:rPr>
          <w:rFonts w:ascii="Times New Roman" w:hAnsi="Times New Roman" w:cs="Times New Roman"/>
        </w:rPr>
        <w:instrText xml:space="preserve"> ADDIN ZOTERO_ITEM CSL_CITATION {"citationID":"x9J2DiYH","properties":{"formattedCitation":"(Alnaa &amp; Matey, 2024)","plainCitation":"(Alnaa &amp; Matey, 2024)","noteIndex":0},"citationItems":[{"id":103,"uris":["http://zotero.org/users/local/VAqELCal/items/GBK4EEGW"],"itemData":{"id":103,"type":"article-journal","container-title":"Financial Internet Quarterly","DOI":"10.2478/fiqf-2023-0019","issue":"3","journalAbbreviation":"Financial Internet Quarterly","page":"62-74","title":"An Assessment of the Risk Mitigating Factors in Ghana’s Bank Industry","volume":"19","author":[{"family":"Alnaa","given":"Samuel E."},{"family":"Matey","given":"Juabin"}],"issued":{"date-parts":[["2024"]]}}}],"schema":"https://github.com/citation-style-language/schema/raw/master/csl-citation.json"} </w:instrText>
      </w:r>
      <w:r w:rsidR="00714C31">
        <w:rPr>
          <w:rFonts w:ascii="Times New Roman" w:hAnsi="Times New Roman" w:cs="Times New Roman"/>
        </w:rPr>
        <w:fldChar w:fldCharType="separate"/>
      </w:r>
      <w:r w:rsidR="00714C31" w:rsidRPr="00714C31">
        <w:rPr>
          <w:rFonts w:ascii="Times New Roman" w:hAnsi="Times New Roman" w:cs="Times New Roman"/>
        </w:rPr>
        <w:t>(Alnaa &amp; Matey, 2024)</w:t>
      </w:r>
      <w:r w:rsidR="00714C31">
        <w:rPr>
          <w:rFonts w:ascii="Times New Roman" w:hAnsi="Times New Roman" w:cs="Times New Roman"/>
        </w:rPr>
        <w:fldChar w:fldCharType="end"/>
      </w:r>
      <w:r w:rsidR="00714C31">
        <w:rPr>
          <w:rFonts w:ascii="Times New Roman" w:hAnsi="Times New Roman" w:cs="Times New Roman"/>
        </w:rPr>
        <w:t>.</w:t>
      </w:r>
    </w:p>
    <w:p w14:paraId="03F37E75" w14:textId="0662E776" w:rsidR="001E7EE2" w:rsidRPr="005174A3" w:rsidRDefault="001E7EE2" w:rsidP="00C44A63">
      <w:pPr>
        <w:spacing w:line="360" w:lineRule="auto"/>
        <w:jc w:val="both"/>
        <w:rPr>
          <w:rFonts w:ascii="Times New Roman" w:hAnsi="Times New Roman" w:cs="Times New Roman"/>
        </w:rPr>
      </w:pPr>
      <w:r w:rsidRPr="005174A3">
        <w:rPr>
          <w:rFonts w:ascii="Times New Roman" w:hAnsi="Times New Roman" w:cs="Times New Roman"/>
        </w:rPr>
        <w:t>Liquidity-based proxies. The liquidity measures, like liquid assets-to-deposits ratio and loan-to-deposit ratio, evaluate a bank's ability to cover its short-term obligations</w:t>
      </w:r>
      <w:r w:rsidR="00714C31">
        <w:rPr>
          <w:rFonts w:ascii="Times New Roman" w:hAnsi="Times New Roman" w:cs="Times New Roman"/>
        </w:rPr>
        <w:fldChar w:fldCharType="begin"/>
      </w:r>
      <w:r w:rsidR="00714C31">
        <w:rPr>
          <w:rFonts w:ascii="Times New Roman" w:hAnsi="Times New Roman" w:cs="Times New Roman"/>
        </w:rPr>
        <w:instrText xml:space="preserve"> ADDIN ZOTERO_ITEM CSL_CITATION {"citationID":"6O3fKv5L","properties":{"formattedCitation":"(Budhathoki et al., 2024; Chand et al., 2021)","plainCitation":"(Budhathoki et al., 2024; Chand et al., 2021)","noteIndex":0},"citationItems":[{"id":104,"uris":["http://zotero.org/users/local/VAqELCal/items/LF5KW4N2"],"itemData":{"id":104,"type":"article-journal","container-title":"Nepal Journal of Multidisciplinary Research","DOI":"10.3126/njmr.v7i2.68190","issue":"2","journalAbbreviation":"Nepal Journal of Multidisciplinary Research","page":"12-29","title":"The Bank Concentration and Risk Exposure: Empirical Insights From Asian Countries","volume":"7","author":[{"family":"Budhathoki","given":"Prem B."},{"family":"Bhattarai","given":"Ganesh"},{"family":"Aryal","given":"Narayan P."},{"family":"Ghimire","given":"Shiva R."}],"issued":{"date-parts":[["2024"]]}}},{"id":99,"uris":["http://zotero.org/users/local/VAqELCal/items/VADL98JH"],"itemData":{"id":99,"type":"article-journal","container-title":"Accounting Research Journal","DOI":"10.1108/arj-06-2020-0140","issue":"1","journalAbbreviation":"Accounting Research Journal","page":"22-42","title":"Determinants of Bank Stability in a Small Island Economy: A Study of Fiji","volume":"34","author":[{"family":"Chand","given":"Shasnil A."},{"family":"Kumar","given":"Ronald R."},{"family":"Stauvermann","given":"Peter J."}],"issued":{"date-parts":[["2021"]]}}}],"schema":"https://github.com/citation-style-language/schema/raw/master/csl-citation.json"} </w:instrText>
      </w:r>
      <w:r w:rsidR="00714C31">
        <w:rPr>
          <w:rFonts w:ascii="Times New Roman" w:hAnsi="Times New Roman" w:cs="Times New Roman"/>
        </w:rPr>
        <w:fldChar w:fldCharType="separate"/>
      </w:r>
      <w:r w:rsidR="00714C31" w:rsidRPr="00714C31">
        <w:rPr>
          <w:rFonts w:ascii="Times New Roman" w:hAnsi="Times New Roman" w:cs="Times New Roman"/>
        </w:rPr>
        <w:t>(Budhathoki et al., 2024; Chand et al., 2021)</w:t>
      </w:r>
      <w:r w:rsidR="00714C31">
        <w:rPr>
          <w:rFonts w:ascii="Times New Roman" w:hAnsi="Times New Roman" w:cs="Times New Roman"/>
        </w:rPr>
        <w:fldChar w:fldCharType="end"/>
      </w:r>
      <w:r w:rsidRPr="005174A3">
        <w:rPr>
          <w:rFonts w:ascii="Times New Roman" w:hAnsi="Times New Roman" w:cs="Times New Roman"/>
        </w:rPr>
        <w:t xml:space="preserve">. The authors Budhathoki et al. (2024) discover that the liquid assets-to-deposits ratio has a positive influence on the stability of banks in Asian economies. However, it should be noted that the use of liquidity ratios in cross-country designs </w:t>
      </w:r>
      <w:proofErr w:type="gramStart"/>
      <w:r w:rsidRPr="005174A3">
        <w:rPr>
          <w:rFonts w:ascii="Times New Roman" w:hAnsi="Times New Roman" w:cs="Times New Roman"/>
        </w:rPr>
        <w:t>are</w:t>
      </w:r>
      <w:proofErr w:type="gramEnd"/>
      <w:r w:rsidRPr="005174A3">
        <w:rPr>
          <w:rFonts w:ascii="Times New Roman" w:hAnsi="Times New Roman" w:cs="Times New Roman"/>
        </w:rPr>
        <w:t xml:space="preserve"> usually a snapshot of funding dynamics and not an indicator on their own of structural solvency.</w:t>
      </w:r>
    </w:p>
    <w:p w14:paraId="2F47031B" w14:textId="02FA4E98" w:rsidR="001E7EE2" w:rsidRPr="005174A3" w:rsidRDefault="001E7EE2" w:rsidP="00C44A63">
      <w:pPr>
        <w:spacing w:line="360" w:lineRule="auto"/>
        <w:jc w:val="both"/>
        <w:rPr>
          <w:rFonts w:ascii="Times New Roman" w:hAnsi="Times New Roman" w:cs="Times New Roman"/>
        </w:rPr>
      </w:pPr>
      <w:r w:rsidRPr="005174A3">
        <w:rPr>
          <w:rFonts w:ascii="Times New Roman" w:hAnsi="Times New Roman" w:cs="Times New Roman"/>
        </w:rPr>
        <w:t>Profitability-based proxies. To measure bank performance, ROA and ROE are often used which assumes that profitability over time will lead to stability in banks as they are able to build capital and absorb losses</w:t>
      </w:r>
      <w:r w:rsidR="00714C31">
        <w:rPr>
          <w:rFonts w:ascii="Times New Roman" w:hAnsi="Times New Roman" w:cs="Times New Roman"/>
        </w:rPr>
        <w:fldChar w:fldCharType="begin"/>
      </w:r>
      <w:r w:rsidR="00714C31">
        <w:rPr>
          <w:rFonts w:ascii="Times New Roman" w:hAnsi="Times New Roman" w:cs="Times New Roman"/>
        </w:rPr>
        <w:instrText xml:space="preserve"> ADDIN ZOTERO_ITEM CSL_CITATION {"citationID":"c4bV7Dmn","properties":{"formattedCitation":"(Alnaa &amp; Matey, 2024; Antwi &amp; Kwakye, 2022; Shahriar et al., 2022)","plainCitation":"(Alnaa &amp; Matey, 2024; Antwi &amp; Kwakye, 2022; Shahriar et al., 2022)","noteIndex":0},"citationItems":[{"id":103,"uris":["http://zotero.org/users/local/VAqELCal/items/GBK4EEGW"],"itemData":{"id":103,"type":"article-journal","container-title":"Financial Internet Quarterly","DOI":"10.2478/fiqf-2023-0019","issue":"3","journalAbbreviation":"Financial Internet Quarterly","page":"62-74","title":"An Assessment of the Risk Mitigating Factors in Ghana’s Bank Industry","volume":"19","author":[{"family":"Alnaa","given":"Samuel E."},{"family":"Matey","given":"Juabin"}],"issued":{"date-parts":[["2024"]]}}},{"id":34,"uris":["http://zotero.org/users/local/VAqELCal/items/HLR6WQ2V"],"itemData":{"id":34,"type":"article-journal","container-title":"International Journal of Research in Business and Social Science (2147-4478)","DOI":"10.20525/ijrbs.v11i7.2058","issue":"7","journalAbbreviation":"International Journal of Research in Business and Social Science (2147-4478)","page":"143-151","title":"Modelling the Effect of Bank Performance on Financial Stability","volume":"11","author":[{"family":"Antwi","given":"Frank"},{"family":"Kwakye","given":"Mercy"}],"issued":{"date-parts":[["2022"]]}}},{"id":94,"uris":["http://zotero.org/users/local/VAqELCal/items/EATZE64R"],"itemData":{"id":94,"type":"article-journal","container-title":"Iim Ranchi Journal of Management Studies","DOI":"10.1108/irjms-02-2022-0017","issue":"1","journalAbbreviation":"Iim Ranchi Journal of Management Studies","page":"31-47","title":"Bank Stability, Performance and Efficiency: An Experience From West Asian Countries","volume":"2","author":[{"family":"Shahriar","given":"Ahanaf"},{"family":"Mehzabin","given":"Saima"},{"family":"Ahmed","given":"Zobayer"},{"family":"Döngül","given":"Esra S."},{"family":"Azad","given":"Md. A. K."}],"issued":{"date-parts":[["2022"]]}}}],"schema":"https://github.com/citation-style-language/schema/raw/master/csl-citation.json"} </w:instrText>
      </w:r>
      <w:r w:rsidR="00714C31">
        <w:rPr>
          <w:rFonts w:ascii="Times New Roman" w:hAnsi="Times New Roman" w:cs="Times New Roman"/>
        </w:rPr>
        <w:fldChar w:fldCharType="separate"/>
      </w:r>
      <w:r w:rsidR="00714C31" w:rsidRPr="00714C31">
        <w:rPr>
          <w:rFonts w:ascii="Times New Roman" w:hAnsi="Times New Roman" w:cs="Times New Roman"/>
        </w:rPr>
        <w:t>(Alnaa &amp; Matey, 2024; Antwi &amp; Kwakye, 2022; Shahriar et al., 2022)</w:t>
      </w:r>
      <w:r w:rsidR="00714C31">
        <w:rPr>
          <w:rFonts w:ascii="Times New Roman" w:hAnsi="Times New Roman" w:cs="Times New Roman"/>
        </w:rPr>
        <w:fldChar w:fldCharType="end"/>
      </w:r>
      <w:r w:rsidRPr="005174A3">
        <w:rPr>
          <w:rFonts w:ascii="Times New Roman" w:hAnsi="Times New Roman" w:cs="Times New Roman"/>
        </w:rPr>
        <w:t xml:space="preserve">. Antwi and Kwakye (2022) report that the ROA and financial stability </w:t>
      </w:r>
      <w:proofErr w:type="gramStart"/>
      <w:r w:rsidRPr="005174A3">
        <w:rPr>
          <w:rFonts w:ascii="Times New Roman" w:hAnsi="Times New Roman" w:cs="Times New Roman"/>
        </w:rPr>
        <w:t>has</w:t>
      </w:r>
      <w:proofErr w:type="gramEnd"/>
      <w:r w:rsidRPr="005174A3">
        <w:rPr>
          <w:rFonts w:ascii="Times New Roman" w:hAnsi="Times New Roman" w:cs="Times New Roman"/>
        </w:rPr>
        <w:t xml:space="preserve"> a strong positive long run relationship between 16 countries in Africa. Similarly, Shahriar et al. (2022) have found that the net interest margin (NIM) is positively and significantly associated with the bank stability in west Asian countries. However, profitability measures fail to include risk adjusted performance and fluctuations in returns, which are what is needed to make sure that there is actual stability</w:t>
      </w:r>
      <w:r w:rsidR="00714C31">
        <w:rPr>
          <w:rFonts w:ascii="Times New Roman" w:hAnsi="Times New Roman" w:cs="Times New Roman"/>
        </w:rPr>
        <w:fldChar w:fldCharType="begin"/>
      </w:r>
      <w:r w:rsidR="00714C31">
        <w:rPr>
          <w:rFonts w:ascii="Times New Roman" w:hAnsi="Times New Roman" w:cs="Times New Roman"/>
        </w:rPr>
        <w:instrText xml:space="preserve"> ADDIN ZOTERO_ITEM CSL_CITATION {"citationID":"qyi5JNV0","properties":{"formattedCitation":"(Haile et al., 2025)","plainCitation":"(Haile et al., 2025)","noteIndex":0},"citationItems":[{"id":36,"uris":["http://zotero.org/users/local/VAqELCal/items/D42C2ZDI"],"itemData":{"id":36,"type":"article-journal","container-title":"Heliyon","DOI":"10.1016/j.heliyon.2024.e41347","issue":"1","journalAbbreviation":"Heliyon","page":"e41347","title":"Does Regulatory Convergence Shape Banking Resilience in Africa?","volume":"11","author":[{"family":"Haile","given":"Minyahil A."},{"family":"Jayamohan","given":"M K."},{"family":"Mulugeta","given":"Wondaferahu"}],"issued":{"date-parts":[["2025"]]}}}],"schema":"https://github.com/citation-style-language/schema/raw/master/csl-citation.json"} </w:instrText>
      </w:r>
      <w:r w:rsidR="00714C31">
        <w:rPr>
          <w:rFonts w:ascii="Times New Roman" w:hAnsi="Times New Roman" w:cs="Times New Roman"/>
        </w:rPr>
        <w:fldChar w:fldCharType="separate"/>
      </w:r>
      <w:r w:rsidR="00714C31" w:rsidRPr="00714C31">
        <w:rPr>
          <w:rFonts w:ascii="Times New Roman" w:hAnsi="Times New Roman" w:cs="Times New Roman"/>
        </w:rPr>
        <w:t>(Haile et al., 2025)</w:t>
      </w:r>
      <w:r w:rsidR="00714C31">
        <w:rPr>
          <w:rFonts w:ascii="Times New Roman" w:hAnsi="Times New Roman" w:cs="Times New Roman"/>
        </w:rPr>
        <w:fldChar w:fldCharType="end"/>
      </w:r>
      <w:r w:rsidRPr="005174A3">
        <w:rPr>
          <w:rFonts w:ascii="Times New Roman" w:hAnsi="Times New Roman" w:cs="Times New Roman"/>
        </w:rPr>
        <w:t>.</w:t>
      </w:r>
    </w:p>
    <w:p w14:paraId="524EE9EA" w14:textId="3C2466CC" w:rsidR="001E7EE2" w:rsidRPr="00033164" w:rsidRDefault="00033164" w:rsidP="00C44A63">
      <w:pPr>
        <w:pStyle w:val="Heading3"/>
        <w:spacing w:line="360" w:lineRule="auto"/>
        <w:jc w:val="both"/>
        <w:rPr>
          <w:rFonts w:ascii="Times New Roman" w:hAnsi="Times New Roman" w:cs="Times New Roman"/>
          <w:b/>
          <w:bCs/>
          <w:sz w:val="24"/>
          <w:szCs w:val="24"/>
        </w:rPr>
      </w:pPr>
      <w:bookmarkStart w:id="29" w:name="_Toc235530857"/>
      <w:r w:rsidRPr="00033164">
        <w:rPr>
          <w:rFonts w:ascii="Times New Roman" w:hAnsi="Times New Roman" w:cs="Times New Roman"/>
          <w:b/>
          <w:bCs/>
          <w:sz w:val="24"/>
          <w:szCs w:val="24"/>
        </w:rPr>
        <w:t xml:space="preserve">2.2.2 </w:t>
      </w:r>
      <w:r w:rsidR="001E7EE2" w:rsidRPr="00033164">
        <w:rPr>
          <w:rFonts w:ascii="Times New Roman" w:hAnsi="Times New Roman" w:cs="Times New Roman"/>
          <w:b/>
          <w:bCs/>
          <w:sz w:val="24"/>
          <w:szCs w:val="24"/>
        </w:rPr>
        <w:t>Justification for the Z-Score and NPL Pair</w:t>
      </w:r>
      <w:bookmarkEnd w:id="29"/>
    </w:p>
    <w:p w14:paraId="38709E4F" w14:textId="5FB3AB68" w:rsidR="001E7EE2" w:rsidRPr="005174A3" w:rsidRDefault="001E7EE2" w:rsidP="00C44A63">
      <w:pPr>
        <w:spacing w:line="360" w:lineRule="auto"/>
        <w:jc w:val="both"/>
        <w:rPr>
          <w:rFonts w:ascii="Times New Roman" w:hAnsi="Times New Roman" w:cs="Times New Roman"/>
        </w:rPr>
      </w:pPr>
      <w:r w:rsidRPr="005174A3">
        <w:rPr>
          <w:rFonts w:ascii="Times New Roman" w:hAnsi="Times New Roman" w:cs="Times New Roman"/>
        </w:rPr>
        <w:t xml:space="preserve">The decision to use Z-Score and NPL ratio as the major stability proxies in this study is based on both a theoretical complementarity, and an empirical precedent. Empirical literature on banking is </w:t>
      </w:r>
      <w:r w:rsidRPr="005174A3">
        <w:rPr>
          <w:rFonts w:ascii="Times New Roman" w:hAnsi="Times New Roman" w:cs="Times New Roman"/>
        </w:rPr>
        <w:lastRenderedPageBreak/>
        <w:t xml:space="preserve">well documented by the authors </w:t>
      </w:r>
      <w:r w:rsidR="00714C31">
        <w:rPr>
          <w:rFonts w:ascii="Times New Roman" w:hAnsi="Times New Roman" w:cs="Times New Roman"/>
        </w:rPr>
        <w:fldChar w:fldCharType="begin"/>
      </w:r>
      <w:r w:rsidR="00714C31">
        <w:rPr>
          <w:rFonts w:ascii="Times New Roman" w:hAnsi="Times New Roman" w:cs="Times New Roman"/>
        </w:rPr>
        <w:instrText xml:space="preserve"> ADDIN ZOTERO_ITEM CSL_CITATION {"citationID":"y4MKgu5J","properties":{"formattedCitation":"(Syed et al., 2022)","plainCitation":"(Syed et al., 2022)","noteIndex":0},"citationItems":[{"id":95,"uris":["http://zotero.org/users/local/VAqELCal/items/CPMFWSN3"],"itemData":{"id":95,"type":"article-journal","container-title":"Sustainability","DOI":"10.3390/su14063238","issue":"6","journalAbbreviation":"Sustainability","page":"3238","title":"An Asymmetric Analysis of the Influence That Economic Policy Uncertainty, Institutional Quality, and Corruption Level Have on India’s Digital Banking Services and Banking Stability","volume":"14","author":[{"family":"Syed","given":"Aamir A."},{"family":"Kamal","given":"Muhammad A."},{"family":"Ullah","given":"Assad"},{"family":"Grima","given":"Simon"}],"issued":{"date-parts":[["2022"]]}}}],"schema":"https://github.com/citation-style-language/schema/raw/master/csl-citation.json"} </w:instrText>
      </w:r>
      <w:r w:rsidR="00714C31">
        <w:rPr>
          <w:rFonts w:ascii="Times New Roman" w:hAnsi="Times New Roman" w:cs="Times New Roman"/>
        </w:rPr>
        <w:fldChar w:fldCharType="separate"/>
      </w:r>
      <w:r w:rsidR="00714C31" w:rsidRPr="00714C31">
        <w:rPr>
          <w:rFonts w:ascii="Times New Roman" w:hAnsi="Times New Roman" w:cs="Times New Roman"/>
        </w:rPr>
        <w:t>(Syed et al., 2022)</w:t>
      </w:r>
      <w:r w:rsidR="00714C31">
        <w:rPr>
          <w:rFonts w:ascii="Times New Roman" w:hAnsi="Times New Roman" w:cs="Times New Roman"/>
        </w:rPr>
        <w:fldChar w:fldCharType="end"/>
      </w:r>
      <w:r w:rsidRPr="005174A3">
        <w:rPr>
          <w:rFonts w:ascii="Times New Roman" w:hAnsi="Times New Roman" w:cs="Times New Roman"/>
        </w:rPr>
        <w:t>, stating that, "there are several proxies that measure the banking sector's stability including total capital ratio or leverage, however, Z score and NPLs are most widely used in the literature to identify promissory banking stability and solvent banking. Their study shows that using both proxies provides "more comprehensive results" than the Z-score alone</w:t>
      </w:r>
      <w:r w:rsidR="00714C31">
        <w:rPr>
          <w:rFonts w:ascii="Times New Roman" w:hAnsi="Times New Roman" w:cs="Times New Roman"/>
        </w:rPr>
        <w:fldChar w:fldCharType="begin"/>
      </w:r>
      <w:r w:rsidR="00714C31">
        <w:rPr>
          <w:rFonts w:ascii="Times New Roman" w:hAnsi="Times New Roman" w:cs="Times New Roman"/>
        </w:rPr>
        <w:instrText xml:space="preserve"> ADDIN ZOTERO_ITEM CSL_CITATION {"citationID":"WSh0zniD","properties":{"formattedCitation":"(Syed et al., 2022)","plainCitation":"(Syed et al., 2022)","noteIndex":0},"citationItems":[{"id":95,"uris":["http://zotero.org/users/local/VAqELCal/items/CPMFWSN3"],"itemData":{"id":95,"type":"article-journal","container-title":"Sustainability","DOI":"10.3390/su14063238","issue":"6","journalAbbreviation":"Sustainability","page":"3238","title":"An Asymmetric Analysis of the Influence That Economic Policy Uncertainty, Institutional Quality, and Corruption Level Have on India’s Digital Banking Services and Banking Stability","volume":"14","author":[{"family":"Syed","given":"Aamir A."},{"family":"Kamal","given":"Muhammad A."},{"family":"Ullah","given":"Assad"},{"family":"Grima","given":"Simon"}],"issued":{"date-parts":[["2022"]]}}}],"schema":"https://github.com/citation-style-language/schema/raw/master/csl-citation.json"} </w:instrText>
      </w:r>
      <w:r w:rsidR="00714C31">
        <w:rPr>
          <w:rFonts w:ascii="Times New Roman" w:hAnsi="Times New Roman" w:cs="Times New Roman"/>
        </w:rPr>
        <w:fldChar w:fldCharType="separate"/>
      </w:r>
      <w:r w:rsidR="00714C31" w:rsidRPr="00714C31">
        <w:rPr>
          <w:rFonts w:ascii="Times New Roman" w:hAnsi="Times New Roman" w:cs="Times New Roman"/>
        </w:rPr>
        <w:t>(Syed et al., 2022)</w:t>
      </w:r>
      <w:r w:rsidR="00714C31">
        <w:rPr>
          <w:rFonts w:ascii="Times New Roman" w:hAnsi="Times New Roman" w:cs="Times New Roman"/>
        </w:rPr>
        <w:fldChar w:fldCharType="end"/>
      </w:r>
      <w:r w:rsidRPr="005174A3">
        <w:rPr>
          <w:rFonts w:ascii="Times New Roman" w:hAnsi="Times New Roman" w:cs="Times New Roman"/>
        </w:rPr>
        <w:t>. Haile et al. (2025), taking a similar two-proxy stance, calculate a Bank Stability Index by weighting the Z-score and the NPL ratio, which reflect forward-looking insolvency risk and realized credit deterioration, respectively. On one hand, the Z-score is an holistic measure of bank distance from default, combining profitability, capitalization and earnings volatility</w:t>
      </w:r>
      <w:r w:rsidR="00714C31">
        <w:rPr>
          <w:rFonts w:ascii="Times New Roman" w:hAnsi="Times New Roman" w:cs="Times New Roman"/>
        </w:rPr>
        <w:fldChar w:fldCharType="begin"/>
      </w:r>
      <w:r w:rsidR="00714C31">
        <w:rPr>
          <w:rFonts w:ascii="Times New Roman" w:hAnsi="Times New Roman" w:cs="Times New Roman"/>
        </w:rPr>
        <w:instrText xml:space="preserve"> ADDIN ZOTERO_ITEM CSL_CITATION {"citationID":"7lQFEECe","properties":{"formattedCitation":"(Chand et al., 2021; Mabkhot &amp; Al-Wesabi, 2022)","plainCitation":"(Chand et al., 2021; Mabkhot &amp; Al-Wesabi, 2022)","noteIndex":0},"citationItems":[{"id":99,"uris":["http://zotero.org/users/local/VAqELCal/items/VADL98JH"],"itemData":{"id":99,"type":"article-journal","container-title":"Accounting Research Journal","DOI":"10.1108/arj-06-2020-0140","issue":"1","journalAbbreviation":"Accounting Research Journal","page":"22-42","title":"Determinants of Bank Stability in a Small Island Economy: A Study of Fiji","volume":"34","author":[{"family":"Chand","given":"Shasnil A."},{"family":"Kumar","given":"Ronald R."},{"family":"Stauvermann","given":"Peter J."}],"issued":{"date-parts":[["2021"]]}}},{"id":98,"uris":["http://zotero.org/users/local/VAqELCal/items/5NPWAMRG"],"itemData":{"id":98,"type":"article-journal","container-title":"Sustainability","DOI":"10.3390/su142315999","issue":"23","journalAbbreviation":"Sustainability","page":"15999","title":"Banks’ Financial Stability and Macroeconomic Key Factors in GCC Countries","volume":"14","author":[{"family":"Mabkhot","given":"Hashed"},{"family":"Al-Wesabi","given":"Hamid A. H."}],"issued":{"date-parts":[["2022"]]}}}],"schema":"https://github.com/citation-style-language/schema/raw/master/csl-citation.json"} </w:instrText>
      </w:r>
      <w:r w:rsidR="00714C31">
        <w:rPr>
          <w:rFonts w:ascii="Times New Roman" w:hAnsi="Times New Roman" w:cs="Times New Roman"/>
        </w:rPr>
        <w:fldChar w:fldCharType="separate"/>
      </w:r>
      <w:r w:rsidR="00714C31" w:rsidRPr="00714C31">
        <w:rPr>
          <w:rFonts w:ascii="Times New Roman" w:hAnsi="Times New Roman" w:cs="Times New Roman"/>
        </w:rPr>
        <w:t>(Chand et al., 2021; Mabkhot &amp; Al-Wesabi, 2022)</w:t>
      </w:r>
      <w:r w:rsidR="00714C31">
        <w:rPr>
          <w:rFonts w:ascii="Times New Roman" w:hAnsi="Times New Roman" w:cs="Times New Roman"/>
        </w:rPr>
        <w:fldChar w:fldCharType="end"/>
      </w:r>
      <w:r w:rsidR="00714C31">
        <w:rPr>
          <w:rFonts w:ascii="Times New Roman" w:hAnsi="Times New Roman" w:cs="Times New Roman"/>
        </w:rPr>
        <w:t xml:space="preserve"> </w:t>
      </w:r>
      <w:r w:rsidRPr="005174A3">
        <w:rPr>
          <w:rFonts w:ascii="Times New Roman" w:hAnsi="Times New Roman" w:cs="Times New Roman"/>
        </w:rPr>
        <w:t>and, on the other hand, the NPL ratio measures the ex-post materialization of credit risk in the loan portfolio</w:t>
      </w:r>
      <w:r w:rsidR="00714C31">
        <w:rPr>
          <w:rFonts w:ascii="Times New Roman" w:hAnsi="Times New Roman" w:cs="Times New Roman"/>
        </w:rPr>
        <w:fldChar w:fldCharType="begin"/>
      </w:r>
      <w:r w:rsidR="00714C31">
        <w:rPr>
          <w:rFonts w:ascii="Times New Roman" w:hAnsi="Times New Roman" w:cs="Times New Roman"/>
        </w:rPr>
        <w:instrText xml:space="preserve"> ADDIN ZOTERO_ITEM CSL_CITATION {"citationID":"hwG44MvV","properties":{"formattedCitation":"(Kanapiyanova et al., 2022; Sharma, 2024)","plainCitation":"(Kanapiyanova et al., 2022; Sharma, 2024)","noteIndex":0},"citationItems":[{"id":100,"uris":["http://zotero.org/users/local/VAqELCal/items/CM4L7RZC"],"itemData":{"id":100,"type":"article-journal","container-title":"Journal of Islamic Accounting and Business Research","DOI":"10.1108/jiabr-01-2022-0004","issue":"3","journalAbbreviation":"Journal of Islamic Accounting and Business Research","page":"451-472","title":"Does Social and Governmental Responsibility Matter for Financial Stability and Bank Profitability? Evidence From Commercial and Islamic Banks","volume":"14","author":[{"family":"Kanapiyanova","given":"K. B."},{"family":"Faizulayev","given":"Alimshan"},{"family":"Рузанов","given":"Р. М."},{"family":"Ejdys","given":"Joanna"},{"family":"Kulumbetova","given":"D. B."},{"family":"Elbadri","given":"Marei"}],"issued":{"date-parts":[["2022"]]}}},{"id":101,"uris":["http://zotero.org/users/local/VAqELCal/items/KVPCICLQ"],"itemData":{"id":101,"type":"article-journal","container-title":"Resunga Journal </w:instrText>
      </w:r>
      <w:r w:rsidR="00714C31">
        <w:rPr>
          <w:rFonts w:ascii="Nirmala UI" w:hAnsi="Nirmala UI" w:cs="Nirmala UI"/>
        </w:rPr>
        <w:instrText>रेसुङ्गा</w:instrText>
      </w:r>
      <w:r w:rsidR="00714C31">
        <w:rPr>
          <w:rFonts w:ascii="Times New Roman" w:hAnsi="Times New Roman" w:cs="Times New Roman"/>
        </w:rPr>
        <w:instrText xml:space="preserve"> </w:instrText>
      </w:r>
      <w:r w:rsidR="00714C31">
        <w:rPr>
          <w:rFonts w:ascii="Nirmala UI" w:hAnsi="Nirmala UI" w:cs="Nirmala UI"/>
        </w:rPr>
        <w:instrText>जर्नल</w:instrText>
      </w:r>
      <w:r w:rsidR="00714C31">
        <w:rPr>
          <w:rFonts w:ascii="Times New Roman" w:hAnsi="Times New Roman" w:cs="Times New Roman"/>
        </w:rPr>
        <w:instrText xml:space="preserve">","DOI":"10.3126/resungaj.v3i1.65881","issue":"1","journalAbbreviation":"Resunga Journal </w:instrText>
      </w:r>
      <w:r w:rsidR="00714C31">
        <w:rPr>
          <w:rFonts w:ascii="Nirmala UI" w:hAnsi="Nirmala UI" w:cs="Nirmala UI"/>
        </w:rPr>
        <w:instrText>रेसुङ्गा</w:instrText>
      </w:r>
      <w:r w:rsidR="00714C31">
        <w:rPr>
          <w:rFonts w:ascii="Times New Roman" w:hAnsi="Times New Roman" w:cs="Times New Roman"/>
        </w:rPr>
        <w:instrText xml:space="preserve"> </w:instrText>
      </w:r>
      <w:r w:rsidR="00714C31">
        <w:rPr>
          <w:rFonts w:ascii="Nirmala UI" w:hAnsi="Nirmala UI" w:cs="Nirmala UI"/>
        </w:rPr>
        <w:instrText>जर्नल</w:instrText>
      </w:r>
      <w:r w:rsidR="00714C31">
        <w:rPr>
          <w:rFonts w:ascii="Times New Roman" w:hAnsi="Times New Roman" w:cs="Times New Roman"/>
        </w:rPr>
        <w:instrText xml:space="preserve">","page":"51-77","title":"Effects of Non-Performing Loan and Operational Efficiency on Profitability of Nepalese Commercial Banks","volume":"3","author":[{"family":"Sharma","given":"Kamal P."}],"issued":{"date-parts":[["2024"]]}}}],"schema":"https://github.com/citation-style-language/schema/raw/master/csl-citation.json"} </w:instrText>
      </w:r>
      <w:r w:rsidR="00714C31">
        <w:rPr>
          <w:rFonts w:ascii="Times New Roman" w:hAnsi="Times New Roman" w:cs="Times New Roman"/>
        </w:rPr>
        <w:fldChar w:fldCharType="separate"/>
      </w:r>
      <w:r w:rsidR="00714C31" w:rsidRPr="00714C31">
        <w:rPr>
          <w:rFonts w:ascii="Times New Roman" w:hAnsi="Times New Roman" w:cs="Times New Roman"/>
        </w:rPr>
        <w:t>(Kanapiyanova et al., 2022; Sharma, 2024)</w:t>
      </w:r>
      <w:r w:rsidR="00714C31">
        <w:rPr>
          <w:rFonts w:ascii="Times New Roman" w:hAnsi="Times New Roman" w:cs="Times New Roman"/>
        </w:rPr>
        <w:fldChar w:fldCharType="end"/>
      </w:r>
      <w:r w:rsidRPr="005174A3">
        <w:rPr>
          <w:rFonts w:ascii="Times New Roman" w:hAnsi="Times New Roman" w:cs="Times New Roman"/>
        </w:rPr>
        <w:t>. They provide a complete, holistic evaluation, which both indices do not deliver on their own, making this the best combination to form a cross-regional comparative study, studying the transmission of inflation volatility to the stability in the banking system in economic structures across South Asian and African countries.</w:t>
      </w:r>
    </w:p>
    <w:p w14:paraId="5376108B" w14:textId="77777777" w:rsidR="001E7EE2" w:rsidRDefault="001E7EE2" w:rsidP="00C44A63">
      <w:pPr>
        <w:spacing w:line="360" w:lineRule="auto"/>
        <w:jc w:val="both"/>
      </w:pPr>
    </w:p>
    <w:p w14:paraId="73658826" w14:textId="77777777" w:rsidR="001E7EE2" w:rsidRDefault="001E7EE2" w:rsidP="00C44A63">
      <w:pPr>
        <w:spacing w:line="360" w:lineRule="auto"/>
        <w:jc w:val="both"/>
      </w:pPr>
    </w:p>
    <w:p w14:paraId="192509FA" w14:textId="77777777" w:rsidR="001E7EE2" w:rsidRPr="000F652A" w:rsidRDefault="001E7EE2" w:rsidP="00C44A63">
      <w:pPr>
        <w:pStyle w:val="Heading2"/>
        <w:spacing w:line="360" w:lineRule="auto"/>
        <w:jc w:val="both"/>
        <w:rPr>
          <w:rFonts w:ascii="Times New Roman" w:hAnsi="Times New Roman" w:cs="Times New Roman"/>
          <w:b/>
          <w:bCs/>
          <w:sz w:val="28"/>
          <w:szCs w:val="28"/>
        </w:rPr>
      </w:pPr>
      <w:bookmarkStart w:id="30" w:name="_Toc235530858"/>
      <w:r w:rsidRPr="000F652A">
        <w:rPr>
          <w:rFonts w:ascii="Times New Roman" w:hAnsi="Times New Roman" w:cs="Times New Roman"/>
          <w:b/>
          <w:bCs/>
          <w:sz w:val="28"/>
          <w:szCs w:val="28"/>
        </w:rPr>
        <w:t>2.3 Literature that connects Inflation Volatility to Banking Outcomes.</w:t>
      </w:r>
      <w:bookmarkEnd w:id="30"/>
    </w:p>
    <w:p w14:paraId="3CFC6C26" w14:textId="77777777"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The history of macroeconomic shocks being transmitted to the banking sector has been a major field of research, especially after the banking sector proved to be vulnerable to external shocks in successive financial crises. In this literature, inflation instability - understood as average consumer prices as well as their fluctuations - has been found to have a major influence on loan quality, bank solvency, profitability, asset quality and op overall financial fragility. This section summarizes the empirical evidence available on the relationship between inflation and banking outcomes, which comes in two variants: the first stemming from developed and emerging economies, as well as the second from frontier economies, and pointing out consistencies and inconsistencies in the findings.</w:t>
      </w:r>
    </w:p>
    <w:p w14:paraId="6959F6A3" w14:textId="77777777" w:rsidR="00033164" w:rsidRDefault="00033164" w:rsidP="00C44A63">
      <w:pPr>
        <w:spacing w:line="360" w:lineRule="auto"/>
        <w:jc w:val="both"/>
        <w:rPr>
          <w:rFonts w:ascii="Times New Roman" w:hAnsi="Times New Roman" w:cs="Times New Roman"/>
        </w:rPr>
      </w:pPr>
    </w:p>
    <w:p w14:paraId="0EC42F33" w14:textId="4AA0D487" w:rsidR="00F24465" w:rsidRPr="00F24465" w:rsidRDefault="00F24465" w:rsidP="00C44A63">
      <w:pPr>
        <w:pStyle w:val="Heading3"/>
        <w:spacing w:line="360" w:lineRule="auto"/>
        <w:jc w:val="both"/>
        <w:rPr>
          <w:rFonts w:ascii="Times New Roman" w:hAnsi="Times New Roman" w:cs="Times New Roman"/>
          <w:b/>
          <w:bCs/>
          <w:sz w:val="24"/>
          <w:szCs w:val="24"/>
        </w:rPr>
      </w:pPr>
      <w:bookmarkStart w:id="31" w:name="_Toc235530859"/>
      <w:r w:rsidRPr="00F24465">
        <w:rPr>
          <w:rFonts w:ascii="Times New Roman" w:hAnsi="Times New Roman" w:cs="Times New Roman"/>
          <w:b/>
          <w:bCs/>
          <w:sz w:val="24"/>
          <w:szCs w:val="24"/>
        </w:rPr>
        <w:t>2.3.1 Inflation and Loan Quality: The NPL Channel</w:t>
      </w:r>
      <w:bookmarkEnd w:id="31"/>
    </w:p>
    <w:p w14:paraId="144F6A40" w14:textId="3A7F277D"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 xml:space="preserve">There is a significant number of studies that have documented the importance of inflation as a macroeconomic factor of non-performing loans (NPLs), which are the most common way in which </w:t>
      </w:r>
      <w:r w:rsidRPr="000F652A">
        <w:rPr>
          <w:rFonts w:ascii="Times New Roman" w:hAnsi="Times New Roman" w:cs="Times New Roman"/>
        </w:rPr>
        <w:lastRenderedPageBreak/>
        <w:t>credit risk and deteriorated asset quality are captured. Pluskota (2021) corroborates this result of earlier research carried out by Klein (2013) in Central and Eastern Europe, whereby an increase in the level of inflation correlates positively with the NPL ratio. Likewise,</w:t>
      </w:r>
      <w:r w:rsidR="00CC0F2A">
        <w:rPr>
          <w:rFonts w:ascii="Times New Roman" w:hAnsi="Times New Roman" w:cs="Times New Roman"/>
        </w:rPr>
        <w:fldChar w:fldCharType="begin"/>
      </w:r>
      <w:r w:rsidR="00CC0F2A">
        <w:rPr>
          <w:rFonts w:ascii="Times New Roman" w:hAnsi="Times New Roman" w:cs="Times New Roman"/>
        </w:rPr>
        <w:instrText xml:space="preserve"> ADDIN ZOTERO_ITEM CSL_CITATION {"citationID":"LxCvzfPU","properties":{"formattedCitation":"(D\\uc0\\u382{}idi\\uc0\\u263{} et al., 2022)","plainCitation":"(Džidić et al., 2022)","noteIndex":0},"citationItems":[{"id":107,"uris":["http://zotero.org/users/local/VAqELCal/items/5WR6EJEM"],"itemData":{"id":107,"type":"article-journal","container-title":"Ekonomska Misao I Praksa","DOI":"10.17818/emip/2022/2.4","issue":"2","journalAbbreviation":"Ekonomska Misao I Praksa","page":"421-438","title":"Macroeconomic Factors of Non-Performing Loans: The Case of Bosnia and Herzegovina","volume":"31","author":[{"family":"Džidić","given":"Ante"},{"family":"Živko","given":"Igor"},{"family":"Čolak","given":"Anela"}],"issued":{"date-parts":[["2022"]]}}}],"schema":"https://github.com/citation-style-language/schema/raw/master/csl-citation.json"} </w:instrText>
      </w:r>
      <w:r w:rsidR="00CC0F2A">
        <w:rPr>
          <w:rFonts w:ascii="Times New Roman" w:hAnsi="Times New Roman" w:cs="Times New Roman"/>
        </w:rPr>
        <w:fldChar w:fldCharType="separate"/>
      </w:r>
      <w:r w:rsidR="00CC0F2A" w:rsidRPr="00CC0F2A">
        <w:rPr>
          <w:rFonts w:ascii="Times New Roman" w:hAnsi="Times New Roman" w:cs="Times New Roman"/>
          <w:kern w:val="0"/>
        </w:rPr>
        <w:t>(Džidić et al., 2022)</w:t>
      </w:r>
      <w:r w:rsidR="00CC0F2A">
        <w:rPr>
          <w:rFonts w:ascii="Times New Roman" w:hAnsi="Times New Roman" w:cs="Times New Roman"/>
        </w:rPr>
        <w:fldChar w:fldCharType="end"/>
      </w:r>
      <w:r w:rsidR="00CC0F2A">
        <w:rPr>
          <w:rFonts w:ascii="Times New Roman" w:hAnsi="Times New Roman" w:cs="Times New Roman"/>
        </w:rPr>
        <w:t xml:space="preserve"> </w:t>
      </w:r>
      <w:r w:rsidRPr="000F652A">
        <w:rPr>
          <w:rFonts w:ascii="Times New Roman" w:hAnsi="Times New Roman" w:cs="Times New Roman"/>
        </w:rPr>
        <w:t>show that, based on the autoregressive distributed lag (ARDL) method, the increase in consumer prices is significantly related to an increase in NPLs in BH, at a 5% level. Similarly, Hadur et al. (2020) note that the impact of the inflation rate on NPLs is significant for Romania and that in the Romanian economy</w:t>
      </w:r>
      <w:r w:rsidR="00CC0F2A">
        <w:rPr>
          <w:rFonts w:ascii="Times New Roman" w:hAnsi="Times New Roman" w:cs="Times New Roman"/>
        </w:rPr>
        <w:t>,</w:t>
      </w:r>
      <w:r w:rsidRPr="000F652A">
        <w:rPr>
          <w:rFonts w:ascii="Times New Roman" w:hAnsi="Times New Roman" w:cs="Times New Roman"/>
        </w:rPr>
        <w:t xml:space="preserve"> "NPLs and the overall quality of the loan portfolio are clearly linked. For the banking sector in Turkey,</w:t>
      </w:r>
      <w:r w:rsidR="00CC0F2A">
        <w:rPr>
          <w:rFonts w:ascii="Times New Roman" w:hAnsi="Times New Roman" w:cs="Times New Roman"/>
        </w:rPr>
        <w:fldChar w:fldCharType="begin"/>
      </w:r>
      <w:r w:rsidR="00CC0F2A">
        <w:rPr>
          <w:rFonts w:ascii="Times New Roman" w:hAnsi="Times New Roman" w:cs="Times New Roman"/>
        </w:rPr>
        <w:instrText xml:space="preserve"> ADDIN ZOTERO_ITEM CSL_CITATION {"citationID":"GhvdJBDd","properties":{"formattedCitation":"(Ya\\uc0\\u287{}l\\uc0\\u305{} &amp; Top\\uc0\\u231{}u, 2023)","plainCitation":"(Yağlı &amp; Topçu, 2023)","noteIndex":0},"citationItems":[{"id":109,"uris":["http://zotero.org/users/local/VAqELCal/items/IE7KF55Q"],"itemData":{"id":109,"type":"article-journal","container-title":"Sosyoekonomi","DOI":"10.17233/sosyoekonomi.2023.01.03","issue":"55","journalAbbreviation":"Sosyoekonomi","page":"49-67","title":"Determinants of Credit Risk in the Turkish Banking Sector: Does Ownership Matter?","volume":"31","author":[{"family":"Yağlı","given":"İbrahim"},{"family":"Topçu","given":"Mert"}],"issued":{"date-parts":[["2023"]]}}}],"schema":"https://github.com/citation-style-language/schema/raw/master/csl-citation.json"} </w:instrText>
      </w:r>
      <w:r w:rsidR="00CC0F2A">
        <w:rPr>
          <w:rFonts w:ascii="Times New Roman" w:hAnsi="Times New Roman" w:cs="Times New Roman"/>
        </w:rPr>
        <w:fldChar w:fldCharType="separate"/>
      </w:r>
      <w:r w:rsidR="00CC0F2A" w:rsidRPr="00CC0F2A">
        <w:rPr>
          <w:rFonts w:ascii="Times New Roman" w:hAnsi="Times New Roman" w:cs="Times New Roman"/>
          <w:kern w:val="0"/>
        </w:rPr>
        <w:t>(Yağlı &amp; Topçu, 2023)</w:t>
      </w:r>
      <w:r w:rsidR="00CC0F2A">
        <w:rPr>
          <w:rFonts w:ascii="Times New Roman" w:hAnsi="Times New Roman" w:cs="Times New Roman"/>
        </w:rPr>
        <w:fldChar w:fldCharType="end"/>
      </w:r>
      <w:r w:rsidR="00CC0F2A">
        <w:rPr>
          <w:rFonts w:ascii="Times New Roman" w:hAnsi="Times New Roman" w:cs="Times New Roman"/>
        </w:rPr>
        <w:t xml:space="preserve"> </w:t>
      </w:r>
      <w:r w:rsidRPr="000F652A">
        <w:rPr>
          <w:rFonts w:ascii="Times New Roman" w:hAnsi="Times New Roman" w:cs="Times New Roman"/>
        </w:rPr>
        <w:t>find that while inflation is positive and significant for state and public banks, it is negative and insignificant for commercial banks, and not significant for cooperative banks. This highlights the country-level factor that causes the inflation-NPL nexus to differ across banks.</w:t>
      </w:r>
    </w:p>
    <w:p w14:paraId="45ABD45E" w14:textId="4FC1932B"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Inflation volatility affects loan quality in a number of ways. Volatile and unpredictable inflation lowers the real income of borrowers, raises the burden of debt servicing, and reduces the capacity of borrowers</w:t>
      </w:r>
      <w:r w:rsidR="00CC0F2A">
        <w:rPr>
          <w:rFonts w:ascii="Times New Roman" w:hAnsi="Times New Roman" w:cs="Times New Roman"/>
        </w:rPr>
        <w:t xml:space="preserve"> </w:t>
      </w:r>
      <w:r w:rsidRPr="000F652A">
        <w:rPr>
          <w:rFonts w:ascii="Times New Roman" w:hAnsi="Times New Roman" w:cs="Times New Roman"/>
        </w:rPr>
        <w:t>households and firms</w:t>
      </w:r>
      <w:r w:rsidR="00CC0F2A">
        <w:rPr>
          <w:rFonts w:ascii="Times New Roman" w:hAnsi="Times New Roman" w:cs="Times New Roman"/>
        </w:rPr>
        <w:t xml:space="preserve"> </w:t>
      </w:r>
      <w:r w:rsidRPr="000F652A">
        <w:rPr>
          <w:rFonts w:ascii="Times New Roman" w:hAnsi="Times New Roman" w:cs="Times New Roman"/>
        </w:rPr>
        <w:t>to make their debt payments</w:t>
      </w:r>
      <w:r w:rsidR="00CC0F2A">
        <w:rPr>
          <w:rFonts w:ascii="Times New Roman" w:hAnsi="Times New Roman" w:cs="Times New Roman"/>
        </w:rPr>
        <w:fldChar w:fldCharType="begin"/>
      </w:r>
      <w:r w:rsidR="00CC0F2A">
        <w:rPr>
          <w:rFonts w:ascii="Times New Roman" w:hAnsi="Times New Roman" w:cs="Times New Roman"/>
        </w:rPr>
        <w:instrText xml:space="preserve"> ADDIN ZOTERO_ITEM CSL_CITATION {"citationID":"dsm4pu7m","properties":{"formattedCitation":"(Khouangvichit, 2024; Kozari\\uc0\\u263{} &amp; D\\uc0\\u382{}elihod\\uc0\\u382{}i\\uc0\\u263{}, 2020)","plainCitation":"(Khouangvichit, 2024; Kozarić &amp; Dželihodžić, 2020)","noteIndex":0},"citationItems":[{"id":110,"uris":["http://zotero.org/users/local/VAqELCal/items/22U9XGLK"],"itemData":{"id":110,"type":"article-journal","DOI":"10.14232/gtk.gdtgiss.2024.10","page":"154-173","title":"The Relationship Between Macroeconomic Factors and Non-Performing Loans (NPLs) in Lao PDR","author":[{"family":"Khouangvichit","given":"Chintana"}],"issued":{"date-parts":[["2024"]]}}},{"id":111,"uris":["http://zotero.org/users/local/VAqELCal/items/GJBYWVQH"],"itemData":{"id":111,"type":"article-journal","container-title":"Journal of Central Banking Theory and Practice","DOI":"10.2478/jcbtp-2020-0011","issue":"2","journalAbbreviation":"Journal of Central Banking Theory and Practice","page":"5-17","title":"Effects of Macroeconomic Environment on Non-Performing Loans and Financial Stability: Case of Bosnia and Herzegovina","volume":"9","author":[{"family":"Kozarić","given":"Kemal"},{"family":"Dželihodžić","given":"Emina Ž."}],"issued":{"date-parts":[["2020"]]}}}],"schema":"https://github.com/citation-style-language/schema/raw/master/csl-citation.json"} </w:instrText>
      </w:r>
      <w:r w:rsidR="00CC0F2A">
        <w:rPr>
          <w:rFonts w:ascii="Times New Roman" w:hAnsi="Times New Roman" w:cs="Times New Roman"/>
        </w:rPr>
        <w:fldChar w:fldCharType="separate"/>
      </w:r>
      <w:r w:rsidR="00CC0F2A" w:rsidRPr="00CC0F2A">
        <w:rPr>
          <w:rFonts w:ascii="Times New Roman" w:hAnsi="Times New Roman" w:cs="Times New Roman"/>
          <w:kern w:val="0"/>
        </w:rPr>
        <w:t>(Khouangvichit, 2024; Kozarić &amp; Dželihodžić, 2020)</w:t>
      </w:r>
      <w:r w:rsidR="00CC0F2A">
        <w:rPr>
          <w:rFonts w:ascii="Times New Roman" w:hAnsi="Times New Roman" w:cs="Times New Roman"/>
        </w:rPr>
        <w:fldChar w:fldCharType="end"/>
      </w:r>
      <w:r w:rsidRPr="000F652A">
        <w:rPr>
          <w:rFonts w:ascii="Times New Roman" w:hAnsi="Times New Roman" w:cs="Times New Roman"/>
        </w:rPr>
        <w:t xml:space="preserve">. Kozarić and </w:t>
      </w:r>
      <w:proofErr w:type="spellStart"/>
      <w:r w:rsidRPr="000F652A">
        <w:rPr>
          <w:rFonts w:ascii="Times New Roman" w:hAnsi="Times New Roman" w:cs="Times New Roman"/>
        </w:rPr>
        <w:t>Dželihodžić</w:t>
      </w:r>
      <w:proofErr w:type="spellEnd"/>
      <w:r w:rsidRPr="000F652A">
        <w:rPr>
          <w:rFonts w:ascii="Times New Roman" w:hAnsi="Times New Roman" w:cs="Times New Roman"/>
        </w:rPr>
        <w:t xml:space="preserve"> (2020) conclude that in Bosnia and Herzegovina "Inflation growth contributes to the decline of credit quality of credit users, due to their increased inability to pay their debts, thus posing a direct threat to financial stability.</w:t>
      </w:r>
    </w:p>
    <w:p w14:paraId="2995BE05" w14:textId="77777777" w:rsidR="00F24465" w:rsidRDefault="00F24465" w:rsidP="00C44A63">
      <w:pPr>
        <w:pStyle w:val="Heading3"/>
        <w:spacing w:line="360" w:lineRule="auto"/>
        <w:jc w:val="both"/>
        <w:rPr>
          <w:rFonts w:ascii="Times New Roman" w:hAnsi="Times New Roman" w:cs="Times New Roman"/>
          <w:b/>
          <w:bCs/>
          <w:sz w:val="24"/>
          <w:szCs w:val="24"/>
        </w:rPr>
      </w:pPr>
    </w:p>
    <w:p w14:paraId="6BFF000C" w14:textId="5B3F61BF" w:rsidR="001E7EE2" w:rsidRPr="00F24465" w:rsidRDefault="00F24465" w:rsidP="00C44A63">
      <w:pPr>
        <w:pStyle w:val="Heading3"/>
        <w:spacing w:line="360" w:lineRule="auto"/>
        <w:jc w:val="both"/>
        <w:rPr>
          <w:rFonts w:ascii="Times New Roman" w:hAnsi="Times New Roman" w:cs="Times New Roman"/>
          <w:b/>
          <w:bCs/>
          <w:sz w:val="24"/>
          <w:szCs w:val="24"/>
        </w:rPr>
      </w:pPr>
      <w:bookmarkStart w:id="32" w:name="_Toc235530860"/>
      <w:r w:rsidRPr="00F24465">
        <w:rPr>
          <w:rFonts w:ascii="Times New Roman" w:hAnsi="Times New Roman" w:cs="Times New Roman"/>
          <w:b/>
          <w:bCs/>
          <w:sz w:val="24"/>
          <w:szCs w:val="24"/>
        </w:rPr>
        <w:t xml:space="preserve">2.3.2 </w:t>
      </w:r>
      <w:r w:rsidR="001E7EE2" w:rsidRPr="00F24465">
        <w:rPr>
          <w:rFonts w:ascii="Times New Roman" w:hAnsi="Times New Roman" w:cs="Times New Roman"/>
          <w:b/>
          <w:bCs/>
          <w:sz w:val="24"/>
          <w:szCs w:val="24"/>
        </w:rPr>
        <w:t>Evidence from Developed and Emerging Economies</w:t>
      </w:r>
      <w:bookmarkEnd w:id="32"/>
    </w:p>
    <w:p w14:paraId="30B1CDC3" w14:textId="7934E5AF"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 xml:space="preserve">The relationship between inflation and banking outcomes is quite clear, but not one-dimensional, in developed and upper middle-income economies. Syed &amp; </w:t>
      </w:r>
      <w:proofErr w:type="spellStart"/>
      <w:r w:rsidRPr="000F652A">
        <w:rPr>
          <w:rFonts w:ascii="Times New Roman" w:hAnsi="Times New Roman" w:cs="Times New Roman"/>
        </w:rPr>
        <w:t>Aidyngul</w:t>
      </w:r>
      <w:proofErr w:type="spellEnd"/>
      <w:r w:rsidRPr="000F652A">
        <w:rPr>
          <w:rFonts w:ascii="Times New Roman" w:hAnsi="Times New Roman" w:cs="Times New Roman"/>
        </w:rPr>
        <w:t xml:space="preserve"> (2020) perform a comparative analysis of developed and developing countries with the help of </w:t>
      </w:r>
      <w:r w:rsidR="00A360FA">
        <w:rPr>
          <w:rFonts w:ascii="Times New Roman" w:hAnsi="Times New Roman" w:cs="Times New Roman"/>
        </w:rPr>
        <w:t xml:space="preserve">simple panel </w:t>
      </w:r>
      <w:r w:rsidRPr="000F652A">
        <w:rPr>
          <w:rFonts w:ascii="Times New Roman" w:hAnsi="Times New Roman" w:cs="Times New Roman"/>
        </w:rPr>
        <w:t xml:space="preserve">to find common macro-economic determinants that affect the NPLs but with a difference in the magnitude and transmission channels. While in developed economies, the impact of inflation on NPLs may be reduced by the power of the institutional structures and money policy, in developing economies other risks of exposure like exchange rate volatility and unemployment also exacerbate the effect </w:t>
      </w:r>
      <w:r w:rsidR="00A360FA">
        <w:rPr>
          <w:rFonts w:ascii="Times New Roman" w:hAnsi="Times New Roman" w:cs="Times New Roman"/>
        </w:rPr>
        <w:fldChar w:fldCharType="begin"/>
      </w:r>
      <w:r w:rsidR="00A360FA">
        <w:rPr>
          <w:rFonts w:ascii="Times New Roman" w:hAnsi="Times New Roman" w:cs="Times New Roman"/>
        </w:rPr>
        <w:instrText xml:space="preserve"> ADDIN ZOTERO_ITEM CSL_CITATION {"citationID":"bocMEVl0","properties":{"formattedCitation":"(Syed &amp; Aidyngul, 2020)","plainCitation":"(Syed &amp; Aidyngul, 2020)","noteIndex":0},"citationItems":[{"id":112,"uris":["http://zotero.org/users/local/VAqELCal/items/HVL76QNT"],"itemData":{"id":112,"type":"article-journal","container-title":"Journal of Public Affairs","DOI":"10.1002/pa.2414","journalAbbreviation":"Journal of Public Affairs","title":"Macro Economical And bank‐specific Vulnerabilities of Nonperforming Loans: A Comparative Analysis of Developed and Developing Countries","author":[{"family":"Syed","given":"Aamir A."},{"family":"Aidyngul","given":"Yeren"}],"issued":{"date-parts":[["2020"]]}}}],"schema":"https://github.com/citation-style-language/schema/raw/master/csl-citation.json"} </w:instrText>
      </w:r>
      <w:r w:rsidR="00A360FA">
        <w:rPr>
          <w:rFonts w:ascii="Times New Roman" w:hAnsi="Times New Roman" w:cs="Times New Roman"/>
        </w:rPr>
        <w:fldChar w:fldCharType="separate"/>
      </w:r>
      <w:r w:rsidR="00A360FA" w:rsidRPr="00A360FA">
        <w:rPr>
          <w:rFonts w:ascii="Times New Roman" w:hAnsi="Times New Roman" w:cs="Times New Roman"/>
        </w:rPr>
        <w:t>(Syed &amp; Aidyngul, 2020)</w:t>
      </w:r>
      <w:r w:rsidR="00A360FA">
        <w:rPr>
          <w:rFonts w:ascii="Times New Roman" w:hAnsi="Times New Roman" w:cs="Times New Roman"/>
        </w:rPr>
        <w:fldChar w:fldCharType="end"/>
      </w:r>
      <w:r w:rsidRPr="000F652A">
        <w:rPr>
          <w:rFonts w:ascii="Times New Roman" w:hAnsi="Times New Roman" w:cs="Times New Roman"/>
        </w:rPr>
        <w:t>. Kumar et al. (2023) investigate the relationship between inflation and NPLs in GCC countries: the link between inflation and NPLs seems to differ in pre- and post-crisis periods, with the effect being favorable (negative) in pre-crisis periods but turning negative in the post-crisis periods, signaling the time-varying nature of the inflation-credit risk relationship.</w:t>
      </w:r>
    </w:p>
    <w:p w14:paraId="302F7FFE" w14:textId="36A60E41"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lastRenderedPageBreak/>
        <w:t xml:space="preserve">The estimates for emerging economies in Asia are also complex. Lee and Rosenkranz (2020) study the determinants of NPLs in Asian economies and conclude that the </w:t>
      </w:r>
      <w:proofErr w:type="spellStart"/>
      <w:r w:rsidRPr="000F652A">
        <w:rPr>
          <w:rFonts w:ascii="Times New Roman" w:hAnsi="Times New Roman" w:cs="Times New Roman"/>
        </w:rPr>
        <w:t>inflationNPL</w:t>
      </w:r>
      <w:proofErr w:type="spellEnd"/>
      <w:r w:rsidRPr="000F652A">
        <w:rPr>
          <w:rFonts w:ascii="Times New Roman" w:hAnsi="Times New Roman" w:cs="Times New Roman"/>
        </w:rPr>
        <w:t xml:space="preserve"> relationship is not universal even across the Asia region, as both inflation and exchange rates "show statistically insignificant effects" on NPLs in Vietnam. Khan et al. (2021) conduct a study on the ASEAN banking industries and observe that “the impact of inflation on credit risk is ambiguous because inflation can lead to a fall in the real value of the outstanding stock (repayment is less burdensome) and a decline in borrower incomes (default risk increases.)”. This ambiguity is underscored by </w:t>
      </w:r>
      <w:r w:rsidR="00A360FA">
        <w:rPr>
          <w:rFonts w:ascii="Times New Roman" w:hAnsi="Times New Roman" w:cs="Times New Roman"/>
        </w:rPr>
        <w:fldChar w:fldCharType="begin"/>
      </w:r>
      <w:r w:rsidR="00A360FA">
        <w:rPr>
          <w:rFonts w:ascii="Times New Roman" w:hAnsi="Times New Roman" w:cs="Times New Roman"/>
        </w:rPr>
        <w:instrText xml:space="preserve"> ADDIN ZOTERO_ITEM CSL_CITATION {"citationID":"7uPgNlHd","properties":{"formattedCitation":"(Demid, 2021)","plainCitation":"(Demid, 2021)","noteIndex":0},"citationItems":[{"id":116,"uris":["http://zotero.org/users/local/VAqELCal/items/IATATCPQ"],"itemData":{"id":116,"type":"article-journal","container-title":"Journal of Central Banking Theory and Practice","DOI":"10.2478/jcbtp-2021-0017","issue":"2","journalAbbreviation":"Journal of Central Banking Theory and Practice","page":"133-155","title":"Heterogeneity in the Relationship Between NPLs and Real Economy: Evidence From the Mongolian Banking System","volume":"10","author":[{"family":"Demid","given":"Enkhzaya"}],"issued":{"date-parts":[["2021"]]}}}],"schema":"https://github.com/citation-style-language/schema/raw/master/csl-citation.json"} </w:instrText>
      </w:r>
      <w:r w:rsidR="00A360FA">
        <w:rPr>
          <w:rFonts w:ascii="Times New Roman" w:hAnsi="Times New Roman" w:cs="Times New Roman"/>
        </w:rPr>
        <w:fldChar w:fldCharType="separate"/>
      </w:r>
      <w:r w:rsidR="00A360FA" w:rsidRPr="00A360FA">
        <w:rPr>
          <w:rFonts w:ascii="Times New Roman" w:hAnsi="Times New Roman" w:cs="Times New Roman"/>
        </w:rPr>
        <w:t>(Demid, 2021)</w:t>
      </w:r>
      <w:r w:rsidR="00A360FA">
        <w:rPr>
          <w:rFonts w:ascii="Times New Roman" w:hAnsi="Times New Roman" w:cs="Times New Roman"/>
        </w:rPr>
        <w:fldChar w:fldCharType="end"/>
      </w:r>
      <w:r w:rsidRPr="000F652A">
        <w:rPr>
          <w:rFonts w:ascii="Times New Roman" w:hAnsi="Times New Roman" w:cs="Times New Roman"/>
        </w:rPr>
        <w:t>, who also identifies a varying impact by size percentile of banks and by type of loans – “inflation shock does not have a unambiguous significant impact” on the credit quality in Mongolia.</w:t>
      </w:r>
    </w:p>
    <w:p w14:paraId="67CA770A" w14:textId="61E026BE" w:rsidR="00F24465" w:rsidRPr="00F24465" w:rsidRDefault="00F24465" w:rsidP="00C44A63">
      <w:pPr>
        <w:pStyle w:val="Heading3"/>
        <w:spacing w:line="360" w:lineRule="auto"/>
        <w:jc w:val="both"/>
        <w:rPr>
          <w:rFonts w:ascii="Times New Roman" w:hAnsi="Times New Roman" w:cs="Times New Roman"/>
          <w:b/>
          <w:bCs/>
          <w:sz w:val="24"/>
          <w:szCs w:val="24"/>
        </w:rPr>
      </w:pPr>
      <w:bookmarkStart w:id="33" w:name="_Toc235530861"/>
      <w:r w:rsidRPr="00F24465">
        <w:rPr>
          <w:rFonts w:ascii="Times New Roman" w:hAnsi="Times New Roman" w:cs="Times New Roman"/>
          <w:b/>
          <w:bCs/>
          <w:sz w:val="24"/>
          <w:szCs w:val="24"/>
        </w:rPr>
        <w:t>2.3.3 Evidence from Frontier and Low-Income Economies</w:t>
      </w:r>
      <w:bookmarkEnd w:id="33"/>
    </w:p>
    <w:p w14:paraId="2F32278D" w14:textId="1941359E"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 xml:space="preserve">The evidence suggests a more destabilizing and prominent role is played by inflation volatility in frontier and low-income economies, especially in Sub-Saharan Africa. Furi et al. (2022) determine that </w:t>
      </w:r>
      <w:r w:rsidR="00F24465">
        <w:rPr>
          <w:rFonts w:ascii="Times New Roman" w:hAnsi="Times New Roman" w:cs="Times New Roman"/>
        </w:rPr>
        <w:t xml:space="preserve">the </w:t>
      </w:r>
      <w:r w:rsidRPr="000F652A">
        <w:rPr>
          <w:rFonts w:ascii="Times New Roman" w:hAnsi="Times New Roman" w:cs="Times New Roman"/>
        </w:rPr>
        <w:t xml:space="preserve">inflation rate exerts </w:t>
      </w:r>
      <w:r w:rsidR="00F24465">
        <w:rPr>
          <w:rFonts w:ascii="Times New Roman" w:hAnsi="Times New Roman" w:cs="Times New Roman"/>
        </w:rPr>
        <w:t xml:space="preserve">a </w:t>
      </w:r>
      <w:r w:rsidRPr="000F652A">
        <w:rPr>
          <w:rFonts w:ascii="Times New Roman" w:hAnsi="Times New Roman" w:cs="Times New Roman"/>
        </w:rPr>
        <w:t xml:space="preserve">negative impact on the financial instability index in the East and Southern </w:t>
      </w:r>
      <w:r w:rsidR="00F24465">
        <w:rPr>
          <w:rFonts w:ascii="Times New Roman" w:hAnsi="Times New Roman" w:cs="Times New Roman"/>
        </w:rPr>
        <w:t>African</w:t>
      </w:r>
      <w:r w:rsidRPr="000F652A">
        <w:rPr>
          <w:rFonts w:ascii="Times New Roman" w:hAnsi="Times New Roman" w:cs="Times New Roman"/>
        </w:rPr>
        <w:t xml:space="preserve"> countries, while NPLs and macroeconomic volatility both contribute synergistically to fragility in the banking sector. Okyere and Mensah (2022) investigate the impact of inflation in the Ghanaian banking system and conclude that although inflation shrinks NPLs in the long run, this is dependent on the macroeconomic environment and the quality of credit risk management in banks. The findings, however, differ from that of</w:t>
      </w:r>
      <w:r w:rsidR="00A360FA">
        <w:rPr>
          <w:rFonts w:ascii="Times New Roman" w:hAnsi="Times New Roman" w:cs="Times New Roman"/>
        </w:rPr>
        <w:t xml:space="preserve"> </w:t>
      </w:r>
      <w:r w:rsidR="00A360FA">
        <w:rPr>
          <w:rFonts w:ascii="Times New Roman" w:hAnsi="Times New Roman" w:cs="Times New Roman"/>
        </w:rPr>
        <w:fldChar w:fldCharType="begin"/>
      </w:r>
      <w:r w:rsidR="00A360FA">
        <w:rPr>
          <w:rFonts w:ascii="Times New Roman" w:hAnsi="Times New Roman" w:cs="Times New Roman"/>
        </w:rPr>
        <w:instrText xml:space="preserve"> ADDIN ZOTERO_ITEM CSL_CITATION {"citationID":"gVma7aKS","properties":{"formattedCitation":"(Abimbola, 2020)","plainCitation":"(Abimbola, 2020)","noteIndex":0},"citationItems":[{"id":119,"uris":["http://zotero.org/users/local/VAqELCal/items/FTHEUYJX"],"itemData":{"id":119,"type":"article-journal","container-title":"Journal of Business &amp; Economic Policy","DOI":"10.30845/jbep.v7n4p7","issue":"4","journalAbbreviation":"Journal of Business &amp; Economic Policy","title":"Impact of Non Performing Loan on Bank Performance in Nigeria a Case Study of Selected Deposit Money Banks","volume":"7","author":[{"family":"Abimbola","given":"Eniafe"}],"issued":{"date-parts":[["2020"]]}}}],"schema":"https://github.com/citation-style-language/schema/raw/master/csl-citation.json"} </w:instrText>
      </w:r>
      <w:r w:rsidR="00A360FA">
        <w:rPr>
          <w:rFonts w:ascii="Times New Roman" w:hAnsi="Times New Roman" w:cs="Times New Roman"/>
        </w:rPr>
        <w:fldChar w:fldCharType="separate"/>
      </w:r>
      <w:r w:rsidR="00A360FA" w:rsidRPr="00A360FA">
        <w:rPr>
          <w:rFonts w:ascii="Times New Roman" w:hAnsi="Times New Roman" w:cs="Times New Roman"/>
        </w:rPr>
        <w:t>(Abimbola, 2020)</w:t>
      </w:r>
      <w:r w:rsidR="00A360FA">
        <w:rPr>
          <w:rFonts w:ascii="Times New Roman" w:hAnsi="Times New Roman" w:cs="Times New Roman"/>
        </w:rPr>
        <w:fldChar w:fldCharType="end"/>
      </w:r>
      <w:r w:rsidR="00A360FA">
        <w:rPr>
          <w:rFonts w:ascii="Times New Roman" w:hAnsi="Times New Roman" w:cs="Times New Roman"/>
        </w:rPr>
        <w:t xml:space="preserve"> </w:t>
      </w:r>
      <w:r w:rsidRPr="000F652A">
        <w:rPr>
          <w:rFonts w:ascii="Times New Roman" w:hAnsi="Times New Roman" w:cs="Times New Roman"/>
        </w:rPr>
        <w:t>who observes that “historical nonperforming loan, net interest margin and return on total asset influence nonperforming loan negatively in the short run” while inflation has a positive long run relationship with NPLs in Nigeria, implying that in weaker institutional environment, inflation instability reigns as a compounder instead of alleviator of credit risk.</w:t>
      </w:r>
    </w:p>
    <w:p w14:paraId="3224065E" w14:textId="46C985E9"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Setiawan (2021) using the data of an Islamic banking institution in Indonesia shows that inflation can be a risk for financing while economic growth can reduce the financing risk, and "the performance of the government to stimulate economic growth is critical in reducing financing risks". In Indonesia,</w:t>
      </w:r>
      <w:r w:rsidR="00A360FA">
        <w:rPr>
          <w:rFonts w:ascii="Times New Roman" w:hAnsi="Times New Roman" w:cs="Times New Roman"/>
        </w:rPr>
        <w:fldChar w:fldCharType="begin"/>
      </w:r>
      <w:r w:rsidR="00A360FA">
        <w:rPr>
          <w:rFonts w:ascii="Times New Roman" w:hAnsi="Times New Roman" w:cs="Times New Roman"/>
        </w:rPr>
        <w:instrText xml:space="preserve"> ADDIN ZOTERO_ITEM CSL_CITATION {"citationID":"h4NGmyx8","properties":{"formattedCitation":"(Prasetyowatie &amp; Hariadi, 2022)","plainCitation":"(Prasetyowatie &amp; Hariadi, 2022)","noteIndex":0},"citationItems":[{"id":121,"uris":["http://zotero.org/users/local/VAqELCal/items/FG4BJYT8"],"itemData":{"id":121,"type":"article-journal","container-title":"Media Trend","DOI":"10.21107/mediatrend.v17i2.17097","issue":"2","journalAbbreviation":"Media Trend","page":"317-328","title":"Determinants of Non-Performing Loans in Indonesia","volume":"17","author":[{"family":"Prasetyowatie","given":"Yohana W."},{"family":"Hariadi","given":"Sugeng"}],"issued":{"date-parts":[["2022"]]}}}],"schema":"https://github.com/citation-style-language/schema/raw/master/csl-citation.json"} </w:instrText>
      </w:r>
      <w:r w:rsidR="00A360FA">
        <w:rPr>
          <w:rFonts w:ascii="Times New Roman" w:hAnsi="Times New Roman" w:cs="Times New Roman"/>
        </w:rPr>
        <w:fldChar w:fldCharType="separate"/>
      </w:r>
      <w:r w:rsidR="00A360FA" w:rsidRPr="00A360FA">
        <w:rPr>
          <w:rFonts w:ascii="Times New Roman" w:hAnsi="Times New Roman" w:cs="Times New Roman"/>
        </w:rPr>
        <w:t>(Prasetyowatie &amp; Hariadi, 2022)</w:t>
      </w:r>
      <w:r w:rsidR="00A360FA">
        <w:rPr>
          <w:rFonts w:ascii="Times New Roman" w:hAnsi="Times New Roman" w:cs="Times New Roman"/>
        </w:rPr>
        <w:fldChar w:fldCharType="end"/>
      </w:r>
      <w:r w:rsidR="00A360FA">
        <w:rPr>
          <w:rFonts w:ascii="Times New Roman" w:hAnsi="Times New Roman" w:cs="Times New Roman"/>
        </w:rPr>
        <w:t xml:space="preserve"> </w:t>
      </w:r>
      <w:r w:rsidRPr="000F652A">
        <w:rPr>
          <w:rFonts w:ascii="Times New Roman" w:hAnsi="Times New Roman" w:cs="Times New Roman"/>
        </w:rPr>
        <w:t>also discover that while inflation exerts a significant negative effect in the long-run, it offers no effect in the short-run, implying caution in drawing conclusions on the effect of inflation on banking stability within a certain time frame.</w:t>
      </w:r>
    </w:p>
    <w:p w14:paraId="1E7A5B3D" w14:textId="77777777" w:rsidR="00F24465" w:rsidRDefault="00F24465" w:rsidP="00C44A63">
      <w:pPr>
        <w:spacing w:line="360" w:lineRule="auto"/>
        <w:jc w:val="both"/>
        <w:rPr>
          <w:rFonts w:ascii="Times New Roman" w:hAnsi="Times New Roman" w:cs="Times New Roman"/>
        </w:rPr>
      </w:pPr>
    </w:p>
    <w:p w14:paraId="5BDF431D" w14:textId="0BE83DD4" w:rsidR="00F24465" w:rsidRPr="00F24465" w:rsidRDefault="00F24465" w:rsidP="00C44A63">
      <w:pPr>
        <w:pStyle w:val="Heading3"/>
        <w:spacing w:line="360" w:lineRule="auto"/>
        <w:jc w:val="both"/>
        <w:rPr>
          <w:rFonts w:ascii="Times New Roman" w:hAnsi="Times New Roman" w:cs="Times New Roman"/>
          <w:b/>
          <w:bCs/>
          <w:sz w:val="24"/>
          <w:szCs w:val="24"/>
        </w:rPr>
      </w:pPr>
      <w:bookmarkStart w:id="34" w:name="_Toc235530862"/>
      <w:r w:rsidRPr="00F24465">
        <w:rPr>
          <w:rFonts w:ascii="Times New Roman" w:hAnsi="Times New Roman" w:cs="Times New Roman"/>
          <w:b/>
          <w:bCs/>
          <w:sz w:val="24"/>
          <w:szCs w:val="24"/>
        </w:rPr>
        <w:lastRenderedPageBreak/>
        <w:t>2.3.4 Mixed Findings and the Volatility Dimension</w:t>
      </w:r>
      <w:bookmarkEnd w:id="34"/>
    </w:p>
    <w:p w14:paraId="63E747AF" w14:textId="62CB2A45"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The literature shows that the link between inflation and banking outcomes is not necessarily different and at times, the look of the relationship is also dependent upon the level and the extent of deviation of inflation from 'zero'. Consumer Price Index (CPI) inflation may have either positive or negative effects on borrower repayment capacity, according to</w:t>
      </w:r>
      <w:r w:rsidR="00A360FA">
        <w:rPr>
          <w:rFonts w:ascii="Times New Roman" w:hAnsi="Times New Roman" w:cs="Times New Roman"/>
        </w:rPr>
        <w:t xml:space="preserve"> </w:t>
      </w:r>
      <w:r w:rsidR="00A360FA">
        <w:rPr>
          <w:rFonts w:ascii="Times New Roman" w:hAnsi="Times New Roman" w:cs="Times New Roman"/>
        </w:rPr>
        <w:fldChar w:fldCharType="begin"/>
      </w:r>
      <w:r w:rsidR="00A360FA">
        <w:rPr>
          <w:rFonts w:ascii="Times New Roman" w:hAnsi="Times New Roman" w:cs="Times New Roman"/>
        </w:rPr>
        <w:instrText xml:space="preserve"> ADDIN ZOTERO_ITEM CSL_CITATION {"citationID":"EvSfZ6tF","properties":{"formattedCitation":"(Khouangvichit, 2024)","plainCitation":"(Khouangvichit, 2024)","noteIndex":0},"citationItems":[{"id":110,"uris":["http://zotero.org/users/local/VAqELCal/items/22U9XGLK"],"itemData":{"id":110,"type":"article-journal","DOI":"10.14232/gtk.gdtgiss.2024.10","page":"154-173","title":"The Relationship Between Macroeconomic Factors and Non-Performing Loans (NPLs) in Lao PDR","author":[{"family":"Khouangvichit","given":"Chintana"}],"issued":{"date-parts":[["2024"]]}}}],"schema":"https://github.com/citation-style-language/schema/raw/master/csl-citation.json"} </w:instrText>
      </w:r>
      <w:r w:rsidR="00A360FA">
        <w:rPr>
          <w:rFonts w:ascii="Times New Roman" w:hAnsi="Times New Roman" w:cs="Times New Roman"/>
        </w:rPr>
        <w:fldChar w:fldCharType="separate"/>
      </w:r>
      <w:r w:rsidR="00A360FA" w:rsidRPr="00A360FA">
        <w:rPr>
          <w:rFonts w:ascii="Times New Roman" w:hAnsi="Times New Roman" w:cs="Times New Roman"/>
        </w:rPr>
        <w:t>(Khouangvichit, 2024)</w:t>
      </w:r>
      <w:r w:rsidR="00A360FA">
        <w:rPr>
          <w:rFonts w:ascii="Times New Roman" w:hAnsi="Times New Roman" w:cs="Times New Roman"/>
        </w:rPr>
        <w:fldChar w:fldCharType="end"/>
      </w:r>
      <w:r w:rsidRPr="000F652A">
        <w:rPr>
          <w:rFonts w:ascii="Times New Roman" w:hAnsi="Times New Roman" w:cs="Times New Roman"/>
        </w:rPr>
        <w:t xml:space="preserve">, depending on whether or not the inflation is anticipated. Saliba et al. (2023) conclude that in the BRICs countries, economic and financial instabilities such as inflation volatility have effects on “increasing the banking system's credit risk” and that this “is evident with banking systems that have a higher level of NPLs.” </w:t>
      </w:r>
      <w:proofErr w:type="spellStart"/>
      <w:r w:rsidRPr="000F652A">
        <w:rPr>
          <w:rFonts w:ascii="Times New Roman" w:hAnsi="Times New Roman" w:cs="Times New Roman"/>
        </w:rPr>
        <w:t>Abdolshah</w:t>
      </w:r>
      <w:proofErr w:type="spellEnd"/>
      <w:r w:rsidRPr="000F652A">
        <w:rPr>
          <w:rFonts w:ascii="Times New Roman" w:hAnsi="Times New Roman" w:cs="Times New Roman"/>
        </w:rPr>
        <w:t xml:space="preserve"> et. al (2020) illustrate that macroeconomic shocks such as inflation produce asymmetric distributions of portfolio losses and therefore show that the tails of the distribution of losses due to volatility, rather than the levels of the distribution, are much more significant for bank solvency than in Iran.</w:t>
      </w:r>
    </w:p>
    <w:p w14:paraId="3AB5F425" w14:textId="4C7AFAD6"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Overall, the literature provides strong links between inflation volatility and a decline in loan quality, the decrease in solvency, and an increased financial fragility, but these relations can be established in various ways depending on the level of income of a country, the degree of institutionalization, and the time horizon considered. The relationship is most clearly demonstrated, and with the most consistent evidence, in frontier and emerging economies, where institutional buffers are light</w:t>
      </w:r>
      <w:r w:rsidR="00F24465">
        <w:rPr>
          <w:rFonts w:ascii="Times New Roman" w:hAnsi="Times New Roman" w:cs="Times New Roman"/>
        </w:rPr>
        <w:t>,</w:t>
      </w:r>
      <w:r w:rsidRPr="000F652A">
        <w:rPr>
          <w:rFonts w:ascii="Times New Roman" w:hAnsi="Times New Roman" w:cs="Times New Roman"/>
        </w:rPr>
        <w:t xml:space="preserve"> and inflation volatility is high</w:t>
      </w:r>
      <w:r w:rsidR="00F24465">
        <w:rPr>
          <w:rFonts w:ascii="Times New Roman" w:hAnsi="Times New Roman" w:cs="Times New Roman"/>
        </w:rPr>
        <w:t>;</w:t>
      </w:r>
      <w:r w:rsidRPr="000F652A">
        <w:rPr>
          <w:rFonts w:ascii="Times New Roman" w:hAnsi="Times New Roman" w:cs="Times New Roman"/>
        </w:rPr>
        <w:t xml:space="preserve"> in developed economies, the relationship can be quite nuanced, with regulatory and monetary policy frameworks playing a role in moderating the effect. These mixed results highlight the need to explicitly incorporate inflation volatility, and not only inflation, into the evaluation of its impact on the stability of the banking sector.</w:t>
      </w:r>
    </w:p>
    <w:p w14:paraId="7163F4AC" w14:textId="77777777" w:rsidR="001E7EE2" w:rsidRPr="000F652A" w:rsidRDefault="001E7EE2" w:rsidP="00C44A63">
      <w:pPr>
        <w:spacing w:line="360" w:lineRule="auto"/>
        <w:jc w:val="both"/>
        <w:rPr>
          <w:rFonts w:ascii="Times New Roman" w:hAnsi="Times New Roman" w:cs="Times New Roman"/>
        </w:rPr>
      </w:pPr>
    </w:p>
    <w:p w14:paraId="22AE6465" w14:textId="63B271C3" w:rsidR="001E7EE2" w:rsidRPr="000F652A" w:rsidRDefault="005174A3" w:rsidP="00C44A63">
      <w:pPr>
        <w:pStyle w:val="Heading2"/>
        <w:spacing w:line="360" w:lineRule="auto"/>
        <w:jc w:val="both"/>
        <w:rPr>
          <w:rFonts w:ascii="Times New Roman" w:hAnsi="Times New Roman" w:cs="Times New Roman"/>
          <w:b/>
          <w:bCs/>
          <w:sz w:val="28"/>
          <w:szCs w:val="28"/>
        </w:rPr>
      </w:pPr>
      <w:bookmarkStart w:id="35" w:name="_Toc235530863"/>
      <w:r w:rsidRPr="000F652A">
        <w:rPr>
          <w:rFonts w:ascii="Times New Roman" w:hAnsi="Times New Roman" w:cs="Times New Roman"/>
          <w:b/>
          <w:bCs/>
          <w:sz w:val="28"/>
          <w:szCs w:val="28"/>
        </w:rPr>
        <w:t>2.4 Frontier-Economy Stylized Evidence and Contextual Research Gap</w:t>
      </w:r>
      <w:bookmarkEnd w:id="35"/>
    </w:p>
    <w:p w14:paraId="2FC2621E" w14:textId="77777777"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 xml:space="preserve">The empirical literature on the relationship between inflation volatility and banking stability has focused mainly on advanced and upper-middle-income economies with large stock of financial institutions and deep financial systems and with high credibility of the central banks. But the institutional makeup of frontier markets, especially in South Asia and Sub-Saharan Africa, is very different from these environments and involves unique transmission channels and amplifications </w:t>
      </w:r>
      <w:r w:rsidRPr="000F652A">
        <w:rPr>
          <w:rFonts w:ascii="Times New Roman" w:hAnsi="Times New Roman" w:cs="Times New Roman"/>
        </w:rPr>
        <w:lastRenderedPageBreak/>
        <w:t>of the impact of inflation volatility on banking-sector performance. This section provides an overview of stylized facts about financial systems in frontier economies, and the context in which financial systems research is still missing to justify the current study.</w:t>
      </w:r>
    </w:p>
    <w:p w14:paraId="6EF80D5F" w14:textId="27FFBD11" w:rsidR="00F24465" w:rsidRPr="00F24465" w:rsidRDefault="00F24465" w:rsidP="00C44A63">
      <w:pPr>
        <w:pStyle w:val="Heading3"/>
        <w:spacing w:line="360" w:lineRule="auto"/>
        <w:jc w:val="both"/>
        <w:rPr>
          <w:rFonts w:ascii="Times New Roman" w:hAnsi="Times New Roman" w:cs="Times New Roman"/>
          <w:b/>
          <w:bCs/>
          <w:sz w:val="24"/>
          <w:szCs w:val="24"/>
        </w:rPr>
      </w:pPr>
      <w:bookmarkStart w:id="36" w:name="_Toc235530864"/>
      <w:r w:rsidRPr="00F24465">
        <w:rPr>
          <w:rFonts w:ascii="Times New Roman" w:hAnsi="Times New Roman" w:cs="Times New Roman"/>
          <w:b/>
          <w:bCs/>
          <w:sz w:val="24"/>
          <w:szCs w:val="24"/>
        </w:rPr>
        <w:t>2.4.1 Thinner Financial Markets and Shallow Intermediation</w:t>
      </w:r>
      <w:bookmarkEnd w:id="36"/>
    </w:p>
    <w:p w14:paraId="222BDD98" w14:textId="6F20FD21"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The frontier economies have financial markets that are much shallower and less liquid than those in countries from advanced and even emerging-market groups. A structural limitation that hinders the transmission of monetary policy and the counter-cyclical impact of macroeconomic shocks in African economies is "shallow financial markets", as noted by</w:t>
      </w:r>
      <w:r w:rsidR="00A360FA">
        <w:rPr>
          <w:rFonts w:ascii="Times New Roman" w:hAnsi="Times New Roman" w:cs="Times New Roman"/>
        </w:rPr>
        <w:t xml:space="preserve"> </w:t>
      </w:r>
      <w:r w:rsidR="00A360FA">
        <w:rPr>
          <w:rFonts w:ascii="Times New Roman" w:hAnsi="Times New Roman" w:cs="Times New Roman"/>
        </w:rPr>
        <w:fldChar w:fldCharType="begin"/>
      </w:r>
      <w:r w:rsidR="00A360FA">
        <w:rPr>
          <w:rFonts w:ascii="Times New Roman" w:hAnsi="Times New Roman" w:cs="Times New Roman"/>
        </w:rPr>
        <w:instrText xml:space="preserve"> ADDIN ZOTERO_ITEM CSL_CITATION {"citationID":"C9QhILO1","properties":{"formattedCitation":"(Fadol, 2025)","plainCitation":"(Fadol, 2025)","noteIndex":0},"citationItems":[{"id":124,"uris":["http://zotero.org/users/local/VAqELCal/items/TQJYHF5E"],"itemData":{"id":124,"type":"article-journal","DOI":"10.21203/rs.3.rs-7502485/v1","title":"Inflation-Targeting vs. Non-Inflation-Targeting Regimes and Macroeconomic Performance in Africa: Evidence From Econometrics Approaches","author":[{"family":"Fadol","given":"Hassan T. A."}],"issued":{"date-parts":[["2025"]]}}}],"schema":"https://github.com/citation-style-language/schema/raw/master/csl-citation.json"} </w:instrText>
      </w:r>
      <w:r w:rsidR="00A360FA">
        <w:rPr>
          <w:rFonts w:ascii="Times New Roman" w:hAnsi="Times New Roman" w:cs="Times New Roman"/>
        </w:rPr>
        <w:fldChar w:fldCharType="separate"/>
      </w:r>
      <w:r w:rsidR="00A360FA" w:rsidRPr="00A360FA">
        <w:rPr>
          <w:rFonts w:ascii="Times New Roman" w:hAnsi="Times New Roman" w:cs="Times New Roman"/>
        </w:rPr>
        <w:t>(Fadol, 2025)</w:t>
      </w:r>
      <w:r w:rsidR="00A360FA">
        <w:rPr>
          <w:rFonts w:ascii="Times New Roman" w:hAnsi="Times New Roman" w:cs="Times New Roman"/>
        </w:rPr>
        <w:fldChar w:fldCharType="end"/>
      </w:r>
      <w:r w:rsidRPr="000F652A">
        <w:rPr>
          <w:rFonts w:ascii="Times New Roman" w:hAnsi="Times New Roman" w:cs="Times New Roman"/>
        </w:rPr>
        <w:t>. This makes it difficult for banks to diversify risk, protect against interest rate changes, and manage maturity mismatches in the absence of a well-developed secondary market for both government and corporate debt</w:t>
      </w:r>
      <w:r w:rsidR="00A360FA">
        <w:rPr>
          <w:rFonts w:ascii="Times New Roman" w:hAnsi="Times New Roman" w:cs="Times New Roman"/>
        </w:rPr>
        <w:fldChar w:fldCharType="begin"/>
      </w:r>
      <w:r w:rsidR="00A360FA">
        <w:rPr>
          <w:rFonts w:ascii="Times New Roman" w:hAnsi="Times New Roman" w:cs="Times New Roman"/>
        </w:rPr>
        <w:instrText xml:space="preserve"> ADDIN ZOTERO_ITEM CSL_CITATION {"citationID":"4bJLc4n0","properties":{"formattedCitation":"(Fadol, 2025)","plainCitation":"(Fadol, 2025)","noteIndex":0},"citationItems":[{"id":124,"uris":["http://zotero.org/users/local/VAqELCal/items/TQJYHF5E"],"itemData":{"id":124,"type":"article-journal","DOI":"10.21203/rs.3.rs-7502485/v1","title":"Inflation-Targeting vs. Non-Inflation-Targeting Regimes and Macroeconomic Performance in Africa: Evidence From Econometrics Approaches","author":[{"family":"Fadol","given":"Hassan T. A."}],"issued":{"date-parts":[["2025"]]}}}],"schema":"https://github.com/citation-style-language/schema/raw/master/csl-citation.json"} </w:instrText>
      </w:r>
      <w:r w:rsidR="00A360FA">
        <w:rPr>
          <w:rFonts w:ascii="Times New Roman" w:hAnsi="Times New Roman" w:cs="Times New Roman"/>
        </w:rPr>
        <w:fldChar w:fldCharType="separate"/>
      </w:r>
      <w:r w:rsidR="00A360FA" w:rsidRPr="00A360FA">
        <w:rPr>
          <w:rFonts w:ascii="Times New Roman" w:hAnsi="Times New Roman" w:cs="Times New Roman"/>
        </w:rPr>
        <w:t>(Fadol, 2025)</w:t>
      </w:r>
      <w:r w:rsidR="00A360FA">
        <w:rPr>
          <w:rFonts w:ascii="Times New Roman" w:hAnsi="Times New Roman" w:cs="Times New Roman"/>
        </w:rPr>
        <w:fldChar w:fldCharType="end"/>
      </w:r>
      <w:r w:rsidRPr="000F652A">
        <w:rPr>
          <w:rFonts w:ascii="Times New Roman" w:hAnsi="Times New Roman" w:cs="Times New Roman"/>
        </w:rPr>
        <w:t>. EMDEs, as defined by</w:t>
      </w:r>
      <w:r w:rsidR="00A43EC3">
        <w:rPr>
          <w:rFonts w:ascii="Times New Roman" w:hAnsi="Times New Roman" w:cs="Times New Roman"/>
        </w:rPr>
        <w:t xml:space="preserve"> </w:t>
      </w:r>
      <w:r w:rsidR="00A360FA">
        <w:rPr>
          <w:rFonts w:ascii="Times New Roman" w:hAnsi="Times New Roman" w:cs="Times New Roman"/>
        </w:rPr>
        <w:fldChar w:fldCharType="begin"/>
      </w:r>
      <w:r w:rsidR="00A43EC3">
        <w:rPr>
          <w:rFonts w:ascii="Times New Roman" w:hAnsi="Times New Roman" w:cs="Times New Roman"/>
        </w:rPr>
        <w:instrText xml:space="preserve"> ADDIN ZOTERO_ITEM CSL_CITATION {"citationID":"fZgq1nwd","properties":{"formattedCitation":"(Syed et al., 2022)","plainCitation":"(Syed et al., 2022)","noteIndex":0},"citationItems":[{"id":95,"uris":["http://zotero.org/users/local/VAqELCal/items/CPMFWSN3"],"itemData":{"id":95,"type":"article-journal","container-title":"Sustainability","DOI":"10.3390/su14063238","issue":"6","journalAbbreviation":"Sustainability","page":"3238","title":"An Asymmetric Analysis of the Influence That Economic Policy Uncertainty, Institutional Quality, and Corruption Level Have on India’s Digital Banking Services and Banking Stability","volume":"14","author":[{"family":"Syed","given":"Aamir A."},{"family":"Kamal","given":"Muhammad A."},{"family":"Ullah","given":"Assad"},{"family":"Grima","given":"Simon"}],"issued":{"date-parts":[["2022"]]}}}],"schema":"https://github.com/citation-style-language/schema/raw/master/csl-citation.json"} </w:instrText>
      </w:r>
      <w:r w:rsidR="00A360FA">
        <w:rPr>
          <w:rFonts w:ascii="Times New Roman" w:hAnsi="Times New Roman" w:cs="Times New Roman"/>
        </w:rPr>
        <w:fldChar w:fldCharType="separate"/>
      </w:r>
      <w:r w:rsidR="00A43EC3" w:rsidRPr="00A43EC3">
        <w:rPr>
          <w:rFonts w:ascii="Times New Roman" w:hAnsi="Times New Roman" w:cs="Times New Roman"/>
        </w:rPr>
        <w:t>(Syed et al., 2022)</w:t>
      </w:r>
      <w:r w:rsidR="00A360FA">
        <w:rPr>
          <w:rFonts w:ascii="Times New Roman" w:hAnsi="Times New Roman" w:cs="Times New Roman"/>
        </w:rPr>
        <w:fldChar w:fldCharType="end"/>
      </w:r>
      <w:r w:rsidRPr="000F652A">
        <w:rPr>
          <w:rFonts w:ascii="Times New Roman" w:hAnsi="Times New Roman" w:cs="Times New Roman"/>
        </w:rPr>
        <w:t>, are also facing “</w:t>
      </w:r>
      <w:proofErr w:type="spellStart"/>
      <w:r w:rsidRPr="000F652A">
        <w:rPr>
          <w:rFonts w:ascii="Times New Roman" w:hAnsi="Times New Roman" w:cs="Times New Roman"/>
        </w:rPr>
        <w:t>macrofinancial</w:t>
      </w:r>
      <w:proofErr w:type="spellEnd"/>
      <w:r w:rsidRPr="000F652A">
        <w:rPr>
          <w:rFonts w:ascii="Times New Roman" w:hAnsi="Times New Roman" w:cs="Times New Roman"/>
        </w:rPr>
        <w:t xml:space="preserve"> vulnerabilities” not found or not as severe in advanced economies such as small investor base, limited hedging options, and so on. Due to the thinness of financial markets in frontier economies, inflation volatility might spill over more easily to the bank's balance sheet since banks have limited instruments to shield themselves from unexpected inflation</w:t>
      </w:r>
      <w:r w:rsidR="00A43EC3">
        <w:rPr>
          <w:rFonts w:ascii="Times New Roman" w:hAnsi="Times New Roman" w:cs="Times New Roman"/>
        </w:rPr>
        <w:t xml:space="preserve"> </w:t>
      </w:r>
      <w:r w:rsidR="00A43EC3">
        <w:rPr>
          <w:rFonts w:ascii="Times New Roman" w:hAnsi="Times New Roman" w:cs="Times New Roman"/>
        </w:rPr>
        <w:fldChar w:fldCharType="begin"/>
      </w:r>
      <w:r w:rsidR="00A43EC3">
        <w:rPr>
          <w:rFonts w:ascii="Times New Roman" w:hAnsi="Times New Roman" w:cs="Times New Roman"/>
        </w:rPr>
        <w:instrText xml:space="preserve"> ADDIN ZOTERO_ITEM CSL_CITATION {"citationID":"aomCC95g","properties":{"formattedCitation":"(Fadol, 2025; Syed et al., 2022)","plainCitation":"(Fadol, 2025; Syed et al., 2022)","noteIndex":0},"citationItems":[{"id":124,"uris":["http://zotero.org/users/local/VAqELCal/items/TQJYHF5E"],"itemData":{"id":124,"type":"article-journal","DOI":"10.21203/rs.3.rs-7502485/v1","title":"Inflation-Targeting vs. Non-Inflation-Targeting Regimes and Macroeconomic Performance in Africa: Evidence From Econometrics Approaches","author":[{"family":"Fadol","given":"Hassan T. A."}],"issued":{"date-parts":[["2025"]]}}},{"id":95,"uris":["http://zotero.org/users/local/VAqELCal/items/CPMFWSN3"],"itemData":{"id":95,"type":"article-journal","container-title":"Sustainability","DOI":"10.3390/su14063238","issue":"6","journalAbbreviation":"Sustainability","page":"3238","title":"An Asymmetric Analysis of the Influence That Economic Policy Uncertainty, Institutional Quality, and Corruption Level Have on India’s Digital Banking Services and Banking Stability","volume":"14","author":[{"family":"Syed","given":"Aamir A."},{"family":"Kamal","given":"Muhammad A."},{"family":"Ullah","given":"Assad"},{"family":"Grima","given":"Simon"}],"issued":{"date-parts":[["2022"]]}}}],"schema":"https://github.com/citation-style-language/schema/raw/master/csl-citation.json"} </w:instrText>
      </w:r>
      <w:r w:rsidR="00A43EC3">
        <w:rPr>
          <w:rFonts w:ascii="Times New Roman" w:hAnsi="Times New Roman" w:cs="Times New Roman"/>
        </w:rPr>
        <w:fldChar w:fldCharType="separate"/>
      </w:r>
      <w:r w:rsidR="00A43EC3" w:rsidRPr="00A43EC3">
        <w:rPr>
          <w:rFonts w:ascii="Times New Roman" w:hAnsi="Times New Roman" w:cs="Times New Roman"/>
        </w:rPr>
        <w:t>(Fadol, 2025; Syed et al., 2022)</w:t>
      </w:r>
      <w:r w:rsidR="00A43EC3">
        <w:rPr>
          <w:rFonts w:ascii="Times New Roman" w:hAnsi="Times New Roman" w:cs="Times New Roman"/>
        </w:rPr>
        <w:fldChar w:fldCharType="end"/>
      </w:r>
      <w:r w:rsidRPr="000F652A">
        <w:rPr>
          <w:rFonts w:ascii="Times New Roman" w:hAnsi="Times New Roman" w:cs="Times New Roman"/>
        </w:rPr>
        <w:t>.</w:t>
      </w:r>
    </w:p>
    <w:p w14:paraId="07E0DD2D" w14:textId="794B7FBA" w:rsidR="001E7EE2" w:rsidRPr="00F24465" w:rsidRDefault="00F24465" w:rsidP="00C44A63">
      <w:pPr>
        <w:pStyle w:val="Heading3"/>
        <w:spacing w:line="360" w:lineRule="auto"/>
        <w:jc w:val="both"/>
        <w:rPr>
          <w:rFonts w:ascii="Times New Roman" w:hAnsi="Times New Roman" w:cs="Times New Roman"/>
          <w:b/>
          <w:bCs/>
          <w:sz w:val="24"/>
          <w:szCs w:val="24"/>
        </w:rPr>
      </w:pPr>
      <w:bookmarkStart w:id="37" w:name="_Toc235530865"/>
      <w:r w:rsidRPr="00F24465">
        <w:rPr>
          <w:rFonts w:ascii="Times New Roman" w:hAnsi="Times New Roman" w:cs="Times New Roman"/>
          <w:b/>
          <w:bCs/>
          <w:sz w:val="24"/>
          <w:szCs w:val="24"/>
        </w:rPr>
        <w:t xml:space="preserve">2.4.2 </w:t>
      </w:r>
      <w:r w:rsidR="001E7EE2" w:rsidRPr="00F24465">
        <w:rPr>
          <w:rFonts w:ascii="Times New Roman" w:hAnsi="Times New Roman" w:cs="Times New Roman"/>
          <w:b/>
          <w:bCs/>
          <w:sz w:val="24"/>
          <w:szCs w:val="24"/>
        </w:rPr>
        <w:t>Weaker Institutional Quality</w:t>
      </w:r>
      <w:bookmarkEnd w:id="37"/>
    </w:p>
    <w:p w14:paraId="5891A95D" w14:textId="46EAD9ED"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Macroeconomic instability affects banking outcomes less if the institutional quality</w:t>
      </w:r>
      <w:r w:rsidR="00A43EC3">
        <w:rPr>
          <w:rFonts w:ascii="Times New Roman" w:hAnsi="Times New Roman" w:cs="Times New Roman"/>
        </w:rPr>
        <w:t xml:space="preserve"> </w:t>
      </w:r>
      <w:r w:rsidRPr="000F652A">
        <w:rPr>
          <w:rFonts w:ascii="Times New Roman" w:hAnsi="Times New Roman" w:cs="Times New Roman"/>
        </w:rPr>
        <w:t>rule of law, regulatory effectiveness, control of corruption, and governance capacity</w:t>
      </w:r>
      <w:r w:rsidR="00A43EC3">
        <w:rPr>
          <w:rFonts w:ascii="Times New Roman" w:hAnsi="Times New Roman" w:cs="Times New Roman"/>
        </w:rPr>
        <w:t xml:space="preserve"> </w:t>
      </w:r>
      <w:r w:rsidRPr="000F652A">
        <w:rPr>
          <w:rFonts w:ascii="Times New Roman" w:hAnsi="Times New Roman" w:cs="Times New Roman"/>
        </w:rPr>
        <w:t xml:space="preserve">is high. Libman-Taboada (2021) is recording that one of the pre-conditions of effective monetary policy frameworks, "a </w:t>
      </w:r>
      <w:proofErr w:type="spellStart"/>
      <w:r w:rsidRPr="000F652A">
        <w:rPr>
          <w:rFonts w:ascii="Times New Roman" w:hAnsi="Times New Roman" w:cs="Times New Roman"/>
        </w:rPr>
        <w:t>well developed</w:t>
      </w:r>
      <w:proofErr w:type="spellEnd"/>
      <w:r w:rsidRPr="000F652A">
        <w:rPr>
          <w:rFonts w:ascii="Times New Roman" w:hAnsi="Times New Roman" w:cs="Times New Roman"/>
        </w:rPr>
        <w:t xml:space="preserve"> and stable financial system", is not "always present in emerging and less developed economies", and fiscal dominance is another. Similarly, in the African context, </w:t>
      </w:r>
      <w:proofErr w:type="spellStart"/>
      <w:r w:rsidRPr="000F652A">
        <w:rPr>
          <w:rFonts w:ascii="Times New Roman" w:hAnsi="Times New Roman" w:cs="Times New Roman"/>
        </w:rPr>
        <w:t>Fadol</w:t>
      </w:r>
      <w:proofErr w:type="spellEnd"/>
      <w:r w:rsidRPr="000F652A">
        <w:rPr>
          <w:rFonts w:ascii="Times New Roman" w:hAnsi="Times New Roman" w:cs="Times New Roman"/>
        </w:rPr>
        <w:t xml:space="preserve"> (2025) notes that "fiscal dominance" resistance and weak institutional frameworks cause the Central Banks to be ineffective in anchoring inflation expectations and attaining price stability. Contrary to this, </w:t>
      </w:r>
      <w:r w:rsidR="00A43EC3">
        <w:rPr>
          <w:rFonts w:ascii="Times New Roman" w:hAnsi="Times New Roman" w:cs="Times New Roman"/>
        </w:rPr>
        <w:fldChar w:fldCharType="begin"/>
      </w:r>
      <w:r w:rsidR="00A43EC3">
        <w:rPr>
          <w:rFonts w:ascii="Times New Roman" w:hAnsi="Times New Roman" w:cs="Times New Roman"/>
        </w:rPr>
        <w:instrText xml:space="preserve"> ADDIN ZOTERO_ITEM CSL_CITATION {"citationID":"5HcEhK6E","properties":{"formattedCitation":"(Aboyitungiye &amp; Mathu, 2023)","plainCitation":"(Aboyitungiye &amp; Mathu, 2023)","noteIndex":0},"citationItems":[{"id":127,"uris":["http://zotero.org/users/local/VAqELCal/items/PXH4B7JW"],"itemData":{"id":127,"type":"article-journal","container-title":"Jurnal Ekonomi Pembangunan Kajian Masalah Ekonomi Dan Pembangunan","DOI":"10.23917/jep.v24i2.23113","journalAbbreviation":"Jurnal Ekonomi Pembangunan Kajian Masalah Ekonomi Dan Pembangunan","page":"308-319","title":"An Empirical Assessment of the Monetary Policy Credibility and Economic Growth Relationship: A GMM Approach on COMESA and ECOWAS Regions","author":[{"family":"Aboyitungiye","given":"Jean B."},{"family":"Mathu","given":"Moses"}],"issued":{"date-parts":[["2023"]]}}}],"schema":"https://github.com/citation-style-language/schema/raw/master/csl-citation.json"} </w:instrText>
      </w:r>
      <w:r w:rsidR="00A43EC3">
        <w:rPr>
          <w:rFonts w:ascii="Times New Roman" w:hAnsi="Times New Roman" w:cs="Times New Roman"/>
        </w:rPr>
        <w:fldChar w:fldCharType="separate"/>
      </w:r>
      <w:r w:rsidR="00A43EC3" w:rsidRPr="00A43EC3">
        <w:rPr>
          <w:rFonts w:ascii="Times New Roman" w:hAnsi="Times New Roman" w:cs="Times New Roman"/>
        </w:rPr>
        <w:t>(Aboyitungiye &amp; Mathu, 2023)</w:t>
      </w:r>
      <w:r w:rsidR="00A43EC3">
        <w:rPr>
          <w:rFonts w:ascii="Times New Roman" w:hAnsi="Times New Roman" w:cs="Times New Roman"/>
        </w:rPr>
        <w:fldChar w:fldCharType="end"/>
      </w:r>
      <w:r w:rsidRPr="000F652A">
        <w:rPr>
          <w:rFonts w:ascii="Times New Roman" w:hAnsi="Times New Roman" w:cs="Times New Roman"/>
        </w:rPr>
        <w:t xml:space="preserve"> direct comparison, which measured the impact of monetary policy credibility on economic growth in the COMESA region compared to the ECOWAS region reveals an insignificant impact on economic growth for the ECOWAS region but significant for the COMESA region which they attribute to the variations in institutional quality and central bank governance between African sub-regions. These institutional flaws make inflation volatility in frontier economies not a macroeconomic issue but also because of the governance failures that </w:t>
      </w:r>
      <w:r w:rsidRPr="000F652A">
        <w:rPr>
          <w:rFonts w:ascii="Times New Roman" w:hAnsi="Times New Roman" w:cs="Times New Roman"/>
        </w:rPr>
        <w:lastRenderedPageBreak/>
        <w:t>affect the policy environment predictability</w:t>
      </w:r>
      <w:r w:rsidR="00A43EC3">
        <w:rPr>
          <w:rFonts w:ascii="Times New Roman" w:hAnsi="Times New Roman" w:cs="Times New Roman"/>
        </w:rPr>
        <w:fldChar w:fldCharType="begin"/>
      </w:r>
      <w:r w:rsidR="00A43EC3">
        <w:rPr>
          <w:rFonts w:ascii="Times New Roman" w:hAnsi="Times New Roman" w:cs="Times New Roman"/>
        </w:rPr>
        <w:instrText xml:space="preserve"> ADDIN ZOTERO_ITEM CSL_CITATION {"citationID":"PcjbioFq","properties":{"formattedCitation":"(Aboyitungiye &amp; Mathu, 2023; Fadol, 2025; Libman &amp; Taboada, 2021)","plainCitation":"(Aboyitungiye &amp; Mathu, 2023; Fadol, 2025; Libman &amp; Taboada, 2021)","noteIndex":0},"citationItems":[{"id":127,"uris":["http://zotero.org/users/local/VAqELCal/items/PXH4B7JW"],"itemData":{"id":127,"type":"article-journal","container-title":"Jurnal Ekonomi Pembangunan Kajian Masalah Ekonomi Dan Pembangunan","DOI":"10.23917/jep.v24i2.23113","journalAbbreviation":"Jurnal Ekonomi Pembangunan Kajian Masalah Ekonomi Dan Pembangunan","page":"308-319","title":"An Empirical Assessment of the Monetary Policy Credibility and Economic Growth Relationship: A GMM Approach on COMESA and ECOWAS Regions","author":[{"family":"Aboyitungiye","given":"Jean B."},{"family":"Mathu","given":"Moses"}],"issued":{"date-parts":[["2023"]]}}},{"id":124,"uris":["http://zotero.org/users/local/VAqELCal/items/TQJYHF5E"],"itemData":{"id":124,"type":"article-journal","DOI":"10.21203/rs.3.rs-7502485/v1","title":"Inflation-Targeting vs. Non-Inflation-Targeting Regimes and Macroeconomic Performance in Africa: Evidence From Econometrics Approaches","author":[{"family":"Fadol","given":"Hassan T. A."}],"issued":{"date-parts":[["2025"]]}}},{"id":126,"uris":["http://zotero.org/users/local/VAqELCal/items/RYBVP83E"],"itemData":{"id":126,"type":"article-journal","container-title":"Cuadernos De Economía","DOI":"10.15446/cuadecon.v40n82.79547","issue":"82","journalAbbreviation":"Cuadernos De Economía","page":"83-112","title":"Sticky Inflationary Expectations and Inflation Targeting in (Some) Emerging and Less Developed Economies","volume":"40","author":[{"family":"Libman","given":"Emiliano"},{"family":"Taboada","given":"Santiago"}],"issued":{"date-parts":[["2021"]]}}}],"schema":"https://github.com/citation-style-language/schema/raw/master/csl-citation.json"} </w:instrText>
      </w:r>
      <w:r w:rsidR="00A43EC3">
        <w:rPr>
          <w:rFonts w:ascii="Times New Roman" w:hAnsi="Times New Roman" w:cs="Times New Roman"/>
        </w:rPr>
        <w:fldChar w:fldCharType="separate"/>
      </w:r>
      <w:r w:rsidR="00A43EC3" w:rsidRPr="00A43EC3">
        <w:rPr>
          <w:rFonts w:ascii="Times New Roman" w:hAnsi="Times New Roman" w:cs="Times New Roman"/>
        </w:rPr>
        <w:t>(Aboyitungiye &amp; Mathu, 2023; Fadol, 2025; Libman &amp; Taboada, 2021)</w:t>
      </w:r>
      <w:r w:rsidR="00A43EC3">
        <w:rPr>
          <w:rFonts w:ascii="Times New Roman" w:hAnsi="Times New Roman" w:cs="Times New Roman"/>
        </w:rPr>
        <w:fldChar w:fldCharType="end"/>
      </w:r>
      <w:r w:rsidRPr="000F652A">
        <w:rPr>
          <w:rFonts w:ascii="Times New Roman" w:hAnsi="Times New Roman" w:cs="Times New Roman"/>
        </w:rPr>
        <w:t>.</w:t>
      </w:r>
    </w:p>
    <w:p w14:paraId="671B4074" w14:textId="77777777" w:rsidR="001E7EE2" w:rsidRPr="000F652A" w:rsidRDefault="001E7EE2" w:rsidP="00C44A63">
      <w:pPr>
        <w:spacing w:line="360" w:lineRule="auto"/>
        <w:jc w:val="both"/>
        <w:rPr>
          <w:rFonts w:ascii="Times New Roman" w:hAnsi="Times New Roman" w:cs="Times New Roman"/>
        </w:rPr>
      </w:pPr>
    </w:p>
    <w:p w14:paraId="0A279315" w14:textId="087F1AA2" w:rsidR="00F24465" w:rsidRPr="00F24465" w:rsidRDefault="00F24465" w:rsidP="00C44A63">
      <w:pPr>
        <w:pStyle w:val="Heading3"/>
        <w:spacing w:line="360" w:lineRule="auto"/>
        <w:jc w:val="both"/>
        <w:rPr>
          <w:rFonts w:ascii="Times New Roman" w:hAnsi="Times New Roman" w:cs="Times New Roman"/>
          <w:b/>
          <w:bCs/>
          <w:sz w:val="24"/>
          <w:szCs w:val="24"/>
        </w:rPr>
      </w:pPr>
      <w:bookmarkStart w:id="38" w:name="_Toc235530866"/>
      <w:r w:rsidRPr="00F24465">
        <w:rPr>
          <w:rFonts w:ascii="Times New Roman" w:hAnsi="Times New Roman" w:cs="Times New Roman"/>
          <w:b/>
          <w:bCs/>
          <w:sz w:val="24"/>
          <w:szCs w:val="24"/>
        </w:rPr>
        <w:t>2.4.3 Exchange-Rate Sensitivity and Pass-Through Effects</w:t>
      </w:r>
      <w:bookmarkEnd w:id="38"/>
    </w:p>
    <w:p w14:paraId="4A6EBA7A" w14:textId="10F5F353"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The volatility of exchange rates is a potent amplifier of inflation instability and is disproportionately affecting the frontier economies. Keefe (2020) shows that among both emerging and advanced countries, "perceived inflation volatility within 1% is a critical threshold beyond which countries are unable or unwilling to react to deviations in the inflation gap. Bambe et al. (2022) further record that exchange rate volatility is a big driver of the impact on economic performance in developing countries because, when an exchange rate depreciates, it leads to imported inputs cost, to domestic prices rise and to deterioration of the investment environment. This is consistent with the finding of</w:t>
      </w:r>
      <w:r w:rsidR="00A43EC3">
        <w:rPr>
          <w:rFonts w:ascii="Times New Roman" w:hAnsi="Times New Roman" w:cs="Times New Roman"/>
        </w:rPr>
        <w:t xml:space="preserve"> </w:t>
      </w:r>
      <w:r w:rsidR="00A43EC3">
        <w:rPr>
          <w:rFonts w:ascii="Times New Roman" w:hAnsi="Times New Roman" w:cs="Times New Roman"/>
        </w:rPr>
        <w:fldChar w:fldCharType="begin"/>
      </w:r>
      <w:r w:rsidR="00A43EC3">
        <w:rPr>
          <w:rFonts w:ascii="Times New Roman" w:hAnsi="Times New Roman" w:cs="Times New Roman"/>
        </w:rPr>
        <w:instrText xml:space="preserve"> ADDIN ZOTERO_ITEM CSL_CITATION {"citationID":"lZgNrKc4","properties":{"formattedCitation":"(Montes et al., 2022)","plainCitation":"(Montes et al., 2022)","noteIndex":0},"citationItems":[{"id":130,"uris":["http://zotero.org/users/local/VAqELCal/items/T9HPM6EJ"],"itemData":{"id":130,"type":"article-journal","container-title":"International Journal of Finance &amp; Economics","DOI":"10.1002/ijfe.2737","issue":"2","journalAbbreviation":"International Journal of Finance &amp; Economics","page":"1236-1258","title":"Effects of Monetary Policy Credibility and the Open Economy Trilemma on Monetary Policy Efficiency","volume":"29","author":[{"family":"Montes","given":"Gabriel C."},{"literal":"Irineu da Silva Rodrigues Júnior"},{"family":"Bastos","given":"Júlio C. A."},{"family":"Batista","given":"Linican M."}],"issued":{"date-parts":[["2022"]]}}}],"schema":"https://github.com/citation-style-language/schema/raw/master/csl-citation.json"} </w:instrText>
      </w:r>
      <w:r w:rsidR="00A43EC3">
        <w:rPr>
          <w:rFonts w:ascii="Times New Roman" w:hAnsi="Times New Roman" w:cs="Times New Roman"/>
        </w:rPr>
        <w:fldChar w:fldCharType="separate"/>
      </w:r>
      <w:r w:rsidR="00A43EC3" w:rsidRPr="00A43EC3">
        <w:rPr>
          <w:rFonts w:ascii="Times New Roman" w:hAnsi="Times New Roman" w:cs="Times New Roman"/>
        </w:rPr>
        <w:t>(Montes et al., 2022)</w:t>
      </w:r>
      <w:r w:rsidR="00A43EC3">
        <w:rPr>
          <w:rFonts w:ascii="Times New Roman" w:hAnsi="Times New Roman" w:cs="Times New Roman"/>
        </w:rPr>
        <w:fldChar w:fldCharType="end"/>
      </w:r>
      <w:r w:rsidR="00A43EC3">
        <w:rPr>
          <w:rFonts w:ascii="Times New Roman" w:hAnsi="Times New Roman" w:cs="Times New Roman"/>
        </w:rPr>
        <w:t xml:space="preserve"> </w:t>
      </w:r>
      <w:r w:rsidRPr="000F652A">
        <w:rPr>
          <w:rFonts w:ascii="Times New Roman" w:hAnsi="Times New Roman" w:cs="Times New Roman"/>
        </w:rPr>
        <w:t>that, "a greater financial openness and exchange rate stability renders central banks less effective at implementing their monetary policies, especially in the countries with intermediate level of financial development. For frontier economies in South Asia and Africa, which highly rely on imports and often invoice their trade in hard currencies, pass-through can be quick and significant, creating a mounting difficulty to sustain financial services stability at banks</w:t>
      </w:r>
      <w:r w:rsidR="00A43EC3">
        <w:rPr>
          <w:rFonts w:ascii="Times New Roman" w:hAnsi="Times New Roman" w:cs="Times New Roman"/>
        </w:rPr>
        <w:t xml:space="preserve"> </w:t>
      </w:r>
      <w:r w:rsidR="00A43EC3">
        <w:rPr>
          <w:rFonts w:ascii="Times New Roman" w:hAnsi="Times New Roman" w:cs="Times New Roman"/>
        </w:rPr>
        <w:fldChar w:fldCharType="begin"/>
      </w:r>
      <w:r w:rsidR="00A43EC3">
        <w:rPr>
          <w:rFonts w:ascii="Times New Roman" w:hAnsi="Times New Roman" w:cs="Times New Roman"/>
        </w:rPr>
        <w:instrText xml:space="preserve"> ADDIN ZOTERO_ITEM CSL_CITATION {"citationID":"NGK0twpT","properties":{"formattedCitation":"(Bambe et al., 2022; Keefe, 2020; Montes et al., 2022)","plainCitation":"(Bambe et al., 2022; Keefe, 2020; Montes et al., 2022)","noteIndex":0},"citationItems":[{"id":129,"uris":["http://zotero.org/users/local/VAqELCal/items/I7ARETKM"],"itemData":{"id":129,"type":"article-journal","container-title":"SSRN Electronic Journal","DOI":"10.2139/ssrn.4267886","journalAbbreviation":"SSRN Electronic Journal","title":"Inflation Targeting and Developing Countries’ Performance: Evidence From Firm-Level Data","author":[{"family":"Bambe","given":"Bao-We-Wal"},{"family":"Combes","given":"Jean‐Louis"},{"family":"KABA","given":"Kabinet"},{"family":"Minea","given":"Alexandru"}],"issued":{"date-parts":[["2022"]]}}},{"id":128,"uris":["http://zotero.org/users/local/VAqELCal/items/LP9VTA8E"],"itemData":{"id":128,"type":"article-journal","container-title":"International Finance","DOI":"10.1111/infi.12368","issue":"3","journalAbbreviation":"International Finance","page":"417-433","title":"The Impact of Exchange Rate Volatility on Inflation Targeting Monetary Policy in Emerging and Advanced Economies","volume":"23","author":[{"family":"Keefe","given":"Helena G."}],"issued":{"date-parts":[["2020"]]}}},{"id":130,"uris":["http://zotero.org/users/local/VAqELCal/items/T9HPM6EJ"],"itemData":{"id":130,"type":"article-journal","container-title":"International Journal of Finance &amp; Economics","DOI":"10.1002/ijfe.2737","issue":"2","journalAbbreviation":"International Journal of Finance &amp; Economics","page":"1236-1258","title":"Effects of Monetary Policy Credibility and the Open Economy Trilemma on Monetary Policy Efficiency","volume":"29","author":[{"family":"Montes","given":"Gabriel C."},{"literal":"Irineu da Silva Rodrigues Júnior"},{"family":"Bastos","given":"Júlio C. A."},{"family":"Batista","given":"Linican M."}],"issued":{"date-parts":[["2022"]]}}}],"schema":"https://github.com/citation-style-language/schema/raw/master/csl-citation.json"} </w:instrText>
      </w:r>
      <w:r w:rsidR="00A43EC3">
        <w:rPr>
          <w:rFonts w:ascii="Times New Roman" w:hAnsi="Times New Roman" w:cs="Times New Roman"/>
        </w:rPr>
        <w:fldChar w:fldCharType="separate"/>
      </w:r>
      <w:r w:rsidR="00A43EC3" w:rsidRPr="00A43EC3">
        <w:rPr>
          <w:rFonts w:ascii="Times New Roman" w:hAnsi="Times New Roman" w:cs="Times New Roman"/>
        </w:rPr>
        <w:t>(Bambe et al., 2022; Keefe, 2020; Montes et al., 2022)</w:t>
      </w:r>
      <w:r w:rsidR="00A43EC3">
        <w:rPr>
          <w:rFonts w:ascii="Times New Roman" w:hAnsi="Times New Roman" w:cs="Times New Roman"/>
        </w:rPr>
        <w:fldChar w:fldCharType="end"/>
      </w:r>
      <w:r w:rsidRPr="000F652A">
        <w:rPr>
          <w:rFonts w:ascii="Times New Roman" w:hAnsi="Times New Roman" w:cs="Times New Roman"/>
        </w:rPr>
        <w:t>.</w:t>
      </w:r>
    </w:p>
    <w:p w14:paraId="1405D55E" w14:textId="2BC2964A" w:rsidR="00F24465" w:rsidRPr="00F24465" w:rsidRDefault="00F24465" w:rsidP="00C44A63">
      <w:pPr>
        <w:pStyle w:val="Heading3"/>
        <w:spacing w:line="360" w:lineRule="auto"/>
        <w:jc w:val="both"/>
        <w:rPr>
          <w:rFonts w:ascii="Times New Roman" w:hAnsi="Times New Roman" w:cs="Times New Roman"/>
          <w:b/>
          <w:bCs/>
          <w:sz w:val="24"/>
          <w:szCs w:val="24"/>
        </w:rPr>
      </w:pPr>
      <w:bookmarkStart w:id="39" w:name="_Toc235530867"/>
      <w:r w:rsidRPr="00F24465">
        <w:rPr>
          <w:rFonts w:ascii="Times New Roman" w:hAnsi="Times New Roman" w:cs="Times New Roman"/>
          <w:b/>
          <w:bCs/>
          <w:sz w:val="24"/>
          <w:szCs w:val="24"/>
        </w:rPr>
        <w:t>2.4.4 Limited Monetary Policy Credibility</w:t>
      </w:r>
      <w:bookmarkEnd w:id="39"/>
    </w:p>
    <w:p w14:paraId="0ACFF926" w14:textId="6C49912F"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 xml:space="preserve">This is undoubtedly the most important structural feature of frontier economies: Central banks do not have a lot of credibility. As Ha et al. (2022) stress, “inflation expectations in these economies are less well-anchored than in advanced economies,” leaving EMDE central banks with the dilemma of having to take a variety of timid and aggressive monetary policy measures earlier and more frequently than their advanced-economy counterparts, even before some of the EMDE economies' recovery has materialized. This study thus demonstrates the fragility of the credibility-building process in this setting, where transparency of the central bank's transparency is the single most important factor affecting the effectiveness of monetary policy by the central bank </w:t>
      </w:r>
      <w:r w:rsidR="00A43EC3">
        <w:rPr>
          <w:rFonts w:ascii="Times New Roman" w:hAnsi="Times New Roman" w:cs="Times New Roman"/>
        </w:rPr>
        <w:fldChar w:fldCharType="begin"/>
      </w:r>
      <w:r w:rsidR="00A43EC3">
        <w:rPr>
          <w:rFonts w:ascii="Times New Roman" w:hAnsi="Times New Roman" w:cs="Times New Roman"/>
        </w:rPr>
        <w:instrText xml:space="preserve"> ADDIN ZOTERO_ITEM CSL_CITATION {"citationID":"JUla1P9j","properties":{"formattedCitation":"(Misztal, 2022)","plainCitation":"(Misztal, 2022)","noteIndex":0},"citationItems":[{"id":131,"uris":["http://zotero.org/users/local/VAqELCal/items/L287LZWA"],"itemData":{"id":131,"type":"article-journal","container-title":"European Research Studies Journal","DOI":"10.35808/ersj/3049","issue":"Issue 3","journalAbbreviation":"European Research Studies Journal","page":"539-554","title":"Communication of Central Banks as a Determinant of Credibility and Effectiveness of Monetary Policy","volume":"XXV","author":[{"family":"Misztal","given":"Piotr"}],"issued":{"date-parts":[["2022"]]}}}],"schema":"https://github.com/citation-style-language/schema/raw/master/csl-citation.json"} </w:instrText>
      </w:r>
      <w:r w:rsidR="00A43EC3">
        <w:rPr>
          <w:rFonts w:ascii="Times New Roman" w:hAnsi="Times New Roman" w:cs="Times New Roman"/>
        </w:rPr>
        <w:fldChar w:fldCharType="separate"/>
      </w:r>
      <w:r w:rsidR="00A43EC3" w:rsidRPr="00A43EC3">
        <w:rPr>
          <w:rFonts w:ascii="Times New Roman" w:hAnsi="Times New Roman" w:cs="Times New Roman"/>
        </w:rPr>
        <w:t>(Misztal, 2022)</w:t>
      </w:r>
      <w:r w:rsidR="00A43EC3">
        <w:rPr>
          <w:rFonts w:ascii="Times New Roman" w:hAnsi="Times New Roman" w:cs="Times New Roman"/>
        </w:rPr>
        <w:fldChar w:fldCharType="end"/>
      </w:r>
      <w:r w:rsidRPr="000F652A">
        <w:rPr>
          <w:rFonts w:ascii="Times New Roman" w:hAnsi="Times New Roman" w:cs="Times New Roman"/>
        </w:rPr>
        <w:t>. Adrian et al. (2023) make a similar point by contrasting the countries where the central banks had a "</w:t>
      </w:r>
      <w:proofErr w:type="spellStart"/>
      <w:r w:rsidRPr="000F652A">
        <w:rPr>
          <w:rFonts w:ascii="Times New Roman" w:hAnsi="Times New Roman" w:cs="Times New Roman"/>
        </w:rPr>
        <w:t>prepandemic</w:t>
      </w:r>
      <w:proofErr w:type="spellEnd"/>
      <w:r w:rsidRPr="000F652A">
        <w:rPr>
          <w:rFonts w:ascii="Times New Roman" w:hAnsi="Times New Roman" w:cs="Times New Roman"/>
        </w:rPr>
        <w:t xml:space="preserve"> track record of meeting their inflation targets" and could take the time to experiment with unconventional monetary policy instruments with those that did not, "had to reverse course after initially easing monetary policy to stem capital outflows and </w:t>
      </w:r>
      <w:proofErr w:type="spellStart"/>
      <w:r w:rsidRPr="000F652A">
        <w:rPr>
          <w:rFonts w:ascii="Times New Roman" w:hAnsi="Times New Roman" w:cs="Times New Roman"/>
        </w:rPr>
        <w:t>reign</w:t>
      </w:r>
      <w:proofErr w:type="spellEnd"/>
      <w:r w:rsidRPr="000F652A">
        <w:rPr>
          <w:rFonts w:ascii="Times New Roman" w:hAnsi="Times New Roman" w:cs="Times New Roman"/>
        </w:rPr>
        <w:t xml:space="preserve"> in inflation </w:t>
      </w:r>
      <w:r w:rsidRPr="000F652A">
        <w:rPr>
          <w:rFonts w:ascii="Times New Roman" w:hAnsi="Times New Roman" w:cs="Times New Roman"/>
        </w:rPr>
        <w:lastRenderedPageBreak/>
        <w:t xml:space="preserve">expectations" </w:t>
      </w:r>
      <w:r w:rsidR="00A43EC3">
        <w:rPr>
          <w:rFonts w:ascii="Times New Roman" w:hAnsi="Times New Roman" w:cs="Times New Roman"/>
        </w:rPr>
        <w:fldChar w:fldCharType="begin"/>
      </w:r>
      <w:r w:rsidR="00A43EC3">
        <w:rPr>
          <w:rFonts w:ascii="Times New Roman" w:hAnsi="Times New Roman" w:cs="Times New Roman"/>
        </w:rPr>
        <w:instrText xml:space="preserve"> ADDIN ZOTERO_ITEM CSL_CITATION {"citationID":"dCgP7iBW","properties":{"formattedCitation":"(Adrian et al., 2023)","plainCitation":"(Adrian et al., 2023)","noteIndex":0},"citationItems":[{"id":9,"uris":["http://zotero.org/users/local/VAqELCal/items/NHI8FKR8"],"itemData":{"id":9,"type":"article-journal","container-title":"Annual Review of Financial Economics","DOI":"10.1146/annurev-financial-110821-022107","issue":"1","journalAbbreviation":"Annual Review of Financial Economics","page":"29-54","title":"Macro-Financial Stability in the COVID-19 Crisis: Some Reflections","volume":"15","author":[{"family":"Adrian","given":"Tobias"},{"family":"Natalucci","given":"Fabio M."},{"family":"Qureshi","given":"Mahvash S."}],"issued":{"date-parts":[["2023"]]}}}],"schema":"https://github.com/citation-style-language/schema/raw/master/csl-citation.json"} </w:instrText>
      </w:r>
      <w:r w:rsidR="00A43EC3">
        <w:rPr>
          <w:rFonts w:ascii="Times New Roman" w:hAnsi="Times New Roman" w:cs="Times New Roman"/>
        </w:rPr>
        <w:fldChar w:fldCharType="separate"/>
      </w:r>
      <w:r w:rsidR="00A43EC3" w:rsidRPr="00A43EC3">
        <w:rPr>
          <w:rFonts w:ascii="Times New Roman" w:hAnsi="Times New Roman" w:cs="Times New Roman"/>
        </w:rPr>
        <w:t>(Adrian et al., 2023)</w:t>
      </w:r>
      <w:r w:rsidR="00A43EC3">
        <w:rPr>
          <w:rFonts w:ascii="Times New Roman" w:hAnsi="Times New Roman" w:cs="Times New Roman"/>
        </w:rPr>
        <w:fldChar w:fldCharType="end"/>
      </w:r>
      <w:r w:rsidRPr="000F652A">
        <w:rPr>
          <w:rFonts w:ascii="Times New Roman" w:hAnsi="Times New Roman" w:cs="Times New Roman"/>
        </w:rPr>
        <w:t>. When nominal anchors are not credible in a frontier economy, inflation shocks have a larger sway on expectations, are less transitory, and uncertainty from inflation falls more heavily on the banking sector</w:t>
      </w:r>
      <w:r w:rsidR="00A43EC3">
        <w:rPr>
          <w:rFonts w:ascii="Times New Roman" w:hAnsi="Times New Roman" w:cs="Times New Roman"/>
        </w:rPr>
        <w:t xml:space="preserve"> </w:t>
      </w:r>
      <w:r w:rsidR="00A43EC3">
        <w:rPr>
          <w:rFonts w:ascii="Times New Roman" w:hAnsi="Times New Roman" w:cs="Times New Roman"/>
        </w:rPr>
        <w:fldChar w:fldCharType="begin"/>
      </w:r>
      <w:r w:rsidR="00A43EC3">
        <w:rPr>
          <w:rFonts w:ascii="Times New Roman" w:hAnsi="Times New Roman" w:cs="Times New Roman"/>
        </w:rPr>
        <w:instrText xml:space="preserve"> ADDIN ZOTERO_ITEM CSL_CITATION {"citationID":"4sYgftDP","properties":{"formattedCitation":"(Adrian et al., 2023; Misztal, 2022; Syed et al., 2022)","plainCitation":"(Adrian et al., 2023; Misztal, 2022; Syed et al., 2022)","noteIndex":0},"citationItems":[{"id":9,"uris":["http://zotero.org/users/local/VAqELCal/items/NHI8FKR8"],"itemData":{"id":9,"type":"article-journal","container-title":"Annual Review of Financial Economics","DOI":"10.1146/annurev-financial-110821-022107","issue":"1","journalAbbreviation":"Annual Review of Financial Economics","page":"29-54","title":"Macro-Financial Stability in the COVID-19 Crisis: Some Reflections","volume":"15","author":[{"family":"Adrian","given":"Tobias"},{"family":"Natalucci","given":"Fabio M."},{"family":"Qureshi","given":"Mahvash S."}],"issued":{"date-parts":[["2023"]]}}},{"id":131,"uris":["http://zotero.org/users/local/VAqELCal/items/L287LZWA"],"itemData":{"id":131,"type":"article-journal","container-title":"European Research Studies Journal","DOI":"10.35808/ersj/3049","issue":"Issue 3","journalAbbreviation":"European Research Studies Journal","page":"539-554","title":"Communication of Central Banks as a Determinant of Credibility and Effectiveness of Monetary Policy","volume":"XXV","author":[{"family":"Misztal","given":"Piotr"}],"issued":{"date-parts":[["2022"]]}}},{"id":95,"uris":["http://zotero.org/users/local/VAqELCal/items/CPMFWSN3"],"itemData":{"id":95,"type":"article-journal","container-title":"Sustainability","DOI":"10.3390/su14063238","issue":"6","journalAbbreviation":"Sustainability","page":"3238","title":"An Asymmetric Analysis of the Influence That Economic Policy Uncertainty, Institutional Quality, and Corruption Level Have on India’s Digital Banking Services and Banking Stability","volume":"14","author":[{"family":"Syed","given":"Aamir A."},{"family":"Kamal","given":"Muhammad A."},{"family":"Ullah","given":"Assad"},{"family":"Grima","given":"Simon"}],"issued":{"date-parts":[["2022"]]}}}],"schema":"https://github.com/citation-style-language/schema/raw/master/csl-citation.json"} </w:instrText>
      </w:r>
      <w:r w:rsidR="00A43EC3">
        <w:rPr>
          <w:rFonts w:ascii="Times New Roman" w:hAnsi="Times New Roman" w:cs="Times New Roman"/>
        </w:rPr>
        <w:fldChar w:fldCharType="separate"/>
      </w:r>
      <w:r w:rsidR="00A43EC3" w:rsidRPr="00A43EC3">
        <w:rPr>
          <w:rFonts w:ascii="Times New Roman" w:hAnsi="Times New Roman" w:cs="Times New Roman"/>
        </w:rPr>
        <w:t>(Adrian et al., 2023; Misztal, 2022; Syed et al., 2022)</w:t>
      </w:r>
      <w:r w:rsidR="00A43EC3">
        <w:rPr>
          <w:rFonts w:ascii="Times New Roman" w:hAnsi="Times New Roman" w:cs="Times New Roman"/>
        </w:rPr>
        <w:fldChar w:fldCharType="end"/>
      </w:r>
      <w:r w:rsidRPr="000F652A">
        <w:rPr>
          <w:rFonts w:ascii="Times New Roman" w:hAnsi="Times New Roman" w:cs="Times New Roman"/>
        </w:rPr>
        <w:t>.</w:t>
      </w:r>
    </w:p>
    <w:p w14:paraId="6795D2DC" w14:textId="77777777" w:rsidR="001E7EE2" w:rsidRPr="000F652A" w:rsidRDefault="001E7EE2" w:rsidP="00C44A63">
      <w:pPr>
        <w:spacing w:line="360" w:lineRule="auto"/>
        <w:jc w:val="both"/>
        <w:rPr>
          <w:rFonts w:ascii="Times New Roman" w:hAnsi="Times New Roman" w:cs="Times New Roman"/>
        </w:rPr>
      </w:pPr>
    </w:p>
    <w:p w14:paraId="463D65CB" w14:textId="09287078" w:rsidR="00F24465" w:rsidRPr="00F24465" w:rsidRDefault="00F24465" w:rsidP="00C44A63">
      <w:pPr>
        <w:pStyle w:val="Heading3"/>
        <w:spacing w:line="360" w:lineRule="auto"/>
        <w:jc w:val="both"/>
        <w:rPr>
          <w:rFonts w:ascii="Times New Roman" w:hAnsi="Times New Roman" w:cs="Times New Roman"/>
          <w:b/>
          <w:bCs/>
          <w:sz w:val="24"/>
          <w:szCs w:val="24"/>
        </w:rPr>
      </w:pPr>
      <w:bookmarkStart w:id="40" w:name="_Toc235530868"/>
      <w:r w:rsidRPr="00F24465">
        <w:rPr>
          <w:rFonts w:ascii="Times New Roman" w:hAnsi="Times New Roman" w:cs="Times New Roman"/>
          <w:b/>
          <w:bCs/>
          <w:sz w:val="24"/>
          <w:szCs w:val="24"/>
        </w:rPr>
        <w:t>2.4.5 The Contextual Research Gap</w:t>
      </w:r>
      <w:bookmarkEnd w:id="40"/>
    </w:p>
    <w:p w14:paraId="6B21243A" w14:textId="5D2D029C"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 xml:space="preserve">While there is significant literature on inflation and banking stability, there is a lack of comparative cross regional analysis that explicitly addresses the volatility of inflation rather than the inflation level as a key determinant of banking sector stability in frontier economies. Following </w:t>
      </w:r>
      <w:proofErr w:type="spellStart"/>
      <w:r w:rsidRPr="000F652A">
        <w:rPr>
          <w:rFonts w:ascii="Times New Roman" w:hAnsi="Times New Roman" w:cs="Times New Roman"/>
        </w:rPr>
        <w:t>Fadol</w:t>
      </w:r>
      <w:proofErr w:type="spellEnd"/>
      <w:r w:rsidRPr="000F652A">
        <w:rPr>
          <w:rFonts w:ascii="Times New Roman" w:hAnsi="Times New Roman" w:cs="Times New Roman"/>
        </w:rPr>
        <w:t xml:space="preserve"> (2025), it is clear that inflation-targeting regimes in Africa offer greater price and growth stability, but their effectiveness is constrained by certain structural issues, especially those associated with exchange rate controls, while non-targeting regimes continue to be more vulnerable to shocks. Even though under flexible inflation targeting, macroeconomic outcomes in ASEAN-5 countries are mostly </w:t>
      </w:r>
      <w:proofErr w:type="spellStart"/>
      <w:r w:rsidRPr="000F652A">
        <w:rPr>
          <w:rFonts w:ascii="Times New Roman" w:hAnsi="Times New Roman" w:cs="Times New Roman"/>
        </w:rPr>
        <w:t>favourable</w:t>
      </w:r>
      <w:proofErr w:type="spellEnd"/>
      <w:r w:rsidRPr="000F652A">
        <w:rPr>
          <w:rFonts w:ascii="Times New Roman" w:hAnsi="Times New Roman" w:cs="Times New Roman"/>
        </w:rPr>
        <w:t xml:space="preserve">, in the eyes of </w:t>
      </w:r>
      <w:r w:rsidR="00A43EC3">
        <w:rPr>
          <w:rFonts w:ascii="Times New Roman" w:hAnsi="Times New Roman" w:cs="Times New Roman"/>
        </w:rPr>
        <w:fldChar w:fldCharType="begin"/>
      </w:r>
      <w:r w:rsidR="00A43EC3">
        <w:rPr>
          <w:rFonts w:ascii="Times New Roman" w:hAnsi="Times New Roman" w:cs="Times New Roman"/>
        </w:rPr>
        <w:instrText xml:space="preserve"> ADDIN ZOTERO_ITEM CSL_CITATION {"citationID":"87E7vLsq","properties":{"formattedCitation":"(Nookhwun &amp; Waiyawatjakorn, 2024)","plainCitation":"(Nookhwun &amp; Waiyawatjakorn, 2024)","noteIndex":0},"citationItems":[{"id":24,"uris":["http://zotero.org/users/local/VAqELCal/items/IWPMSCKT"],"itemData":{"id":24,"type":"article-journal","container-title":"Asian Economic Policy Review","DOI":"10.1111/aepr.12459","issue":"2","journalAbbreviation":"Asian Economic Policy Review","page":"198-219","title":"Flexible Inflation Targeting and Macroeconomic Performance: Evidence From ASEAN","volume":"19","author":[{"family":"Nookhwun","given":"Nuwat"},{"family":"Waiyawatjakorn","given":"Rawipha"}],"issued":{"date-parts":[["2024"]]}}}],"schema":"https://github.com/citation-style-language/schema/raw/master/csl-citation.json"} </w:instrText>
      </w:r>
      <w:r w:rsidR="00A43EC3">
        <w:rPr>
          <w:rFonts w:ascii="Times New Roman" w:hAnsi="Times New Roman" w:cs="Times New Roman"/>
        </w:rPr>
        <w:fldChar w:fldCharType="separate"/>
      </w:r>
      <w:r w:rsidR="00A43EC3" w:rsidRPr="00A43EC3">
        <w:rPr>
          <w:rFonts w:ascii="Times New Roman" w:hAnsi="Times New Roman" w:cs="Times New Roman"/>
        </w:rPr>
        <w:t>(Nookhwun &amp; Waiyawatjakorn, 2024)</w:t>
      </w:r>
      <w:r w:rsidR="00A43EC3">
        <w:rPr>
          <w:rFonts w:ascii="Times New Roman" w:hAnsi="Times New Roman" w:cs="Times New Roman"/>
        </w:rPr>
        <w:fldChar w:fldCharType="end"/>
      </w:r>
      <w:r w:rsidRPr="000F652A">
        <w:rPr>
          <w:rFonts w:ascii="Times New Roman" w:hAnsi="Times New Roman" w:cs="Times New Roman"/>
        </w:rPr>
        <w:t>, the “various policy tools” have had to be continuously adjusted to reflect changes in capital flow volatilities and domestic financial imbalances. We are unaware of any study that systematically compares the effect of inflation volatility on banking stability depending on the depth of the financial market, control of institutions, sensitivity of the exchange rate, and monetary credibility of the region in which it is studied, i.e., over the frontier South Asian and African countries. The current paper aims to fill this void and is an empirical study aimed at a rigorous cross-regional analysis, where inflation volatility is identified as the main relevant macroeconomic risk factor on the stability of banking sectors.</w:t>
      </w:r>
    </w:p>
    <w:p w14:paraId="7177BB14" w14:textId="77777777" w:rsidR="001E7EE2" w:rsidRDefault="001E7EE2" w:rsidP="00C44A63">
      <w:pPr>
        <w:spacing w:line="360" w:lineRule="auto"/>
        <w:jc w:val="both"/>
      </w:pPr>
    </w:p>
    <w:p w14:paraId="1950F1C4" w14:textId="77777777" w:rsidR="001E7EE2" w:rsidRPr="000F652A" w:rsidRDefault="001E7EE2" w:rsidP="00C44A63">
      <w:pPr>
        <w:pStyle w:val="Heading2"/>
        <w:spacing w:line="360" w:lineRule="auto"/>
        <w:jc w:val="both"/>
        <w:rPr>
          <w:rFonts w:ascii="Times New Roman" w:hAnsi="Times New Roman" w:cs="Times New Roman"/>
          <w:b/>
          <w:bCs/>
          <w:sz w:val="28"/>
          <w:szCs w:val="28"/>
        </w:rPr>
      </w:pPr>
      <w:bookmarkStart w:id="41" w:name="_Toc235530869"/>
      <w:r w:rsidRPr="000F652A">
        <w:rPr>
          <w:rFonts w:ascii="Times New Roman" w:hAnsi="Times New Roman" w:cs="Times New Roman"/>
          <w:b/>
          <w:bCs/>
          <w:sz w:val="28"/>
          <w:szCs w:val="28"/>
        </w:rPr>
        <w:t>2.5 Theoretical Framework</w:t>
      </w:r>
      <w:bookmarkEnd w:id="41"/>
    </w:p>
    <w:p w14:paraId="5157BDA6" w14:textId="77777777"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 xml:space="preserve">The link between inflation volatility and banking sector stability does not have only one theoretical channel by which it works, but several, mutually reinforcing channels. The analytical focus of this study is within the framework of various but related theoretical approaches: asymmetric information and credit-rationing logic, Fisher effect and unexpected inflation, balance-sheet channel, and macro-financial vulnerability logic. These factors combined explain how inflation </w:t>
      </w:r>
      <w:r w:rsidRPr="000F652A">
        <w:rPr>
          <w:rFonts w:ascii="Times New Roman" w:hAnsi="Times New Roman" w:cs="Times New Roman"/>
        </w:rPr>
        <w:lastRenderedPageBreak/>
        <w:t>volatility can affect systematically borrower quality, uncertainty premiums, asset quality, and overall system resilience in frontier economies of South Asia and Africa.</w:t>
      </w:r>
    </w:p>
    <w:p w14:paraId="4A0111C4" w14:textId="64F1D424" w:rsidR="00F24465" w:rsidRPr="00F24465" w:rsidRDefault="00F24465" w:rsidP="00C44A63">
      <w:pPr>
        <w:pStyle w:val="Heading3"/>
        <w:spacing w:line="360" w:lineRule="auto"/>
        <w:jc w:val="both"/>
        <w:rPr>
          <w:rFonts w:ascii="Times New Roman" w:hAnsi="Times New Roman" w:cs="Times New Roman"/>
          <w:b/>
          <w:bCs/>
          <w:sz w:val="24"/>
          <w:szCs w:val="24"/>
        </w:rPr>
      </w:pPr>
      <w:bookmarkStart w:id="42" w:name="_Toc235530870"/>
      <w:r w:rsidRPr="00F24465">
        <w:rPr>
          <w:rFonts w:ascii="Times New Roman" w:hAnsi="Times New Roman" w:cs="Times New Roman"/>
          <w:b/>
          <w:bCs/>
          <w:sz w:val="24"/>
          <w:szCs w:val="24"/>
        </w:rPr>
        <w:t>2.5.1 Asymmetric Information and Credit-Rationing Logic</w:t>
      </w:r>
      <w:bookmarkEnd w:id="42"/>
    </w:p>
    <w:p w14:paraId="3B5BD6C2" w14:textId="44F6020B"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The basic principle of the asymmetric information approach, which dates back to the seminal work of Stiglitz and Weiss (1981), is that there are information asymmetries in the credit markets. Inflation can increase these informational frictions by making it harder to get a genuine picture of whether a loan applicant is creditworthy. This mechanism is given an explicit description if you read the paper by</w:t>
      </w:r>
      <w:r w:rsidR="00A43EC3">
        <w:rPr>
          <w:rFonts w:ascii="Times New Roman" w:hAnsi="Times New Roman" w:cs="Times New Roman"/>
        </w:rPr>
        <w:t xml:space="preserve"> </w:t>
      </w:r>
      <w:r w:rsidR="00A43EC3">
        <w:rPr>
          <w:rFonts w:ascii="Times New Roman" w:hAnsi="Times New Roman" w:cs="Times New Roman"/>
        </w:rPr>
        <w:fldChar w:fldCharType="begin"/>
      </w:r>
      <w:r w:rsidR="00A43EC3">
        <w:rPr>
          <w:rFonts w:ascii="Times New Roman" w:hAnsi="Times New Roman" w:cs="Times New Roman"/>
        </w:rPr>
        <w:instrText xml:space="preserve"> ADDIN ZOTERO_ITEM CSL_CITATION {"citationID":"9klA0H8k","properties":{"formattedCitation":"(Amo-Bediako et al., 2023)","plainCitation":"(Amo-Bediako et al., 2023)","noteIndex":0},"citationItems":[{"id":134,"uris":["http://zotero.org/users/local/VAqELCal/items/7Z87TIRM"],"itemData":{"id":134,"type":"article-journal","container-title":"International Journal of Applied Economics Finance and Accounting","DOI":"10.33094/ijaefa.v17i2.1203","issue":"2","journalAbbreviation":"International Journal of Applied Economics Finance and Accounting","page":"469-482","title":"The Impact of Climate Change on the Resilience of Banking Systems in Selected Sub-Saharan Economies","volume":"17","author":[{"family":"Amo-Bediako","given":"Emmanuel"},{"family":"Takawira","given":"Oliver"},{"family":"Choga","given":"Ireen"}],"issued":{"date-parts":[["2023"]]}}}],"schema":"https://github.com/citation-style-language/schema/raw/master/csl-citation.json"} </w:instrText>
      </w:r>
      <w:r w:rsidR="00A43EC3">
        <w:rPr>
          <w:rFonts w:ascii="Times New Roman" w:hAnsi="Times New Roman" w:cs="Times New Roman"/>
        </w:rPr>
        <w:fldChar w:fldCharType="separate"/>
      </w:r>
      <w:r w:rsidR="00A43EC3" w:rsidRPr="00A43EC3">
        <w:rPr>
          <w:rFonts w:ascii="Times New Roman" w:hAnsi="Times New Roman" w:cs="Times New Roman"/>
        </w:rPr>
        <w:t>(Amo-Bediako et al., 2023)</w:t>
      </w:r>
      <w:r w:rsidR="00A43EC3">
        <w:rPr>
          <w:rFonts w:ascii="Times New Roman" w:hAnsi="Times New Roman" w:cs="Times New Roman"/>
        </w:rPr>
        <w:fldChar w:fldCharType="end"/>
      </w:r>
      <w:r w:rsidRPr="000F652A">
        <w:rPr>
          <w:rFonts w:ascii="Times New Roman" w:hAnsi="Times New Roman" w:cs="Times New Roman"/>
        </w:rPr>
        <w:t xml:space="preserve">: "Adjustments during periods of uncertainty lead to a rise in the level of information asymmetry, where banks screening applicants for loans may encounter adverse selection challenges, distinguishing between both good and ill borrowers. Faced with the high uncertainty, banks react by tightening their interest on loan, leading to a departure of creditworthy borrowers who have potentially lower return projects while speculative ones that are riskier remain in search of credit </w:t>
      </w:r>
      <w:r w:rsidR="00A43EC3">
        <w:rPr>
          <w:rFonts w:ascii="Times New Roman" w:hAnsi="Times New Roman" w:cs="Times New Roman"/>
        </w:rPr>
        <w:fldChar w:fldCharType="begin"/>
      </w:r>
      <w:r w:rsidR="00A43EC3">
        <w:rPr>
          <w:rFonts w:ascii="Times New Roman" w:hAnsi="Times New Roman" w:cs="Times New Roman"/>
        </w:rPr>
        <w:instrText xml:space="preserve"> ADDIN ZOTERO_ITEM CSL_CITATION {"citationID":"99Qmm7uN","properties":{"formattedCitation":"(Amo-Bediako et al., 2023)","plainCitation":"(Amo-Bediako et al., 2023)","noteIndex":0},"citationItems":[{"id":134,"uris":["http://zotero.org/users/local/VAqELCal/items/7Z87TIRM"],"itemData":{"id":134,"type":"article-journal","container-title":"International Journal of Applied Economics Finance and Accounting","DOI":"10.33094/ijaefa.v17i2.1203","issue":"2","journalAbbreviation":"International Journal of Applied Economics Finance and Accounting","page":"469-482","title":"The Impact of Climate Change on the Resilience of Banking Systems in Selected Sub-Saharan Economies","volume":"17","author":[{"family":"Amo-Bediako","given":"Emmanuel"},{"family":"Takawira","given":"Oliver"},{"family":"Choga","given":"Ireen"}],"issued":{"date-parts":[["2023"]]}}}],"schema":"https://github.com/citation-style-language/schema/raw/master/csl-citation.json"} </w:instrText>
      </w:r>
      <w:r w:rsidR="00A43EC3">
        <w:rPr>
          <w:rFonts w:ascii="Times New Roman" w:hAnsi="Times New Roman" w:cs="Times New Roman"/>
        </w:rPr>
        <w:fldChar w:fldCharType="separate"/>
      </w:r>
      <w:r w:rsidR="00A43EC3" w:rsidRPr="00A43EC3">
        <w:rPr>
          <w:rFonts w:ascii="Times New Roman" w:hAnsi="Times New Roman" w:cs="Times New Roman"/>
        </w:rPr>
        <w:t>(Amo-Bediako et al., 2023)</w:t>
      </w:r>
      <w:r w:rsidR="00A43EC3">
        <w:rPr>
          <w:rFonts w:ascii="Times New Roman" w:hAnsi="Times New Roman" w:cs="Times New Roman"/>
        </w:rPr>
        <w:fldChar w:fldCharType="end"/>
      </w:r>
      <w:r w:rsidRPr="000F652A">
        <w:rPr>
          <w:rFonts w:ascii="Times New Roman" w:hAnsi="Times New Roman" w:cs="Times New Roman"/>
        </w:rPr>
        <w:t>. This bad selection problem implies that, 'the more risk exists in the banking sector as a group of borrowers, the harder the effort to collect repayments will be, which means that banks will be more directly vulnerable to higher credit risk and intrinsically less stable. The latter logic is echoed by</w:t>
      </w:r>
      <w:r w:rsidR="00A43EC3">
        <w:rPr>
          <w:rFonts w:ascii="Times New Roman" w:hAnsi="Times New Roman" w:cs="Times New Roman"/>
        </w:rPr>
        <w:t xml:space="preserve"> </w:t>
      </w:r>
      <w:r w:rsidR="00A43EC3">
        <w:rPr>
          <w:rFonts w:ascii="Times New Roman" w:hAnsi="Times New Roman" w:cs="Times New Roman"/>
        </w:rPr>
        <w:fldChar w:fldCharType="begin"/>
      </w:r>
      <w:r w:rsidR="00A43EC3">
        <w:rPr>
          <w:rFonts w:ascii="Times New Roman" w:hAnsi="Times New Roman" w:cs="Times New Roman"/>
        </w:rPr>
        <w:instrText xml:space="preserve"> ADDIN ZOTERO_ITEM CSL_CITATION {"citationID":"DEUmye0i","properties":{"formattedCitation":"(Musiita &amp; Kijjambu, 2024)","plainCitation":"(Musiita &amp; Kijjambu, 2024)","noteIndex":0},"citationItems":[{"id":135,"uris":["http://zotero.org/users/local/VAqELCal/items/RJPVG5YA"],"itemData":{"id":135,"type":"article-journal","container-title":"Journal of Economics and Behavioral Studies","DOI":"10.22610/jebs.v16i2(j).3832","issue":"2(J)","journalAbbreviation":"Journal of Economics and Behavioral Studies","page":"1-14","title":"Intersecting Dynamics: The Influence of Macroeconomic Factors and Financial Development on Interest Rate Spreads in Uganda","volume":"16","author":[{"family":"Musiita","given":"Benjamin"},{"family":"Kijjambu","given":"Frederick N."}],"issued":{"date-parts":[["2024"]]}}}],"schema":"https://github.com/citation-style-language/schema/raw/master/csl-citation.json"} </w:instrText>
      </w:r>
      <w:r w:rsidR="00A43EC3">
        <w:rPr>
          <w:rFonts w:ascii="Times New Roman" w:hAnsi="Times New Roman" w:cs="Times New Roman"/>
        </w:rPr>
        <w:fldChar w:fldCharType="separate"/>
      </w:r>
      <w:r w:rsidR="00A43EC3" w:rsidRPr="00A43EC3">
        <w:rPr>
          <w:rFonts w:ascii="Times New Roman" w:hAnsi="Times New Roman" w:cs="Times New Roman"/>
        </w:rPr>
        <w:t>(Musiita &amp; Kijjambu, 2024)</w:t>
      </w:r>
      <w:r w:rsidR="00A43EC3">
        <w:rPr>
          <w:rFonts w:ascii="Times New Roman" w:hAnsi="Times New Roman" w:cs="Times New Roman"/>
        </w:rPr>
        <w:fldChar w:fldCharType="end"/>
      </w:r>
      <w:r w:rsidRPr="000F652A">
        <w:rPr>
          <w:rFonts w:ascii="Times New Roman" w:hAnsi="Times New Roman" w:cs="Times New Roman"/>
        </w:rPr>
        <w:t xml:space="preserve"> who stated that “the higher the inflation rates, the more likely higher rates of economic uncertainty and income volatility, which may lead to higher loan default rates, credit risks to lender, prompting them to resort to “risk-premium strategies” that raise interest rates to guard against potential losses.” The credit-rationing channel thus implies that inflation volatility reduces the quality of the borrower mix, raises the risk of default and shrinks banks' net interest margins, which are unable to fully account for the heightened risk.</w:t>
      </w:r>
    </w:p>
    <w:p w14:paraId="4D4A9B1B" w14:textId="77777777" w:rsidR="001E7EE2" w:rsidRPr="000F652A" w:rsidRDefault="001E7EE2" w:rsidP="00C44A63">
      <w:pPr>
        <w:spacing w:line="360" w:lineRule="auto"/>
        <w:jc w:val="both"/>
        <w:rPr>
          <w:rFonts w:ascii="Times New Roman" w:hAnsi="Times New Roman" w:cs="Times New Roman"/>
        </w:rPr>
      </w:pPr>
    </w:p>
    <w:p w14:paraId="4FC31465" w14:textId="7E1BD05E" w:rsidR="00F24465" w:rsidRPr="00F24465" w:rsidRDefault="00F24465" w:rsidP="00C44A63">
      <w:pPr>
        <w:pStyle w:val="Heading3"/>
        <w:spacing w:line="360" w:lineRule="auto"/>
        <w:jc w:val="both"/>
        <w:rPr>
          <w:rFonts w:ascii="Times New Roman" w:hAnsi="Times New Roman" w:cs="Times New Roman"/>
          <w:b/>
          <w:bCs/>
          <w:sz w:val="24"/>
          <w:szCs w:val="24"/>
        </w:rPr>
      </w:pPr>
      <w:bookmarkStart w:id="43" w:name="_Toc235530871"/>
      <w:r w:rsidRPr="00F24465">
        <w:rPr>
          <w:rFonts w:ascii="Times New Roman" w:hAnsi="Times New Roman" w:cs="Times New Roman"/>
          <w:b/>
          <w:bCs/>
          <w:sz w:val="24"/>
          <w:szCs w:val="24"/>
        </w:rPr>
        <w:t>2.5.2 The Fisher Effect and Unexpected Inflation</w:t>
      </w:r>
      <w:bookmarkEnd w:id="43"/>
    </w:p>
    <w:p w14:paraId="5ACB1BAA" w14:textId="3F7219CF"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 xml:space="preserve">The Fisher effect assumes that the nominal interest rate will just change in line with what people are expecting of inflation, so that the real return on average is the same with fully-forecasted inflation as it is without inflation. Inflation in an unpredictable and volatile situation, however, is where it becomes very important to differentiate between expected inflation and unexpected inflation. The unanticipated inflation repels resources from creditors to the debtors, which is not what either individuals had agreed to in their financial agreement, thereby reducing the real value </w:t>
      </w:r>
      <w:r w:rsidRPr="000F652A">
        <w:rPr>
          <w:rFonts w:ascii="Times New Roman" w:hAnsi="Times New Roman" w:cs="Times New Roman"/>
        </w:rPr>
        <w:lastRenderedPageBreak/>
        <w:t xml:space="preserve">of the debtors' repayments of fixed-rate loans and influencing the pricing of financial contracts </w:t>
      </w:r>
      <w:r w:rsidR="00B73064">
        <w:rPr>
          <w:rFonts w:ascii="Times New Roman" w:hAnsi="Times New Roman" w:cs="Times New Roman"/>
        </w:rPr>
        <w:fldChar w:fldCharType="begin"/>
      </w:r>
      <w:r w:rsidR="00B73064">
        <w:rPr>
          <w:rFonts w:ascii="Times New Roman" w:hAnsi="Times New Roman" w:cs="Times New Roman"/>
        </w:rPr>
        <w:instrText xml:space="preserve"> ADDIN ZOTERO_ITEM CSL_CITATION {"citationID":"cvrelsMp","properties":{"formattedCitation":"(Amo-Bediako et al., 2023; Chen, 2025)","plainCitation":"(Amo-Bediako et al., 2023; Chen, 2025)","noteIndex":0},"citationItems":[{"id":134,"uris":["http://zotero.org/users/local/VAqELCal/items/7Z87TIRM"],"itemData":{"id":134,"type":"article-journal","container-title":"International Journal of Applied Economics Finance and Accounting","DOI":"10.33094/ijaefa.v17i2.1203","issue":"2","journalAbbreviation":"International Journal of Applied Economics Finance and Accounting","page":"469-482","title":"The Impact of Climate Change on the Resilience of Banking Systems in Selected Sub-Saharan Economies","volume":"17","author":[{"family":"Amo-Bediako","given":"Emmanuel"},{"family":"Takawira","given":"Oliver"},{"family":"Choga","given":"Ireen"}],"issued":{"date-parts":[["2023"]]}}},{"id":25,"uris":["http://zotero.org/users/local/VAqELCal/items/X8GNSA4U"],"itemData":{"id":25,"type":"article-journal","container-title":"International Review of Finance","DOI":"10.1111/irfi.70051","issue":"4","journalAbbreviation":"International Review of Finance","title":"Inflation Uncertainty, Macroprudential Regulations, and Bank Stability: Some Evidence From Emerging Economies","volume":"25","author":[{"family":"Chen","given":"Minghua"}],"issued":{"date-parts":[["2025"]]}}}],"schema":"https://github.com/citation-style-language/schema/raw/master/csl-citation.json"} </w:instrText>
      </w:r>
      <w:r w:rsidR="00B73064">
        <w:rPr>
          <w:rFonts w:ascii="Times New Roman" w:hAnsi="Times New Roman" w:cs="Times New Roman"/>
        </w:rPr>
        <w:fldChar w:fldCharType="separate"/>
      </w:r>
      <w:r w:rsidR="00B73064" w:rsidRPr="00B73064">
        <w:rPr>
          <w:rFonts w:ascii="Times New Roman" w:hAnsi="Times New Roman" w:cs="Times New Roman"/>
        </w:rPr>
        <w:t>(Amo-Bediako et al., 2023; Chen, 2025)</w:t>
      </w:r>
      <w:r w:rsidR="00B73064">
        <w:rPr>
          <w:rFonts w:ascii="Times New Roman" w:hAnsi="Times New Roman" w:cs="Times New Roman"/>
        </w:rPr>
        <w:fldChar w:fldCharType="end"/>
      </w:r>
      <w:r w:rsidRPr="000F652A">
        <w:rPr>
          <w:rFonts w:ascii="Times New Roman" w:hAnsi="Times New Roman" w:cs="Times New Roman"/>
        </w:rPr>
        <w:t>. Using multi-country empirical data from more than 1,600 banks in 33 emerging economies, Chen (2025) reports a strong relationship between inflation uncertainty and bank stability, indicating that uncertainty in the inflation rate has a significant impact on raising bank risk. This is because unexpected inflation can impair the information aspect of nominal prices, making it challenging for banks to price loans appropriately to cover future purchasing power decline</w:t>
      </w:r>
      <w:r w:rsidR="00B73064">
        <w:rPr>
          <w:rFonts w:ascii="Times New Roman" w:hAnsi="Times New Roman" w:cs="Times New Roman"/>
        </w:rPr>
        <w:t xml:space="preserve"> </w:t>
      </w:r>
      <w:r w:rsidR="00B73064">
        <w:rPr>
          <w:rFonts w:ascii="Times New Roman" w:hAnsi="Times New Roman" w:cs="Times New Roman"/>
        </w:rPr>
        <w:fldChar w:fldCharType="begin"/>
      </w:r>
      <w:r w:rsidR="00B73064">
        <w:rPr>
          <w:rFonts w:ascii="Times New Roman" w:hAnsi="Times New Roman" w:cs="Times New Roman"/>
        </w:rPr>
        <w:instrText xml:space="preserve"> ADDIN ZOTERO_ITEM CSL_CITATION {"citationID":"xCm9p0tY","properties":{"formattedCitation":"(Musiita &amp; Kijjambu, 2024)","plainCitation":"(Musiita &amp; Kijjambu, 2024)","noteIndex":0},"citationItems":[{"id":135,"uris":["http://zotero.org/users/local/VAqELCal/items/RJPVG5YA"],"itemData":{"id":135,"type":"article-journal","container-title":"Journal of Economics and Behavioral Studies","DOI":"10.22610/jebs.v16i2(j).3832","issue":"2(J)","journalAbbreviation":"Journal of Economics and Behavioral Studies","page":"1-14","title":"Intersecting Dynamics: The Influence of Macroeconomic Factors and Financial Development on Interest Rate Spreads in Uganda","volume":"16","author":[{"family":"Musiita","given":"Benjamin"},{"family":"Kijjambu","given":"Frederick N."}],"issued":{"date-parts":[["2024"]]}}}],"schema":"https://github.com/citation-style-language/schema/raw/master/csl-citation.json"} </w:instrText>
      </w:r>
      <w:r w:rsidR="00B73064">
        <w:rPr>
          <w:rFonts w:ascii="Times New Roman" w:hAnsi="Times New Roman" w:cs="Times New Roman"/>
        </w:rPr>
        <w:fldChar w:fldCharType="separate"/>
      </w:r>
      <w:r w:rsidR="00B73064" w:rsidRPr="00B73064">
        <w:rPr>
          <w:rFonts w:ascii="Times New Roman" w:hAnsi="Times New Roman" w:cs="Times New Roman"/>
        </w:rPr>
        <w:t>(Musiita &amp; Kijjambu, 2024)</w:t>
      </w:r>
      <w:r w:rsidR="00B73064">
        <w:rPr>
          <w:rFonts w:ascii="Times New Roman" w:hAnsi="Times New Roman" w:cs="Times New Roman"/>
        </w:rPr>
        <w:fldChar w:fldCharType="end"/>
      </w:r>
      <w:r w:rsidRPr="000F652A">
        <w:rPr>
          <w:rFonts w:ascii="Times New Roman" w:hAnsi="Times New Roman" w:cs="Times New Roman"/>
        </w:rPr>
        <w:t>. Amo-Bediako et al. (2023) also point out that “since inflation is the usual measure of macro-economic stability or instability, the higher the inflation rate the greater the uncertainty,” and ““uncertainty injects more into the future projects as the uncertainty increases.” In short, inflation, when it is not in line with expectations, imposes an erratic real burden on debts, leading to higher numbers of debtors unable to pay out due to an insufficient increase in their income streams and causing a decline in the real income of banks' interest income.</w:t>
      </w:r>
    </w:p>
    <w:p w14:paraId="3CF13E05" w14:textId="27163B48" w:rsidR="001E7EE2" w:rsidRPr="0005701A" w:rsidRDefault="0005701A" w:rsidP="00C44A63">
      <w:pPr>
        <w:pStyle w:val="Heading3"/>
        <w:spacing w:line="360" w:lineRule="auto"/>
        <w:jc w:val="both"/>
        <w:rPr>
          <w:rFonts w:ascii="Times New Roman" w:hAnsi="Times New Roman" w:cs="Times New Roman"/>
          <w:b/>
          <w:bCs/>
          <w:sz w:val="24"/>
          <w:szCs w:val="24"/>
        </w:rPr>
      </w:pPr>
      <w:bookmarkStart w:id="44" w:name="_Toc235530872"/>
      <w:r w:rsidRPr="0005701A">
        <w:rPr>
          <w:rFonts w:ascii="Times New Roman" w:hAnsi="Times New Roman" w:cs="Times New Roman"/>
          <w:b/>
          <w:bCs/>
          <w:sz w:val="24"/>
          <w:szCs w:val="24"/>
        </w:rPr>
        <w:t xml:space="preserve">2.5.3 </w:t>
      </w:r>
      <w:r w:rsidR="001E7EE2" w:rsidRPr="0005701A">
        <w:rPr>
          <w:rFonts w:ascii="Times New Roman" w:hAnsi="Times New Roman" w:cs="Times New Roman"/>
          <w:b/>
          <w:bCs/>
          <w:sz w:val="24"/>
          <w:szCs w:val="24"/>
        </w:rPr>
        <w:t>The Balance-Sheet Channel</w:t>
      </w:r>
      <w:bookmarkEnd w:id="44"/>
    </w:p>
    <w:p w14:paraId="51BC011A" w14:textId="283B8801" w:rsidR="001E7EE2" w:rsidRPr="000F652A" w:rsidRDefault="001E7EE2" w:rsidP="00C44A63">
      <w:pPr>
        <w:spacing w:line="360" w:lineRule="auto"/>
        <w:jc w:val="both"/>
        <w:rPr>
          <w:rFonts w:ascii="Times New Roman" w:hAnsi="Times New Roman" w:cs="Times New Roman"/>
        </w:rPr>
      </w:pPr>
      <w:r w:rsidRPr="000F652A">
        <w:rPr>
          <w:rFonts w:ascii="Times New Roman" w:hAnsi="Times New Roman" w:cs="Times New Roman"/>
        </w:rPr>
        <w:t>The balance-sheet channel is a second and supplementary transmission mechanism, where the volatility of inflation directly affects the banking outcomes through borrowers' and banks' loss of net worth. The financial accelerator channel, as made explicit in the financial accelerator literature of Bernanke, Gertler, and Gilchrist but previously used in other contexts, suggests that adverse macroeconomic conditions decrease the value of collateral assets and the net worth of borrowers, cause a covariate adjustment in loan availability, and magnify the initial shock</w:t>
      </w:r>
      <w:r w:rsidR="00B73064">
        <w:rPr>
          <w:rFonts w:ascii="Times New Roman" w:hAnsi="Times New Roman" w:cs="Times New Roman"/>
        </w:rPr>
        <w:t xml:space="preserve"> </w:t>
      </w:r>
      <w:r w:rsidR="00B73064">
        <w:rPr>
          <w:rFonts w:ascii="Times New Roman" w:hAnsi="Times New Roman" w:cs="Times New Roman"/>
        </w:rPr>
        <w:fldChar w:fldCharType="begin"/>
      </w:r>
      <w:r w:rsidR="00B73064">
        <w:rPr>
          <w:rFonts w:ascii="Times New Roman" w:hAnsi="Times New Roman" w:cs="Times New Roman"/>
        </w:rPr>
        <w:instrText xml:space="preserve"> ADDIN ZOTERO_ITEM CSL_CITATION {"citationID":"YLbVLmVa","properties":{"formattedCitation":"(Brunnermeier, 2024; Huh &amp; Kim, 2025)","plainCitation":"(Brunnermeier, 2024; Huh &amp; Kim, 2025)","noteIndex":0},"citationItems":[{"id":138,"uris":["http://zotero.org/users/local/VAqELCal/items/ZGU2KH86"],"itemData":{"id":138,"type":"article-journal","container-title":"The Journal of Finance","DOI":"10.1111/jofi.13403","issue":"6","journalAbbreviation":"The Journal of Finance","page":"3683-3728","title":"Presidential Address: Macrofinance and Resilience","volume":"79","author":[{"family":"Brunnermeier","given":"Markus K."}],"issued":{"date-parts":[["2024"]]}}},{"id":137,"uris":["http://zotero.org/users/local/VAqELCal/items/2HS6DXDW"],"itemData":{"id":137,"type":"article-journal","container-title":"Macroeconomic Dynamics","DOI":"10.1017/s1365100524000713","journalAbbreviation":"Macroeconomic Dynamics","title":"Financial Frictions, Monetary Policy, and the Term Premium","volume":"29","author":[{"family":"Huh","given":"Sungjun"},{"family":"Kim","given":"Insu"}],"issued":{"date-parts":[["2025"]]}}}],"schema":"https://github.com/citation-style-language/schema/raw/master/csl-citation.json"} </w:instrText>
      </w:r>
      <w:r w:rsidR="00B73064">
        <w:rPr>
          <w:rFonts w:ascii="Times New Roman" w:hAnsi="Times New Roman" w:cs="Times New Roman"/>
        </w:rPr>
        <w:fldChar w:fldCharType="separate"/>
      </w:r>
      <w:r w:rsidR="00B73064" w:rsidRPr="00B73064">
        <w:rPr>
          <w:rFonts w:ascii="Times New Roman" w:hAnsi="Times New Roman" w:cs="Times New Roman"/>
        </w:rPr>
        <w:t>(Brunnermeier, 2024; Huh &amp; Kim, 2025)</w:t>
      </w:r>
      <w:r w:rsidR="00B73064">
        <w:rPr>
          <w:rFonts w:ascii="Times New Roman" w:hAnsi="Times New Roman" w:cs="Times New Roman"/>
        </w:rPr>
        <w:fldChar w:fldCharType="end"/>
      </w:r>
      <w:r w:rsidRPr="000F652A">
        <w:rPr>
          <w:rFonts w:ascii="Times New Roman" w:hAnsi="Times New Roman" w:cs="Times New Roman"/>
        </w:rPr>
        <w:t xml:space="preserve">. “The channel of monetary policy that lies in the bank balance sheet is associated with amplification of financial frictions on the impact of structural shocks on key macroeconomic variables which in turn boosts the level of term premiums” says Huh and Kim (2025). </w:t>
      </w:r>
      <w:proofErr w:type="spellStart"/>
      <w:r w:rsidRPr="000F652A">
        <w:rPr>
          <w:rFonts w:ascii="Times New Roman" w:hAnsi="Times New Roman" w:cs="Times New Roman"/>
        </w:rPr>
        <w:t>Brunnermeier</w:t>
      </w:r>
      <w:proofErr w:type="spellEnd"/>
      <w:r w:rsidRPr="000F652A">
        <w:rPr>
          <w:rFonts w:ascii="Times New Roman" w:hAnsi="Times New Roman" w:cs="Times New Roman"/>
        </w:rPr>
        <w:t xml:space="preserve"> (2024) takes this reasoning one step further, suggesting that "additional and persistent risk can lead to several amplification channels," one of which is an increase in the risk premium which “impact their expected net worth dynamics differently” across heterogeneous agents. The balance-sheet channel works as follows: right return shocks to the real value of assets drive up the outside finance premium creditors require and cause the asset value to be less certain </w:t>
      </w:r>
      <w:r w:rsidR="00B73064">
        <w:rPr>
          <w:rFonts w:ascii="Times New Roman" w:hAnsi="Times New Roman" w:cs="Times New Roman"/>
        </w:rPr>
        <w:fldChar w:fldCharType="begin"/>
      </w:r>
      <w:r w:rsidR="00B73064">
        <w:rPr>
          <w:rFonts w:ascii="Times New Roman" w:hAnsi="Times New Roman" w:cs="Times New Roman"/>
        </w:rPr>
        <w:instrText xml:space="preserve"> ADDIN ZOTERO_ITEM CSL_CITATION {"citationID":"NEFu1mrN","properties":{"formattedCitation":"(Brunnermeier, 2024; Huh &amp; Kim, 2025)","plainCitation":"(Brunnermeier, 2024; Huh &amp; Kim, 2025)","noteIndex":0},"citationItems":[{"id":138,"uris":["http://zotero.org/users/local/VAqELCal/items/ZGU2KH86"],"itemData":{"id":138,"type":"article-journal","container-title":"The Journal of Finance","DOI":"10.1111/jofi.13403","issue":"6","journalAbbreviation":"The Journal of Finance","page":"3683-3728","title":"Presidential Address: Macrofinance and Resilience","volume":"79","author":[{"family":"Brunnermeier","given":"Markus K."}],"issued":{"date-parts":[["2024"]]}}},{"id":137,"uris":["http://zotero.org/users/local/VAqELCal/items/2HS6DXDW"],"itemData":{"id":137,"type":"article-journal","container-title":"Macroeconomic Dynamics","DOI":"10.1017/s1365100524000713","journalAbbreviation":"Macroeconomic Dynamics","title":"Financial Frictions, Monetary Policy, and the Term Premium","volume":"29","author":[{"family":"Huh","given":"Sungjun"},{"family":"Kim","given":"Insu"}],"issued":{"date-parts":[["2025"]]}}}],"schema":"https://github.com/citation-style-language/schema/raw/master/csl-citation.json"} </w:instrText>
      </w:r>
      <w:r w:rsidR="00B73064">
        <w:rPr>
          <w:rFonts w:ascii="Times New Roman" w:hAnsi="Times New Roman" w:cs="Times New Roman"/>
        </w:rPr>
        <w:fldChar w:fldCharType="separate"/>
      </w:r>
      <w:r w:rsidR="00B73064" w:rsidRPr="00B73064">
        <w:rPr>
          <w:rFonts w:ascii="Times New Roman" w:hAnsi="Times New Roman" w:cs="Times New Roman"/>
        </w:rPr>
        <w:t>(Brunnermeier, 2024; Huh &amp; Kim, 2025)</w:t>
      </w:r>
      <w:r w:rsidR="00B73064">
        <w:rPr>
          <w:rFonts w:ascii="Times New Roman" w:hAnsi="Times New Roman" w:cs="Times New Roman"/>
        </w:rPr>
        <w:fldChar w:fldCharType="end"/>
      </w:r>
      <w:r w:rsidRPr="000F652A">
        <w:rPr>
          <w:rFonts w:ascii="Times New Roman" w:hAnsi="Times New Roman" w:cs="Times New Roman"/>
        </w:rPr>
        <w:t xml:space="preserve">. Inflation volatility first of all adds to the volatility of banks' earnings and standard deviation of ROA, which means it adversely affects the Z-score that measures the distance from insolvency </w:t>
      </w:r>
      <w:r w:rsidR="00B73064">
        <w:rPr>
          <w:rFonts w:ascii="Times New Roman" w:hAnsi="Times New Roman" w:cs="Times New Roman"/>
        </w:rPr>
        <w:fldChar w:fldCharType="begin"/>
      </w:r>
      <w:r w:rsidR="00B73064">
        <w:rPr>
          <w:rFonts w:ascii="Times New Roman" w:hAnsi="Times New Roman" w:cs="Times New Roman"/>
        </w:rPr>
        <w:instrText xml:space="preserve"> ADDIN ZOTERO_ITEM CSL_CITATION {"citationID":"plVVWpRn","properties":{"formattedCitation":"(Chen, 2025)","plainCitation":"(Chen, 2025)","noteIndex":0},"citationItems":[{"id":25,"uris":["http://zotero.org/users/local/VAqELCal/items/X8GNSA4U"],"itemData":{"id":25,"type":"article-journal","container-title":"International Review of Finance","DOI":"10.1111/irfi.70051","issue":"4","journalAbbreviation":"International Review of Finance","title":"Inflation Uncertainty, Macroprudential Regulations, and Bank Stability: Some Evidence From Emerging Economies","volume":"25","author":[{"family":"Chen","given":"Minghua"}],"issued":{"date-parts":[["2025"]]}}}],"schema":"https://github.com/citation-style-language/schema/raw/master/csl-citation.json"} </w:instrText>
      </w:r>
      <w:r w:rsidR="00B73064">
        <w:rPr>
          <w:rFonts w:ascii="Times New Roman" w:hAnsi="Times New Roman" w:cs="Times New Roman"/>
        </w:rPr>
        <w:fldChar w:fldCharType="separate"/>
      </w:r>
      <w:r w:rsidR="00B73064" w:rsidRPr="00B73064">
        <w:rPr>
          <w:rFonts w:ascii="Times New Roman" w:hAnsi="Times New Roman" w:cs="Times New Roman"/>
        </w:rPr>
        <w:t>(Chen, 2025)</w:t>
      </w:r>
      <w:r w:rsidR="00B73064">
        <w:rPr>
          <w:rFonts w:ascii="Times New Roman" w:hAnsi="Times New Roman" w:cs="Times New Roman"/>
        </w:rPr>
        <w:fldChar w:fldCharType="end"/>
      </w:r>
      <w:r w:rsidR="00B73064">
        <w:rPr>
          <w:rFonts w:ascii="Times New Roman" w:hAnsi="Times New Roman" w:cs="Times New Roman"/>
        </w:rPr>
        <w:t xml:space="preserve"> </w:t>
      </w:r>
      <w:r w:rsidRPr="000F652A">
        <w:rPr>
          <w:rFonts w:ascii="Times New Roman" w:hAnsi="Times New Roman" w:cs="Times New Roman"/>
        </w:rPr>
        <w:t xml:space="preserve">directly. This is a mechanism which is found </w:t>
      </w:r>
      <w:r w:rsidRPr="000F652A">
        <w:rPr>
          <w:rFonts w:ascii="Times New Roman" w:hAnsi="Times New Roman" w:cs="Times New Roman"/>
        </w:rPr>
        <w:lastRenderedPageBreak/>
        <w:t>to be empirically at work by Chen (2025): "Inflation uncertainty causes increased borrower default risk and consequently weakens bank stability, especially in emerging markets where the bank balance sheet is less safe and borrowers can less easily hedge against inflation.</w:t>
      </w:r>
    </w:p>
    <w:p w14:paraId="71802A81" w14:textId="77777777" w:rsidR="001E7EE2" w:rsidRPr="000F652A" w:rsidRDefault="001E7EE2" w:rsidP="00C44A63">
      <w:pPr>
        <w:spacing w:line="360" w:lineRule="auto"/>
        <w:jc w:val="both"/>
        <w:rPr>
          <w:rFonts w:ascii="Times New Roman" w:hAnsi="Times New Roman" w:cs="Times New Roman"/>
        </w:rPr>
      </w:pPr>
    </w:p>
    <w:p w14:paraId="03AB27FC" w14:textId="681B7C39" w:rsidR="005174A3" w:rsidRPr="0005701A" w:rsidRDefault="0005701A" w:rsidP="00C44A63">
      <w:pPr>
        <w:pStyle w:val="Heading3"/>
        <w:spacing w:line="360" w:lineRule="auto"/>
        <w:jc w:val="both"/>
        <w:rPr>
          <w:rFonts w:ascii="Times New Roman" w:hAnsi="Times New Roman" w:cs="Times New Roman"/>
          <w:b/>
          <w:bCs/>
          <w:sz w:val="24"/>
          <w:szCs w:val="24"/>
        </w:rPr>
      </w:pPr>
      <w:bookmarkStart w:id="45" w:name="_Toc235530873"/>
      <w:r w:rsidRPr="0005701A">
        <w:rPr>
          <w:rFonts w:ascii="Times New Roman" w:hAnsi="Times New Roman" w:cs="Times New Roman"/>
          <w:b/>
          <w:bCs/>
          <w:sz w:val="24"/>
          <w:szCs w:val="24"/>
        </w:rPr>
        <w:t>2.5.4</w:t>
      </w:r>
      <w:r>
        <w:rPr>
          <w:rFonts w:ascii="Times New Roman" w:hAnsi="Times New Roman" w:cs="Times New Roman"/>
          <w:b/>
          <w:bCs/>
          <w:sz w:val="24"/>
          <w:szCs w:val="24"/>
        </w:rPr>
        <w:t xml:space="preserve"> </w:t>
      </w:r>
      <w:r w:rsidR="005174A3" w:rsidRPr="0005701A">
        <w:rPr>
          <w:rFonts w:ascii="Times New Roman" w:hAnsi="Times New Roman" w:cs="Times New Roman"/>
          <w:b/>
          <w:bCs/>
          <w:sz w:val="24"/>
          <w:szCs w:val="24"/>
        </w:rPr>
        <w:t>Macro-Financial Vulnerability Logic</w:t>
      </w:r>
      <w:bookmarkEnd w:id="45"/>
    </w:p>
    <w:p w14:paraId="58299EBA" w14:textId="25AE18E5" w:rsidR="005174A3" w:rsidRPr="000F652A" w:rsidRDefault="005174A3" w:rsidP="00C44A63">
      <w:pPr>
        <w:spacing w:line="360" w:lineRule="auto"/>
        <w:jc w:val="both"/>
        <w:rPr>
          <w:rFonts w:ascii="Times New Roman" w:hAnsi="Times New Roman" w:cs="Times New Roman"/>
        </w:rPr>
      </w:pPr>
      <w:r w:rsidRPr="000F652A">
        <w:rPr>
          <w:rFonts w:ascii="Times New Roman" w:hAnsi="Times New Roman" w:cs="Times New Roman"/>
        </w:rPr>
        <w:t xml:space="preserve">The macro-financial vulnerability framework is an all-encompassing approach that builds on the above channels of vulnerability and puts them in context of the macro-economy, where inflation volatility can erode the resilience of the financial system as a whole. </w:t>
      </w:r>
      <w:proofErr w:type="spellStart"/>
      <w:r w:rsidRPr="000F652A">
        <w:rPr>
          <w:rFonts w:ascii="Times New Roman" w:hAnsi="Times New Roman" w:cs="Times New Roman"/>
        </w:rPr>
        <w:t>Brunnermeier</w:t>
      </w:r>
      <w:proofErr w:type="spellEnd"/>
      <w:r w:rsidRPr="000F652A">
        <w:rPr>
          <w:rFonts w:ascii="Times New Roman" w:hAnsi="Times New Roman" w:cs="Times New Roman"/>
        </w:rPr>
        <w:t xml:space="preserve"> (2024) thinks in terms of resilience: "After all, a macroeconomy or financial system could be just as resilient at the level, yet be </w:t>
      </w:r>
      <w:proofErr w:type="spellStart"/>
      <w:r w:rsidRPr="000F652A">
        <w:rPr>
          <w:rFonts w:ascii="Times New Roman" w:hAnsi="Times New Roman" w:cs="Times New Roman"/>
        </w:rPr>
        <w:t>unresilient</w:t>
      </w:r>
      <w:proofErr w:type="spellEnd"/>
      <w:r w:rsidRPr="000F652A">
        <w:rPr>
          <w:rFonts w:ascii="Times New Roman" w:hAnsi="Times New Roman" w:cs="Times New Roman"/>
        </w:rPr>
        <w:t xml:space="preserve"> when it comes to volatility. In this, an inflation anchor is a “resilience enhancer” because it facilitates the monetary policy effectiveness, and a “grant” for monetary policy space to smooth out shocks from</w:t>
      </w:r>
      <w:r w:rsidR="00B73064">
        <w:rPr>
          <w:rFonts w:ascii="Times New Roman" w:hAnsi="Times New Roman" w:cs="Times New Roman"/>
        </w:rPr>
        <w:t xml:space="preserve"> </w:t>
      </w:r>
      <w:r w:rsidR="00B73064">
        <w:rPr>
          <w:rFonts w:ascii="Times New Roman" w:hAnsi="Times New Roman" w:cs="Times New Roman"/>
        </w:rPr>
        <w:fldChar w:fldCharType="begin"/>
      </w:r>
      <w:r w:rsidR="00B73064">
        <w:rPr>
          <w:rFonts w:ascii="Times New Roman" w:hAnsi="Times New Roman" w:cs="Times New Roman"/>
        </w:rPr>
        <w:instrText xml:space="preserve"> ADDIN ZOTERO_ITEM CSL_CITATION {"citationID":"1wOWFmIi","properties":{"formattedCitation":"(Brunnermeier, 2024)","plainCitation":"(Brunnermeier, 2024)","noteIndex":0},"citationItems":[{"id":138,"uris":["http://zotero.org/users/local/VAqELCal/items/ZGU2KH86"],"itemData":{"id":138,"type":"article-journal","container-title":"The Journal of Finance","DOI":"10.1111/jofi.13403","issue":"6","journalAbbreviation":"The Journal of Finance","page":"3683-3728","title":"Presidential Address: Macrofinance and Resilience","volume":"79","author":[{"family":"Brunnermeier","given":"Markus K."}],"issued":{"date-parts":[["2024"]]}}}],"schema":"https://github.com/citation-style-language/schema/raw/master/csl-citation.json"} </w:instrText>
      </w:r>
      <w:r w:rsidR="00B73064">
        <w:rPr>
          <w:rFonts w:ascii="Times New Roman" w:hAnsi="Times New Roman" w:cs="Times New Roman"/>
        </w:rPr>
        <w:fldChar w:fldCharType="separate"/>
      </w:r>
      <w:r w:rsidR="00B73064" w:rsidRPr="00B73064">
        <w:rPr>
          <w:rFonts w:ascii="Times New Roman" w:hAnsi="Times New Roman" w:cs="Times New Roman"/>
        </w:rPr>
        <w:t>(Brunnermeier, 2024)</w:t>
      </w:r>
      <w:r w:rsidR="00B73064">
        <w:rPr>
          <w:rFonts w:ascii="Times New Roman" w:hAnsi="Times New Roman" w:cs="Times New Roman"/>
        </w:rPr>
        <w:fldChar w:fldCharType="end"/>
      </w:r>
      <w:r w:rsidRPr="000F652A">
        <w:rPr>
          <w:rFonts w:ascii="Times New Roman" w:hAnsi="Times New Roman" w:cs="Times New Roman"/>
        </w:rPr>
        <w:t>. In contrast, in situations of high inflation volatility, unanchored inflation expectations (as typical in frontier economies) lead to reduced policy space for the central bank and financial systems are more vulnerable to cascading failures. While macroprudential instruments are shown to be effective in countering this “negative effect on bank stability during inflation uncertainty”, different instruments have different degrees of effectiveness, as reserve requirements, asset-based instruments, and capital buffers appear to be most impactful</w:t>
      </w:r>
      <w:r w:rsidR="00B73064">
        <w:rPr>
          <w:rFonts w:ascii="Times New Roman" w:hAnsi="Times New Roman" w:cs="Times New Roman"/>
        </w:rPr>
        <w:t xml:space="preserve"> </w:t>
      </w:r>
      <w:r w:rsidR="00B73064">
        <w:rPr>
          <w:rFonts w:ascii="Times New Roman" w:hAnsi="Times New Roman" w:cs="Times New Roman"/>
        </w:rPr>
        <w:fldChar w:fldCharType="begin"/>
      </w:r>
      <w:r w:rsidR="00B73064">
        <w:rPr>
          <w:rFonts w:ascii="Times New Roman" w:hAnsi="Times New Roman" w:cs="Times New Roman"/>
        </w:rPr>
        <w:instrText xml:space="preserve"> ADDIN ZOTERO_ITEM CSL_CITATION {"citationID":"wOTM0zgo","properties":{"formattedCitation":"(Chen, 2025)","plainCitation":"(Chen, 2025)","noteIndex":0},"citationItems":[{"id":25,"uris":["http://zotero.org/users/local/VAqELCal/items/X8GNSA4U"],"itemData":{"id":25,"type":"article-journal","container-title":"International Review of Finance","DOI":"10.1111/irfi.70051","issue":"4","journalAbbreviation":"International Review of Finance","title":"Inflation Uncertainty, Macroprudential Regulations, and Bank Stability: Some Evidence From Emerging Economies","volume":"25","author":[{"family":"Chen","given":"Minghua"}],"issued":{"date-parts":[["2025"]]}}}],"schema":"https://github.com/citation-style-language/schema/raw/master/csl-citation.json"} </w:instrText>
      </w:r>
      <w:r w:rsidR="00B73064">
        <w:rPr>
          <w:rFonts w:ascii="Times New Roman" w:hAnsi="Times New Roman" w:cs="Times New Roman"/>
        </w:rPr>
        <w:fldChar w:fldCharType="separate"/>
      </w:r>
      <w:r w:rsidR="00B73064" w:rsidRPr="00B73064">
        <w:rPr>
          <w:rFonts w:ascii="Times New Roman" w:hAnsi="Times New Roman" w:cs="Times New Roman"/>
        </w:rPr>
        <w:t>(Chen, 2025)</w:t>
      </w:r>
      <w:r w:rsidR="00B73064">
        <w:rPr>
          <w:rFonts w:ascii="Times New Roman" w:hAnsi="Times New Roman" w:cs="Times New Roman"/>
        </w:rPr>
        <w:fldChar w:fldCharType="end"/>
      </w:r>
      <w:r w:rsidRPr="000F652A">
        <w:rPr>
          <w:rFonts w:ascii="Times New Roman" w:hAnsi="Times New Roman" w:cs="Times New Roman"/>
        </w:rPr>
        <w:t xml:space="preserve">. Banking systems in sub-Saharan Africa are more vulnerable to macroeconomic shocks depending on the type and the magnitude of the volatility, according to </w:t>
      </w:r>
      <w:r w:rsidR="00B73064">
        <w:rPr>
          <w:rFonts w:ascii="Times New Roman" w:hAnsi="Times New Roman" w:cs="Times New Roman"/>
        </w:rPr>
        <w:fldChar w:fldCharType="begin"/>
      </w:r>
      <w:r w:rsidR="00B73064">
        <w:rPr>
          <w:rFonts w:ascii="Times New Roman" w:hAnsi="Times New Roman" w:cs="Times New Roman"/>
        </w:rPr>
        <w:instrText xml:space="preserve"> ADDIN ZOTERO_ITEM CSL_CITATION {"citationID":"FIS9BDiW","properties":{"formattedCitation":"(Amo-Bediako et al., 2023)","plainCitation":"(Amo-Bediako et al., 2023)","noteIndex":0},"citationItems":[{"id":134,"uris":["http://zotero.org/users/local/VAqELCal/items/7Z87TIRM"],"itemData":{"id":134,"type":"article-journal","container-title":"International Journal of Applied Economics Finance and Accounting","DOI":"10.33094/ijaefa.v17i2.1203","issue":"2","journalAbbreviation":"International Journal of Applied Economics Finance and Accounting","page":"469-482","title":"The Impact of Climate Change on the Resilience of Banking Systems in Selected Sub-Saharan Economies","volume":"17","author":[{"family":"Amo-Bediako","given":"Emmanuel"},{"family":"Takawira","given":"Oliver"},{"family":"Choga","given":"Ireen"}],"issued":{"date-parts":[["2023"]]}}}],"schema":"https://github.com/citation-style-language/schema/raw/master/csl-citation.json"} </w:instrText>
      </w:r>
      <w:r w:rsidR="00B73064">
        <w:rPr>
          <w:rFonts w:ascii="Times New Roman" w:hAnsi="Times New Roman" w:cs="Times New Roman"/>
        </w:rPr>
        <w:fldChar w:fldCharType="separate"/>
      </w:r>
      <w:r w:rsidR="00B73064" w:rsidRPr="00B73064">
        <w:rPr>
          <w:rFonts w:ascii="Times New Roman" w:hAnsi="Times New Roman" w:cs="Times New Roman"/>
        </w:rPr>
        <w:t>(Amo-Bediako et al., 2023)</w:t>
      </w:r>
      <w:r w:rsidR="00B73064">
        <w:rPr>
          <w:rFonts w:ascii="Times New Roman" w:hAnsi="Times New Roman" w:cs="Times New Roman"/>
        </w:rPr>
        <w:fldChar w:fldCharType="end"/>
      </w:r>
      <w:r w:rsidRPr="000F652A">
        <w:rPr>
          <w:rFonts w:ascii="Times New Roman" w:hAnsi="Times New Roman" w:cs="Times New Roman"/>
        </w:rPr>
        <w:t>, who adapt this vulnerability logic for sub-Saharan Africa, demonstrating that credit-rationing and adverse selection effects are larger in a weaker and shallower financial market quality environment.</w:t>
      </w:r>
    </w:p>
    <w:p w14:paraId="35A811AA" w14:textId="2C6CE1B4" w:rsidR="0005701A" w:rsidRPr="0005701A" w:rsidRDefault="0005701A" w:rsidP="00C44A63">
      <w:pPr>
        <w:pStyle w:val="Heading3"/>
        <w:spacing w:line="360" w:lineRule="auto"/>
        <w:jc w:val="both"/>
        <w:rPr>
          <w:rFonts w:ascii="Times New Roman" w:hAnsi="Times New Roman" w:cs="Times New Roman"/>
          <w:b/>
          <w:bCs/>
          <w:sz w:val="24"/>
          <w:szCs w:val="24"/>
        </w:rPr>
      </w:pPr>
      <w:bookmarkStart w:id="46" w:name="_Toc235530874"/>
      <w:r w:rsidRPr="0005701A">
        <w:rPr>
          <w:rFonts w:ascii="Times New Roman" w:hAnsi="Times New Roman" w:cs="Times New Roman"/>
          <w:b/>
          <w:bCs/>
          <w:sz w:val="24"/>
          <w:szCs w:val="24"/>
        </w:rPr>
        <w:t>2.5.5 Synthesis: A Multi-Channel Transmission Framework</w:t>
      </w:r>
      <w:bookmarkEnd w:id="46"/>
    </w:p>
    <w:p w14:paraId="5782FE65" w14:textId="06614057" w:rsidR="005174A3" w:rsidRPr="000F652A" w:rsidRDefault="005174A3" w:rsidP="00C44A63">
      <w:pPr>
        <w:spacing w:line="360" w:lineRule="auto"/>
        <w:jc w:val="both"/>
        <w:rPr>
          <w:rFonts w:ascii="Times New Roman" w:hAnsi="Times New Roman" w:cs="Times New Roman"/>
        </w:rPr>
      </w:pPr>
      <w:r w:rsidRPr="000F652A">
        <w:rPr>
          <w:rFonts w:ascii="Times New Roman" w:hAnsi="Times New Roman" w:cs="Times New Roman"/>
        </w:rPr>
        <w:t xml:space="preserve">These four theoretical transmission pathways represent together a consistent, layered framework to gain understanding on the mechanisms through which inflation volatility affects banking sector stability. Finis, asymmetric information and credit rationing have adverse effects on borrower quality and also induce adverse selection </w:t>
      </w:r>
      <w:r w:rsidR="00B73064">
        <w:rPr>
          <w:rFonts w:ascii="Times New Roman" w:hAnsi="Times New Roman" w:cs="Times New Roman"/>
        </w:rPr>
        <w:fldChar w:fldCharType="begin"/>
      </w:r>
      <w:r w:rsidR="00B73064">
        <w:rPr>
          <w:rFonts w:ascii="Times New Roman" w:hAnsi="Times New Roman" w:cs="Times New Roman"/>
        </w:rPr>
        <w:instrText xml:space="preserve"> ADDIN ZOTERO_ITEM CSL_CITATION {"citationID":"zagEzTDb","properties":{"formattedCitation":"(Amo-Bediako et al., 2023; Musiita &amp; Kijjambu, 2024)","plainCitation":"(Amo-Bediako et al., 2023; Musiita &amp; Kijjambu, 2024)","noteIndex":0},"citationItems":[{"id":134,"uris":["http://zotero.org/users/local/VAqELCal/items/7Z87TIRM"],"itemData":{"id":134,"type":"article-journal","container-title":"International Journal of Applied Economics Finance and Accounting","DOI":"10.33094/ijaefa.v17i2.1203","issue":"2","journalAbbreviation":"International Journal of Applied Economics Finance and Accounting","page":"469-482","title":"The Impact of Climate Change on the Resilience of Banking Systems in Selected Sub-Saharan Economies","volume":"17","author":[{"family":"Amo-Bediako","given":"Emmanuel"},{"family":"Takawira","given":"Oliver"},{"family":"Choga","given":"Ireen"}],"issued":{"date-parts":[["2023"]]}}},{"id":135,"uris":["http://zotero.org/users/local/VAqELCal/items/RJPVG5YA"],"itemData":{"id":135,"type":"article-journal","container-title":"Journal of Economics and Behavioral Studies","DOI":"10.22610/jebs.v16i2(j).3832","issue":"2(J)","journalAbbreviation":"Journal of Economics and Behavioral Studies","page":"1-14","title":"Intersecting Dynamics: The Influence of Macroeconomic Factors and Financial Development on Interest Rate Spreads in Uganda","volume":"16","author":[{"family":"Musiita","given":"Benjamin"},{"family":"Kijjambu","given":"Frederick N."}],"issued":{"date-parts":[["2024"]]}}}],"schema":"https://github.com/citation-style-language/schema/raw/master/csl-citation.json"} </w:instrText>
      </w:r>
      <w:r w:rsidR="00B73064">
        <w:rPr>
          <w:rFonts w:ascii="Times New Roman" w:hAnsi="Times New Roman" w:cs="Times New Roman"/>
        </w:rPr>
        <w:fldChar w:fldCharType="separate"/>
      </w:r>
      <w:r w:rsidR="00B73064" w:rsidRPr="00B73064">
        <w:rPr>
          <w:rFonts w:ascii="Times New Roman" w:hAnsi="Times New Roman" w:cs="Times New Roman"/>
        </w:rPr>
        <w:t>(Amo-Bediako et al., 2023; Musiita &amp; Kijjambu, 2024)</w:t>
      </w:r>
      <w:r w:rsidR="00B73064">
        <w:rPr>
          <w:rFonts w:ascii="Times New Roman" w:hAnsi="Times New Roman" w:cs="Times New Roman"/>
        </w:rPr>
        <w:fldChar w:fldCharType="end"/>
      </w:r>
      <w:r w:rsidRPr="000F652A">
        <w:rPr>
          <w:rFonts w:ascii="Times New Roman" w:hAnsi="Times New Roman" w:cs="Times New Roman"/>
        </w:rPr>
        <w:t xml:space="preserve">. Unexpected inflation contributes to the mispricing of financial contracts and bias in the measurement of real returns, according to the Fisher effect </w:t>
      </w:r>
      <w:r w:rsidR="00B73064">
        <w:rPr>
          <w:rFonts w:ascii="Times New Roman" w:hAnsi="Times New Roman" w:cs="Times New Roman"/>
        </w:rPr>
        <w:fldChar w:fldCharType="begin"/>
      </w:r>
      <w:r w:rsidR="00B73064">
        <w:rPr>
          <w:rFonts w:ascii="Times New Roman" w:hAnsi="Times New Roman" w:cs="Times New Roman"/>
        </w:rPr>
        <w:instrText xml:space="preserve"> ADDIN ZOTERO_ITEM CSL_CITATION {"citationID":"V017QIh0","properties":{"formattedCitation":"(Amo-Bediako et al., 2023; Chen, 2025)","plainCitation":"(Amo-Bediako et al., 2023; Chen, 2025)","noteIndex":0},"citationItems":[{"id":134,"uris":["http://zotero.org/users/local/VAqELCal/items/7Z87TIRM"],"itemData":{"id":134,"type":"article-journal","container-title":"International Journal of Applied Economics Finance and Accounting","DOI":"10.33094/ijaefa.v17i2.1203","issue":"2","journalAbbreviation":"International Journal of Applied Economics Finance and Accounting","page":"469-482","title":"The Impact of Climate Change on the Resilience of Banking Systems in Selected Sub-Saharan Economies","volume":"17","author":[{"family":"Amo-Bediako","given":"Emmanuel"},{"family":"Takawira","given":"Oliver"},{"family":"Choga","given":"Ireen"}],"issued":{"date-parts":[["2023"]]}}},{"id":25,"uris":["http://zotero.org/users/local/VAqELCal/items/X8GNSA4U"],"itemData":{"id":25,"type":"article-journal","container-title":"International Review of Finance","DOI":"10.1111/irfi.70051","issue":"4","journalAbbreviation":"International Review of Finance","title":"Inflation Uncertainty, Macroprudential Regulations, and Bank Stability: Some Evidence From Emerging Economies","volume":"25","author":[{"family":"Chen","given":"Minghua"}],"issued":{"date-parts":[["2025"]]}}}],"schema":"https://github.com/citation-style-language/schema/raw/master/csl-citation.json"} </w:instrText>
      </w:r>
      <w:r w:rsidR="00B73064">
        <w:rPr>
          <w:rFonts w:ascii="Times New Roman" w:hAnsi="Times New Roman" w:cs="Times New Roman"/>
        </w:rPr>
        <w:fldChar w:fldCharType="separate"/>
      </w:r>
      <w:r w:rsidR="00B73064" w:rsidRPr="00B73064">
        <w:rPr>
          <w:rFonts w:ascii="Times New Roman" w:hAnsi="Times New Roman" w:cs="Times New Roman"/>
        </w:rPr>
        <w:t>(Amo-Bediako et al., 2023; Chen, 2025)</w:t>
      </w:r>
      <w:r w:rsidR="00B73064">
        <w:rPr>
          <w:rFonts w:ascii="Times New Roman" w:hAnsi="Times New Roman" w:cs="Times New Roman"/>
        </w:rPr>
        <w:fldChar w:fldCharType="end"/>
      </w:r>
      <w:r w:rsidRPr="000F652A">
        <w:rPr>
          <w:rFonts w:ascii="Times New Roman" w:hAnsi="Times New Roman" w:cs="Times New Roman"/>
        </w:rPr>
        <w:t xml:space="preserve">. The external finance premium and the depreciation of the value of collateral also increase </w:t>
      </w:r>
      <w:r w:rsidRPr="000F652A">
        <w:rPr>
          <w:rFonts w:ascii="Times New Roman" w:hAnsi="Times New Roman" w:cs="Times New Roman"/>
        </w:rPr>
        <w:lastRenderedPageBreak/>
        <w:t>the channel effects of a balance sheet</w:t>
      </w:r>
      <w:r w:rsidR="00B73064">
        <w:rPr>
          <w:rFonts w:ascii="Times New Roman" w:hAnsi="Times New Roman" w:cs="Times New Roman"/>
        </w:rPr>
        <w:t xml:space="preserve"> </w:t>
      </w:r>
      <w:r w:rsidR="00B73064">
        <w:rPr>
          <w:rFonts w:ascii="Times New Roman" w:hAnsi="Times New Roman" w:cs="Times New Roman"/>
        </w:rPr>
        <w:fldChar w:fldCharType="begin"/>
      </w:r>
      <w:r w:rsidR="00B73064">
        <w:rPr>
          <w:rFonts w:ascii="Times New Roman" w:hAnsi="Times New Roman" w:cs="Times New Roman"/>
        </w:rPr>
        <w:instrText xml:space="preserve"> ADDIN ZOTERO_ITEM CSL_CITATION {"citationID":"8NOp29fW","properties":{"formattedCitation":"(Brunnermeier, 2024; Huh &amp; Kim, 2025)","plainCitation":"(Brunnermeier, 2024; Huh &amp; Kim, 2025)","noteIndex":0},"citationItems":[{"id":138,"uris":["http://zotero.org/users/local/VAqELCal/items/ZGU2KH86"],"itemData":{"id":138,"type":"article-journal","container-title":"The Journal of Finance","DOI":"10.1111/jofi.13403","issue":"6","journalAbbreviation":"The Journal of Finance","page":"3683-3728","title":"Presidential Address: Macrofinance and Resilience","volume":"79","author":[{"family":"Brunnermeier","given":"Markus K."}],"issued":{"date-parts":[["2024"]]}}},{"id":137,"uris":["http://zotero.org/users/local/VAqELCal/items/2HS6DXDW"],"itemData":{"id":137,"type":"article-journal","container-title":"Macroeconomic Dynamics","DOI":"10.1017/s1365100524000713","journalAbbreviation":"Macroeconomic Dynamics","title":"Financial Frictions, Monetary Policy, and the Term Premium","volume":"29","author":[{"family":"Huh","given":"Sungjun"},{"family":"Kim","given":"Insu"}],"issued":{"date-parts":[["2025"]]}}}],"schema":"https://github.com/citation-style-language/schema/raw/master/csl-citation.json"} </w:instrText>
      </w:r>
      <w:r w:rsidR="00B73064">
        <w:rPr>
          <w:rFonts w:ascii="Times New Roman" w:hAnsi="Times New Roman" w:cs="Times New Roman"/>
        </w:rPr>
        <w:fldChar w:fldCharType="separate"/>
      </w:r>
      <w:r w:rsidR="00B73064" w:rsidRPr="00B73064">
        <w:rPr>
          <w:rFonts w:ascii="Times New Roman" w:hAnsi="Times New Roman" w:cs="Times New Roman"/>
        </w:rPr>
        <w:t>(Brunnermeier, 2024; Huh &amp; Kim, 2025)</w:t>
      </w:r>
      <w:r w:rsidR="00B73064">
        <w:rPr>
          <w:rFonts w:ascii="Times New Roman" w:hAnsi="Times New Roman" w:cs="Times New Roman"/>
        </w:rPr>
        <w:fldChar w:fldCharType="end"/>
      </w:r>
      <w:r w:rsidRPr="000F652A">
        <w:rPr>
          <w:rFonts w:ascii="Times New Roman" w:hAnsi="Times New Roman" w:cs="Times New Roman"/>
        </w:rPr>
        <w:t>. Added to which, the macro-financial vulnerability logic is at work, as loss of monetary credibility and the closing of a country's policy space add to the overall fragility of the banking system</w:t>
      </w:r>
      <w:r w:rsidR="00B73064">
        <w:rPr>
          <w:rFonts w:ascii="Times New Roman" w:hAnsi="Times New Roman" w:cs="Times New Roman"/>
        </w:rPr>
        <w:t xml:space="preserve"> </w:t>
      </w:r>
      <w:r w:rsidR="00B73064">
        <w:rPr>
          <w:rFonts w:ascii="Times New Roman" w:hAnsi="Times New Roman" w:cs="Times New Roman"/>
        </w:rPr>
        <w:fldChar w:fldCharType="begin"/>
      </w:r>
      <w:r w:rsidR="00B73064">
        <w:rPr>
          <w:rFonts w:ascii="Times New Roman" w:hAnsi="Times New Roman" w:cs="Times New Roman"/>
        </w:rPr>
        <w:instrText xml:space="preserve"> ADDIN ZOTERO_ITEM CSL_CITATION {"citationID":"T58zjlBX","properties":{"formattedCitation":"(Brunnermeier, 2024; Chen, 2025)","plainCitation":"(Brunnermeier, 2024; Chen, 2025)","noteIndex":0},"citationItems":[{"id":138,"uris":["http://zotero.org/users/local/VAqELCal/items/ZGU2KH86"],"itemData":{"id":138,"type":"article-journal","container-title":"The Journal of Finance","DOI":"10.1111/jofi.13403","issue":"6","journalAbbreviation":"The Journal of Finance","page":"3683-3728","title":"Presidential Address: Macrofinance and Resilience","volume":"79","author":[{"family":"Brunnermeier","given":"Markus K."}],"issued":{"date-parts":[["2024"]]}}},{"id":25,"uris":["http://zotero.org/users/local/VAqELCal/items/X8GNSA4U"],"itemData":{"id":25,"type":"article-journal","container-title":"International Review of Finance","DOI":"10.1111/irfi.70051","issue":"4","journalAbbreviation":"International Review of Finance","title":"Inflation Uncertainty, Macroprudential Regulations, and Bank Stability: Some Evidence From Emerging Economies","volume":"25","author":[{"family":"Chen","given":"Minghua"}],"issued":{"date-parts":[["2025"]]}}}],"schema":"https://github.com/citation-style-language/schema/raw/master/csl-citation.json"} </w:instrText>
      </w:r>
      <w:r w:rsidR="00B73064">
        <w:rPr>
          <w:rFonts w:ascii="Times New Roman" w:hAnsi="Times New Roman" w:cs="Times New Roman"/>
        </w:rPr>
        <w:fldChar w:fldCharType="separate"/>
      </w:r>
      <w:r w:rsidR="00B73064" w:rsidRPr="00B73064">
        <w:rPr>
          <w:rFonts w:ascii="Times New Roman" w:hAnsi="Times New Roman" w:cs="Times New Roman"/>
        </w:rPr>
        <w:t>(Brunnermeier, 2024; Chen, 2025)</w:t>
      </w:r>
      <w:r w:rsidR="00B73064">
        <w:rPr>
          <w:rFonts w:ascii="Times New Roman" w:hAnsi="Times New Roman" w:cs="Times New Roman"/>
        </w:rPr>
        <w:fldChar w:fldCharType="end"/>
      </w:r>
      <w:r w:rsidRPr="000F652A">
        <w:rPr>
          <w:rFonts w:ascii="Times New Roman" w:hAnsi="Times New Roman" w:cs="Times New Roman"/>
        </w:rPr>
        <w:t>. The integrated theoretical base offers the analytical framework for the empirical investigation of the differential impact of inflation volatility on banking stability in South Asian and African frontier economies, for which each of the above channels of impact is anticipated to be strong.</w:t>
      </w:r>
    </w:p>
    <w:p w14:paraId="57664CCB" w14:textId="77777777" w:rsidR="005174A3" w:rsidRDefault="005174A3" w:rsidP="00C44A63">
      <w:pPr>
        <w:spacing w:line="360" w:lineRule="auto"/>
        <w:jc w:val="both"/>
      </w:pPr>
    </w:p>
    <w:p w14:paraId="74E9FC9A" w14:textId="5B2533F8" w:rsidR="000F652A" w:rsidRPr="00EB09E0" w:rsidRDefault="000F652A" w:rsidP="00EB09E0">
      <w:pPr>
        <w:pStyle w:val="Heading2"/>
        <w:rPr>
          <w:rFonts w:ascii="Times New Roman" w:hAnsi="Times New Roman" w:cs="Times New Roman"/>
          <w:b/>
          <w:bCs/>
          <w:sz w:val="28"/>
          <w:szCs w:val="28"/>
        </w:rPr>
      </w:pPr>
      <w:bookmarkStart w:id="47" w:name="_Toc235530875"/>
      <w:r w:rsidRPr="00EB09E0">
        <w:rPr>
          <w:rFonts w:ascii="Times New Roman" w:hAnsi="Times New Roman" w:cs="Times New Roman"/>
          <w:b/>
          <w:bCs/>
          <w:sz w:val="28"/>
          <w:szCs w:val="28"/>
        </w:rPr>
        <w:t>2.6 Conceptual Framework and Hypothesis Mapping</w:t>
      </w:r>
      <w:bookmarkEnd w:id="47"/>
    </w:p>
    <w:p w14:paraId="4363DCAD" w14:textId="4CDC7114" w:rsidR="005174A3" w:rsidRPr="000F652A" w:rsidRDefault="005174A3" w:rsidP="00C44A63">
      <w:pPr>
        <w:spacing w:line="360" w:lineRule="auto"/>
        <w:jc w:val="both"/>
        <w:rPr>
          <w:rFonts w:ascii="Times New Roman" w:hAnsi="Times New Roman" w:cs="Times New Roman"/>
        </w:rPr>
      </w:pPr>
      <w:r w:rsidRPr="000F652A">
        <w:rPr>
          <w:rFonts w:ascii="Times New Roman" w:hAnsi="Times New Roman" w:cs="Times New Roman"/>
        </w:rPr>
        <w:t xml:space="preserve">The first half of the paper has argued that inflation volatility has a number of theoretical transmission mechanisms that affect the stability of the banking system, and that frontier economy structural features can increase these effects. The theoretical and empirical literature reviewed is distilled into a single conceptual pathway, focusing the theoretical lens and articulating the causal linkages between the inflation process </w:t>
      </w:r>
      <w:r w:rsidR="0005701A">
        <w:rPr>
          <w:rFonts w:ascii="Times New Roman" w:hAnsi="Times New Roman" w:cs="Times New Roman"/>
        </w:rPr>
        <w:t>and</w:t>
      </w:r>
      <w:r w:rsidRPr="000F652A">
        <w:rPr>
          <w:rFonts w:ascii="Times New Roman" w:hAnsi="Times New Roman" w:cs="Times New Roman"/>
        </w:rPr>
        <w:t xml:space="preserve"> banking stability outcomes as formal hypotheses driving the empirical analysis.</w:t>
      </w:r>
    </w:p>
    <w:p w14:paraId="0B12A603" w14:textId="1FCB261B" w:rsidR="0005701A" w:rsidRPr="0005701A" w:rsidRDefault="0005701A" w:rsidP="00C44A63">
      <w:pPr>
        <w:pStyle w:val="Heading3"/>
        <w:spacing w:line="360" w:lineRule="auto"/>
        <w:jc w:val="both"/>
        <w:rPr>
          <w:rFonts w:ascii="Times New Roman" w:hAnsi="Times New Roman" w:cs="Times New Roman"/>
          <w:b/>
          <w:bCs/>
          <w:sz w:val="24"/>
          <w:szCs w:val="24"/>
        </w:rPr>
      </w:pPr>
      <w:bookmarkStart w:id="48" w:name="_Toc235530876"/>
      <w:r w:rsidRPr="0005701A">
        <w:rPr>
          <w:rFonts w:ascii="Times New Roman" w:hAnsi="Times New Roman" w:cs="Times New Roman"/>
          <w:b/>
          <w:bCs/>
          <w:sz w:val="24"/>
          <w:szCs w:val="24"/>
        </w:rPr>
        <w:t>2.6.1 The Causal Chain: From Inflation Process to Banking Outcomes</w:t>
      </w:r>
      <w:bookmarkEnd w:id="48"/>
    </w:p>
    <w:p w14:paraId="00A89949" w14:textId="77777777" w:rsidR="005174A3" w:rsidRPr="000F652A" w:rsidRDefault="005174A3" w:rsidP="00C44A63">
      <w:pPr>
        <w:spacing w:line="360" w:lineRule="auto"/>
        <w:jc w:val="both"/>
        <w:rPr>
          <w:rFonts w:ascii="Times New Roman" w:hAnsi="Times New Roman" w:cs="Times New Roman"/>
        </w:rPr>
      </w:pPr>
      <w:r w:rsidRPr="000F652A">
        <w:rPr>
          <w:rFonts w:ascii="Times New Roman" w:hAnsi="Times New Roman" w:cs="Times New Roman"/>
        </w:rPr>
        <w:t>The theoretical model of this study assumes that the macroeconomic inflation process is transmitted through a sequence of channels to the stability outcome of the banking sector. The causal chain develops in the following manner:</w:t>
      </w:r>
    </w:p>
    <w:p w14:paraId="5F0D3B17" w14:textId="77777777" w:rsidR="005174A3" w:rsidRPr="000F652A" w:rsidRDefault="005174A3" w:rsidP="00C44A63">
      <w:pPr>
        <w:spacing w:line="360" w:lineRule="auto"/>
        <w:jc w:val="both"/>
        <w:rPr>
          <w:rFonts w:ascii="Times New Roman" w:hAnsi="Times New Roman" w:cs="Times New Roman"/>
        </w:rPr>
      </w:pPr>
      <w:r w:rsidRPr="000F652A">
        <w:rPr>
          <w:rFonts w:ascii="Times New Roman" w:hAnsi="Times New Roman" w:cs="Times New Roman"/>
        </w:rPr>
        <w:t xml:space="preserve">Stage 1: Inflation Process → Inflation Volatility. Structural conditions such as dependence on commodity prices, location of the exchange rate pass-through, the fiscal bias, and the relatively low credibility of monetary policies help determine the process of inflation in frontier economies. Such factors represent a source of not only high inflation rates but also of high and variable inflation volatility – that is, large fluctuations over time in the overall level of prices. As noted by Haile et al. (2025), "high inflation results in the loss of income by consumers and increases credit risk" and "exchange rate volatility poses considerable exchange risk to banks, primarily those that are engaged in foreign currency lending and investment. This means that the inflation process in frontier economies is </w:t>
      </w:r>
      <w:proofErr w:type="spellStart"/>
      <w:r w:rsidRPr="000F652A">
        <w:rPr>
          <w:rFonts w:ascii="Times New Roman" w:hAnsi="Times New Roman" w:cs="Times New Roman"/>
        </w:rPr>
        <w:t>characterised</w:t>
      </w:r>
      <w:proofErr w:type="spellEnd"/>
      <w:r w:rsidRPr="000F652A">
        <w:rPr>
          <w:rFonts w:ascii="Times New Roman" w:hAnsi="Times New Roman" w:cs="Times New Roman"/>
        </w:rPr>
        <w:t xml:space="preserve"> by a volatility signal that differs in nature and is more important than the average inflation rate.</w:t>
      </w:r>
    </w:p>
    <w:p w14:paraId="19A0DCB1" w14:textId="77777777" w:rsidR="005174A3" w:rsidRPr="000F652A" w:rsidRDefault="005174A3" w:rsidP="00C44A63">
      <w:pPr>
        <w:spacing w:line="360" w:lineRule="auto"/>
        <w:jc w:val="both"/>
        <w:rPr>
          <w:rFonts w:ascii="Times New Roman" w:hAnsi="Times New Roman" w:cs="Times New Roman"/>
        </w:rPr>
      </w:pPr>
      <w:r w:rsidRPr="000F652A">
        <w:rPr>
          <w:rFonts w:ascii="Times New Roman" w:hAnsi="Times New Roman" w:cs="Times New Roman"/>
        </w:rPr>
        <w:lastRenderedPageBreak/>
        <w:t>Stage 2: Inflation Volatility, which leads to Uncertainty, Repayment and Asset-Quality Channels. After being created the inflation volatility is communicated to the banking field via three interrelated channels:</w:t>
      </w:r>
    </w:p>
    <w:p w14:paraId="4B3F307E" w14:textId="77777777" w:rsidR="005174A3" w:rsidRPr="000F652A" w:rsidRDefault="005174A3" w:rsidP="00C44A63">
      <w:pPr>
        <w:spacing w:line="360" w:lineRule="auto"/>
        <w:jc w:val="both"/>
        <w:rPr>
          <w:rFonts w:ascii="Times New Roman" w:hAnsi="Times New Roman" w:cs="Times New Roman"/>
        </w:rPr>
      </w:pPr>
      <w:r w:rsidRPr="000F652A">
        <w:rPr>
          <w:rFonts w:ascii="Times New Roman" w:hAnsi="Times New Roman" w:cs="Times New Roman"/>
        </w:rPr>
        <w:t>Asymmetric information and credit-rationing mechanisms discussed in Section 2.5 are used for operation of the uncertainty channel. Financial bonds suffer from a re-balancing premium in the event of higher inflation volatility; inflation volatility also reduces the safety of the banks and leads to adverse selection in credit markets. In their research, Chen (2025) obtains direct evidence for the following: across emerging economies, higher inflation uncertainty significantly increases bank risk; Baum et al. (2020) shows that inflation uncertainty reduces private sector credit availability, adversely affects banks' efficiency and operational performance (measured through returns and the need for banks to rely on non-interest income activities) and harms sectoral stability (measuring banks' appetites for risk, liquidity provision and credit risk). Intermediation's cost is therefore increased by the uncertainty channel, and bank risk adjusted returns are reduced.</w:t>
      </w:r>
    </w:p>
    <w:p w14:paraId="52342278" w14:textId="77777777" w:rsidR="005174A3" w:rsidRPr="000F652A" w:rsidRDefault="005174A3" w:rsidP="00C44A63">
      <w:pPr>
        <w:spacing w:line="360" w:lineRule="auto"/>
        <w:jc w:val="both"/>
        <w:rPr>
          <w:rFonts w:ascii="Times New Roman" w:hAnsi="Times New Roman" w:cs="Times New Roman"/>
        </w:rPr>
      </w:pPr>
      <w:r w:rsidRPr="000F652A">
        <w:rPr>
          <w:rFonts w:ascii="Times New Roman" w:hAnsi="Times New Roman" w:cs="Times New Roman"/>
        </w:rPr>
        <w:t>The repayment channel reflects how volatility, and unpredictability, of inflation impacts borrowers' ability to repay. Volatile inflation can lead to declining real incomes, rising real debt burden (if nominal wages prove sticky) and less certainty of cash flows for both households and companies. According to Msomi (2022), "Inflation has significant impact on non-performing loans of West African commercial banks thus it is imperative to keep the inflation rate low at the economies of West Africa so that non-performing loan can be paid off in a timely fashion and not too expensive." Furi et al. (2022) confirm this for East and Southern Africa, as the inflation rate has a negative influence on the financial fragility indicator; inflationary effects, in combination with NPLs and macroeconomic volatility, contribute to banking fragility. The repayment path then, translates optically, inflation volatility to quality decline in loans.</w:t>
      </w:r>
    </w:p>
    <w:p w14:paraId="351B477C" w14:textId="3AF9198A" w:rsidR="005174A3" w:rsidRPr="000F652A" w:rsidRDefault="005174A3" w:rsidP="00C44A63">
      <w:pPr>
        <w:spacing w:line="360" w:lineRule="auto"/>
        <w:jc w:val="both"/>
        <w:rPr>
          <w:rFonts w:ascii="Times New Roman" w:hAnsi="Times New Roman" w:cs="Times New Roman"/>
        </w:rPr>
      </w:pPr>
      <w:r w:rsidRPr="000F652A">
        <w:rPr>
          <w:rFonts w:ascii="Times New Roman" w:hAnsi="Times New Roman" w:cs="Times New Roman"/>
        </w:rPr>
        <w:lastRenderedPageBreak/>
        <w:t xml:space="preserve"> </w:t>
      </w:r>
      <w:r w:rsidR="000F652A" w:rsidRPr="000F652A">
        <w:rPr>
          <w:rFonts w:ascii="Times New Roman" w:hAnsi="Times New Roman" w:cs="Times New Roman"/>
          <w:noProof/>
        </w:rPr>
        <w:drawing>
          <wp:inline distT="0" distB="0" distL="0" distR="0" wp14:anchorId="0155A239" wp14:editId="4D3D0513">
            <wp:extent cx="4572000" cy="3970020"/>
            <wp:effectExtent l="0" t="0" r="0" b="0"/>
            <wp:docPr id="5600176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017609" name="Picture 560017609"/>
                    <pic:cNvPicPr/>
                  </pic:nvPicPr>
                  <pic:blipFill>
                    <a:blip r:embed="rId12">
                      <a:extLst>
                        <a:ext uri="{28A0092B-C50C-407E-A947-70E740481C1C}">
                          <a14:useLocalDpi xmlns:a14="http://schemas.microsoft.com/office/drawing/2010/main" val="0"/>
                        </a:ext>
                      </a:extLst>
                    </a:blip>
                    <a:stretch>
                      <a:fillRect/>
                    </a:stretch>
                  </pic:blipFill>
                  <pic:spPr>
                    <a:xfrm>
                      <a:off x="0" y="0"/>
                      <a:ext cx="4572000" cy="3970020"/>
                    </a:xfrm>
                    <a:prstGeom prst="rect">
                      <a:avLst/>
                    </a:prstGeom>
                  </pic:spPr>
                </pic:pic>
              </a:graphicData>
            </a:graphic>
          </wp:inline>
        </w:drawing>
      </w:r>
    </w:p>
    <w:p w14:paraId="6F4D84ED" w14:textId="77777777" w:rsidR="005174A3" w:rsidRPr="000F652A" w:rsidRDefault="005174A3" w:rsidP="00C44A63">
      <w:pPr>
        <w:spacing w:line="360" w:lineRule="auto"/>
        <w:jc w:val="both"/>
        <w:rPr>
          <w:rFonts w:ascii="Times New Roman" w:hAnsi="Times New Roman" w:cs="Times New Roman"/>
        </w:rPr>
      </w:pPr>
      <w:r w:rsidRPr="000F652A">
        <w:rPr>
          <w:rFonts w:ascii="Times New Roman" w:hAnsi="Times New Roman" w:cs="Times New Roman"/>
        </w:rPr>
        <w:t xml:space="preserve">The asset-quality channel applies to the sum of uncertainty, and hardship in repayment, and its effects on bank loan portfolios and their value. The volume of non-performing loans increases, provisioning pressures grow and bank capital gets consumed as </w:t>
      </w:r>
      <w:proofErr w:type="gramStart"/>
      <w:r w:rsidRPr="000F652A">
        <w:rPr>
          <w:rFonts w:ascii="Times New Roman" w:hAnsi="Times New Roman" w:cs="Times New Roman"/>
        </w:rPr>
        <w:t>borrowers</w:t>
      </w:r>
      <w:proofErr w:type="gramEnd"/>
      <w:r w:rsidRPr="000F652A">
        <w:rPr>
          <w:rFonts w:ascii="Times New Roman" w:hAnsi="Times New Roman" w:cs="Times New Roman"/>
        </w:rPr>
        <w:t xml:space="preserve"> default in greater numbers and collateral values are more uncertain. </w:t>
      </w:r>
      <w:proofErr w:type="spellStart"/>
      <w:r w:rsidRPr="000F652A">
        <w:rPr>
          <w:rFonts w:ascii="Times New Roman" w:hAnsi="Times New Roman" w:cs="Times New Roman"/>
        </w:rPr>
        <w:t>Awdeh</w:t>
      </w:r>
      <w:proofErr w:type="spellEnd"/>
      <w:r w:rsidRPr="000F652A">
        <w:rPr>
          <w:rFonts w:ascii="Times New Roman" w:hAnsi="Times New Roman" w:cs="Times New Roman"/>
        </w:rPr>
        <w:t xml:space="preserve"> et al. (2024) also agree that high inflation does indeed adversely affect the bank's financial stability and erodes banks' credit risk in MENA economies, and World Development Report (2022) comments that "accurate and timely indicators of loan quality are essential to gauge the overall health of the financial sector", and that the LMICs shows the greatest vulnerability as “a smaller increase in NPLs would deplete capital buffers for a significant share of banking system assets.” The asset-quality channel then represents borrower level stress that breaks into system-level stress.</w:t>
      </w:r>
    </w:p>
    <w:p w14:paraId="0BF17202" w14:textId="77777777" w:rsidR="005174A3" w:rsidRPr="000F652A" w:rsidRDefault="005174A3" w:rsidP="00C44A63">
      <w:pPr>
        <w:spacing w:line="360" w:lineRule="auto"/>
        <w:jc w:val="both"/>
        <w:rPr>
          <w:rFonts w:ascii="Times New Roman" w:hAnsi="Times New Roman" w:cs="Times New Roman"/>
        </w:rPr>
      </w:pPr>
      <w:r w:rsidRPr="000F652A">
        <w:rPr>
          <w:rFonts w:ascii="Times New Roman" w:hAnsi="Times New Roman" w:cs="Times New Roman"/>
        </w:rPr>
        <w:t xml:space="preserve">Stage 3: Channel Effects - Banking Stability Outcomes. The uncertain, repayment, and asset-quality channels combined have a long-lasting adverse effect on banking stability outcomes that is observable. Increased return variability due to higher volatility in inflation has a negative impact on the Z-score, which represents the distance from default, incorporating profitability, capitalization and earnings volatility. As borrowers face distress and the future prospects of assets </w:t>
      </w:r>
      <w:r w:rsidRPr="000F652A">
        <w:rPr>
          <w:rFonts w:ascii="Times New Roman" w:hAnsi="Times New Roman" w:cs="Times New Roman"/>
        </w:rPr>
        <w:lastRenderedPageBreak/>
        <w:t>used to secure loans grow more uncertain, the NPL ratio increases (World Development Report 2022: Finance for an Equitable Recovery, 2022; Msomi, 2022). All these outcomes are combined and, together, they point to a decline in the ability of the banking system to weather additional shocks and, consequently, to the potential for systemic fragility.</w:t>
      </w:r>
    </w:p>
    <w:p w14:paraId="48AF7E95" w14:textId="77777777" w:rsidR="005174A3" w:rsidRPr="000F652A" w:rsidRDefault="005174A3" w:rsidP="00C44A63">
      <w:pPr>
        <w:spacing w:line="360" w:lineRule="auto"/>
        <w:jc w:val="both"/>
        <w:rPr>
          <w:rFonts w:ascii="Times New Roman" w:hAnsi="Times New Roman" w:cs="Times New Roman"/>
        </w:rPr>
      </w:pPr>
    </w:p>
    <w:p w14:paraId="3FF94607" w14:textId="543582CE" w:rsidR="0005701A" w:rsidRPr="0005701A" w:rsidRDefault="0005701A" w:rsidP="00C44A63">
      <w:pPr>
        <w:pStyle w:val="Heading3"/>
        <w:spacing w:line="360" w:lineRule="auto"/>
        <w:jc w:val="both"/>
        <w:rPr>
          <w:rFonts w:ascii="Times New Roman" w:hAnsi="Times New Roman" w:cs="Times New Roman"/>
          <w:b/>
          <w:bCs/>
          <w:sz w:val="24"/>
          <w:szCs w:val="24"/>
        </w:rPr>
      </w:pPr>
      <w:bookmarkStart w:id="49" w:name="_Toc235530877"/>
      <w:r w:rsidRPr="0005701A">
        <w:rPr>
          <w:rFonts w:ascii="Times New Roman" w:hAnsi="Times New Roman" w:cs="Times New Roman"/>
          <w:b/>
          <w:bCs/>
          <w:sz w:val="24"/>
          <w:szCs w:val="24"/>
        </w:rPr>
        <w:t>2.6.2 The Moderating Role of the Macro-Financial Environment</w:t>
      </w:r>
      <w:bookmarkEnd w:id="49"/>
    </w:p>
    <w:p w14:paraId="468425C5" w14:textId="047F004C" w:rsidR="005174A3" w:rsidRPr="000F652A" w:rsidRDefault="005174A3" w:rsidP="00C44A63">
      <w:pPr>
        <w:spacing w:line="360" w:lineRule="auto"/>
        <w:jc w:val="both"/>
        <w:rPr>
          <w:rFonts w:ascii="Times New Roman" w:hAnsi="Times New Roman" w:cs="Times New Roman"/>
        </w:rPr>
      </w:pPr>
      <w:r w:rsidRPr="000F652A">
        <w:rPr>
          <w:rFonts w:ascii="Times New Roman" w:hAnsi="Times New Roman" w:cs="Times New Roman"/>
        </w:rPr>
        <w:t xml:space="preserve">Additionally, it is conceptually acknowledged that the </w:t>
      </w:r>
      <w:proofErr w:type="spellStart"/>
      <w:r w:rsidRPr="000F652A">
        <w:rPr>
          <w:rFonts w:ascii="Times New Roman" w:hAnsi="Times New Roman" w:cs="Times New Roman"/>
        </w:rPr>
        <w:t>inflational</w:t>
      </w:r>
      <w:proofErr w:type="spellEnd"/>
      <w:r w:rsidRPr="000F652A">
        <w:rPr>
          <w:rFonts w:ascii="Times New Roman" w:hAnsi="Times New Roman" w:cs="Times New Roman"/>
        </w:rPr>
        <w:t xml:space="preserve"> volatility-banking stability relationship is dependent on the macro-financial environment in which banks operate. Regulatory buffers, hedging instruments and well-anchored exchange rate and monetary policy expectations partially offset the transmission channels in better institutional environments, less-developed financial markets and less sensitivity to exchange rate fluctuations. As seen in Chen (2025), macroprudential measures, such as reserve requirement ratios, asset-based policies, and capital buffers, show potential to counteract this negative impact and stabilize banks in times of inflation uncertainty. </w:t>
      </w:r>
      <w:proofErr w:type="spellStart"/>
      <w:r w:rsidRPr="000F652A">
        <w:rPr>
          <w:rFonts w:ascii="Times New Roman" w:hAnsi="Times New Roman" w:cs="Times New Roman"/>
        </w:rPr>
        <w:t>Awdeh</w:t>
      </w:r>
      <w:proofErr w:type="spellEnd"/>
      <w:r w:rsidRPr="000F652A">
        <w:rPr>
          <w:rFonts w:ascii="Times New Roman" w:hAnsi="Times New Roman" w:cs="Times New Roman"/>
        </w:rPr>
        <w:t xml:space="preserve"> et al. (2024) also conclude that other factors may mitigate the adverse effect of inflationary pressures on the financial stability of the MENA banks, such as better </w:t>
      </w:r>
      <w:proofErr w:type="spellStart"/>
      <w:r w:rsidRPr="000F652A">
        <w:rPr>
          <w:rFonts w:ascii="Times New Roman" w:hAnsi="Times New Roman" w:cs="Times New Roman"/>
        </w:rPr>
        <w:t>capitalisation</w:t>
      </w:r>
      <w:proofErr w:type="spellEnd"/>
      <w:r w:rsidRPr="000F652A">
        <w:rPr>
          <w:rFonts w:ascii="Times New Roman" w:hAnsi="Times New Roman" w:cs="Times New Roman"/>
        </w:rPr>
        <w:t xml:space="preserve">, higher liquidity buffers, larger asset size, greater market power, foreign ownership, and overall political stability. However, during poorer macro-financial conditions, especially many of the economies in the South Asian and African continental growth markets, the lack of these buffers heightens the negative impact of inflation variability on banking outcomes </w:t>
      </w:r>
      <w:r w:rsidR="00B73064">
        <w:rPr>
          <w:rFonts w:ascii="Times New Roman" w:hAnsi="Times New Roman" w:cs="Times New Roman"/>
        </w:rPr>
        <w:fldChar w:fldCharType="begin"/>
      </w:r>
      <w:r w:rsidR="00B73064">
        <w:rPr>
          <w:rFonts w:ascii="Times New Roman" w:hAnsi="Times New Roman" w:cs="Times New Roman"/>
        </w:rPr>
        <w:instrText xml:space="preserve"> ADDIN ZOTERO_ITEM CSL_CITATION {"citationID":"cbsxtTbw","properties":{"formattedCitation":"(Furi et al., 2022; Haile et al., 2025)","plainCitation":"(Furi et al., 2022; Haile et al., 2025)","noteIndex":0},"citationItems":[{"id":117,"uris":["http://zotero.org/users/local/VAqELCal/items/3UDLAX2L"],"itemData":{"id":117,"type":"article-journal","container-title":"International Journal of Economics Finance and Management Sciences","DOI":"10.11648/j.ijefm.20221002.11","issue":"2","journalAbbreviation":"International Journal of Economics Finance and Management Sciences","page":"37","title":"Determinants of Financial Instability in Selected &amp;Amp;lt;i&amp;gt;East and Southern African&amp;lt;/I&amp;gt; Countries","volume":"10","author":[{"family":"Furi","given":"Temesgen"},{"family":"Mulgeta","given":"Wondafarahu"},{"family":"Chala","given":"Badassa W."}],"issued":{"date-parts":[["2022"]]}}},{"id":36,"uris":["http://zotero.org/users/local/VAqELCal/items/D42C2ZDI"],"itemData":{"id":36,"type":"article-journal","container-title":"Heliyon","DOI":"10.1016/j.heliyon.2024.e41347","issue":"1","journalAbbreviation":"Heliyon","page":"e41347","title":"Does Regulatory Convergence Shape Banking Resilience in Africa?","volume":"11","author":[{"family":"Haile","given":"Minyahil A."},{"family":"Jayamohan","given":"M K."},{"family":"Mulugeta","given":"Wondaferahu"}],"issued":{"date-parts":[["2025"]]}}}],"schema":"https://github.com/citation-style-language/schema/raw/master/csl-citation.json"} </w:instrText>
      </w:r>
      <w:r w:rsidR="00B73064">
        <w:rPr>
          <w:rFonts w:ascii="Times New Roman" w:hAnsi="Times New Roman" w:cs="Times New Roman"/>
        </w:rPr>
        <w:fldChar w:fldCharType="separate"/>
      </w:r>
      <w:r w:rsidR="00B73064" w:rsidRPr="00B73064">
        <w:rPr>
          <w:rFonts w:ascii="Times New Roman" w:hAnsi="Times New Roman" w:cs="Times New Roman"/>
        </w:rPr>
        <w:t>(Furi et al., 2022; Haile et al., 2025)</w:t>
      </w:r>
      <w:r w:rsidR="00B73064">
        <w:rPr>
          <w:rFonts w:ascii="Times New Roman" w:hAnsi="Times New Roman" w:cs="Times New Roman"/>
        </w:rPr>
        <w:fldChar w:fldCharType="end"/>
      </w:r>
      <w:r w:rsidRPr="000F652A">
        <w:rPr>
          <w:rFonts w:ascii="Times New Roman" w:hAnsi="Times New Roman" w:cs="Times New Roman"/>
        </w:rPr>
        <w:t>.</w:t>
      </w:r>
    </w:p>
    <w:p w14:paraId="56A9C384" w14:textId="77777777" w:rsidR="005174A3" w:rsidRPr="000F652A" w:rsidRDefault="005174A3" w:rsidP="00C44A63">
      <w:pPr>
        <w:spacing w:line="360" w:lineRule="auto"/>
        <w:jc w:val="both"/>
        <w:rPr>
          <w:rFonts w:ascii="Times New Roman" w:hAnsi="Times New Roman" w:cs="Times New Roman"/>
        </w:rPr>
      </w:pPr>
    </w:p>
    <w:p w14:paraId="2E4ED156" w14:textId="33F661BC" w:rsidR="005174A3" w:rsidRPr="0005701A" w:rsidRDefault="0005701A" w:rsidP="00C44A63">
      <w:pPr>
        <w:pStyle w:val="Heading3"/>
        <w:spacing w:line="360" w:lineRule="auto"/>
        <w:jc w:val="both"/>
        <w:rPr>
          <w:rFonts w:ascii="Times New Roman" w:hAnsi="Times New Roman" w:cs="Times New Roman"/>
          <w:b/>
          <w:bCs/>
          <w:sz w:val="24"/>
          <w:szCs w:val="24"/>
        </w:rPr>
      </w:pPr>
      <w:bookmarkStart w:id="50" w:name="_Toc235530878"/>
      <w:r w:rsidRPr="0005701A">
        <w:rPr>
          <w:rFonts w:ascii="Times New Roman" w:hAnsi="Times New Roman" w:cs="Times New Roman"/>
          <w:b/>
          <w:bCs/>
          <w:sz w:val="24"/>
          <w:szCs w:val="24"/>
        </w:rPr>
        <w:t xml:space="preserve">2.6.3 </w:t>
      </w:r>
      <w:r w:rsidR="005174A3" w:rsidRPr="0005701A">
        <w:rPr>
          <w:rFonts w:ascii="Times New Roman" w:hAnsi="Times New Roman" w:cs="Times New Roman"/>
          <w:b/>
          <w:bCs/>
          <w:sz w:val="24"/>
          <w:szCs w:val="24"/>
        </w:rPr>
        <w:t>Formal Hypotheses</w:t>
      </w:r>
      <w:bookmarkEnd w:id="50"/>
    </w:p>
    <w:p w14:paraId="20C1AAC2" w14:textId="77777777" w:rsidR="005174A3" w:rsidRPr="000F652A" w:rsidRDefault="005174A3" w:rsidP="00C44A63">
      <w:pPr>
        <w:spacing w:line="360" w:lineRule="auto"/>
        <w:jc w:val="both"/>
        <w:rPr>
          <w:rFonts w:ascii="Times New Roman" w:hAnsi="Times New Roman" w:cs="Times New Roman"/>
        </w:rPr>
      </w:pPr>
      <w:r w:rsidRPr="000F652A">
        <w:rPr>
          <w:rFonts w:ascii="Times New Roman" w:hAnsi="Times New Roman" w:cs="Times New Roman"/>
        </w:rPr>
        <w:t>Based on the above conceptual arguments, the following is the formalization of the hypotheses to guide the empirical study:</w:t>
      </w:r>
    </w:p>
    <w:p w14:paraId="01B01DAD" w14:textId="21CDB2C1" w:rsidR="0005701A" w:rsidRPr="0005701A" w:rsidRDefault="0005701A" w:rsidP="00C44A63">
      <w:pPr>
        <w:spacing w:line="360" w:lineRule="auto"/>
        <w:jc w:val="both"/>
        <w:rPr>
          <w:rFonts w:ascii="Times New Roman" w:hAnsi="Times New Roman" w:cs="Times New Roman"/>
        </w:rPr>
      </w:pPr>
      <w:r w:rsidRPr="0005701A">
        <w:rPr>
          <w:rFonts w:ascii="Times New Roman" w:hAnsi="Times New Roman" w:cs="Times New Roman"/>
        </w:rPr>
        <w:t xml:space="preserve">H1: </w:t>
      </w:r>
      <w:r w:rsidRPr="0005701A">
        <w:rPr>
          <w:rFonts w:ascii="Times New Roman" w:hAnsi="Times New Roman" w:cs="Times New Roman"/>
          <w:i/>
          <w:iCs/>
        </w:rPr>
        <w:t>Higher inflation volatility reduces banking sector stability as measured by the Bank Z-score.</w:t>
      </w:r>
      <w:r w:rsidRPr="0005701A">
        <w:rPr>
          <w:rFonts w:ascii="Times New Roman" w:hAnsi="Times New Roman" w:cs="Times New Roman"/>
        </w:rPr>
        <w:t xml:space="preserve"> This hypothesis follows directly from the uncertainty and asset-quality channels, which predict that volatile inflation compresses risk-adjusted returns, increases earnings variability, and erodes capitalization, thereby reducing the distance from insolvency captured by the Z-score</w:t>
      </w:r>
      <w:r w:rsidR="00B73064">
        <w:rPr>
          <w:rFonts w:ascii="Times New Roman" w:hAnsi="Times New Roman" w:cs="Times New Roman"/>
        </w:rPr>
        <w:t xml:space="preserve"> </w:t>
      </w:r>
      <w:r w:rsidR="00B73064">
        <w:rPr>
          <w:rFonts w:ascii="Times New Roman" w:hAnsi="Times New Roman" w:cs="Times New Roman"/>
        </w:rPr>
        <w:fldChar w:fldCharType="begin"/>
      </w:r>
      <w:r w:rsidR="00B73064">
        <w:rPr>
          <w:rFonts w:ascii="Times New Roman" w:hAnsi="Times New Roman" w:cs="Times New Roman"/>
        </w:rPr>
        <w:instrText xml:space="preserve"> ADDIN ZOTERO_ITEM CSL_CITATION {"citationID":"YveLFbD5","properties":{"formattedCitation":"(Awdeh et al., 2024; Baum et al., 2020; Chen, 2025)","plainCitation":"(Awdeh et al., 2024; Baum et al., 2020; Chen, 2025)","noteIndex":0},"citationItems":[{"id":141,"uris":["http://zotero.org/users/local/VAqELCal/items/8JMT84Q9"],"itemData":{"id":141,"type":"article-journal","container-title":"International Journal of Islamic and Middle Eastern Finance and Management","DOI":"10.1108/imefm-10-2023-0388","issue":"2","journalAbbreviation":"International Journal of Islamic and Middle Eastern Finance and Management","page":"379-399","title":"The Impact of Inflation on Bank Stability: Evidence From the MENA Banks","volume":"17","author":[{"family":"Awdeh","given":"Ali"},{"family":"Moussawi","given":"Chawki E."},{"family":"Hamadi","given":"Hassan"}],"issued":{"date-parts":[["2024"]]}}},{"id":139,"uris":["http://zotero.org/users/local/VAqELCal/items/92G693YB"],"itemData":{"id":139,"type":"article-journal","container-title":"International Journal of Finance &amp; Economics","DOI":"10.1002/ijfe.1983","issue":"3","journalAbbreviation":"International Journal of Finance &amp; Economics","page":"3719-3739","title":"The Impact of Uncertainty on Financial Institutions: A cross‐country Study","volume":"26","author":[{"family":"Baum","given":"Christopher F."},{"family":"Çağlayan","given":"Mustafa"},{"family":"Xu","given":"Bing"}],"issued":{"date-parts":[["2020"]]}}},{"id":25,"uris":["http://zotero.org/users/local/VAqELCal/items/X8GNSA4U"],"itemData":{"id":25,"type":"article-journal","container-title":"International Review of Finance","DOI":"10.1111/irfi.70051","issue":"4","journalAbbreviation":"International Review of Finance","title":"Inflation Uncertainty, Macroprudential Regulations, and Bank Stability: Some Evidence From Emerging Economies","volume":"25","author":[{"family":"Chen","given":"Minghua"}],"issued":{"date-parts":[["2025"]]}}}],"schema":"https://github.com/citation-style-language/schema/raw/master/csl-citation.json"} </w:instrText>
      </w:r>
      <w:r w:rsidR="00B73064">
        <w:rPr>
          <w:rFonts w:ascii="Times New Roman" w:hAnsi="Times New Roman" w:cs="Times New Roman"/>
        </w:rPr>
        <w:fldChar w:fldCharType="separate"/>
      </w:r>
      <w:r w:rsidR="00B73064" w:rsidRPr="00B73064">
        <w:rPr>
          <w:rFonts w:ascii="Times New Roman" w:hAnsi="Times New Roman" w:cs="Times New Roman"/>
        </w:rPr>
        <w:t>(Awdeh et al., 2024; Baum et al., 2020; Chen, 2025)</w:t>
      </w:r>
      <w:r w:rsidR="00B73064">
        <w:rPr>
          <w:rFonts w:ascii="Times New Roman" w:hAnsi="Times New Roman" w:cs="Times New Roman"/>
        </w:rPr>
        <w:fldChar w:fldCharType="end"/>
      </w:r>
      <w:r w:rsidRPr="0005701A">
        <w:rPr>
          <w:rFonts w:ascii="Times New Roman" w:hAnsi="Times New Roman" w:cs="Times New Roman"/>
        </w:rPr>
        <w:t>.</w:t>
      </w:r>
    </w:p>
    <w:p w14:paraId="0E0F4397" w14:textId="11EF4EC3" w:rsidR="001E7EE2" w:rsidRDefault="005174A3" w:rsidP="00C44A63">
      <w:pPr>
        <w:spacing w:line="360" w:lineRule="auto"/>
        <w:jc w:val="both"/>
        <w:rPr>
          <w:rFonts w:ascii="Times New Roman" w:hAnsi="Times New Roman" w:cs="Times New Roman"/>
        </w:rPr>
      </w:pPr>
      <w:r w:rsidRPr="000F652A">
        <w:rPr>
          <w:rFonts w:ascii="Times New Roman" w:hAnsi="Times New Roman" w:cs="Times New Roman"/>
        </w:rPr>
        <w:lastRenderedPageBreak/>
        <w:t>The hypothes</w:t>
      </w:r>
      <w:r w:rsidR="008F5919">
        <w:rPr>
          <w:rFonts w:ascii="Times New Roman" w:hAnsi="Times New Roman" w:cs="Times New Roman"/>
        </w:rPr>
        <w:t>i</w:t>
      </w:r>
      <w:r w:rsidRPr="000F652A">
        <w:rPr>
          <w:rFonts w:ascii="Times New Roman" w:hAnsi="Times New Roman" w:cs="Times New Roman"/>
        </w:rPr>
        <w:t>s represent the operation of the multi-channel approach and offer a framework for testing the above data in the context of the cross-region comparison of banking sector stability and inflation volatility across the South Asian and African countries, allowing for weaker or conditional positive responses on NPLs with respect to inflation volatility in the empirical results.</w:t>
      </w:r>
    </w:p>
    <w:p w14:paraId="4F572934" w14:textId="77777777" w:rsidR="00B21426" w:rsidRPr="00B21426" w:rsidRDefault="00B21426" w:rsidP="00C44A63">
      <w:pPr>
        <w:spacing w:line="360" w:lineRule="auto"/>
        <w:jc w:val="both"/>
        <w:rPr>
          <w:rFonts w:ascii="Times New Roman" w:hAnsi="Times New Roman" w:cs="Times New Roman"/>
          <w:sz w:val="32"/>
          <w:szCs w:val="32"/>
        </w:rPr>
      </w:pPr>
    </w:p>
    <w:p w14:paraId="3D4D2143" w14:textId="77777777" w:rsidR="00B21426" w:rsidRDefault="00B21426" w:rsidP="00C44A63">
      <w:pPr>
        <w:spacing w:line="360" w:lineRule="auto"/>
        <w:jc w:val="both"/>
        <w:rPr>
          <w:rFonts w:ascii="Times New Roman" w:hAnsi="Times New Roman" w:cs="Times New Roman"/>
        </w:rPr>
      </w:pPr>
    </w:p>
    <w:p w14:paraId="0953BCF5" w14:textId="77777777" w:rsidR="00B21426" w:rsidRDefault="00B21426" w:rsidP="00C44A63">
      <w:pPr>
        <w:spacing w:line="360" w:lineRule="auto"/>
        <w:jc w:val="both"/>
        <w:rPr>
          <w:rFonts w:ascii="Times New Roman" w:hAnsi="Times New Roman" w:cs="Times New Roman"/>
        </w:rPr>
      </w:pPr>
    </w:p>
    <w:p w14:paraId="252C56BB" w14:textId="77777777" w:rsidR="008F5919" w:rsidRDefault="008F5919">
      <w:pPr>
        <w:rPr>
          <w:rFonts w:ascii="Times New Roman" w:eastAsiaTheme="majorEastAsia" w:hAnsi="Times New Roman" w:cs="Times New Roman"/>
          <w:b/>
          <w:bCs/>
          <w:color w:val="2F5496" w:themeColor="accent1" w:themeShade="BF"/>
          <w:sz w:val="32"/>
          <w:szCs w:val="32"/>
        </w:rPr>
      </w:pPr>
      <w:r>
        <w:rPr>
          <w:rFonts w:ascii="Times New Roman" w:hAnsi="Times New Roman" w:cs="Times New Roman"/>
          <w:b/>
          <w:bCs/>
          <w:sz w:val="32"/>
          <w:szCs w:val="32"/>
        </w:rPr>
        <w:br w:type="page"/>
      </w:r>
    </w:p>
    <w:p w14:paraId="39FD627F" w14:textId="24AD3DE6" w:rsidR="00B21426" w:rsidRDefault="00B21426" w:rsidP="008F5919">
      <w:pPr>
        <w:pStyle w:val="Heading1"/>
        <w:spacing w:line="360" w:lineRule="auto"/>
        <w:jc w:val="center"/>
        <w:rPr>
          <w:rFonts w:ascii="Times New Roman" w:hAnsi="Times New Roman" w:cs="Times New Roman"/>
          <w:b/>
          <w:bCs/>
          <w:sz w:val="32"/>
          <w:szCs w:val="32"/>
        </w:rPr>
      </w:pPr>
      <w:bookmarkStart w:id="51" w:name="_Toc235530879"/>
      <w:r w:rsidRPr="00B21426">
        <w:rPr>
          <w:rFonts w:ascii="Times New Roman" w:hAnsi="Times New Roman" w:cs="Times New Roman"/>
          <w:b/>
          <w:bCs/>
          <w:sz w:val="32"/>
          <w:szCs w:val="32"/>
        </w:rPr>
        <w:lastRenderedPageBreak/>
        <w:t>C</w:t>
      </w:r>
      <w:r>
        <w:rPr>
          <w:rFonts w:ascii="Times New Roman" w:hAnsi="Times New Roman" w:cs="Times New Roman"/>
          <w:b/>
          <w:bCs/>
          <w:sz w:val="32"/>
          <w:szCs w:val="32"/>
        </w:rPr>
        <w:t>HAPTER</w:t>
      </w:r>
      <w:r w:rsidRPr="00B21426">
        <w:rPr>
          <w:rFonts w:ascii="Times New Roman" w:hAnsi="Times New Roman" w:cs="Times New Roman"/>
          <w:b/>
          <w:bCs/>
          <w:sz w:val="32"/>
          <w:szCs w:val="32"/>
        </w:rPr>
        <w:t xml:space="preserve"> 3: M</w:t>
      </w:r>
      <w:r>
        <w:rPr>
          <w:rFonts w:ascii="Times New Roman" w:hAnsi="Times New Roman" w:cs="Times New Roman"/>
          <w:b/>
          <w:bCs/>
          <w:sz w:val="32"/>
          <w:szCs w:val="32"/>
        </w:rPr>
        <w:t>ETHODOLOGY</w:t>
      </w:r>
      <w:bookmarkEnd w:id="51"/>
    </w:p>
    <w:p w14:paraId="602D50DD" w14:textId="77777777" w:rsidR="00B21426" w:rsidRDefault="00B21426" w:rsidP="00C44A63">
      <w:pPr>
        <w:spacing w:line="360" w:lineRule="auto"/>
        <w:jc w:val="both"/>
      </w:pPr>
    </w:p>
    <w:p w14:paraId="2B0CDE1B" w14:textId="77777777" w:rsidR="00B21426" w:rsidRPr="00B21426" w:rsidRDefault="00B21426" w:rsidP="00C44A63">
      <w:pPr>
        <w:pStyle w:val="Heading2"/>
        <w:spacing w:line="360" w:lineRule="auto"/>
        <w:jc w:val="both"/>
        <w:rPr>
          <w:rFonts w:ascii="Times New Roman" w:hAnsi="Times New Roman" w:cs="Times New Roman"/>
          <w:b/>
          <w:bCs/>
          <w:sz w:val="28"/>
          <w:szCs w:val="28"/>
        </w:rPr>
      </w:pPr>
      <w:bookmarkStart w:id="52" w:name="_Toc235530880"/>
      <w:r w:rsidRPr="00B21426">
        <w:rPr>
          <w:rFonts w:ascii="Times New Roman" w:hAnsi="Times New Roman" w:cs="Times New Roman"/>
          <w:b/>
          <w:bCs/>
          <w:sz w:val="28"/>
          <w:szCs w:val="28"/>
        </w:rPr>
        <w:t>3.1 Research Design and Empirical Strategy</w:t>
      </w:r>
      <w:bookmarkEnd w:id="52"/>
    </w:p>
    <w:p w14:paraId="27B16EBA" w14:textId="5C3CE693"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In this study, the adopted research design is a </w:t>
      </w:r>
      <w:proofErr w:type="gramStart"/>
      <w:r w:rsidRPr="00B21426">
        <w:rPr>
          <w:rFonts w:ascii="Times New Roman" w:hAnsi="Times New Roman" w:cs="Times New Roman"/>
        </w:rPr>
        <w:t>cross country</w:t>
      </w:r>
      <w:proofErr w:type="gramEnd"/>
      <w:r w:rsidRPr="00B21426">
        <w:rPr>
          <w:rFonts w:ascii="Times New Roman" w:hAnsi="Times New Roman" w:cs="Times New Roman"/>
        </w:rPr>
        <w:t xml:space="preserve"> panel research with secondary macro financial data from well-known international data database targeted at frontier economies in south Asian and Sub-Saharan African region. The choice of the comparative group is driven by acknowledging the fact that both regions are structural </w:t>
      </w:r>
      <w:proofErr w:type="spellStart"/>
      <w:r w:rsidRPr="00B21426">
        <w:rPr>
          <w:rFonts w:ascii="Times New Roman" w:hAnsi="Times New Roman" w:cs="Times New Roman"/>
        </w:rPr>
        <w:t>similars</w:t>
      </w:r>
      <w:proofErr w:type="spellEnd"/>
      <w:r w:rsidRPr="00B21426">
        <w:rPr>
          <w:rFonts w:ascii="Times New Roman" w:hAnsi="Times New Roman" w:cs="Times New Roman"/>
        </w:rPr>
        <w:t xml:space="preserve"> that are described as bank-centric and developing financial systems, which suffer from the presence of information asymmetry, underdeveloped capital markets and large macroeconomic shocks</w:t>
      </w:r>
      <w:r w:rsidR="00B73064">
        <w:rPr>
          <w:rFonts w:ascii="Times New Roman" w:hAnsi="Times New Roman" w:cs="Times New Roman"/>
        </w:rPr>
        <w:t xml:space="preserve"> </w:t>
      </w:r>
      <w:r w:rsidR="00B73064">
        <w:rPr>
          <w:rFonts w:ascii="Times New Roman" w:hAnsi="Times New Roman" w:cs="Times New Roman"/>
        </w:rPr>
        <w:fldChar w:fldCharType="begin"/>
      </w:r>
      <w:r w:rsidR="009014B1">
        <w:rPr>
          <w:rFonts w:ascii="Times New Roman" w:hAnsi="Times New Roman" w:cs="Times New Roman"/>
        </w:rPr>
        <w:instrText xml:space="preserve"> ADDIN ZOTERO_ITEM CSL_CITATION {"citationID":"912Nq3AR","properties":{"formattedCitation":"(Banyen, 2021; Rahman et al., 2024)","plainCitation":"(Banyen, 2021; Rahman et al., 2024)","noteIndex":0},"citationItems":[{"id":30,"uris":["http://zotero.org/users/local/VAqELCal/items/3ZHSJA7W"],"itemData":{"id":30,"type":"article-journal","container-title":"Journal of Economic Integration","DOI":"10.11130/jei.2021.36.2.282","issue":"2","journalAbbreviation":"Journal of Economic Integration","page":"282-307","title":"Financial Integration, Competition and Bank Risk-Taking Behavior: Evidence From Africa’s Sub-Regional Markets","volume":"36","author":[{"family":"Banyen","given":"Kannyiri T."}],"issued":{"date-parts":[["2021"]]}}},{"id":424,"uris":["http://zotero.org/users/local/VAqELCal/items/FTBN6DMJ"],"itemData":{"id":424,"type":"article-journal","DOI":"10.21203/rs.3.rs-4882551/v1","title":"Assessing the Impact of Institutional Quality and Financial Stability on Sustainable Development Goal One in Sub-Saharan Africa","author":[{"family":"Rahman","given":"Mohammed M. A."},{"family":"Khan","given":"Asad U. I."},{"family":"Kaplan","given":"Muhittin"}],"issued":{"date-parts":[["2024"]]}}}],"schema":"https://github.com/citation-style-language/schema/raw/master/csl-citation.json"} </w:instrText>
      </w:r>
      <w:r w:rsidR="00B73064">
        <w:rPr>
          <w:rFonts w:ascii="Times New Roman" w:hAnsi="Times New Roman" w:cs="Times New Roman"/>
        </w:rPr>
        <w:fldChar w:fldCharType="separate"/>
      </w:r>
      <w:r w:rsidR="009014B1" w:rsidRPr="009014B1">
        <w:rPr>
          <w:rFonts w:ascii="Times New Roman" w:hAnsi="Times New Roman" w:cs="Times New Roman"/>
        </w:rPr>
        <w:t>(Banyen, 2021; Rahman et al., 2024)</w:t>
      </w:r>
      <w:r w:rsidR="00B73064">
        <w:rPr>
          <w:rFonts w:ascii="Times New Roman" w:hAnsi="Times New Roman" w:cs="Times New Roman"/>
        </w:rPr>
        <w:fldChar w:fldCharType="end"/>
      </w:r>
      <w:r w:rsidRPr="00B21426">
        <w:rPr>
          <w:rFonts w:ascii="Times New Roman" w:hAnsi="Times New Roman" w:cs="Times New Roman"/>
        </w:rPr>
        <w:t>. The banking industries in Sub-Saharan Africa and South Asian economies are commonly vulnerable to shaky macro-economic foundations and external shocks and stresses</w:t>
      </w:r>
      <w:r w:rsidR="009014B1">
        <w:rPr>
          <w:rFonts w:ascii="Times New Roman" w:hAnsi="Times New Roman" w:cs="Times New Roman"/>
        </w:rPr>
        <w:t xml:space="preserve"> </w:t>
      </w:r>
      <w:r w:rsidR="009014B1">
        <w:rPr>
          <w:rFonts w:ascii="Times New Roman" w:hAnsi="Times New Roman" w:cs="Times New Roman"/>
        </w:rPr>
        <w:fldChar w:fldCharType="begin"/>
      </w:r>
      <w:r w:rsidR="009014B1">
        <w:rPr>
          <w:rFonts w:ascii="Times New Roman" w:hAnsi="Times New Roman" w:cs="Times New Roman"/>
        </w:rPr>
        <w:instrText xml:space="preserve"> ADDIN ZOTERO_ITEM CSL_CITATION {"citationID":"5UceMBbi","properties":{"formattedCitation":"(Amo-Bediako et al., 2023)","plainCitation":"(Amo-Bediako et al., 2023)","noteIndex":0},"citationItems":[{"id":134,"uris":["http://zotero.org/users/local/VAqELCal/items/7Z87TIRM"],"itemData":{"id":134,"type":"article-journal","container-title":"International Journal of Applied Economics Finance and Accounting","DOI":"10.33094/ijaefa.v17i2.1203","issue":"2","journalAbbreviation":"International Journal of Applied Economics Finance and Accounting","page":"469-482","title":"The Impact of Climate Change on the Resilience of Banking Systems in Selected Sub-Saharan Economies","volume":"17","author":[{"family":"Amo-Bediako","given":"Emmanuel"},{"family":"Takawira","given":"Oliver"},{"family":"Choga","given":"Ireen"}],"issued":{"date-parts":[["2023"]]}}}],"schema":"https://github.com/citation-style-language/schema/raw/master/csl-citation.json"} </w:instrText>
      </w:r>
      <w:r w:rsidR="009014B1">
        <w:rPr>
          <w:rFonts w:ascii="Times New Roman" w:hAnsi="Times New Roman" w:cs="Times New Roman"/>
        </w:rPr>
        <w:fldChar w:fldCharType="separate"/>
      </w:r>
      <w:r w:rsidR="009014B1" w:rsidRPr="009014B1">
        <w:rPr>
          <w:rFonts w:ascii="Times New Roman" w:hAnsi="Times New Roman" w:cs="Times New Roman"/>
        </w:rPr>
        <w:t>(Amo-Bediako et al., 2023)</w:t>
      </w:r>
      <w:r w:rsidR="009014B1">
        <w:rPr>
          <w:rFonts w:ascii="Times New Roman" w:hAnsi="Times New Roman" w:cs="Times New Roman"/>
        </w:rPr>
        <w:fldChar w:fldCharType="end"/>
      </w:r>
      <w:r w:rsidRPr="00B21426">
        <w:rPr>
          <w:rFonts w:ascii="Times New Roman" w:hAnsi="Times New Roman" w:cs="Times New Roman"/>
        </w:rPr>
        <w:t xml:space="preserve">. The decision to choose countries in those two regions thus offers good grounds for </w:t>
      </w:r>
      <w:proofErr w:type="spellStart"/>
      <w:r w:rsidRPr="00B21426">
        <w:rPr>
          <w:rFonts w:ascii="Times New Roman" w:hAnsi="Times New Roman" w:cs="Times New Roman"/>
        </w:rPr>
        <w:t>analysing</w:t>
      </w:r>
      <w:proofErr w:type="spellEnd"/>
      <w:r w:rsidRPr="00B21426">
        <w:rPr>
          <w:rFonts w:ascii="Times New Roman" w:hAnsi="Times New Roman" w:cs="Times New Roman"/>
        </w:rPr>
        <w:t xml:space="preserve"> whether and how inflation volatility affects banking-sector stability under institutional and monetary-policy conditions.</w:t>
      </w:r>
    </w:p>
    <w:p w14:paraId="5CF1A2E5" w14:textId="7DB72B38" w:rsidR="00B21426" w:rsidRPr="00B21426" w:rsidRDefault="008C267B" w:rsidP="00C44A63">
      <w:pPr>
        <w:spacing w:line="360" w:lineRule="auto"/>
        <w:jc w:val="both"/>
        <w:rPr>
          <w:rFonts w:ascii="Times New Roman" w:hAnsi="Times New Roman" w:cs="Times New Roman"/>
        </w:rPr>
      </w:pPr>
      <w:r>
        <w:rPr>
          <w:rFonts w:ascii="Times New Roman" w:hAnsi="Times New Roman" w:cs="Times New Roman"/>
        </w:rPr>
        <w:t>T</w:t>
      </w:r>
      <w:r w:rsidR="00B21426" w:rsidRPr="00B21426">
        <w:rPr>
          <w:rFonts w:ascii="Times New Roman" w:hAnsi="Times New Roman" w:cs="Times New Roman"/>
        </w:rPr>
        <w:t>his study estimates the effect of inflation volatility on banking stability through a simple panel-data strategy. Fixed Effects and Random Effects estimators are present as they represent a regular and transparent method to analyze a cross-country panel. Fixed Effects control for time-invariant country-specific characteristics and Random Effects provide a method for including country-specific heterogeneity in the error structure. Then a Hausman test is performed to determine which of the two specifications (Fixed or Random Effects) should be used to interpret each of the panel models.</w:t>
      </w:r>
    </w:p>
    <w:p w14:paraId="3D03166A" w14:textId="77777777" w:rsidR="00B21426" w:rsidRPr="00B21426" w:rsidRDefault="00B21426" w:rsidP="00C44A63">
      <w:pPr>
        <w:spacing w:line="360" w:lineRule="auto"/>
        <w:jc w:val="both"/>
        <w:rPr>
          <w:rFonts w:ascii="Times New Roman" w:hAnsi="Times New Roman" w:cs="Times New Roman"/>
        </w:rPr>
      </w:pPr>
    </w:p>
    <w:p w14:paraId="3A7FB793" w14:textId="77777777" w:rsidR="00B21426" w:rsidRPr="00B21426" w:rsidRDefault="00B21426" w:rsidP="00C44A63">
      <w:pPr>
        <w:pStyle w:val="Heading2"/>
        <w:spacing w:line="360" w:lineRule="auto"/>
        <w:jc w:val="both"/>
        <w:rPr>
          <w:rFonts w:ascii="Times New Roman" w:hAnsi="Times New Roman" w:cs="Times New Roman"/>
          <w:b/>
          <w:bCs/>
          <w:sz w:val="28"/>
          <w:szCs w:val="28"/>
        </w:rPr>
      </w:pPr>
      <w:bookmarkStart w:id="53" w:name="_Toc235530881"/>
      <w:r w:rsidRPr="00B21426">
        <w:rPr>
          <w:rFonts w:ascii="Times New Roman" w:hAnsi="Times New Roman" w:cs="Times New Roman"/>
          <w:b/>
          <w:bCs/>
          <w:sz w:val="28"/>
          <w:szCs w:val="28"/>
        </w:rPr>
        <w:t>3.2 Country Selection, Frontier-Economy Classification, and Panel Structure</w:t>
      </w:r>
      <w:bookmarkEnd w:id="53"/>
    </w:p>
    <w:p w14:paraId="50B25ECA" w14:textId="0E89064C"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A systematic two-stage procedure is used in selecting countries to be studied. First step is to identify the economies based on an external and consistent frontier-market definition. In particular, the study relies on S&amp;P's frontier-market indexes that have been widely used in cross-country empirical analysis on frontier economies</w:t>
      </w:r>
      <w:r w:rsidR="009014B1">
        <w:rPr>
          <w:rFonts w:ascii="Times New Roman" w:hAnsi="Times New Roman" w:cs="Times New Roman"/>
        </w:rPr>
        <w:t xml:space="preserve"> </w:t>
      </w:r>
      <w:r w:rsidR="009014B1">
        <w:rPr>
          <w:rFonts w:ascii="Times New Roman" w:hAnsi="Times New Roman" w:cs="Times New Roman"/>
        </w:rPr>
        <w:fldChar w:fldCharType="begin"/>
      </w:r>
      <w:r w:rsidR="009014B1">
        <w:rPr>
          <w:rFonts w:ascii="Times New Roman" w:hAnsi="Times New Roman" w:cs="Times New Roman"/>
        </w:rPr>
        <w:instrText xml:space="preserve"> ADDIN ZOTERO_ITEM CSL_CITATION {"citationID":"NYp1aGas","properties":{"formattedCitation":"(Ababio et al., 2020)","plainCitation":"(Ababio et al., 2020)","noteIndex":0},"citationItems":[{"id":441,"uris":["http://zotero.org/users/local/VAqELCal/items/NVXAUAMZ"],"itemData":{"id":441,"type":"article-journal","container-title":"International Journal of Finance &amp; Economics","DOI":"10.1002/ijfe.1775","issue":"1","journalAbbreviation":"International Journal of Finance &amp; Economics","page":"42-59","title":"Financial Inclusion and Human Development in Frontier Countries","volume":"26","author":[{"family":"Ababio","given":"Josephine O."},{"family":"Attah‐Botchwey","given":"Edward"},{"family":"Osei‐Assibey","given":"Eric"},{"family":"Barnor","given":"Charles"}],"issued":{"date-parts":[["2020"]]}}}],"schema":"https://github.com/citation-style-language/schema/raw/master/csl-citation.json"} </w:instrText>
      </w:r>
      <w:r w:rsidR="009014B1">
        <w:rPr>
          <w:rFonts w:ascii="Times New Roman" w:hAnsi="Times New Roman" w:cs="Times New Roman"/>
        </w:rPr>
        <w:fldChar w:fldCharType="separate"/>
      </w:r>
      <w:r w:rsidR="009014B1" w:rsidRPr="009014B1">
        <w:rPr>
          <w:rFonts w:ascii="Times New Roman" w:hAnsi="Times New Roman" w:cs="Times New Roman"/>
        </w:rPr>
        <w:t>(Ababio et al., 2020)</w:t>
      </w:r>
      <w:r w:rsidR="009014B1">
        <w:rPr>
          <w:rFonts w:ascii="Times New Roman" w:hAnsi="Times New Roman" w:cs="Times New Roman"/>
        </w:rPr>
        <w:fldChar w:fldCharType="end"/>
      </w:r>
      <w:r w:rsidRPr="00B21426">
        <w:rPr>
          <w:rFonts w:ascii="Times New Roman" w:hAnsi="Times New Roman" w:cs="Times New Roman"/>
        </w:rPr>
        <w:t xml:space="preserve">. The </w:t>
      </w:r>
      <w:proofErr w:type="spellStart"/>
      <w:r w:rsidRPr="00B21426">
        <w:rPr>
          <w:rFonts w:ascii="Times New Roman" w:hAnsi="Times New Roman" w:cs="Times New Roman"/>
        </w:rPr>
        <w:t>categorisation</w:t>
      </w:r>
      <w:proofErr w:type="spellEnd"/>
      <w:r w:rsidRPr="00B21426">
        <w:rPr>
          <w:rFonts w:ascii="Times New Roman" w:hAnsi="Times New Roman" w:cs="Times New Roman"/>
        </w:rPr>
        <w:t xml:space="preserve"> is supplemented by the MSCI frontier-market classification, which classifies countries based on market </w:t>
      </w:r>
      <w:r w:rsidRPr="00B21426">
        <w:rPr>
          <w:rFonts w:ascii="Times New Roman" w:hAnsi="Times New Roman" w:cs="Times New Roman"/>
        </w:rPr>
        <w:lastRenderedPageBreak/>
        <w:t>accessibility, size, and liquidity, thus offering a well-defined and externally verified taxonomy that separates frontier economies from emerging and developed markets</w:t>
      </w:r>
      <w:r w:rsidR="009014B1">
        <w:rPr>
          <w:rFonts w:ascii="Times New Roman" w:hAnsi="Times New Roman" w:cs="Times New Roman"/>
        </w:rPr>
        <w:t xml:space="preserve"> </w:t>
      </w:r>
      <w:r w:rsidR="009014B1">
        <w:rPr>
          <w:rFonts w:ascii="Times New Roman" w:hAnsi="Times New Roman" w:cs="Times New Roman"/>
        </w:rPr>
        <w:fldChar w:fldCharType="begin"/>
      </w:r>
      <w:r w:rsidR="009014B1">
        <w:rPr>
          <w:rFonts w:ascii="Times New Roman" w:hAnsi="Times New Roman" w:cs="Times New Roman"/>
        </w:rPr>
        <w:instrText xml:space="preserve"> ADDIN ZOTERO_ITEM CSL_CITATION {"citationID":"YgNNGJvK","properties":{"formattedCitation":"(Sheraliev &amp; \\uc0\\u346{}lepaczuk, 2023)","plainCitation":"(Sheraliev &amp; Ślepaczuk, 2023)","noteIndex":0},"citationItems":[{"id":442,"uris":["http://zotero.org/users/local/VAqELCal/items/7C3ID2B5"],"itemData":{"id":442,"type":"article-journal","container-title":"Central European Economic Journal","DOI":"10.2478/ceej-2023-0006","issue":"57","journalAbbreviation":"Central European Economic Journal","page":"90-115","title":"Cross-Country Differences in Return and Volatility Metrics of World Equity Indices","volume":"10","author":[{"family":"Sheraliev","given":"Iskandar"},{"family":"Ślepaczuk","given":"Robert"}],"issued":{"date-parts":[["2023"]]}}}],"schema":"https://github.com/citation-style-language/schema/raw/master/csl-citation.json"} </w:instrText>
      </w:r>
      <w:r w:rsidR="009014B1">
        <w:rPr>
          <w:rFonts w:ascii="Times New Roman" w:hAnsi="Times New Roman" w:cs="Times New Roman"/>
        </w:rPr>
        <w:fldChar w:fldCharType="separate"/>
      </w:r>
      <w:r w:rsidR="009014B1" w:rsidRPr="009014B1">
        <w:rPr>
          <w:rFonts w:ascii="Times New Roman" w:hAnsi="Times New Roman" w:cs="Times New Roman"/>
          <w:kern w:val="0"/>
        </w:rPr>
        <w:t>(Sheraliev &amp; Ślepaczuk, 2023)</w:t>
      </w:r>
      <w:r w:rsidR="009014B1">
        <w:rPr>
          <w:rFonts w:ascii="Times New Roman" w:hAnsi="Times New Roman" w:cs="Times New Roman"/>
        </w:rPr>
        <w:fldChar w:fldCharType="end"/>
      </w:r>
      <w:r w:rsidRPr="00B21426">
        <w:rPr>
          <w:rFonts w:ascii="Times New Roman" w:hAnsi="Times New Roman" w:cs="Times New Roman"/>
        </w:rPr>
        <w:t>. The UNCTAD Commodities and Development Report also supports the identification of frontier market economies (FMEs) in both regions as it reveals that the range of these includes different World Bank income classifications, such as least developed countries and small island developing states</w:t>
      </w:r>
      <w:r w:rsidR="009014B1">
        <w:rPr>
          <w:rFonts w:ascii="Times New Roman" w:hAnsi="Times New Roman" w:cs="Times New Roman"/>
        </w:rPr>
        <w:t xml:space="preserve"> </w:t>
      </w:r>
      <w:r w:rsidR="009014B1">
        <w:rPr>
          <w:rFonts w:ascii="Times New Roman" w:hAnsi="Times New Roman" w:cs="Times New Roman"/>
        </w:rPr>
        <w:fldChar w:fldCharType="begin"/>
      </w:r>
      <w:r w:rsidR="009014B1">
        <w:rPr>
          <w:rFonts w:ascii="Times New Roman" w:hAnsi="Times New Roman" w:cs="Times New Roman"/>
        </w:rPr>
        <w:instrText xml:space="preserve"> ADDIN ZOTERO_ITEM CSL_CITATION {"citationID":"1BH3TldG","properties":{"formattedCitation":"(Eberhardt &amp; Presbitero, 2021)","plainCitation":"(Eberhardt &amp; Presbitero, 2021)","noteIndex":0},"citationItems":[{"id":18,"uris":["http://zotero.org/users/local/VAqELCal/items/DE54JHC8"],"itemData":{"id":18,"type":"article-journal","container-title":"Journal of International Economics","DOI":"10.1016/j.jinteco.2021.103474","journalAbbreviation":"Journal of International Economics","page":"103474","title":"Commodity Prices and Banking Crises","volume":"131","author":[{"family":"Eberhardt","given":"Markus"},{"family":"Presbitero","given":"Andrea"}],"issued":{"date-parts":[["2021"]]}}}],"schema":"https://github.com/citation-style-language/schema/raw/master/csl-citation.json"} </w:instrText>
      </w:r>
      <w:r w:rsidR="009014B1">
        <w:rPr>
          <w:rFonts w:ascii="Times New Roman" w:hAnsi="Times New Roman" w:cs="Times New Roman"/>
        </w:rPr>
        <w:fldChar w:fldCharType="separate"/>
      </w:r>
      <w:r w:rsidR="009014B1" w:rsidRPr="009014B1">
        <w:rPr>
          <w:rFonts w:ascii="Times New Roman" w:hAnsi="Times New Roman" w:cs="Times New Roman"/>
        </w:rPr>
        <w:t>(Eberhardt &amp; Presbitero, 2021)</w:t>
      </w:r>
      <w:r w:rsidR="009014B1">
        <w:rPr>
          <w:rFonts w:ascii="Times New Roman" w:hAnsi="Times New Roman" w:cs="Times New Roman"/>
        </w:rPr>
        <w:fldChar w:fldCharType="end"/>
      </w:r>
      <w:r w:rsidRPr="00B21426">
        <w:rPr>
          <w:rFonts w:ascii="Times New Roman" w:hAnsi="Times New Roman" w:cs="Times New Roman"/>
        </w:rPr>
        <w:t xml:space="preserve">. Anchoring country selection on these internationally </w:t>
      </w:r>
      <w:proofErr w:type="spellStart"/>
      <w:r w:rsidRPr="00B21426">
        <w:rPr>
          <w:rFonts w:ascii="Times New Roman" w:hAnsi="Times New Roman" w:cs="Times New Roman"/>
        </w:rPr>
        <w:t>recognised</w:t>
      </w:r>
      <w:proofErr w:type="spellEnd"/>
      <w:r w:rsidRPr="00B21426">
        <w:rPr>
          <w:rFonts w:ascii="Times New Roman" w:hAnsi="Times New Roman" w:cs="Times New Roman"/>
        </w:rPr>
        <w:t xml:space="preserve"> classifications by the researchers prevents an ad hoc and/or arbitrary application of grouping, which is a source for sample selection bias in cross-country studies</w:t>
      </w:r>
      <w:r w:rsidR="009014B1">
        <w:rPr>
          <w:rFonts w:ascii="Times New Roman" w:hAnsi="Times New Roman" w:cs="Times New Roman"/>
        </w:rPr>
        <w:t xml:space="preserve"> </w:t>
      </w:r>
      <w:r w:rsidR="009014B1">
        <w:rPr>
          <w:rFonts w:ascii="Times New Roman" w:hAnsi="Times New Roman" w:cs="Times New Roman"/>
        </w:rPr>
        <w:fldChar w:fldCharType="begin"/>
      </w:r>
      <w:r w:rsidR="009014B1">
        <w:rPr>
          <w:rFonts w:ascii="Times New Roman" w:hAnsi="Times New Roman" w:cs="Times New Roman"/>
        </w:rPr>
        <w:instrText xml:space="preserve"> ADDIN ZOTERO_ITEM CSL_CITATION {"citationID":"Dm6ui2qa","properties":{"formattedCitation":"(Zall\\uc0\\u233{}, 2023)","plainCitation":"(Zallé, 2023)","noteIndex":0},"citationItems":[{"id":444,"uris":["http://zotero.org/users/local/VAqELCal/items/DQNC6HZW"],"itemData":{"id":444,"type":"article-journal","container-title":"Journal of Public Finance and Public Choice","DOI":"10.1332/251569121x16817386486785","issue":"2","journalAbbreviation":"Journal of Public Finance and Public Choice","page":"263-289","title":"Financial Inclusion and Tax Effort in Sub-Saharan Africa: The Role of Institutional Quality","volume":"38","author":[{"family":"Zallé","given":"Oumarou"}],"issued":{"date-parts":[["2023"]]}}}],"schema":"https://github.com/citation-style-language/schema/raw/master/csl-citation.json"} </w:instrText>
      </w:r>
      <w:r w:rsidR="009014B1">
        <w:rPr>
          <w:rFonts w:ascii="Times New Roman" w:hAnsi="Times New Roman" w:cs="Times New Roman"/>
        </w:rPr>
        <w:fldChar w:fldCharType="separate"/>
      </w:r>
      <w:r w:rsidR="009014B1" w:rsidRPr="009014B1">
        <w:rPr>
          <w:rFonts w:ascii="Times New Roman" w:hAnsi="Times New Roman" w:cs="Times New Roman"/>
          <w:kern w:val="0"/>
        </w:rPr>
        <w:t>(Zallé, 2023)</w:t>
      </w:r>
      <w:r w:rsidR="009014B1">
        <w:rPr>
          <w:rFonts w:ascii="Times New Roman" w:hAnsi="Times New Roman" w:cs="Times New Roman"/>
        </w:rPr>
        <w:fldChar w:fldCharType="end"/>
      </w:r>
      <w:r w:rsidRPr="00B21426">
        <w:rPr>
          <w:rFonts w:ascii="Times New Roman" w:hAnsi="Times New Roman" w:cs="Times New Roman"/>
        </w:rPr>
        <w:t>.</w:t>
      </w:r>
    </w:p>
    <w:p w14:paraId="65EB43CC" w14:textId="0B32F3B8"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In the second step, the frontier economies those are external classified are intersected with the barriers of data availability. Countries are only kept if they have macro-financial data reasonably near to complete over the study period, from the World Bank's World Development Indicators, the IMF's Financial Development Index Database and the Global Financial Development Database</w:t>
      </w:r>
      <w:r w:rsidR="009014B1">
        <w:rPr>
          <w:rFonts w:ascii="Times New Roman" w:hAnsi="Times New Roman" w:cs="Times New Roman"/>
        </w:rPr>
        <w:t xml:space="preserve"> </w:t>
      </w:r>
      <w:r w:rsidRPr="00B21426">
        <w:rPr>
          <w:rFonts w:ascii="Times New Roman" w:hAnsi="Times New Roman" w:cs="Times New Roman"/>
        </w:rPr>
        <w:t xml:space="preserve"> </w:t>
      </w:r>
      <w:r w:rsidR="009014B1">
        <w:rPr>
          <w:rFonts w:ascii="Times New Roman" w:hAnsi="Times New Roman" w:cs="Times New Roman"/>
        </w:rPr>
        <w:fldChar w:fldCharType="begin"/>
      </w:r>
      <w:r w:rsidR="009014B1">
        <w:rPr>
          <w:rFonts w:ascii="Times New Roman" w:hAnsi="Times New Roman" w:cs="Times New Roman"/>
        </w:rPr>
        <w:instrText xml:space="preserve"> ADDIN ZOTERO_ITEM CSL_CITATION {"citationID":"csbLnNco","properties":{"formattedCitation":"(Malikane &amp; Chomba, 2022)","plainCitation":"(Malikane &amp; Chomba, 2022)","noteIndex":0},"citationItems":[{"id":35,"uris":["http://zotero.org/users/local/VAqELCal/items/VP55QYJC"],"itemData":{"id":35,"type":"article-journal","container-title":"International Journal of Scientific and Management Research","DOI":"10.37502/ijsmr.2022.51013","issue":"10","journalAbbreviation":"International Journal of Scientific and Management Research","page":"184-206","title":"Does Institutional Quality Influence Financial Deepening in Selected African Countries?","volume":"05","author":[{"family":"Malikane","given":"Christopher"},{"family":"Chomba","given":"Haggai"}],"issued":{"date-parts":[["2022"]]}}}],"schema":"https://github.com/citation-style-language/schema/raw/master/csl-citation.json"} </w:instrText>
      </w:r>
      <w:r w:rsidR="009014B1">
        <w:rPr>
          <w:rFonts w:ascii="Times New Roman" w:hAnsi="Times New Roman" w:cs="Times New Roman"/>
        </w:rPr>
        <w:fldChar w:fldCharType="separate"/>
      </w:r>
      <w:r w:rsidR="009014B1" w:rsidRPr="009014B1">
        <w:rPr>
          <w:rFonts w:ascii="Times New Roman" w:hAnsi="Times New Roman" w:cs="Times New Roman"/>
        </w:rPr>
        <w:t>(Malikane &amp; Chomba, 2022)</w:t>
      </w:r>
      <w:r w:rsidR="009014B1">
        <w:rPr>
          <w:rFonts w:ascii="Times New Roman" w:hAnsi="Times New Roman" w:cs="Times New Roman"/>
        </w:rPr>
        <w:fldChar w:fldCharType="end"/>
      </w:r>
      <w:r w:rsidRPr="00B21426">
        <w:rPr>
          <w:rFonts w:ascii="Times New Roman" w:hAnsi="Times New Roman" w:cs="Times New Roman"/>
        </w:rPr>
        <w:t xml:space="preserve">. This is done based on the data available, following the usual procedure in empirical studies where the samples are determined by the availability of the necessary variables </w:t>
      </w:r>
      <w:r w:rsidR="009014B1">
        <w:rPr>
          <w:rFonts w:ascii="Times New Roman" w:hAnsi="Times New Roman" w:cs="Times New Roman"/>
        </w:rPr>
        <w:fldChar w:fldCharType="begin"/>
      </w:r>
      <w:r w:rsidR="009014B1">
        <w:rPr>
          <w:rFonts w:ascii="Times New Roman" w:hAnsi="Times New Roman" w:cs="Times New Roman"/>
        </w:rPr>
        <w:instrText xml:space="preserve"> ADDIN ZOTERO_ITEM CSL_CITATION {"citationID":"7hgUKalG","properties":{"formattedCitation":"(Effiong et al., 2020; Malikane &amp; Chomba, 2022)","plainCitation":"(Effiong et al., 2020; Malikane &amp; Chomba, 2022)","noteIndex":0},"citationItems":[{"id":427,"uris":["http://zotero.org/users/local/VAqELCal/items/99R6YH8K"],"itemData":{"id":427,"type":"article-journal","container-title":"Journal of Social and Economic Development","DOI":"10.1007/s40847-020-00098-x","issue":"1","journalAbbreviation":"Journal of Social and Economic Development","page":"160-181","title":"Financial Development and Monetary Policy Effectiveness in Africa","volume":"22","author":[{"family":"Effiong","given":"Ekpeno L."},{"family":"Esu","given":"Godwin E."},{"family":"Chuku","given":"Chuku"}],"issued":{"date-parts":[["2020"]]}}},{"id":35,"uris":["http://zotero.org/users/local/VAqELCal/items/VP55QYJC"],"itemData":{"id":35,"type":"article-journal","container-title":"International Journal of Scientific and Management Research","DOI":"10.37502/ijsmr.2022.51013","issue":"10","journalAbbreviation":"International Journal of Scientific and Management Research","page":"184-206","title":"Does Institutional Quality Influence Financial Deepening in Selected African Countries?","volume":"05","author":[{"family":"Malikane","given":"Christopher"},{"family":"Chomba","given":"Haggai"}],"issued":{"date-parts":[["2022"]]}}}],"schema":"https://github.com/citation-style-language/schema/raw/master/csl-citation.json"} </w:instrText>
      </w:r>
      <w:r w:rsidR="009014B1">
        <w:rPr>
          <w:rFonts w:ascii="Times New Roman" w:hAnsi="Times New Roman" w:cs="Times New Roman"/>
        </w:rPr>
        <w:fldChar w:fldCharType="separate"/>
      </w:r>
      <w:r w:rsidR="009014B1" w:rsidRPr="009014B1">
        <w:rPr>
          <w:rFonts w:ascii="Times New Roman" w:hAnsi="Times New Roman" w:cs="Times New Roman"/>
        </w:rPr>
        <w:t>(Effiong et al., 2020; Malikane &amp; Chomba, 2022)</w:t>
      </w:r>
      <w:r w:rsidR="009014B1">
        <w:rPr>
          <w:rFonts w:ascii="Times New Roman" w:hAnsi="Times New Roman" w:cs="Times New Roman"/>
        </w:rPr>
        <w:fldChar w:fldCharType="end"/>
      </w:r>
      <w:r w:rsidRPr="00B21426">
        <w:rPr>
          <w:rFonts w:ascii="Times New Roman" w:hAnsi="Times New Roman" w:cs="Times New Roman"/>
        </w:rPr>
        <w:t>. The panel then includes frontier economies that span across South Asia and Sub-Saharan Africa, allowing for valid cross-country, cross-regional comparisons of inflation volatility transmission to banking sector stability.</w:t>
      </w:r>
    </w:p>
    <w:p w14:paraId="0D94CFD7" w14:textId="7771F54A"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The final panel is however imbalanced as some variables and time periods have missing data for some countries. Macro-financial datasets in developing or frontier economies are subject to this, with gaps in the dataset being commonplace as a result of civil conflict, institutional disruption and limitations of statistical capacity</w:t>
      </w:r>
      <w:r w:rsidR="009014B1">
        <w:rPr>
          <w:rFonts w:ascii="Times New Roman" w:hAnsi="Times New Roman" w:cs="Times New Roman"/>
        </w:rPr>
        <w:t xml:space="preserve"> </w:t>
      </w:r>
      <w:r w:rsidR="009014B1">
        <w:rPr>
          <w:rFonts w:ascii="Times New Roman" w:hAnsi="Times New Roman" w:cs="Times New Roman"/>
        </w:rPr>
        <w:fldChar w:fldCharType="begin"/>
      </w:r>
      <w:r w:rsidR="009014B1">
        <w:rPr>
          <w:rFonts w:ascii="Times New Roman" w:hAnsi="Times New Roman" w:cs="Times New Roman"/>
        </w:rPr>
        <w:instrText xml:space="preserve"> ADDIN ZOTERO_ITEM CSL_CITATION {"citationID":"HpKhe2W4","properties":{"formattedCitation":"(Malikane &amp; Chomba, 2022; Ndulu &amp; O\\uc0\\u8217{}Connell, 2021)","plainCitation":"(Malikane &amp; Chomba, 2022; Ndulu &amp; O’Connell, 2021)","noteIndex":0},"citationItems":[{"id":35,"uris":["http://zotero.org/users/local/VAqELCal/items/VP55QYJC"],"itemData":{"id":35,"type":"article-journal","container-title":"International Journal of Scientific and Management Research","DOI":"10.37502/ijsmr.2022.51013","issue":"10","journalAbbreviation":"International Journal of Scientific and Management Research","page":"184-206","title":"Does Institutional Quality Influence Financial Deepening in Selected African Countries?","volume":"05","author":[{"family":"Malikane","given":"Christopher"},{"family":"Chomba","given":"Haggai"}],"issued":{"date-parts":[["2022"]]}}},{"id":447,"uris":["http://zotero.org/users/local/VAqELCal/items/CWJ4X99G"],"itemData":{"id":447,"type":"article-journal","container-title":"Journal of African Economies","DOI":"10.1093/jae/ejab021","issue":"Supplement_1","journalAbbreviation":"Journal of African Economies","page":"i33-i73","title":"Africa’s Development Debts","volume":"30","author":[{"family":"Ndulu","given":"Benno J."},{"family":"O’Connell","given":"Stephen A."}],"issued":{"date-parts":[["2021"]]}}}],"schema":"https://github.com/citation-style-language/schema/raw/master/csl-citation.json"} </w:instrText>
      </w:r>
      <w:r w:rsidR="009014B1">
        <w:rPr>
          <w:rFonts w:ascii="Times New Roman" w:hAnsi="Times New Roman" w:cs="Times New Roman"/>
        </w:rPr>
        <w:fldChar w:fldCharType="separate"/>
      </w:r>
      <w:r w:rsidR="009014B1" w:rsidRPr="009014B1">
        <w:rPr>
          <w:rFonts w:ascii="Times New Roman" w:hAnsi="Times New Roman" w:cs="Times New Roman"/>
          <w:kern w:val="0"/>
        </w:rPr>
        <w:t>(Malikane &amp; Chomba, 2022; Ndulu &amp; O’Connell, 2021)</w:t>
      </w:r>
      <w:r w:rsidR="009014B1">
        <w:rPr>
          <w:rFonts w:ascii="Times New Roman" w:hAnsi="Times New Roman" w:cs="Times New Roman"/>
        </w:rPr>
        <w:fldChar w:fldCharType="end"/>
      </w:r>
      <w:r w:rsidRPr="00B21426">
        <w:rPr>
          <w:rFonts w:ascii="Times New Roman" w:hAnsi="Times New Roman" w:cs="Times New Roman"/>
        </w:rPr>
        <w:t>. Unbalanced panel can be used methodologically when obtaining Fixed Effects and Random Effects estimates, although the number of observations and the number of countries included across each specification of the model should be reported and imputation should not be used excessively.</w:t>
      </w:r>
    </w:p>
    <w:p w14:paraId="20F61FB5" w14:textId="77777777" w:rsidR="00B21426" w:rsidRPr="00B21426" w:rsidRDefault="00B21426" w:rsidP="00C44A63">
      <w:pPr>
        <w:spacing w:line="360" w:lineRule="auto"/>
        <w:jc w:val="both"/>
        <w:rPr>
          <w:rFonts w:ascii="Times New Roman" w:hAnsi="Times New Roman" w:cs="Times New Roman"/>
        </w:rPr>
      </w:pPr>
    </w:p>
    <w:p w14:paraId="1D2B29DD" w14:textId="77777777" w:rsidR="00B21426" w:rsidRPr="00B21426" w:rsidRDefault="00B21426" w:rsidP="00C44A63">
      <w:pPr>
        <w:spacing w:line="360" w:lineRule="auto"/>
        <w:jc w:val="both"/>
        <w:rPr>
          <w:rFonts w:ascii="Times New Roman" w:hAnsi="Times New Roman" w:cs="Times New Roman"/>
        </w:rPr>
      </w:pPr>
    </w:p>
    <w:p w14:paraId="1BF1C539" w14:textId="77777777" w:rsidR="00B21426" w:rsidRPr="00B21426" w:rsidRDefault="00B21426" w:rsidP="00C44A63">
      <w:pPr>
        <w:pStyle w:val="Heading2"/>
        <w:spacing w:line="360" w:lineRule="auto"/>
        <w:jc w:val="both"/>
        <w:rPr>
          <w:rFonts w:ascii="Times New Roman" w:hAnsi="Times New Roman" w:cs="Times New Roman"/>
          <w:b/>
          <w:bCs/>
          <w:sz w:val="28"/>
          <w:szCs w:val="28"/>
        </w:rPr>
      </w:pPr>
      <w:bookmarkStart w:id="54" w:name="_Toc235530882"/>
      <w:r w:rsidRPr="00B21426">
        <w:rPr>
          <w:rFonts w:ascii="Times New Roman" w:hAnsi="Times New Roman" w:cs="Times New Roman"/>
          <w:b/>
          <w:bCs/>
          <w:sz w:val="28"/>
          <w:szCs w:val="28"/>
        </w:rPr>
        <w:lastRenderedPageBreak/>
        <w:t>3.3 Data Sources, Sample Windows and Coverage Logic</w:t>
      </w:r>
      <w:bookmarkEnd w:id="54"/>
    </w:p>
    <w:p w14:paraId="2527EF8E" w14:textId="7C25CB0D"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The macro-financial data used in this study are primarily sourced from the World Development Indicators (WDI) and the Global Financial Development Database (GFDD) and are the most extensive ones available in the public domain for cross-country banking and macroeconomic indicators as it concerns developing countries</w:t>
      </w:r>
      <w:r w:rsidR="009014B1">
        <w:rPr>
          <w:rFonts w:ascii="Times New Roman" w:hAnsi="Times New Roman" w:cs="Times New Roman"/>
        </w:rPr>
        <w:t xml:space="preserve"> </w:t>
      </w:r>
      <w:r w:rsidR="009014B1">
        <w:rPr>
          <w:rFonts w:ascii="Times New Roman" w:hAnsi="Times New Roman" w:cs="Times New Roman"/>
        </w:rPr>
        <w:fldChar w:fldCharType="begin"/>
      </w:r>
      <w:r w:rsidR="00FB1A2D">
        <w:rPr>
          <w:rFonts w:ascii="Times New Roman" w:hAnsi="Times New Roman" w:cs="Times New Roman"/>
        </w:rPr>
        <w:instrText xml:space="preserve"> ADDIN ZOTERO_ITEM CSL_CITATION {"citationID":"fIR1b2j6","properties":{"formattedCitation":"(Abaidoo &amp; Agyapong, 2023; Kulu &amp; Osei, 2023)","plainCitation":"(Abaidoo &amp; Agyapong, 2023; Kulu &amp; Osei, 2023)","noteIndex":0},"citationItems":[{"id":445,"uris":["http://zotero.org/users/local/VAqELCal/items/XTJF743G"],"itemData":{"id":445,"type":"article-journal","container-title":"Journal of Economics and Development","DOI":"10.1108/jed-09-2022-0166","issue":"2","journalAbbreviation":"Journal of Economics and Development","page":"134-152","title":"Inflation Uncertainty, Macroeconomic Instability and the Efficiency of Financial Institutions","volume":"25","author":[{"family":"Abaidoo","given":"Rexford"},{"family":"Agyapong","given":"Elvis K."}],"issued":{"date-parts":[["2023"]]}}},{"id":466,"uris":["http://zotero.org/users/local/VAqELCal/items/ASBIK7GT"],"itemData":{"id":466,"type":"article-journal","container-title":"Journal of Financial Economic Policy","DOI":"10.1108/jfep-07-2023-0184","issue":"1","journalAbbreviation":"Journal of Financial Economic Policy","page":"19-33","title":"Drivers of Financial Stability Gap: Evidence From Sub-Saharan Africa","volume":"16","author":[{"family":"Kulu","given":"Evans"},{"family":"Osei","given":"Bismark"}],"issued":{"date-parts":[["2023"]]}}}],"schema":"https://github.com/citation-style-language/schema/raw/master/csl-citation.json"} </w:instrText>
      </w:r>
      <w:r w:rsidR="009014B1">
        <w:rPr>
          <w:rFonts w:ascii="Times New Roman" w:hAnsi="Times New Roman" w:cs="Times New Roman"/>
        </w:rPr>
        <w:fldChar w:fldCharType="separate"/>
      </w:r>
      <w:r w:rsidR="00FB1A2D" w:rsidRPr="00FB1A2D">
        <w:rPr>
          <w:rFonts w:ascii="Times New Roman" w:hAnsi="Times New Roman" w:cs="Times New Roman"/>
        </w:rPr>
        <w:t>(Abaidoo &amp; Agyapong, 2023; Kulu &amp; Osei, 2023)</w:t>
      </w:r>
      <w:r w:rsidR="009014B1">
        <w:rPr>
          <w:rFonts w:ascii="Times New Roman" w:hAnsi="Times New Roman" w:cs="Times New Roman"/>
        </w:rPr>
        <w:fldChar w:fldCharType="end"/>
      </w:r>
      <w:r w:rsidRPr="00B21426">
        <w:rPr>
          <w:rFonts w:ascii="Times New Roman" w:hAnsi="Times New Roman" w:cs="Times New Roman"/>
        </w:rPr>
        <w:t>. The WDI offers selected macroeconomic indicators, such as consumer price inflation, GDP growth, and broad money supply, and the GFDD presents financial indicators for the banking sector such as the bank Z-score, non-performing loans (NPL) ratio, bank concentration and regulatory capital ratios</w:t>
      </w:r>
      <w:r w:rsidR="00FB1A2D">
        <w:rPr>
          <w:rFonts w:ascii="Times New Roman" w:hAnsi="Times New Roman" w:cs="Times New Roman"/>
        </w:rPr>
        <w:t xml:space="preserve"> </w:t>
      </w:r>
      <w:r w:rsidR="00FB1A2D">
        <w:rPr>
          <w:rFonts w:ascii="Times New Roman" w:hAnsi="Times New Roman" w:cs="Times New Roman"/>
        </w:rPr>
        <w:fldChar w:fldCharType="begin"/>
      </w:r>
      <w:r w:rsidR="00FB1A2D">
        <w:rPr>
          <w:rFonts w:ascii="Times New Roman" w:hAnsi="Times New Roman" w:cs="Times New Roman"/>
        </w:rPr>
        <w:instrText xml:space="preserve"> ADDIN ZOTERO_ITEM CSL_CITATION {"citationID":"VUKel9GP","properties":{"formattedCitation":"(Kulu &amp; Osei, 2023; Saliba et al., 2023)","plainCitation":"(Kulu &amp; Osei, 2023; Saliba et al., 2023)","noteIndex":0},"citationItems":[{"id":466,"uris":["http://zotero.org/users/local/VAqELCal/items/ASBIK7GT"],"itemData":{"id":466,"type":"article-journal","container-title":"Journal of Financial Economic Policy","DOI":"10.1108/jfep-07-2023-0184","issue":"1","journalAbbreviation":"Journal of Financial Economic Policy","page":"19-33","title":"Drivers of Financial Stability Gap: Evidence From Sub-Saharan Africa","volume":"16","author":[{"family":"Kulu","given":"Evans"},{"family":"Osei","given":"Bismark"}],"issued":{"date-parts":[["2023"]]}}},{"id":122,"uris":["http://zotero.org/users/local/VAqELCal/items/ZU5RP9IR"],"itemData":{"id":122,"type":"article-journal","container-title":"Financial Innovation","DOI":"10.1186/s40854-023-00494-2","issue":"1","journalAbbreviation":"Financial Innovation","title":"Does Country Risk Impact the Banking Sectors’ Non-Performing Loans? Evidence From BRICS Emerging Economies","volume":"9","author":[{"family":"Saliba","given":"Chafic"},{"family":"Farmanesh","given":"Panteha"},{"family":"Athari","given":"Seyed A."}],"issued":{"date-parts":[["2023"]]}}}],"schema":"https://github.com/citation-style-language/schema/raw/master/csl-citation.json"} </w:instrText>
      </w:r>
      <w:r w:rsidR="00FB1A2D">
        <w:rPr>
          <w:rFonts w:ascii="Times New Roman" w:hAnsi="Times New Roman" w:cs="Times New Roman"/>
        </w:rPr>
        <w:fldChar w:fldCharType="separate"/>
      </w:r>
      <w:r w:rsidR="00FB1A2D" w:rsidRPr="00FB1A2D">
        <w:rPr>
          <w:rFonts w:ascii="Times New Roman" w:hAnsi="Times New Roman" w:cs="Times New Roman"/>
        </w:rPr>
        <w:t>(Kulu &amp; Osei, 2023; Saliba et al., 2023)</w:t>
      </w:r>
      <w:r w:rsidR="00FB1A2D">
        <w:rPr>
          <w:rFonts w:ascii="Times New Roman" w:hAnsi="Times New Roman" w:cs="Times New Roman"/>
        </w:rPr>
        <w:fldChar w:fldCharType="end"/>
      </w:r>
      <w:r w:rsidRPr="00B21426">
        <w:rPr>
          <w:rFonts w:ascii="Times New Roman" w:hAnsi="Times New Roman" w:cs="Times New Roman"/>
        </w:rPr>
        <w:t>. Where applicable, these sources are complemented by the Financial Soundness Indicators (FSI) series provided by IMF, which provides complementary information on banking system health and is related to World Bank reporting framework</w:t>
      </w:r>
      <w:r w:rsidR="00FB1A2D">
        <w:rPr>
          <w:rFonts w:ascii="Times New Roman" w:hAnsi="Times New Roman" w:cs="Times New Roman"/>
        </w:rPr>
        <w:t xml:space="preserve"> </w:t>
      </w:r>
      <w:r w:rsidR="00FB1A2D">
        <w:rPr>
          <w:rFonts w:ascii="Times New Roman" w:hAnsi="Times New Roman" w:cs="Times New Roman"/>
        </w:rPr>
        <w:fldChar w:fldCharType="begin"/>
      </w:r>
      <w:r w:rsidR="00FB1A2D">
        <w:rPr>
          <w:rFonts w:ascii="Times New Roman" w:hAnsi="Times New Roman" w:cs="Times New Roman"/>
        </w:rPr>
        <w:instrText xml:space="preserve"> ADDIN ZOTERO_ITEM CSL_CITATION {"citationID":"Z3AOYtY4","properties":{"formattedCitation":"({\\i{}Philippines Financial Sector Assessment}, 2021)","plainCitation":"(Philippines Financial Sector Assessment, 2021)","noteIndex":0},"citationItems":[{"id":468,"uris":["http://zotero.org/users/local/VAqELCal/items/5ZLDRA85"],"itemData":{"id":468,"type":"article-journal","DOI":"10.1596/36191","title":"Philippines Financial Sector Assessment","issued":{"date-parts":[["2021"]]}}}],"schema":"https://github.com/citation-style-language/schema/raw/master/csl-citation.json"} </w:instrText>
      </w:r>
      <w:r w:rsidR="00FB1A2D">
        <w:rPr>
          <w:rFonts w:ascii="Times New Roman" w:hAnsi="Times New Roman" w:cs="Times New Roman"/>
        </w:rPr>
        <w:fldChar w:fldCharType="separate"/>
      </w:r>
      <w:r w:rsidR="00FB1A2D" w:rsidRPr="00FB1A2D">
        <w:rPr>
          <w:rFonts w:ascii="Times New Roman" w:hAnsi="Times New Roman" w:cs="Times New Roman"/>
          <w:kern w:val="0"/>
        </w:rPr>
        <w:t>(</w:t>
      </w:r>
      <w:r w:rsidR="00FB1A2D" w:rsidRPr="00FB1A2D">
        <w:rPr>
          <w:rFonts w:ascii="Times New Roman" w:hAnsi="Times New Roman" w:cs="Times New Roman"/>
          <w:i/>
          <w:iCs/>
          <w:kern w:val="0"/>
        </w:rPr>
        <w:t>Philippines Financial Sector Assessment</w:t>
      </w:r>
      <w:r w:rsidR="00FB1A2D" w:rsidRPr="00FB1A2D">
        <w:rPr>
          <w:rFonts w:ascii="Times New Roman" w:hAnsi="Times New Roman" w:cs="Times New Roman"/>
          <w:kern w:val="0"/>
        </w:rPr>
        <w:t>, 2021)</w:t>
      </w:r>
      <w:r w:rsidR="00FB1A2D">
        <w:rPr>
          <w:rFonts w:ascii="Times New Roman" w:hAnsi="Times New Roman" w:cs="Times New Roman"/>
        </w:rPr>
        <w:fldChar w:fldCharType="end"/>
      </w:r>
      <w:r w:rsidRPr="00B21426">
        <w:rPr>
          <w:rFonts w:ascii="Times New Roman" w:hAnsi="Times New Roman" w:cs="Times New Roman"/>
        </w:rPr>
        <w:t xml:space="preserve">. Since this is the conventional approach in cross country financial stability studies </w:t>
      </w:r>
      <w:r w:rsidR="00FB1A2D">
        <w:rPr>
          <w:rFonts w:ascii="Times New Roman" w:hAnsi="Times New Roman" w:cs="Times New Roman"/>
        </w:rPr>
        <w:fldChar w:fldCharType="begin"/>
      </w:r>
      <w:r w:rsidR="00FB1A2D">
        <w:rPr>
          <w:rFonts w:ascii="Times New Roman" w:hAnsi="Times New Roman" w:cs="Times New Roman"/>
        </w:rPr>
        <w:instrText xml:space="preserve"> ADDIN ZOTERO_ITEM CSL_CITATION {"citationID":"0LHpDu9P","properties":{"formattedCitation":"(Abaidoo &amp; Agyapong, 2023; Kulu &amp; Osei, 2023)","plainCitation":"(Abaidoo &amp; Agyapong, 2023; Kulu &amp; Osei, 2023)","noteIndex":0},"citationItems":[{"id":445,"uris":["http://zotero.org/users/local/VAqELCal/items/XTJF743G"],"itemData":{"id":445,"type":"article-journal","container-title":"Journal of Economics and Development","DOI":"10.1108/jed-09-2022-0166","issue":"2","journalAbbreviation":"Journal of Economics and Development","page":"134-152","title":"Inflation Uncertainty, Macroeconomic Instability and the Efficiency of Financial Institutions","volume":"25","author":[{"family":"Abaidoo","given":"Rexford"},{"family":"Agyapong","given":"Elvis K."}],"issued":{"date-parts":[["2023"]]}}},{"id":466,"uris":["http://zotero.org/users/local/VAqELCal/items/ASBIK7GT"],"itemData":{"id":466,"type":"article-journal","container-title":"Journal of Financial Economic Policy","DOI":"10.1108/jfep-07-2023-0184","issue":"1","journalAbbreviation":"Journal of Financial Economic Policy","page":"19-33","title":"Drivers of Financial Stability Gap: Evidence From Sub-Saharan Africa","volume":"16","author":[{"family":"Kulu","given":"Evans"},{"family":"Osei","given":"Bismark"}],"issued":{"date-parts":[["2023"]]}}}],"schema":"https://github.com/citation-style-language/schema/raw/master/csl-citation.json"} </w:instrText>
      </w:r>
      <w:r w:rsidR="00FB1A2D">
        <w:rPr>
          <w:rFonts w:ascii="Times New Roman" w:hAnsi="Times New Roman" w:cs="Times New Roman"/>
        </w:rPr>
        <w:fldChar w:fldCharType="separate"/>
      </w:r>
      <w:r w:rsidR="00FB1A2D" w:rsidRPr="00FB1A2D">
        <w:rPr>
          <w:rFonts w:ascii="Times New Roman" w:hAnsi="Times New Roman" w:cs="Times New Roman"/>
        </w:rPr>
        <w:t>(Abaidoo &amp; Agyapong, 2023; Kulu &amp; Osei, 2023)</w:t>
      </w:r>
      <w:r w:rsidR="00FB1A2D">
        <w:rPr>
          <w:rFonts w:ascii="Times New Roman" w:hAnsi="Times New Roman" w:cs="Times New Roman"/>
        </w:rPr>
        <w:fldChar w:fldCharType="end"/>
      </w:r>
      <w:r w:rsidRPr="00B21426">
        <w:rPr>
          <w:rFonts w:ascii="Times New Roman" w:hAnsi="Times New Roman" w:cs="Times New Roman"/>
        </w:rPr>
        <w:t>, control variables representing the institutional quality are drawn from the Worldwide Governance Indicators.</w:t>
      </w:r>
    </w:p>
    <w:p w14:paraId="081DD7E2" w14:textId="5D093819"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One methodological issue is where the critical periods of the key-dependent variables lie. The WDI covers most countries, and data on inflation starts as early as from the 1960s, which means that there is extensive time-series depth available for inflation volatility estimations. </w:t>
      </w:r>
      <w:proofErr w:type="gramStart"/>
      <w:r w:rsidRPr="00B21426">
        <w:rPr>
          <w:rFonts w:ascii="Times New Roman" w:hAnsi="Times New Roman" w:cs="Times New Roman"/>
        </w:rPr>
        <w:t>But,</w:t>
      </w:r>
      <w:proofErr w:type="gramEnd"/>
      <w:r w:rsidRPr="00B21426">
        <w:rPr>
          <w:rFonts w:ascii="Times New Roman" w:hAnsi="Times New Roman" w:cs="Times New Roman"/>
        </w:rPr>
        <w:t xml:space="preserve"> the trade-off is that banking stability indicators have significantly reduced coverage periods. Banks' z scores calculated using bank-level ROA, </w:t>
      </w:r>
      <w:proofErr w:type="spellStart"/>
      <w:r w:rsidRPr="00B21426">
        <w:rPr>
          <w:rFonts w:ascii="Times New Roman" w:hAnsi="Times New Roman" w:cs="Times New Roman"/>
        </w:rPr>
        <w:t>capitalisation</w:t>
      </w:r>
      <w:proofErr w:type="spellEnd"/>
      <w:r w:rsidRPr="00B21426">
        <w:rPr>
          <w:rFonts w:ascii="Times New Roman" w:hAnsi="Times New Roman" w:cs="Times New Roman"/>
        </w:rPr>
        <w:t xml:space="preserve"> and the standard deviation of ROA, are generally available in the GFDD since the mid-1990s or later, for most frontier economies</w:t>
      </w:r>
      <w:r w:rsidR="00FB1A2D">
        <w:rPr>
          <w:rFonts w:ascii="Times New Roman" w:hAnsi="Times New Roman" w:cs="Times New Roman"/>
        </w:rPr>
        <w:t xml:space="preserve"> </w:t>
      </w:r>
      <w:r w:rsidR="00FB1A2D">
        <w:rPr>
          <w:rFonts w:ascii="Times New Roman" w:hAnsi="Times New Roman" w:cs="Times New Roman"/>
        </w:rPr>
        <w:fldChar w:fldCharType="begin"/>
      </w:r>
      <w:r w:rsidR="00FB1A2D">
        <w:rPr>
          <w:rFonts w:ascii="Times New Roman" w:hAnsi="Times New Roman" w:cs="Times New Roman"/>
        </w:rPr>
        <w:instrText xml:space="preserve"> ADDIN ZOTERO_ITEM CSL_CITATION {"citationID":"O9Mr8Bve","properties":{"formattedCitation":"(Goyal et al., 2023; Syed et al., 2022)","plainCitation":"(Goyal et al., 2023; Syed et al., 2022)","noteIndex":0},"citationItems":[{"id":470,"uris":["http://zotero.org/users/local/VAqELCal/items/URBBPU8K"],"itemData":{"id":470,"type":"article-journal","container-title":"Finance Theory and Practice","DOI":"10.26794/2587-5671-2023-27-6-67-78","issue":"6","journalAbbreviation":"Finance Theory and Practice","page":"67-78","title":"Impact of Institutional Environment on Banks’ Non-Performing Loans: Evidence From BRICS Countries","volume":"27","author":[{"family":"Goyal","given":"Shikha"},{"family":"Singhal","given":"Nikita"},{"family":"Prosad","given":"Jaya M."},{"family":"Mishra","given":"Nandita"}],"issued":{"date-parts":[["2023"]]}}},{"id":95,"uris":["http://zotero.org/users/local/VAqELCal/items/CPMFWSN3"],"itemData":{"id":95,"type":"article-journal","container-title":"Sustainability","DOI":"10.3390/su14063238","issue":"6","journalAbbreviation":"Sustainability","page":"3238","title":"An Asymmetric Analysis of the Influence That Economic Policy Uncertainty, Institutional Quality, and Corruption Level Have on India’s Digital Banking Services and Banking Stability","volume":"14","author":[{"family":"Syed","given":"Aamir A."},{"family":"Kamal","given":"Muhammad A."},{"family":"Ullah","given":"Assad"},{"family":"Grima","given":"Simon"}],"issued":{"date-parts":[["2022"]]}}}],"schema":"https://github.com/citation-style-language/schema/raw/master/csl-citation.json"} </w:instrText>
      </w:r>
      <w:r w:rsidR="00FB1A2D">
        <w:rPr>
          <w:rFonts w:ascii="Times New Roman" w:hAnsi="Times New Roman" w:cs="Times New Roman"/>
        </w:rPr>
        <w:fldChar w:fldCharType="separate"/>
      </w:r>
      <w:r w:rsidR="00FB1A2D" w:rsidRPr="00FB1A2D">
        <w:rPr>
          <w:rFonts w:ascii="Times New Roman" w:hAnsi="Times New Roman" w:cs="Times New Roman"/>
        </w:rPr>
        <w:t>(Goyal et al., 2023; Syed et al., 2022)</w:t>
      </w:r>
      <w:r w:rsidR="00FB1A2D">
        <w:rPr>
          <w:rFonts w:ascii="Times New Roman" w:hAnsi="Times New Roman" w:cs="Times New Roman"/>
        </w:rPr>
        <w:fldChar w:fldCharType="end"/>
      </w:r>
      <w:r w:rsidRPr="00B21426">
        <w:rPr>
          <w:rFonts w:ascii="Times New Roman" w:hAnsi="Times New Roman" w:cs="Times New Roman"/>
        </w:rPr>
        <w:t>. Consistent and cross-country NPL ratio reporting, which reflects credit risk and deterioration in asset quality, has even less availability, with many Sub-Saharan African and South Asian countries first starting to report regular consolidated data in the early to mid-2000s</w:t>
      </w:r>
      <w:r w:rsidR="00FB1A2D">
        <w:rPr>
          <w:rFonts w:ascii="Times New Roman" w:hAnsi="Times New Roman" w:cs="Times New Roman"/>
        </w:rPr>
        <w:t xml:space="preserve"> </w:t>
      </w:r>
      <w:r w:rsidR="00FB1A2D">
        <w:rPr>
          <w:rFonts w:ascii="Times New Roman" w:hAnsi="Times New Roman" w:cs="Times New Roman"/>
        </w:rPr>
        <w:fldChar w:fldCharType="begin"/>
      </w:r>
      <w:r w:rsidR="00FB1A2D">
        <w:rPr>
          <w:rFonts w:ascii="Times New Roman" w:hAnsi="Times New Roman" w:cs="Times New Roman"/>
        </w:rPr>
        <w:instrText xml:space="preserve"> ADDIN ZOTERO_ITEM CSL_CITATION {"citationID":"dhotnYdg","properties":{"formattedCitation":"(Saliba et al., 2023; T\\uc0\\u259{}t\\uc0\\u259{}rici et al., 2020)","plainCitation":"(Saliba et al., 2023; Tătărici et al., 2020)","noteIndex":0},"citationItems":[{"id":122,"uris":["http://zotero.org/users/local/VAqELCal/items/ZU5RP9IR"],"itemData":{"id":122,"type":"article-journal","container-title":"Financial Innovation","DOI":"10.1186/s40854-023-00494-2","issue":"1","journalAbbreviation":"Financial Innovation","title":"Does Country Risk Impact the Banking Sectors’ Non-Performing Loans? Evidence From BRICS Emerging Economies","volume":"9","author":[{"family":"Saliba","given":"Chafic"},{"family":"Farmanesh","given":"Panteha"},{"family":"Athari","given":"Seyed A."}],"issued":{"date-parts":[["2023"]]}}},{"id":471,"uris":["http://zotero.org/users/local/VAqELCal/items/2IMSS6WD"],"itemData":{"id":471,"type":"article-journal","container-title":"Management &amp; Marketing","DOI":"10.2478/mmcks-2020-0036","issue":"4","journalAbbreviation":"Management &amp; Marketing","page":"621-642","title":"Determinants of Non-Performing Loans for the EEC Region. A Financial Stability Perspective","volume":"15","author":[{"family":"Tătărici","given":"Luminița"},{"family":"Kubinschi","given":"Matei"},{"family":"Barnea","given":"Dinu"}],"issued":{"date-parts":[["2020"]]}}}],"schema":"https://github.com/citation-style-language/schema/raw/master/csl-citation.json"} </w:instrText>
      </w:r>
      <w:r w:rsidR="00FB1A2D">
        <w:rPr>
          <w:rFonts w:ascii="Times New Roman" w:hAnsi="Times New Roman" w:cs="Times New Roman"/>
        </w:rPr>
        <w:fldChar w:fldCharType="separate"/>
      </w:r>
      <w:r w:rsidR="00FB1A2D" w:rsidRPr="00FB1A2D">
        <w:rPr>
          <w:rFonts w:ascii="Times New Roman" w:hAnsi="Times New Roman" w:cs="Times New Roman"/>
          <w:kern w:val="0"/>
        </w:rPr>
        <w:t>(Saliba et al., 2023; Tătărici et al., 2020)</w:t>
      </w:r>
      <w:r w:rsidR="00FB1A2D">
        <w:rPr>
          <w:rFonts w:ascii="Times New Roman" w:hAnsi="Times New Roman" w:cs="Times New Roman"/>
        </w:rPr>
        <w:fldChar w:fldCharType="end"/>
      </w:r>
      <w:r w:rsidRPr="00B21426">
        <w:rPr>
          <w:rFonts w:ascii="Times New Roman" w:hAnsi="Times New Roman" w:cs="Times New Roman"/>
        </w:rPr>
        <w:t>. This means that in order to estimate these effects, two separate estimation samples had to be prepared, and not a composite panel, as the inflation data and the banking stability indicators were released at different dates.</w:t>
      </w:r>
    </w:p>
    <w:p w14:paraId="7BEF9C8A" w14:textId="77777777"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Accordingly, the study makes use of the largest set of country-years covered by the presence of the Bank Z-score, the </w:t>
      </w:r>
      <w:proofErr w:type="gramStart"/>
      <w:r w:rsidRPr="00B21426">
        <w:rPr>
          <w:rFonts w:ascii="Times New Roman" w:hAnsi="Times New Roman" w:cs="Times New Roman"/>
        </w:rPr>
        <w:t>GARCH(</w:t>
      </w:r>
      <w:proofErr w:type="gramEnd"/>
      <w:r w:rsidRPr="00B21426">
        <w:rPr>
          <w:rFonts w:ascii="Times New Roman" w:hAnsi="Times New Roman" w:cs="Times New Roman"/>
        </w:rPr>
        <w:t xml:space="preserve">1,1)-computed inflation volatility, and the control variables needed in the three models. The pairwise sample is very extensive in the Bank Z-score cases, but is reduced </w:t>
      </w:r>
      <w:r w:rsidRPr="00B21426">
        <w:rPr>
          <w:rFonts w:ascii="Times New Roman" w:hAnsi="Times New Roman" w:cs="Times New Roman"/>
        </w:rPr>
        <w:lastRenderedPageBreak/>
        <w:t xml:space="preserve">for the additional sampling cases of including GDP growth, real interest rate, and additional controls. Therefore, this design is more compliant than setting a single time window due to the fact </w:t>
      </w:r>
      <w:r w:rsidRPr="00366612">
        <w:rPr>
          <w:rFonts w:ascii="Times New Roman" w:hAnsi="Times New Roman" w:cs="Times New Roman"/>
        </w:rPr>
        <w:t>that banking-stability and macroeconomic indicators do not have the same coverage across all</w:t>
      </w:r>
      <w:r w:rsidRPr="00B21426">
        <w:rPr>
          <w:rFonts w:ascii="Times New Roman" w:hAnsi="Times New Roman" w:cs="Times New Roman"/>
        </w:rPr>
        <w:t xml:space="preserve"> frontier economies.</w:t>
      </w:r>
    </w:p>
    <w:p w14:paraId="3255571D" w14:textId="77777777" w:rsidR="00B21426" w:rsidRPr="00B21426" w:rsidRDefault="00B21426" w:rsidP="00C44A63">
      <w:pPr>
        <w:spacing w:line="360" w:lineRule="auto"/>
        <w:jc w:val="both"/>
        <w:rPr>
          <w:rFonts w:ascii="Times New Roman" w:hAnsi="Times New Roman" w:cs="Times New Roman"/>
        </w:rPr>
      </w:pPr>
    </w:p>
    <w:p w14:paraId="0EFBCC7A" w14:textId="77777777" w:rsidR="00B21426" w:rsidRPr="00366612" w:rsidRDefault="00B21426" w:rsidP="00C44A63">
      <w:pPr>
        <w:pStyle w:val="Heading2"/>
        <w:spacing w:line="360" w:lineRule="auto"/>
        <w:jc w:val="both"/>
        <w:rPr>
          <w:rFonts w:ascii="Times New Roman" w:hAnsi="Times New Roman" w:cs="Times New Roman"/>
          <w:b/>
          <w:bCs/>
          <w:sz w:val="28"/>
          <w:szCs w:val="28"/>
        </w:rPr>
      </w:pPr>
      <w:bookmarkStart w:id="55" w:name="_Toc235530883"/>
      <w:r w:rsidRPr="00366612">
        <w:rPr>
          <w:rFonts w:ascii="Times New Roman" w:hAnsi="Times New Roman" w:cs="Times New Roman"/>
          <w:b/>
          <w:bCs/>
          <w:sz w:val="28"/>
          <w:szCs w:val="28"/>
        </w:rPr>
        <w:t>3.4 Variable Definitions, Measurement, and Expected Signs</w:t>
      </w:r>
      <w:bookmarkEnd w:id="55"/>
    </w:p>
    <w:p w14:paraId="6CE02F19" w14:textId="77777777"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This subsection introduces formally the variables used in the updated simple panel analysis, details how they should be measured, and claims the theoretically expected sign for the Bank Z-score model.</w:t>
      </w:r>
    </w:p>
    <w:p w14:paraId="6F7BB68F" w14:textId="52330058" w:rsidR="00B21426" w:rsidRPr="00366612" w:rsidRDefault="00366612" w:rsidP="00C44A63">
      <w:pPr>
        <w:pStyle w:val="Heading3"/>
        <w:spacing w:line="360" w:lineRule="auto"/>
        <w:jc w:val="both"/>
        <w:rPr>
          <w:rFonts w:ascii="Times New Roman" w:hAnsi="Times New Roman" w:cs="Times New Roman"/>
          <w:b/>
          <w:bCs/>
          <w:sz w:val="24"/>
          <w:szCs w:val="24"/>
        </w:rPr>
      </w:pPr>
      <w:bookmarkStart w:id="56" w:name="_Toc235530884"/>
      <w:r w:rsidRPr="00366612">
        <w:rPr>
          <w:rFonts w:ascii="Times New Roman" w:hAnsi="Times New Roman" w:cs="Times New Roman"/>
          <w:b/>
          <w:bCs/>
          <w:sz w:val="24"/>
          <w:szCs w:val="24"/>
        </w:rPr>
        <w:t xml:space="preserve">3.4.1 </w:t>
      </w:r>
      <w:r w:rsidR="00B21426" w:rsidRPr="00366612">
        <w:rPr>
          <w:rFonts w:ascii="Times New Roman" w:hAnsi="Times New Roman" w:cs="Times New Roman"/>
          <w:b/>
          <w:bCs/>
          <w:sz w:val="24"/>
          <w:szCs w:val="24"/>
        </w:rPr>
        <w:t>Dependent Variables</w:t>
      </w:r>
      <w:bookmarkEnd w:id="56"/>
    </w:p>
    <w:p w14:paraId="78177C1D" w14:textId="122F79BE"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Bank Z-score is the key indicator of banking sector stability. It is calculated by dividing the sum of ROA and the ratio of equity to assets by the standard deviation of ROA </w:t>
      </w:r>
      <w:r w:rsidR="00FB1A2D">
        <w:rPr>
          <w:rFonts w:ascii="Times New Roman" w:hAnsi="Times New Roman" w:cs="Times New Roman"/>
        </w:rPr>
        <w:fldChar w:fldCharType="begin"/>
      </w:r>
      <w:r w:rsidR="00FB1A2D">
        <w:rPr>
          <w:rFonts w:ascii="Times New Roman" w:hAnsi="Times New Roman" w:cs="Times New Roman"/>
        </w:rPr>
        <w:instrText xml:space="preserve"> ADDIN ZOTERO_ITEM CSL_CITATION {"citationID":"yEGH2TRq","properties":{"formattedCitation":"(Goyal et al., 2023; Syed et al., 2022)","plainCitation":"(Goyal et al., 2023; Syed et al., 2022)","noteIndex":0},"citationItems":[{"id":470,"uris":["http://zotero.org/users/local/VAqELCal/items/URBBPU8K"],"itemData":{"id":470,"type":"article-journal","container-title":"Finance Theory and Practice","DOI":"10.26794/2587-5671-2023-27-6-67-78","issue":"6","journalAbbreviation":"Finance Theory and Practice","page":"67-78","title":"Impact of Institutional Environment on Banks’ Non-Performing Loans: Evidence From BRICS Countries","volume":"27","author":[{"family":"Goyal","given":"Shikha"},{"family":"Singhal","given":"Nikita"},{"family":"Prosad","given":"Jaya M."},{"family":"Mishra","given":"Nandita"}],"issued":{"date-parts":[["2023"]]}}},{"id":95,"uris":["http://zotero.org/users/local/VAqELCal/items/CPMFWSN3"],"itemData":{"id":95,"type":"article-journal","container-title":"Sustainability","DOI":"10.3390/su14063238","issue":"6","journalAbbreviation":"Sustainability","page":"3238","title":"An Asymmetric Analysis of the Influence That Economic Policy Uncertainty, Institutional Quality, and Corruption Level Have on India’s Digital Banking Services and Banking Stability","volume":"14","author":[{"family":"Syed","given":"Aamir A."},{"family":"Kamal","given":"Muhammad A."},{"family":"Ullah","given":"Assad"},{"family":"Grima","given":"Simon"}],"issued":{"date-parts":[["2022"]]}}}],"schema":"https://github.com/citation-style-language/schema/raw/master/csl-citation.json"} </w:instrText>
      </w:r>
      <w:r w:rsidR="00FB1A2D">
        <w:rPr>
          <w:rFonts w:ascii="Times New Roman" w:hAnsi="Times New Roman" w:cs="Times New Roman"/>
        </w:rPr>
        <w:fldChar w:fldCharType="separate"/>
      </w:r>
      <w:r w:rsidR="00FB1A2D" w:rsidRPr="00FB1A2D">
        <w:rPr>
          <w:rFonts w:ascii="Times New Roman" w:hAnsi="Times New Roman" w:cs="Times New Roman"/>
        </w:rPr>
        <w:t>(Goyal et al., 2023; Syed et al., 2022)</w:t>
      </w:r>
      <w:r w:rsidR="00FB1A2D">
        <w:rPr>
          <w:rFonts w:ascii="Times New Roman" w:hAnsi="Times New Roman" w:cs="Times New Roman"/>
        </w:rPr>
        <w:fldChar w:fldCharType="end"/>
      </w:r>
      <w:r w:rsidRPr="00B21426">
        <w:rPr>
          <w:rFonts w:ascii="Times New Roman" w:hAnsi="Times New Roman" w:cs="Times New Roman"/>
        </w:rPr>
        <w:t>. A higher Z-score is more distant from insolvency and hence the bank's condition is more stable</w:t>
      </w:r>
      <w:r w:rsidR="00FB1A2D">
        <w:rPr>
          <w:rFonts w:ascii="Times New Roman" w:hAnsi="Times New Roman" w:cs="Times New Roman"/>
        </w:rPr>
        <w:t xml:space="preserve"> </w:t>
      </w:r>
      <w:r w:rsidR="00FB1A2D">
        <w:rPr>
          <w:rFonts w:ascii="Times New Roman" w:hAnsi="Times New Roman" w:cs="Times New Roman"/>
        </w:rPr>
        <w:fldChar w:fldCharType="begin"/>
      </w:r>
      <w:r w:rsidR="00FB1A2D">
        <w:rPr>
          <w:rFonts w:ascii="Times New Roman" w:hAnsi="Times New Roman" w:cs="Times New Roman"/>
        </w:rPr>
        <w:instrText xml:space="preserve"> ADDIN ZOTERO_ITEM CSL_CITATION {"citationID":"D4b1956S","properties":{"formattedCitation":"(Haile et al., 2025; Yunita, 2022)","plainCitation":"(Haile et al., 2025; Yunita, 2022)","noteIndex":0},"citationItems":[{"id":36,"uris":["http://zotero.org/users/local/VAqELCal/items/D42C2ZDI"],"itemData":{"id":36,"type":"article-journal","container-title":"Heliyon","DOI":"10.1016/j.heliyon.2024.e41347","issue":"1","journalAbbreviation":"Heliyon","page":"e41347","title":"Does Regulatory Convergence Shape Banking Resilience in Africa?","volume":"11","author":[{"family":"Haile","given":"Minyahil A."},{"family":"Jayamohan","given":"M K."},{"family":"Mulugeta","given":"Wondaferahu"}],"issued":{"date-parts":[["2025"]]}}},{"id":495,"uris":["http://zotero.org/users/local/VAqELCal/items/HDRGHL7K"],"itemData":{"id":495,"type":"article-journal","container-title":"International Journal of Islamic Economics and Finance (Ijief)","DOI":"10.18196/ijief.v5i1.11837","issue":"1","journalAbbreviation":"International Journal of Islamic Economics and Finance (Ijief)","page":"151-176","title":"Dual Banking System Stability Index in the Shadow of COVID-19 Pandemic","volume":"5","author":[{"family":"Yunita","given":"Patria"}],"issued":{"date-parts":[["2022"]]}}}],"schema":"https://github.com/citation-style-language/schema/raw/master/csl-citation.json"} </w:instrText>
      </w:r>
      <w:r w:rsidR="00FB1A2D">
        <w:rPr>
          <w:rFonts w:ascii="Times New Roman" w:hAnsi="Times New Roman" w:cs="Times New Roman"/>
        </w:rPr>
        <w:fldChar w:fldCharType="separate"/>
      </w:r>
      <w:r w:rsidR="00FB1A2D" w:rsidRPr="00FB1A2D">
        <w:rPr>
          <w:rFonts w:ascii="Times New Roman" w:hAnsi="Times New Roman" w:cs="Times New Roman"/>
        </w:rPr>
        <w:t>(Haile et al., 2025; Yunita, 2022)</w:t>
      </w:r>
      <w:r w:rsidR="00FB1A2D">
        <w:rPr>
          <w:rFonts w:ascii="Times New Roman" w:hAnsi="Times New Roman" w:cs="Times New Roman"/>
        </w:rPr>
        <w:fldChar w:fldCharType="end"/>
      </w:r>
      <w:r w:rsidRPr="00B21426">
        <w:rPr>
          <w:rFonts w:ascii="Times New Roman" w:hAnsi="Times New Roman" w:cs="Times New Roman"/>
        </w:rPr>
        <w:t xml:space="preserve">. The Z score is commonly used in the banking stability studies across the countries because of its ability to measure both </w:t>
      </w:r>
      <w:proofErr w:type="spellStart"/>
      <w:r w:rsidRPr="00B21426">
        <w:rPr>
          <w:rFonts w:ascii="Times New Roman" w:hAnsi="Times New Roman" w:cs="Times New Roman"/>
        </w:rPr>
        <w:t>capitalisation</w:t>
      </w:r>
      <w:proofErr w:type="spellEnd"/>
      <w:r w:rsidRPr="00B21426">
        <w:rPr>
          <w:rFonts w:ascii="Times New Roman" w:hAnsi="Times New Roman" w:cs="Times New Roman"/>
        </w:rPr>
        <w:t xml:space="preserve"> buffers and earnings volatility in one indicator</w:t>
      </w:r>
      <w:r w:rsidR="00FB1A2D">
        <w:rPr>
          <w:rFonts w:ascii="Times New Roman" w:hAnsi="Times New Roman" w:cs="Times New Roman"/>
        </w:rPr>
        <w:t xml:space="preserve"> </w:t>
      </w:r>
      <w:r w:rsidR="00FB1A2D">
        <w:rPr>
          <w:rFonts w:ascii="Times New Roman" w:hAnsi="Times New Roman" w:cs="Times New Roman"/>
        </w:rPr>
        <w:fldChar w:fldCharType="begin"/>
      </w:r>
      <w:r w:rsidR="00FB1A2D">
        <w:rPr>
          <w:rFonts w:ascii="Times New Roman" w:hAnsi="Times New Roman" w:cs="Times New Roman"/>
        </w:rPr>
        <w:instrText xml:space="preserve"> ADDIN ZOTERO_ITEM CSL_CITATION {"citationID":"kdASAd2A","properties":{"formattedCitation":"(Anjom &amp; Abu Taher Mohammad Omor Faruq, 2023; Lestari et al., 2023)","plainCitation":"(Anjom &amp; Abu Taher Mohammad Omor Faruq, 2023; Lestari et al., 2023)","noteIndex":0},"citationItems":[{"id":497,"uris":["http://zotero.org/users/local/VAqELCal/items/2DKRCZQ6"],"itemData":{"id":497,"type":"article-journal","container-title":"European Journal of Business Management and Research","DOI":"10.24018/ejbmr.2023.8.3.1953","issue":"3","journalAbbreviation":"European Journal of Business Management and Research","page":"320-326","title":"Financial Stability Analysis of Islamic Banks in Bangladesh","volume":"8","author":[{"family":"Anjom","given":"Washeka"},{"literal":"Abu Taher Mohammad Omor Faruq"}],"issued":{"date-parts":[["2023"]]}}},{"id":28,"uris":["http://zotero.org/users/local/VAqELCal/items/QQDPZLN2"],"itemData":{"id":28,"type":"article-journal","container-title":"Studies in Economics and Finance","DOI":"10.1108/sef-12-2022-0554","issue":"4","journalAbbreviation":"Studies in Economics and Finance","page":"606-624","title":"Enhancing Bank Stability From Diversification and Digitalization Perspective in ASEAN","volume":"40","author":[{"family":"Lestari","given":"Diyan"},{"family":"Ma","given":"Shiguang"},{"family":"Jun","given":"Aelee"}],"issued":{"date-parts":[["2023"]]}}}],"schema":"https://github.com/citation-style-language/schema/raw/master/csl-citation.json"} </w:instrText>
      </w:r>
      <w:r w:rsidR="00FB1A2D">
        <w:rPr>
          <w:rFonts w:ascii="Times New Roman" w:hAnsi="Times New Roman" w:cs="Times New Roman"/>
        </w:rPr>
        <w:fldChar w:fldCharType="separate"/>
      </w:r>
      <w:r w:rsidR="00FB1A2D" w:rsidRPr="00FB1A2D">
        <w:rPr>
          <w:rFonts w:ascii="Times New Roman" w:hAnsi="Times New Roman" w:cs="Times New Roman"/>
        </w:rPr>
        <w:t>(Anjom &amp; Abu Taher Mohammad Omor Faruq, 2023; Lestari et al., 2023)</w:t>
      </w:r>
      <w:r w:rsidR="00FB1A2D">
        <w:rPr>
          <w:rFonts w:ascii="Times New Roman" w:hAnsi="Times New Roman" w:cs="Times New Roman"/>
        </w:rPr>
        <w:fldChar w:fldCharType="end"/>
      </w:r>
      <w:r w:rsidRPr="00B21426">
        <w:rPr>
          <w:rFonts w:ascii="Times New Roman" w:hAnsi="Times New Roman" w:cs="Times New Roman"/>
        </w:rPr>
        <w:t>.</w:t>
      </w:r>
    </w:p>
    <w:p w14:paraId="2809BDD7" w14:textId="5AAF8CD3"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The application of non-performing loan (NPL) ratio as a contextual banking-risk indicator has been applied to the literature review and descriptive discussion. But in accordance with the new empirical design, the regressions for the main panel use the Z-score for banks as the dependent variable. This makes the model simpler</w:t>
      </w:r>
      <w:r w:rsidR="00133F95">
        <w:rPr>
          <w:rFonts w:ascii="Times New Roman" w:hAnsi="Times New Roman" w:cs="Times New Roman"/>
        </w:rPr>
        <w:t xml:space="preserve">. </w:t>
      </w:r>
    </w:p>
    <w:p w14:paraId="18C4AEBC" w14:textId="0F224601" w:rsidR="00B21426" w:rsidRPr="00366612" w:rsidRDefault="00366612" w:rsidP="00C44A63">
      <w:pPr>
        <w:pStyle w:val="Heading3"/>
        <w:spacing w:line="360" w:lineRule="auto"/>
        <w:jc w:val="both"/>
        <w:rPr>
          <w:rFonts w:ascii="Times New Roman" w:hAnsi="Times New Roman" w:cs="Times New Roman"/>
          <w:b/>
          <w:bCs/>
          <w:sz w:val="24"/>
          <w:szCs w:val="24"/>
        </w:rPr>
      </w:pPr>
      <w:bookmarkStart w:id="57" w:name="_Toc235530885"/>
      <w:r w:rsidRPr="00366612">
        <w:rPr>
          <w:rFonts w:ascii="Times New Roman" w:hAnsi="Times New Roman" w:cs="Times New Roman"/>
          <w:b/>
          <w:bCs/>
          <w:sz w:val="24"/>
          <w:szCs w:val="24"/>
        </w:rPr>
        <w:t xml:space="preserve">3.4.2 </w:t>
      </w:r>
      <w:r w:rsidR="00B21426" w:rsidRPr="00366612">
        <w:rPr>
          <w:rFonts w:ascii="Times New Roman" w:hAnsi="Times New Roman" w:cs="Times New Roman"/>
          <w:b/>
          <w:bCs/>
          <w:sz w:val="24"/>
          <w:szCs w:val="24"/>
        </w:rPr>
        <w:t>Independent Variable</w:t>
      </w:r>
      <w:bookmarkEnd w:id="57"/>
    </w:p>
    <w:p w14:paraId="4C701CAA" w14:textId="77777777"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The conditional variance produced by a country-specific </w:t>
      </w:r>
      <w:proofErr w:type="gramStart"/>
      <w:r w:rsidRPr="00B21426">
        <w:rPr>
          <w:rFonts w:ascii="Times New Roman" w:hAnsi="Times New Roman" w:cs="Times New Roman"/>
        </w:rPr>
        <w:t>GARCH(</w:t>
      </w:r>
      <w:proofErr w:type="gramEnd"/>
      <w:r w:rsidRPr="00B21426">
        <w:rPr>
          <w:rFonts w:ascii="Times New Roman" w:hAnsi="Times New Roman" w:cs="Times New Roman"/>
        </w:rPr>
        <w:t>1,1) model of the annual consumer price inflation is used as the key explanatory variable, that is, as the measure for inflation volatility. This is the still benchmark volatility measure for the updated project. Robustness tests with AR(1)-</w:t>
      </w:r>
      <w:proofErr w:type="gramStart"/>
      <w:r w:rsidRPr="00B21426">
        <w:rPr>
          <w:rFonts w:ascii="Times New Roman" w:hAnsi="Times New Roman" w:cs="Times New Roman"/>
        </w:rPr>
        <w:t>GARCH(</w:t>
      </w:r>
      <w:proofErr w:type="gramEnd"/>
      <w:r w:rsidRPr="00B21426">
        <w:rPr>
          <w:rFonts w:ascii="Times New Roman" w:hAnsi="Times New Roman" w:cs="Times New Roman"/>
        </w:rPr>
        <w:t xml:space="preserve">1,1), </w:t>
      </w:r>
      <w:proofErr w:type="gramStart"/>
      <w:r w:rsidRPr="00B21426">
        <w:rPr>
          <w:rFonts w:ascii="Times New Roman" w:hAnsi="Times New Roman" w:cs="Times New Roman"/>
        </w:rPr>
        <w:t>EGARCH(</w:t>
      </w:r>
      <w:proofErr w:type="gramEnd"/>
      <w:r w:rsidRPr="00B21426">
        <w:rPr>
          <w:rFonts w:ascii="Times New Roman" w:hAnsi="Times New Roman" w:cs="Times New Roman"/>
        </w:rPr>
        <w:t xml:space="preserve">1,1) or by comparing volatilities across the various windows can be made, but it is advisable to use the baseline </w:t>
      </w:r>
      <w:proofErr w:type="gramStart"/>
      <w:r w:rsidRPr="00B21426">
        <w:rPr>
          <w:rFonts w:ascii="Times New Roman" w:hAnsi="Times New Roman" w:cs="Times New Roman"/>
        </w:rPr>
        <w:t>GARCH(</w:t>
      </w:r>
      <w:proofErr w:type="gramEnd"/>
      <w:r w:rsidRPr="00B21426">
        <w:rPr>
          <w:rFonts w:ascii="Times New Roman" w:hAnsi="Times New Roman" w:cs="Times New Roman"/>
        </w:rPr>
        <w:t xml:space="preserve">1,1) series in the interpretation. Based on theory, we would expect an increase in the level of inflation volatility to impact negatively on </w:t>
      </w:r>
      <w:r w:rsidRPr="00B21426">
        <w:rPr>
          <w:rFonts w:ascii="Times New Roman" w:hAnsi="Times New Roman" w:cs="Times New Roman"/>
        </w:rPr>
        <w:lastRenderedPageBreak/>
        <w:t>Bank Z-score because of inflation volatility's role in lowering credit allocation security, earnings stability, and balance-sheet strength.</w:t>
      </w:r>
    </w:p>
    <w:p w14:paraId="040892B5" w14:textId="77777777" w:rsidR="00B21426" w:rsidRPr="00B21426" w:rsidRDefault="00B21426" w:rsidP="00C44A63">
      <w:pPr>
        <w:spacing w:line="360" w:lineRule="auto"/>
        <w:jc w:val="both"/>
        <w:rPr>
          <w:rFonts w:ascii="Times New Roman" w:hAnsi="Times New Roman" w:cs="Times New Roman"/>
        </w:rPr>
      </w:pPr>
    </w:p>
    <w:p w14:paraId="57F0E146" w14:textId="22672D33" w:rsidR="00B21426" w:rsidRPr="00366612" w:rsidRDefault="00366612" w:rsidP="00C44A63">
      <w:pPr>
        <w:pStyle w:val="Heading3"/>
        <w:spacing w:line="360" w:lineRule="auto"/>
        <w:jc w:val="both"/>
        <w:rPr>
          <w:rFonts w:ascii="Times New Roman" w:hAnsi="Times New Roman" w:cs="Times New Roman"/>
          <w:b/>
          <w:bCs/>
          <w:sz w:val="24"/>
          <w:szCs w:val="24"/>
        </w:rPr>
      </w:pPr>
      <w:bookmarkStart w:id="58" w:name="_Toc235530886"/>
      <w:r w:rsidRPr="00366612">
        <w:rPr>
          <w:rFonts w:ascii="Times New Roman" w:hAnsi="Times New Roman" w:cs="Times New Roman"/>
          <w:b/>
          <w:bCs/>
          <w:sz w:val="24"/>
          <w:szCs w:val="24"/>
        </w:rPr>
        <w:t xml:space="preserve">3.4.3 </w:t>
      </w:r>
      <w:r w:rsidR="00B21426" w:rsidRPr="00366612">
        <w:rPr>
          <w:rFonts w:ascii="Times New Roman" w:hAnsi="Times New Roman" w:cs="Times New Roman"/>
          <w:b/>
          <w:bCs/>
          <w:sz w:val="24"/>
          <w:szCs w:val="24"/>
        </w:rPr>
        <w:t>Control Variables</w:t>
      </w:r>
      <w:bookmarkEnd w:id="58"/>
    </w:p>
    <w:p w14:paraId="4EFF2B1F" w14:textId="77777777"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Macroeconomic business cycle is captured by the growth of GDP. In times of economic growth, borrowers' repayment ability and bank profits usually rise, and the financial health of the banking sector should improve. </w:t>
      </w:r>
      <w:proofErr w:type="gramStart"/>
      <w:r w:rsidRPr="00B21426">
        <w:rPr>
          <w:rFonts w:ascii="Times New Roman" w:hAnsi="Times New Roman" w:cs="Times New Roman"/>
        </w:rPr>
        <w:t>So</w:t>
      </w:r>
      <w:proofErr w:type="gramEnd"/>
      <w:r w:rsidRPr="00B21426">
        <w:rPr>
          <w:rFonts w:ascii="Times New Roman" w:hAnsi="Times New Roman" w:cs="Times New Roman"/>
        </w:rPr>
        <w:t xml:space="preserve"> a positive expected sign of GDP growth was kept in </w:t>
      </w:r>
      <w:proofErr w:type="gramStart"/>
      <w:r w:rsidRPr="00B21426">
        <w:rPr>
          <w:rFonts w:ascii="Times New Roman" w:hAnsi="Times New Roman" w:cs="Times New Roman"/>
        </w:rPr>
        <w:t>the Bank</w:t>
      </w:r>
      <w:proofErr w:type="gramEnd"/>
      <w:r w:rsidRPr="00B21426">
        <w:rPr>
          <w:rFonts w:ascii="Times New Roman" w:hAnsi="Times New Roman" w:cs="Times New Roman"/>
        </w:rPr>
        <w:t xml:space="preserve"> Z that represents the upper bound of the causation from credit to growth.</w:t>
      </w:r>
    </w:p>
    <w:p w14:paraId="2E26254C" w14:textId="2007D56F"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Real interest rate (or proxy of lending rate if the real rate not available) indicates the cost of borrowing and monetary policy stance. High real interest rates impose high debt-servicing cost on debtors and high risk on debt repayments </w:t>
      </w:r>
      <w:r w:rsidR="00FB1A2D">
        <w:rPr>
          <w:rFonts w:ascii="Times New Roman" w:hAnsi="Times New Roman" w:cs="Times New Roman"/>
        </w:rPr>
        <w:fldChar w:fldCharType="begin"/>
      </w:r>
      <w:r w:rsidR="00FB1A2D">
        <w:rPr>
          <w:rFonts w:ascii="Times New Roman" w:hAnsi="Times New Roman" w:cs="Times New Roman"/>
        </w:rPr>
        <w:instrText xml:space="preserve"> ADDIN ZOTERO_ITEM CSL_CITATION {"citationID":"WYIw31oD","properties":{"formattedCitation":"(Olarewaju, 2020; Wanjala &amp; Gachanja, 2020)","plainCitation":"(Olarewaju, 2020; Wanjala &amp; Gachanja, 2020)","noteIndex":0},"citationItems":[{"id":501,"uris":["http://zotero.org/users/local/VAqELCal/items/VAAMI6I2"],"itemData":{"id":501,"type":"article-journal","container-title":"African Development Review","DOI":"10.1111/1467-8268.12475","issue":"4","journalAbbreviation":"African Development Review","page":"744-757","title":"Investigating the Factors Affecting Nonperforming Loans in Commercial Banks: The Case of African Lower Middle‐income Countries","volume":"32","author":[{"family":"Olarewaju","given":"Odunayo M."}],"issued":{"date-parts":[["2020"]]}}},{"id":510,"uris":["http://zotero.org/users/local/VAqELCal/items/J37BY82J"],"itemData":{"id":510,"type":"article-journal","container-title":"Business Perspective Review","DOI":"10.38157/business-perspective-review.v2i1.118","issue":"1","journalAbbreviation":"Business Perspective Review","page":"29-44","title":"Mr Bank Specific Determinants of Nonperforming Loans in Kenya","volume":"2","author":[{"family":"Wanjala","given":"Kevin"},{"family":"Gachanja","given":"Jane N."}],"issued":{"date-parts":[["2020"]]}}}],"schema":"https://github.com/citation-style-language/schema/raw/master/csl-citation.json"} </w:instrText>
      </w:r>
      <w:r w:rsidR="00FB1A2D">
        <w:rPr>
          <w:rFonts w:ascii="Times New Roman" w:hAnsi="Times New Roman" w:cs="Times New Roman"/>
        </w:rPr>
        <w:fldChar w:fldCharType="separate"/>
      </w:r>
      <w:r w:rsidR="00FB1A2D" w:rsidRPr="00FB1A2D">
        <w:rPr>
          <w:rFonts w:ascii="Times New Roman" w:hAnsi="Times New Roman" w:cs="Times New Roman"/>
        </w:rPr>
        <w:t>(Olarewaju, 2020; Wanjala &amp; Gachanja, 2020)</w:t>
      </w:r>
      <w:r w:rsidR="00FB1A2D">
        <w:rPr>
          <w:rFonts w:ascii="Times New Roman" w:hAnsi="Times New Roman" w:cs="Times New Roman"/>
        </w:rPr>
        <w:fldChar w:fldCharType="end"/>
      </w:r>
      <w:r w:rsidRPr="00B21426">
        <w:rPr>
          <w:rFonts w:ascii="Times New Roman" w:hAnsi="Times New Roman" w:cs="Times New Roman"/>
        </w:rPr>
        <w:t xml:space="preserve">. The sign of the Z score model should be negative while sign should be positive in the case of NPL model as have been indicated by Msomi (2022) and Syed and </w:t>
      </w:r>
      <w:proofErr w:type="spellStart"/>
      <w:r w:rsidRPr="00B21426">
        <w:rPr>
          <w:rFonts w:ascii="Times New Roman" w:hAnsi="Times New Roman" w:cs="Times New Roman"/>
        </w:rPr>
        <w:t>Aidyngul</w:t>
      </w:r>
      <w:proofErr w:type="spellEnd"/>
      <w:r w:rsidRPr="00B21426">
        <w:rPr>
          <w:rFonts w:ascii="Times New Roman" w:hAnsi="Times New Roman" w:cs="Times New Roman"/>
        </w:rPr>
        <w:t xml:space="preserve"> (2020).</w:t>
      </w:r>
    </w:p>
    <w:p w14:paraId="087190B5" w14:textId="14533015"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Financial depth and extent of credit intermediation (as measured by domestic credit to private nonfinancial corporations and households) is represented by domestic credit to the private sector (as a percentage of GDP). Although deepening the credit market may contribute to financial development, high credit growth is linked to the weakening of the lending market and subsequent loan losses</w:t>
      </w:r>
      <w:r w:rsidR="00FB1A2D">
        <w:rPr>
          <w:rFonts w:ascii="Times New Roman" w:hAnsi="Times New Roman" w:cs="Times New Roman"/>
        </w:rPr>
        <w:t xml:space="preserve"> </w:t>
      </w:r>
      <w:r w:rsidR="00FB1A2D">
        <w:rPr>
          <w:rFonts w:ascii="Times New Roman" w:hAnsi="Times New Roman" w:cs="Times New Roman"/>
        </w:rPr>
        <w:fldChar w:fldCharType="begin"/>
      </w:r>
      <w:r w:rsidR="00FB1A2D">
        <w:rPr>
          <w:rFonts w:ascii="Times New Roman" w:hAnsi="Times New Roman" w:cs="Times New Roman"/>
        </w:rPr>
        <w:instrText xml:space="preserve"> ADDIN ZOTERO_ITEM CSL_CITATION {"citationID":"lr2caQ0W","properties":{"formattedCitation":"(Antony &amp; Suresh, 2023; Goyal et al., 2023)","plainCitation":"(Antony &amp; Suresh, 2023; Goyal et al., 2023)","noteIndex":0},"citationItems":[{"id":508,"uris":["http://zotero.org/users/local/VAqELCal/items/BCXEKUE5"],"itemData":{"id":508,"type":"article-journal","container-title":"Banks and Bank Systems","DOI":"10.21511/bbs.18(2).2023.08","issue":"2","journalAbbreviation":"Banks and Bank Systems","page":"88-100","title":"Determinants of Credit Risk: Empirical Evidence From Indian Commercial Banks","volume":"18","author":[{"family":"Antony","given":"Tisa M."},{"family":"Suresh","given":"G."}],"issued":{"date-parts":[["2023"]]}}},{"id":470,"uris":["http://zotero.org/users/local/VAqELCal/items/URBBPU8K"],"itemData":{"id":470,"type":"article-journal","container-title":"Finance Theory and Practice","DOI":"10.26794/2587-5671-2023-27-6-67-78","issue":"6","journalAbbreviation":"Finance Theory and Practice","page":"67-78","title":"Impact of Institutional Environment on Banks’ Non-Performing Loans: Evidence From BRICS Countries","volume":"27","author":[{"family":"Goyal","given":"Shikha"},{"family":"Singhal","given":"Nikita"},{"family":"Prosad","given":"Jaya M."},{"family":"Mishra","given":"Nandita"}],"issued":{"date-parts":[["2023"]]}}}],"schema":"https://github.com/citation-style-language/schema/raw/master/csl-citation.json"} </w:instrText>
      </w:r>
      <w:r w:rsidR="00FB1A2D">
        <w:rPr>
          <w:rFonts w:ascii="Times New Roman" w:hAnsi="Times New Roman" w:cs="Times New Roman"/>
        </w:rPr>
        <w:fldChar w:fldCharType="separate"/>
      </w:r>
      <w:r w:rsidR="00FB1A2D" w:rsidRPr="00FB1A2D">
        <w:rPr>
          <w:rFonts w:ascii="Times New Roman" w:hAnsi="Times New Roman" w:cs="Times New Roman"/>
        </w:rPr>
        <w:t>(Antony &amp; Suresh, 2023; Goyal et al., 2023)</w:t>
      </w:r>
      <w:r w:rsidR="00FB1A2D">
        <w:rPr>
          <w:rFonts w:ascii="Times New Roman" w:hAnsi="Times New Roman" w:cs="Times New Roman"/>
        </w:rPr>
        <w:fldChar w:fldCharType="end"/>
      </w:r>
      <w:r w:rsidRPr="00B21426">
        <w:rPr>
          <w:rFonts w:ascii="Times New Roman" w:hAnsi="Times New Roman" w:cs="Times New Roman"/>
        </w:rPr>
        <w:t xml:space="preserve">. The expected sign is ambiguous but is expected to be negative in the case of the Z-score model and positive in the case of the NPL model that is considered as the procyclical channel of credit risk prevalent in frontier economies </w:t>
      </w:r>
      <w:r w:rsidR="00FB1A2D">
        <w:rPr>
          <w:rFonts w:ascii="Times New Roman" w:hAnsi="Times New Roman" w:cs="Times New Roman"/>
        </w:rPr>
        <w:fldChar w:fldCharType="begin"/>
      </w:r>
      <w:r w:rsidR="00FB1A2D">
        <w:rPr>
          <w:rFonts w:ascii="Times New Roman" w:hAnsi="Times New Roman" w:cs="Times New Roman"/>
        </w:rPr>
        <w:instrText xml:space="preserve"> ADDIN ZOTERO_ITEM CSL_CITATION {"citationID":"MHHb0CHX","properties":{"formattedCitation":"(Olarewaju, 2020; Saliba et al., 2023)","plainCitation":"(Olarewaju, 2020; Saliba et al., 2023)","noteIndex":0},"citationItems":[{"id":501,"uris":["http://zotero.org/users/local/VAqELCal/items/VAAMI6I2"],"itemData":{"id":501,"type":"article-journal","container-title":"African Development Review","DOI":"10.1111/1467-8268.12475","issue":"4","journalAbbreviation":"African Development Review","page":"744-757","title":"Investigating the Factors Affecting Nonperforming Loans in Commercial Banks: The Case of African Lower Middle‐income Countries","volume":"32","author":[{"family":"Olarewaju","given":"Odunayo M."}],"issued":{"date-parts":[["2020"]]}}},{"id":122,"uris":["http://zotero.org/users/local/VAqELCal/items/ZU5RP9IR"],"itemData":{"id":122,"type":"article-journal","container-title":"Financial Innovation","DOI":"10.1186/s40854-023-00494-2","issue":"1","journalAbbreviation":"Financial Innovation","title":"Does Country Risk Impact the Banking Sectors’ Non-Performing Loans? Evidence From BRICS Emerging Economies","volume":"9","author":[{"family":"Saliba","given":"Chafic"},{"family":"Farmanesh","given":"Panteha"},{"family":"Athari","given":"Seyed A."}],"issued":{"date-parts":[["2023"]]}}}],"schema":"https://github.com/citation-style-language/schema/raw/master/csl-citation.json"} </w:instrText>
      </w:r>
      <w:r w:rsidR="00FB1A2D">
        <w:rPr>
          <w:rFonts w:ascii="Times New Roman" w:hAnsi="Times New Roman" w:cs="Times New Roman"/>
        </w:rPr>
        <w:fldChar w:fldCharType="separate"/>
      </w:r>
      <w:r w:rsidR="00FB1A2D" w:rsidRPr="00FB1A2D">
        <w:rPr>
          <w:rFonts w:ascii="Times New Roman" w:hAnsi="Times New Roman" w:cs="Times New Roman"/>
        </w:rPr>
        <w:t>(Olarewaju, 2020; Saliba et al., 2023)</w:t>
      </w:r>
      <w:r w:rsidR="00FB1A2D">
        <w:rPr>
          <w:rFonts w:ascii="Times New Roman" w:hAnsi="Times New Roman" w:cs="Times New Roman"/>
        </w:rPr>
        <w:fldChar w:fldCharType="end"/>
      </w:r>
      <w:r w:rsidRPr="00B21426">
        <w:rPr>
          <w:rFonts w:ascii="Times New Roman" w:hAnsi="Times New Roman" w:cs="Times New Roman"/>
        </w:rPr>
        <w:t>.</w:t>
      </w:r>
    </w:p>
    <w:p w14:paraId="07C916CC" w14:textId="1CC5B1C6"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Volatility of the exchange rate gives external sector vulnerability. A depreciation and currency volatility makes foreign currency liabilities more costly in local currency, puts more pressure on borrowers' balance sheets, and intensifies banking sector stress </w:t>
      </w:r>
      <w:r w:rsidR="00FB1A2D">
        <w:rPr>
          <w:rFonts w:ascii="Times New Roman" w:hAnsi="Times New Roman" w:cs="Times New Roman"/>
        </w:rPr>
        <w:fldChar w:fldCharType="begin"/>
      </w:r>
      <w:r w:rsidR="00FB1A2D">
        <w:rPr>
          <w:rFonts w:ascii="Times New Roman" w:hAnsi="Times New Roman" w:cs="Times New Roman"/>
        </w:rPr>
        <w:instrText xml:space="preserve"> ADDIN ZOTERO_ITEM CSL_CITATION {"citationID":"d68s6tFZ","properties":{"formattedCitation":"(Lee &amp; Rosenkranz, 2020; Syed &amp; Aidyngul, 2020)","plainCitation":"(Lee &amp; Rosenkranz, 2020; Syed &amp; Aidyngul, 2020)","noteIndex":0},"citationItems":[{"id":114,"uris":["http://zotero.org/users/local/VAqELCal/items/2J3CG8CH"],"itemData":{"id":114,"type":"article-journal","DOI":"10.1108/s1569-376720200000021003","page":"33-53","title":"Nonperforming Loans in Asia: Determinants and Macrofinancial Linkages","author":[{"family":"Lee","given":"Junkyu"},{"family":"Rosenkranz","given":"Peter"}],"issued":{"date-parts":[["2020"]]}}},{"id":112,"uris":["http://zotero.org/users/local/VAqELCal/items/HVL76QNT"],"itemData":{"id":112,"type":"article-journal","container-title":"Journal of Public Affairs","DOI":"10.1002/pa.2414","journalAbbreviation":"Journal of Public Affairs","title":"Macro Economical And bank‐specific Vulnerabilities of Nonperforming Loans: A Comparative Analysis of Developed and Developing Countries","author":[{"family":"Syed","given":"Aamir A."},{"family":"Aidyngul","given":"Yeren"}],"issued":{"date-parts":[["2020"]]}}}],"schema":"https://github.com/citation-style-language/schema/raw/master/csl-citation.json"} </w:instrText>
      </w:r>
      <w:r w:rsidR="00FB1A2D">
        <w:rPr>
          <w:rFonts w:ascii="Times New Roman" w:hAnsi="Times New Roman" w:cs="Times New Roman"/>
        </w:rPr>
        <w:fldChar w:fldCharType="separate"/>
      </w:r>
      <w:r w:rsidR="00FB1A2D" w:rsidRPr="00FB1A2D">
        <w:rPr>
          <w:rFonts w:ascii="Times New Roman" w:hAnsi="Times New Roman" w:cs="Times New Roman"/>
        </w:rPr>
        <w:t>(Lee &amp; Rosenkranz, 2020; Syed &amp; Aidyngul, 2020)</w:t>
      </w:r>
      <w:r w:rsidR="00FB1A2D">
        <w:rPr>
          <w:rFonts w:ascii="Times New Roman" w:hAnsi="Times New Roman" w:cs="Times New Roman"/>
        </w:rPr>
        <w:fldChar w:fldCharType="end"/>
      </w:r>
      <w:r w:rsidRPr="00B21426">
        <w:rPr>
          <w:rFonts w:ascii="Times New Roman" w:hAnsi="Times New Roman" w:cs="Times New Roman"/>
        </w:rPr>
        <w:t xml:space="preserve">. The sign is negative, as in the Z-score Model, and positive in the NPL Model, as </w:t>
      </w:r>
      <w:proofErr w:type="spellStart"/>
      <w:r w:rsidRPr="00B21426">
        <w:rPr>
          <w:rFonts w:ascii="Times New Roman" w:hAnsi="Times New Roman" w:cs="Times New Roman"/>
        </w:rPr>
        <w:t>emphasised</w:t>
      </w:r>
      <w:proofErr w:type="spellEnd"/>
      <w:r w:rsidRPr="00B21426">
        <w:rPr>
          <w:rFonts w:ascii="Times New Roman" w:hAnsi="Times New Roman" w:cs="Times New Roman"/>
        </w:rPr>
        <w:t xml:space="preserve"> in the article ‘Nonperforming Loans in Asia and Europe</w:t>
      </w:r>
      <w:r w:rsidR="00FB1A2D">
        <w:rPr>
          <w:rFonts w:ascii="Times New Roman" w:hAnsi="Times New Roman" w:cs="Times New Roman"/>
        </w:rPr>
        <w:t xml:space="preserve"> </w:t>
      </w:r>
      <w:r w:rsidRPr="00B21426">
        <w:rPr>
          <w:rFonts w:ascii="Times New Roman" w:hAnsi="Times New Roman" w:cs="Times New Roman"/>
        </w:rPr>
        <w:t xml:space="preserve">Causes, Impacts, and Resolution Strategies,' which was published in 2021 </w:t>
      </w:r>
      <w:r w:rsidR="00C32A5F">
        <w:rPr>
          <w:rFonts w:ascii="Times New Roman" w:hAnsi="Times New Roman" w:cs="Times New Roman"/>
        </w:rPr>
        <w:fldChar w:fldCharType="begin"/>
      </w:r>
      <w:r w:rsidR="00C32A5F">
        <w:rPr>
          <w:rFonts w:ascii="Times New Roman" w:hAnsi="Times New Roman" w:cs="Times New Roman"/>
        </w:rPr>
        <w:instrText xml:space="preserve"> ADDIN ZOTERO_ITEM CSL_CITATION {"citationID":"rUjFChdY","properties":{"formattedCitation":"(Muhammed et al., 2023)","plainCitation":"(Muhammed et al., 2023)","noteIndex":0},"citationItems":[{"id":512,"uris":["http://zotero.org/users/local/VAqELCal/items/R3BWKNBY"],"itemData":{"id":512,"type":"article-journal","container-title":"Journal of Risk and Financial Management","DOI":"10.3390/jrfm16090406","issue":"9","journalAbbreviation":"Journal of Risk and Financial Management","page":"406","title":"Credit Risk Determinants in Selected Ethiopian Commercial Banks: A Panel Data Analysis","volume":"16","author":[{"family":"Muhammed","given":"Seid"},{"family":"Desalegn","given":"Goshu"},{"family":"Fekete‐Farkas","given":"Maria"},{"family":"Bruder","given":"Emese"}],"issued":{"date-parts":[["2023"]]}}}],"schema":"https://github.com/citation-style-language/schema/raw/master/csl-citation.json"} </w:instrText>
      </w:r>
      <w:r w:rsidR="00C32A5F">
        <w:rPr>
          <w:rFonts w:ascii="Times New Roman" w:hAnsi="Times New Roman" w:cs="Times New Roman"/>
        </w:rPr>
        <w:fldChar w:fldCharType="separate"/>
      </w:r>
      <w:r w:rsidR="00C32A5F" w:rsidRPr="00C32A5F">
        <w:rPr>
          <w:rFonts w:ascii="Times New Roman" w:hAnsi="Times New Roman" w:cs="Times New Roman"/>
        </w:rPr>
        <w:t>(Muhammed et al., 2023)</w:t>
      </w:r>
      <w:r w:rsidR="00C32A5F">
        <w:rPr>
          <w:rFonts w:ascii="Times New Roman" w:hAnsi="Times New Roman" w:cs="Times New Roman"/>
        </w:rPr>
        <w:fldChar w:fldCharType="end"/>
      </w:r>
      <w:r w:rsidRPr="00B21426">
        <w:rPr>
          <w:rFonts w:ascii="Times New Roman" w:hAnsi="Times New Roman" w:cs="Times New Roman"/>
        </w:rPr>
        <w:t>.</w:t>
      </w:r>
    </w:p>
    <w:p w14:paraId="487C3593" w14:textId="2D56F11F"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The ratio of bank capital to assets indicates the size of </w:t>
      </w:r>
      <w:proofErr w:type="spellStart"/>
      <w:r w:rsidRPr="00B21426">
        <w:rPr>
          <w:rFonts w:ascii="Times New Roman" w:hAnsi="Times New Roman" w:cs="Times New Roman"/>
        </w:rPr>
        <w:t>capitalisation</w:t>
      </w:r>
      <w:proofErr w:type="spellEnd"/>
      <w:r w:rsidRPr="00B21426">
        <w:rPr>
          <w:rFonts w:ascii="Times New Roman" w:hAnsi="Times New Roman" w:cs="Times New Roman"/>
        </w:rPr>
        <w:t xml:space="preserve"> buffers against losses. A bank with higher capital, has greater resilience to adverse shocks and lower insolvency risk</w:t>
      </w:r>
      <w:r w:rsidR="00C32A5F">
        <w:rPr>
          <w:rFonts w:ascii="Times New Roman" w:hAnsi="Times New Roman" w:cs="Times New Roman"/>
        </w:rPr>
        <w:t xml:space="preserve"> </w:t>
      </w:r>
      <w:r w:rsidR="00C32A5F">
        <w:rPr>
          <w:rFonts w:ascii="Times New Roman" w:hAnsi="Times New Roman" w:cs="Times New Roman"/>
        </w:rPr>
        <w:fldChar w:fldCharType="begin"/>
      </w:r>
      <w:r w:rsidR="00C32A5F">
        <w:rPr>
          <w:rFonts w:ascii="Times New Roman" w:hAnsi="Times New Roman" w:cs="Times New Roman"/>
        </w:rPr>
        <w:instrText xml:space="preserve"> ADDIN ZOTERO_ITEM CSL_CITATION {"citationID":"TNDRXcI8","properties":{"formattedCitation":"(Alnabulsi et al., 2023; Saliba et al., 2023)","plainCitation":"(Alnabulsi et al., 2023; Saliba et al., 2023)","noteIndex":0},"citationItems":[{"id":500,"uris":["http://zotero.org/users/local/VAqELCal/items/8ZFMTIVU"],"itemData":{"id":500,"type":"article-journal","container-title":"Commodities","DOI":"10.3390/commodities2020007","issue":"2","journalAbbreviation":"Commodities","page":"111-130","title":"Non-Performing Loans as a Driver of Banking Distress: A Systematic Literature Review","volume":"2","author":[{"family":"Alnabulsi","given":"Khalil"},{"family":"Kozarević","given":"Emira"},{"family":"Hakimi","given":"Abdelaziz"}],"issued":{"date-parts":[["2023"]]}}},{"id":122,"uris":["http://zotero.org/users/local/VAqELCal/items/ZU5RP9IR"],"itemData":{"id":122,"type":"article-journal","container-title":"Financial Innovation","DOI":"10.1186/s40854-023-00494-2","issue":"1","journalAbbreviation":"Financial Innovation","title":"Does Country Risk Impact the Banking Sectors’ Non-Performing Loans? Evidence From BRICS Emerging Economies","volume":"9","author":[{"family":"Saliba","given":"Chafic"},{"family":"Farmanesh","given":"Panteha"},{"family":"Athari","given":"Seyed A."}],"issued":{"date-parts":[["2023"]]}}}],"schema":"https://github.com/citation-style-language/schema/raw/master/csl-citation.json"} </w:instrText>
      </w:r>
      <w:r w:rsidR="00C32A5F">
        <w:rPr>
          <w:rFonts w:ascii="Times New Roman" w:hAnsi="Times New Roman" w:cs="Times New Roman"/>
        </w:rPr>
        <w:fldChar w:fldCharType="separate"/>
      </w:r>
      <w:r w:rsidR="00C32A5F" w:rsidRPr="00C32A5F">
        <w:rPr>
          <w:rFonts w:ascii="Times New Roman" w:hAnsi="Times New Roman" w:cs="Times New Roman"/>
        </w:rPr>
        <w:t xml:space="preserve">(Alnabulsi </w:t>
      </w:r>
      <w:r w:rsidR="00C32A5F" w:rsidRPr="00C32A5F">
        <w:rPr>
          <w:rFonts w:ascii="Times New Roman" w:hAnsi="Times New Roman" w:cs="Times New Roman"/>
        </w:rPr>
        <w:lastRenderedPageBreak/>
        <w:t>et al., 2023; Saliba et al., 2023)</w:t>
      </w:r>
      <w:r w:rsidR="00C32A5F">
        <w:rPr>
          <w:rFonts w:ascii="Times New Roman" w:hAnsi="Times New Roman" w:cs="Times New Roman"/>
        </w:rPr>
        <w:fldChar w:fldCharType="end"/>
      </w:r>
      <w:r w:rsidRPr="00B21426">
        <w:rPr>
          <w:rFonts w:ascii="Times New Roman" w:hAnsi="Times New Roman" w:cs="Times New Roman"/>
        </w:rPr>
        <w:t xml:space="preserve">. The anticipated sign is positive for Z score model and negative for NPL model which align to the moral hazard hypothesis which suggests that a higher </w:t>
      </w:r>
      <w:proofErr w:type="spellStart"/>
      <w:r w:rsidRPr="00B21426">
        <w:rPr>
          <w:rFonts w:ascii="Times New Roman" w:hAnsi="Times New Roman" w:cs="Times New Roman"/>
        </w:rPr>
        <w:t>capitalisation</w:t>
      </w:r>
      <w:proofErr w:type="spellEnd"/>
      <w:r w:rsidRPr="00B21426">
        <w:rPr>
          <w:rFonts w:ascii="Times New Roman" w:hAnsi="Times New Roman" w:cs="Times New Roman"/>
        </w:rPr>
        <w:t xml:space="preserve"> would limit excessive risk taking</w:t>
      </w:r>
      <w:r w:rsidR="00C32A5F">
        <w:rPr>
          <w:rFonts w:ascii="Times New Roman" w:hAnsi="Times New Roman" w:cs="Times New Roman"/>
        </w:rPr>
        <w:t xml:space="preserve"> </w:t>
      </w:r>
      <w:r w:rsidR="00C32A5F">
        <w:rPr>
          <w:rFonts w:ascii="Times New Roman" w:hAnsi="Times New Roman" w:cs="Times New Roman"/>
        </w:rPr>
        <w:fldChar w:fldCharType="begin"/>
      </w:r>
      <w:r w:rsidR="00C32A5F">
        <w:rPr>
          <w:rFonts w:ascii="Times New Roman" w:hAnsi="Times New Roman" w:cs="Times New Roman"/>
        </w:rPr>
        <w:instrText xml:space="preserve"> ADDIN ZOTERO_ITEM CSL_CITATION {"citationID":"0W6VOKsV","properties":{"formattedCitation":"(Hasan &amp; Ashfaq, 2021; Wanjala &amp; Gachanja, 2020)","plainCitation":"(Hasan &amp; Ashfaq, 2021; Wanjala &amp; Gachanja, 2020)","noteIndex":0},"citationItems":[{"id":498,"uris":["http://zotero.org/users/local/VAqELCal/items/BGX8DTYN"],"itemData":{"id":498,"type":"article-journal","container-title":"Future Business Journal","DOI":"10.1186/s43093-021-00060-1","issue":"1","journalAbbreviation":"Future Business Journal","title":"Corruption and Its Diverse Effect on Credit Risk: Global Evidence","volume":"7","author":[{"family":"Hasan","given":"Rashedul"},{"family":"Ashfaq","given":"Muhammad"}],"issued":{"date-parts":[["2021"]]}}},{"id":510,"uris":["http://zotero.org/users/local/VAqELCal/items/J37BY82J"],"itemData":{"id":510,"type":"article-journal","container-title":"Business Perspective Review","DOI":"10.38157/business-perspective-review.v2i1.118","issue":"1","journalAbbreviation":"Business Perspective Review","page":"29-44","title":"Mr Bank Specific Determinants of Nonperforming Loans in Kenya","volume":"2","author":[{"family":"Wanjala","given":"Kevin"},{"family":"Gachanja","given":"Jane N."}],"issued":{"date-parts":[["2020"]]}}}],"schema":"https://github.com/citation-style-language/schema/raw/master/csl-citation.json"} </w:instrText>
      </w:r>
      <w:r w:rsidR="00C32A5F">
        <w:rPr>
          <w:rFonts w:ascii="Times New Roman" w:hAnsi="Times New Roman" w:cs="Times New Roman"/>
        </w:rPr>
        <w:fldChar w:fldCharType="separate"/>
      </w:r>
      <w:r w:rsidR="00C32A5F" w:rsidRPr="00C32A5F">
        <w:rPr>
          <w:rFonts w:ascii="Times New Roman" w:hAnsi="Times New Roman" w:cs="Times New Roman"/>
        </w:rPr>
        <w:t>(Hasan &amp; Ashfaq, 2021; Wanjala &amp; Gachanja, 2020)</w:t>
      </w:r>
      <w:r w:rsidR="00C32A5F">
        <w:rPr>
          <w:rFonts w:ascii="Times New Roman" w:hAnsi="Times New Roman" w:cs="Times New Roman"/>
        </w:rPr>
        <w:fldChar w:fldCharType="end"/>
      </w:r>
      <w:r w:rsidRPr="00B21426">
        <w:rPr>
          <w:rFonts w:ascii="Times New Roman" w:hAnsi="Times New Roman" w:cs="Times New Roman"/>
        </w:rPr>
        <w:t>.</w:t>
      </w:r>
    </w:p>
    <w:p w14:paraId="60201B59" w14:textId="168E5A1A"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Return on assets (where appropriate through coverage) are indicators of bank profitability and earning potential. Better banks with higher profitability have more capacity to develop more loss absorption buffers and have better systems of credit screening in place </w:t>
      </w:r>
      <w:r w:rsidR="00C32A5F">
        <w:rPr>
          <w:rFonts w:ascii="Times New Roman" w:hAnsi="Times New Roman" w:cs="Times New Roman"/>
        </w:rPr>
        <w:fldChar w:fldCharType="begin"/>
      </w:r>
      <w:r w:rsidR="00C32A5F">
        <w:rPr>
          <w:rFonts w:ascii="Times New Roman" w:hAnsi="Times New Roman" w:cs="Times New Roman"/>
        </w:rPr>
        <w:instrText xml:space="preserve"> ADDIN ZOTERO_ITEM CSL_CITATION {"citationID":"BQ27TRWd","properties":{"formattedCitation":"(Antony &amp; Suresh, 2023; Yahaya et al., 2022)","plainCitation":"(Antony &amp; Suresh, 2023; Yahaya et al., 2022)","noteIndex":0},"citationItems":[{"id":508,"uris":["http://zotero.org/users/local/VAqELCal/items/BCXEKUE5"],"itemData":{"id":508,"type":"article-journal","container-title":"Banks and Bank Systems","DOI":"10.21511/bbs.18(2).2023.08","issue":"2","journalAbbreviation":"Banks and Bank Systems","page":"88-100","title":"Determinants of Credit Risk: Empirical Evidence From Indian Commercial Banks","volume":"18","author":[{"family":"Antony","given":"Tisa M."},{"family":"Suresh","given":"G."}],"issued":{"date-parts":[["2023"]]}}},{"id":513,"uris":["http://zotero.org/users/local/VAqELCal/items/9WXEVVB9"],"itemData":{"id":513,"type":"article-journal","container-title":"Journal of Financial Regulation and Compliance","DOI":"10.1108/jfrc-03-2021-0019","issue":"3","journalAbbreviation":"Journal of Financial Regulation and Compliance","page":"312-334","title":"Liquidity Risk and Bank Financial Performance: An Application of System GMM Approach","volume":"30","author":[{"family":"Yahaya","given":"Adamu"},{"family":"Mahat","given":"Fauziah"},{"family":"M.H.","given":"Yahya"},{"family":"Matemilola","given":"Bolaji T."}],"issued":{"date-parts":[["2022"]]}}}],"schema":"https://github.com/citation-style-language/schema/raw/master/csl-citation.json"} </w:instrText>
      </w:r>
      <w:r w:rsidR="00C32A5F">
        <w:rPr>
          <w:rFonts w:ascii="Times New Roman" w:hAnsi="Times New Roman" w:cs="Times New Roman"/>
        </w:rPr>
        <w:fldChar w:fldCharType="separate"/>
      </w:r>
      <w:r w:rsidR="00C32A5F" w:rsidRPr="00C32A5F">
        <w:rPr>
          <w:rFonts w:ascii="Times New Roman" w:hAnsi="Times New Roman" w:cs="Times New Roman"/>
        </w:rPr>
        <w:t>(Antony &amp; Suresh, 2023; Yahaya et al., 2022)</w:t>
      </w:r>
      <w:r w:rsidR="00C32A5F">
        <w:rPr>
          <w:rFonts w:ascii="Times New Roman" w:hAnsi="Times New Roman" w:cs="Times New Roman"/>
        </w:rPr>
        <w:fldChar w:fldCharType="end"/>
      </w:r>
      <w:r w:rsidRPr="00B21426">
        <w:rPr>
          <w:rFonts w:ascii="Times New Roman" w:hAnsi="Times New Roman" w:cs="Times New Roman"/>
        </w:rPr>
        <w:t>. The Z score model is expected to have a positive sign while in the NPL model, the sign is expected to be negative</w:t>
      </w:r>
      <w:r w:rsidR="00C32A5F">
        <w:rPr>
          <w:rFonts w:ascii="Times New Roman" w:hAnsi="Times New Roman" w:cs="Times New Roman"/>
        </w:rPr>
        <w:t xml:space="preserve"> </w:t>
      </w:r>
      <w:r w:rsidR="00C32A5F">
        <w:rPr>
          <w:rFonts w:ascii="Times New Roman" w:hAnsi="Times New Roman" w:cs="Times New Roman"/>
        </w:rPr>
        <w:fldChar w:fldCharType="begin"/>
      </w:r>
      <w:r w:rsidR="00C32A5F">
        <w:rPr>
          <w:rFonts w:ascii="Times New Roman" w:hAnsi="Times New Roman" w:cs="Times New Roman"/>
        </w:rPr>
        <w:instrText xml:space="preserve"> ADDIN ZOTERO_ITEM CSL_CITATION {"citationID":"7PuAKBih","properties":{"formattedCitation":"(Ahmed et al., 2022; Ozili &amp; Ndah, 2021)","plainCitation":"(Ahmed et al., 2022; Ozili &amp; Ndah, 2021)","noteIndex":0},"citationItems":[{"id":514,"uris":["http://zotero.org/users/local/VAqELCal/items/MU9NAKZW"],"itemData":{"id":514,"type":"article-journal","container-title":"Future Business Journal","DOI":"10.1186/s43093-022-00122-y","issue":"1","journalAbbreviation":"Future Business Journal","title":"The Consequence of the Credit Risk on the Financial Performance in Light of COVID-19: Evidence From Islamic Versus Conventional Banks Across MEA Region","volume":"8","author":[{"family":"Ahmed","given":"Hussien M."},{"family":"El-Halaby","given":"Sherif"},{"family":"Soliman","given":"Hebatallah A."}],"issued":{"date-parts":[["2022"]]}}},{"id":515,"uris":["http://zotero.org/users/local/VAqELCal/items/AST3B6XV"],"itemData":{"id":515,"type":"article-journal","container-title":"Journal of Economic and Administrative Sciences","DOI":"10.1108/jeas-07-2021-0140","issue":"2","journalAbbreviation":"Journal of Economic and Administrative Sciences","page":"238-262","title":"Impact of Financial Development on Bank Profitability","volume":"40","author":[{"family":"Ozili","given":"Peterson K."},{"family":"Ndah","given":"Honour"}],"issued":{"date-parts":[["2021"]]}}}],"schema":"https://github.com/citation-style-language/schema/raw/master/csl-citation.json"} </w:instrText>
      </w:r>
      <w:r w:rsidR="00C32A5F">
        <w:rPr>
          <w:rFonts w:ascii="Times New Roman" w:hAnsi="Times New Roman" w:cs="Times New Roman"/>
        </w:rPr>
        <w:fldChar w:fldCharType="separate"/>
      </w:r>
      <w:r w:rsidR="00C32A5F" w:rsidRPr="00C32A5F">
        <w:rPr>
          <w:rFonts w:ascii="Times New Roman" w:hAnsi="Times New Roman" w:cs="Times New Roman"/>
        </w:rPr>
        <w:t>(Ahmed et al., 2022; Ozili &amp; Ndah, 2021)</w:t>
      </w:r>
      <w:r w:rsidR="00C32A5F">
        <w:rPr>
          <w:rFonts w:ascii="Times New Roman" w:hAnsi="Times New Roman" w:cs="Times New Roman"/>
        </w:rPr>
        <w:fldChar w:fldCharType="end"/>
      </w:r>
      <w:r w:rsidRPr="00B21426">
        <w:rPr>
          <w:rFonts w:ascii="Times New Roman" w:hAnsi="Times New Roman" w:cs="Times New Roman"/>
        </w:rPr>
        <w:t>.</w:t>
      </w:r>
    </w:p>
    <w:p w14:paraId="4AC60218" w14:textId="2669A593" w:rsid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Liquidity ratio (liquid assets to deposits and short-term funding, if data is available) reflects a bank's capacity to meet its short-term obligations. Bank liquidity decreases risks of fire sale losses and systemic contagion </w:t>
      </w:r>
      <w:r w:rsidR="00C32A5F">
        <w:rPr>
          <w:rFonts w:ascii="Times New Roman" w:hAnsi="Times New Roman" w:cs="Times New Roman"/>
        </w:rPr>
        <w:fldChar w:fldCharType="begin"/>
      </w:r>
      <w:r w:rsidR="00C32A5F">
        <w:rPr>
          <w:rFonts w:ascii="Times New Roman" w:hAnsi="Times New Roman" w:cs="Times New Roman"/>
        </w:rPr>
        <w:instrText xml:space="preserve"> ADDIN ZOTERO_ITEM CSL_CITATION {"citationID":"7bmLY5VH","properties":{"formattedCitation":"(Fombang &amp; Wanzala, 2023; Yahaya et al., 2022)","plainCitation":"(Fombang &amp; Wanzala, 2023; Yahaya et al., 2022)","noteIndex":0},"citationItems":[{"id":516,"uris":["http://zotero.org/users/local/VAqELCal/items/WAV3QCJF"],"itemData":{"id":516,"type":"article-journal","container-title":"Eureka Social and Humanities","DOI":"10.21303/2504-5571.2023.003245","issue":"6","journalAbbreviation":"Eureka Social and Humanities","page":"61-72","title":"Mozambican Commercial Bank Liquidity and Its Determinants","author":[{"family":"Fombang","given":"MccPowell"},{"family":"Wanzala","given":"Richard W."}],"issued":{"date-parts":[["2023"]]}}},{"id":513,"uris":["http://zotero.org/users/local/VAqELCal/items/9WXEVVB9"],"itemData":{"id":513,"type":"article-journal","container-title":"Journal of Financial Regulation and Compliance","DOI":"10.1108/jfrc-03-2021-0019","issue":"3","journalAbbreviation":"Journal of Financial Regulation and Compliance","page":"312-334","title":"Liquidity Risk and Bank Financial Performance: An Application of System GMM Approach","volume":"30","author":[{"family":"Yahaya","given":"Adamu"},{"family":"Mahat","given":"Fauziah"},{"family":"M.H.","given":"Yahya"},{"family":"Matemilola","given":"Bolaji T."}],"issued":{"date-parts":[["2022"]]}}}],"schema":"https://github.com/citation-style-language/schema/raw/master/csl-citation.json"} </w:instrText>
      </w:r>
      <w:r w:rsidR="00C32A5F">
        <w:rPr>
          <w:rFonts w:ascii="Times New Roman" w:hAnsi="Times New Roman" w:cs="Times New Roman"/>
        </w:rPr>
        <w:fldChar w:fldCharType="separate"/>
      </w:r>
      <w:r w:rsidR="00C32A5F" w:rsidRPr="00C32A5F">
        <w:rPr>
          <w:rFonts w:ascii="Times New Roman" w:hAnsi="Times New Roman" w:cs="Times New Roman"/>
        </w:rPr>
        <w:t>(Fombang &amp; Wanzala, 2023; Yahaya et al., 2022)</w:t>
      </w:r>
      <w:r w:rsidR="00C32A5F">
        <w:rPr>
          <w:rFonts w:ascii="Times New Roman" w:hAnsi="Times New Roman" w:cs="Times New Roman"/>
        </w:rPr>
        <w:fldChar w:fldCharType="end"/>
      </w:r>
      <w:r w:rsidRPr="00B21426">
        <w:rPr>
          <w:rFonts w:ascii="Times New Roman" w:hAnsi="Times New Roman" w:cs="Times New Roman"/>
        </w:rPr>
        <w:t>. The sign that should be observed of the Z-Score model should be positive because higher liquidity decreases distress driven default while the sign for the relationship with NPLs is theoretically ambiguous because too much or too little liquidity may result in fewer distress driven defaults; however, too much liquidity may reflect conservative lending which increases inefficient NPLs</w:t>
      </w:r>
      <w:r w:rsidR="00C32A5F">
        <w:rPr>
          <w:rFonts w:ascii="Times New Roman" w:hAnsi="Times New Roman" w:cs="Times New Roman"/>
        </w:rPr>
        <w:t xml:space="preserve"> </w:t>
      </w:r>
      <w:r w:rsidR="00C32A5F">
        <w:rPr>
          <w:rFonts w:ascii="Times New Roman" w:hAnsi="Times New Roman" w:cs="Times New Roman"/>
        </w:rPr>
        <w:fldChar w:fldCharType="begin"/>
      </w:r>
      <w:r w:rsidR="00C32A5F">
        <w:rPr>
          <w:rFonts w:ascii="Times New Roman" w:hAnsi="Times New Roman" w:cs="Times New Roman"/>
        </w:rPr>
        <w:instrText xml:space="preserve"> ADDIN ZOTERO_ITEM CSL_CITATION {"citationID":"kogk7wiY","properties":{"formattedCitation":"(Msomi, 2022; Olarewaju, 2020)","plainCitation":"(Msomi, 2022; Olarewaju, 2020)","noteIndex":0},"citationItems":[{"id":140,"uris":["http://zotero.org/users/local/VAqELCal/items/IT7N9DY6"],"itemData":{"id":140,"type":"article-journal","container-title":"Banks and Bank Systems","DOI":"10.21511/bbs.17(1).2022.01","issue":"1","journalAbbreviation":"Banks and Bank Systems","page":"1-12","title":"Factors Affecting Non-Performing Loans in Commercial Banks of Selected West African Countries","volume":"17","author":[{"family":"Msomi","given":"Thabiso S."}],"issued":{"date-parts":[["2022"]]}}},{"id":501,"uris":["http://zotero.org/users/local/VAqELCal/items/VAAMI6I2"],"itemData":{"id":501,"type":"article-journal","container-title":"African Development Review","DOI":"10.1111/1467-8268.12475","issue":"4","journalAbbreviation":"African Development Review","page":"744-757","title":"Investigating the Factors Affecting Nonperforming Loans in Commercial Banks: The Case of African Lower Middle‐income Countries","volume":"32","author":[{"family":"Olarewaju","given":"Odunayo M."}],"issued":{"date-parts":[["2020"]]}}}],"schema":"https://github.com/citation-style-language/schema/raw/master/csl-citation.json"} </w:instrText>
      </w:r>
      <w:r w:rsidR="00C32A5F">
        <w:rPr>
          <w:rFonts w:ascii="Times New Roman" w:hAnsi="Times New Roman" w:cs="Times New Roman"/>
        </w:rPr>
        <w:fldChar w:fldCharType="separate"/>
      </w:r>
      <w:r w:rsidR="00C32A5F" w:rsidRPr="00C32A5F">
        <w:rPr>
          <w:rFonts w:ascii="Times New Roman" w:hAnsi="Times New Roman" w:cs="Times New Roman"/>
        </w:rPr>
        <w:t>(Msomi, 2022; Olarewaju, 2020)</w:t>
      </w:r>
      <w:r w:rsidR="00C32A5F">
        <w:rPr>
          <w:rFonts w:ascii="Times New Roman" w:hAnsi="Times New Roman" w:cs="Times New Roman"/>
        </w:rPr>
        <w:fldChar w:fldCharType="end"/>
      </w:r>
      <w:r w:rsidRPr="00B21426">
        <w:rPr>
          <w:rFonts w:ascii="Times New Roman" w:hAnsi="Times New Roman" w:cs="Times New Roman"/>
        </w:rPr>
        <w:t>.</w:t>
      </w:r>
    </w:p>
    <w:p w14:paraId="1FCE13D2" w14:textId="0908A070" w:rsidR="00366612" w:rsidRPr="00AC5B84" w:rsidRDefault="00366612" w:rsidP="00C44A63">
      <w:pPr>
        <w:spacing w:line="360" w:lineRule="auto"/>
        <w:jc w:val="both"/>
        <w:rPr>
          <w:rFonts w:ascii="Times New Roman" w:hAnsi="Times New Roman" w:cs="Times New Roman"/>
          <w:b/>
          <w:bCs/>
        </w:rPr>
      </w:pPr>
      <w:r w:rsidRPr="00AC5B84">
        <w:rPr>
          <w:rFonts w:ascii="Times New Roman" w:hAnsi="Times New Roman" w:cs="Times New Roman"/>
          <w:b/>
          <w:bCs/>
        </w:rPr>
        <w:t xml:space="preserve">Table </w:t>
      </w:r>
      <w:r w:rsidR="00AC5B84">
        <w:rPr>
          <w:rFonts w:ascii="Times New Roman" w:hAnsi="Times New Roman" w:cs="Times New Roman"/>
          <w:b/>
          <w:bCs/>
        </w:rPr>
        <w:t>3.</w:t>
      </w:r>
      <w:r w:rsidRPr="00AC5B84">
        <w:rPr>
          <w:rFonts w:ascii="Times New Roman" w:hAnsi="Times New Roman" w:cs="Times New Roman"/>
          <w:b/>
          <w:bCs/>
        </w:rPr>
        <w:t xml:space="preserve">1 below </w:t>
      </w:r>
      <w:proofErr w:type="spellStart"/>
      <w:r w:rsidRPr="00AC5B84">
        <w:rPr>
          <w:rFonts w:ascii="Times New Roman" w:hAnsi="Times New Roman" w:cs="Times New Roman"/>
          <w:b/>
          <w:bCs/>
        </w:rPr>
        <w:t>summarises</w:t>
      </w:r>
      <w:proofErr w:type="spellEnd"/>
      <w:r w:rsidRPr="00AC5B84">
        <w:rPr>
          <w:rFonts w:ascii="Times New Roman" w:hAnsi="Times New Roman" w:cs="Times New Roman"/>
          <w:b/>
          <w:bCs/>
        </w:rPr>
        <w:t xml:space="preserve"> the expected signs:</w:t>
      </w:r>
    </w:p>
    <w:tbl>
      <w:tblPr>
        <w:tblStyle w:val="GridTable4-Accent1"/>
        <w:tblW w:w="0" w:type="auto"/>
        <w:tblLayout w:type="fixed"/>
        <w:tblLook w:val="04A0" w:firstRow="1" w:lastRow="0" w:firstColumn="1" w:lastColumn="0" w:noHBand="0" w:noVBand="1"/>
      </w:tblPr>
      <w:tblGrid>
        <w:gridCol w:w="4968"/>
        <w:gridCol w:w="1944"/>
        <w:gridCol w:w="2160"/>
      </w:tblGrid>
      <w:tr w:rsidR="00366612" w:rsidRPr="00366612" w14:paraId="5DDBAFA1" w14:textId="77777777" w:rsidTr="003666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4717C05F" w14:textId="77777777" w:rsidR="00366612" w:rsidRPr="00366612" w:rsidRDefault="00366612" w:rsidP="00C44A63">
            <w:pPr>
              <w:spacing w:line="360" w:lineRule="auto"/>
              <w:jc w:val="both"/>
              <w:rPr>
                <w:rFonts w:ascii="Times New Roman" w:hAnsi="Times New Roman" w:cs="Times New Roman"/>
              </w:rPr>
            </w:pPr>
            <w:r w:rsidRPr="00366612">
              <w:rPr>
                <w:rFonts w:ascii="Times New Roman" w:hAnsi="Times New Roman" w:cs="Times New Roman"/>
              </w:rPr>
              <w:t>Variable</w:t>
            </w:r>
          </w:p>
        </w:tc>
        <w:tc>
          <w:tcPr>
            <w:tcW w:w="1944" w:type="dxa"/>
          </w:tcPr>
          <w:p w14:paraId="753BD0CE" w14:textId="77777777" w:rsidR="00366612" w:rsidRPr="00366612" w:rsidRDefault="00366612" w:rsidP="00C44A6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Z-score Model</w:t>
            </w:r>
          </w:p>
        </w:tc>
        <w:tc>
          <w:tcPr>
            <w:tcW w:w="2160" w:type="dxa"/>
          </w:tcPr>
          <w:p w14:paraId="12C655F1" w14:textId="77777777" w:rsidR="00366612" w:rsidRPr="00366612" w:rsidRDefault="00366612" w:rsidP="00C44A6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NPL Model</w:t>
            </w:r>
          </w:p>
        </w:tc>
      </w:tr>
      <w:tr w:rsidR="00366612" w:rsidRPr="00366612" w14:paraId="3D968B9B" w14:textId="77777777" w:rsidTr="003666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4FED8C5A" w14:textId="77777777" w:rsidR="00366612" w:rsidRPr="00366612" w:rsidRDefault="00366612" w:rsidP="00C44A63">
            <w:pPr>
              <w:spacing w:line="360" w:lineRule="auto"/>
              <w:jc w:val="both"/>
              <w:rPr>
                <w:rFonts w:ascii="Times New Roman" w:hAnsi="Times New Roman" w:cs="Times New Roman"/>
              </w:rPr>
            </w:pPr>
            <w:r w:rsidRPr="00366612">
              <w:rPr>
                <w:rFonts w:ascii="Times New Roman" w:hAnsi="Times New Roman" w:cs="Times New Roman"/>
              </w:rPr>
              <w:t>Inflation Volatility</w:t>
            </w:r>
          </w:p>
        </w:tc>
        <w:tc>
          <w:tcPr>
            <w:tcW w:w="1944" w:type="dxa"/>
          </w:tcPr>
          <w:p w14:paraId="672E42DE" w14:textId="77777777" w:rsidR="00366612" w:rsidRPr="00366612" w:rsidRDefault="00366612" w:rsidP="00C44A6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w:t>
            </w:r>
          </w:p>
        </w:tc>
        <w:tc>
          <w:tcPr>
            <w:tcW w:w="2160" w:type="dxa"/>
          </w:tcPr>
          <w:p w14:paraId="74C8273F" w14:textId="77777777" w:rsidR="00366612" w:rsidRPr="00366612" w:rsidRDefault="00366612" w:rsidP="00C44A6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w:t>
            </w:r>
          </w:p>
        </w:tc>
      </w:tr>
      <w:tr w:rsidR="00366612" w:rsidRPr="00366612" w14:paraId="088A3981" w14:textId="77777777" w:rsidTr="00366612">
        <w:tc>
          <w:tcPr>
            <w:cnfStyle w:val="001000000000" w:firstRow="0" w:lastRow="0" w:firstColumn="1" w:lastColumn="0" w:oddVBand="0" w:evenVBand="0" w:oddHBand="0" w:evenHBand="0" w:firstRowFirstColumn="0" w:firstRowLastColumn="0" w:lastRowFirstColumn="0" w:lastRowLastColumn="0"/>
            <w:tcW w:w="4968" w:type="dxa"/>
          </w:tcPr>
          <w:p w14:paraId="53768C8E" w14:textId="77777777" w:rsidR="00366612" w:rsidRPr="00366612" w:rsidRDefault="00366612" w:rsidP="00C44A63">
            <w:pPr>
              <w:spacing w:line="360" w:lineRule="auto"/>
              <w:jc w:val="both"/>
              <w:rPr>
                <w:rFonts w:ascii="Times New Roman" w:hAnsi="Times New Roman" w:cs="Times New Roman"/>
              </w:rPr>
            </w:pPr>
            <w:r w:rsidRPr="00366612">
              <w:rPr>
                <w:rFonts w:ascii="Times New Roman" w:hAnsi="Times New Roman" w:cs="Times New Roman"/>
              </w:rPr>
              <w:t>GDP Growth</w:t>
            </w:r>
          </w:p>
        </w:tc>
        <w:tc>
          <w:tcPr>
            <w:tcW w:w="1944" w:type="dxa"/>
          </w:tcPr>
          <w:p w14:paraId="05FAF5DC" w14:textId="77777777" w:rsidR="00366612" w:rsidRPr="00366612" w:rsidRDefault="00366612" w:rsidP="00C44A6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w:t>
            </w:r>
          </w:p>
        </w:tc>
        <w:tc>
          <w:tcPr>
            <w:tcW w:w="2160" w:type="dxa"/>
          </w:tcPr>
          <w:p w14:paraId="07B6BD56" w14:textId="77777777" w:rsidR="00366612" w:rsidRPr="00366612" w:rsidRDefault="00366612" w:rsidP="00C44A6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w:t>
            </w:r>
          </w:p>
        </w:tc>
      </w:tr>
      <w:tr w:rsidR="00366612" w:rsidRPr="00366612" w14:paraId="25AF885E" w14:textId="77777777" w:rsidTr="003666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39CCB240" w14:textId="77777777" w:rsidR="00366612" w:rsidRPr="00366612" w:rsidRDefault="00366612" w:rsidP="00C44A63">
            <w:pPr>
              <w:spacing w:line="360" w:lineRule="auto"/>
              <w:jc w:val="both"/>
              <w:rPr>
                <w:rFonts w:ascii="Times New Roman" w:hAnsi="Times New Roman" w:cs="Times New Roman"/>
              </w:rPr>
            </w:pPr>
            <w:r w:rsidRPr="00366612">
              <w:rPr>
                <w:rFonts w:ascii="Times New Roman" w:hAnsi="Times New Roman" w:cs="Times New Roman"/>
              </w:rPr>
              <w:t>Real Interest Rate</w:t>
            </w:r>
          </w:p>
        </w:tc>
        <w:tc>
          <w:tcPr>
            <w:tcW w:w="1944" w:type="dxa"/>
          </w:tcPr>
          <w:p w14:paraId="7CDF176A" w14:textId="77777777" w:rsidR="00366612" w:rsidRPr="00366612" w:rsidRDefault="00366612" w:rsidP="00C44A6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w:t>
            </w:r>
          </w:p>
        </w:tc>
        <w:tc>
          <w:tcPr>
            <w:tcW w:w="2160" w:type="dxa"/>
          </w:tcPr>
          <w:p w14:paraId="1592395E" w14:textId="77777777" w:rsidR="00366612" w:rsidRPr="00366612" w:rsidRDefault="00366612" w:rsidP="00C44A6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w:t>
            </w:r>
          </w:p>
        </w:tc>
      </w:tr>
      <w:tr w:rsidR="00366612" w:rsidRPr="00366612" w14:paraId="023A6D4C" w14:textId="77777777" w:rsidTr="00366612">
        <w:tc>
          <w:tcPr>
            <w:cnfStyle w:val="001000000000" w:firstRow="0" w:lastRow="0" w:firstColumn="1" w:lastColumn="0" w:oddVBand="0" w:evenVBand="0" w:oddHBand="0" w:evenHBand="0" w:firstRowFirstColumn="0" w:firstRowLastColumn="0" w:lastRowFirstColumn="0" w:lastRowLastColumn="0"/>
            <w:tcW w:w="4968" w:type="dxa"/>
          </w:tcPr>
          <w:p w14:paraId="5A0F40FC" w14:textId="77777777" w:rsidR="00366612" w:rsidRPr="00366612" w:rsidRDefault="00366612" w:rsidP="00C44A63">
            <w:pPr>
              <w:spacing w:line="360" w:lineRule="auto"/>
              <w:jc w:val="both"/>
              <w:rPr>
                <w:rFonts w:ascii="Times New Roman" w:hAnsi="Times New Roman" w:cs="Times New Roman"/>
              </w:rPr>
            </w:pPr>
            <w:r w:rsidRPr="00366612">
              <w:rPr>
                <w:rFonts w:ascii="Times New Roman" w:hAnsi="Times New Roman" w:cs="Times New Roman"/>
              </w:rPr>
              <w:t>Domestic Credit/GDP</w:t>
            </w:r>
          </w:p>
        </w:tc>
        <w:tc>
          <w:tcPr>
            <w:tcW w:w="1944" w:type="dxa"/>
          </w:tcPr>
          <w:p w14:paraId="163CDE4A" w14:textId="77777777" w:rsidR="00366612" w:rsidRPr="00366612" w:rsidRDefault="00366612" w:rsidP="00C44A6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w:t>
            </w:r>
          </w:p>
        </w:tc>
        <w:tc>
          <w:tcPr>
            <w:tcW w:w="2160" w:type="dxa"/>
          </w:tcPr>
          <w:p w14:paraId="38286F16" w14:textId="77777777" w:rsidR="00366612" w:rsidRPr="00366612" w:rsidRDefault="00366612" w:rsidP="00C44A6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w:t>
            </w:r>
          </w:p>
        </w:tc>
      </w:tr>
      <w:tr w:rsidR="00366612" w:rsidRPr="00366612" w14:paraId="7C7F9110" w14:textId="77777777" w:rsidTr="003666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167FA8F8" w14:textId="77777777" w:rsidR="00366612" w:rsidRPr="00366612" w:rsidRDefault="00366612" w:rsidP="00C44A63">
            <w:pPr>
              <w:spacing w:line="360" w:lineRule="auto"/>
              <w:jc w:val="both"/>
              <w:rPr>
                <w:rFonts w:ascii="Times New Roman" w:hAnsi="Times New Roman" w:cs="Times New Roman"/>
              </w:rPr>
            </w:pPr>
            <w:r w:rsidRPr="00366612">
              <w:rPr>
                <w:rFonts w:ascii="Times New Roman" w:hAnsi="Times New Roman" w:cs="Times New Roman"/>
              </w:rPr>
              <w:t>Exchange Rate Volatility</w:t>
            </w:r>
          </w:p>
        </w:tc>
        <w:tc>
          <w:tcPr>
            <w:tcW w:w="1944" w:type="dxa"/>
          </w:tcPr>
          <w:p w14:paraId="3A81F9F4" w14:textId="77777777" w:rsidR="00366612" w:rsidRPr="00366612" w:rsidRDefault="00366612" w:rsidP="00C44A6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w:t>
            </w:r>
          </w:p>
        </w:tc>
        <w:tc>
          <w:tcPr>
            <w:tcW w:w="2160" w:type="dxa"/>
          </w:tcPr>
          <w:p w14:paraId="275ED78A" w14:textId="77777777" w:rsidR="00366612" w:rsidRPr="00366612" w:rsidRDefault="00366612" w:rsidP="00C44A6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w:t>
            </w:r>
          </w:p>
        </w:tc>
      </w:tr>
      <w:tr w:rsidR="00366612" w:rsidRPr="00366612" w14:paraId="10D7E3B0" w14:textId="77777777" w:rsidTr="00366612">
        <w:tc>
          <w:tcPr>
            <w:cnfStyle w:val="001000000000" w:firstRow="0" w:lastRow="0" w:firstColumn="1" w:lastColumn="0" w:oddVBand="0" w:evenVBand="0" w:oddHBand="0" w:evenHBand="0" w:firstRowFirstColumn="0" w:firstRowLastColumn="0" w:lastRowFirstColumn="0" w:lastRowLastColumn="0"/>
            <w:tcW w:w="4968" w:type="dxa"/>
          </w:tcPr>
          <w:p w14:paraId="44ECFB0A" w14:textId="77777777" w:rsidR="00366612" w:rsidRPr="00366612" w:rsidRDefault="00366612" w:rsidP="00C44A63">
            <w:pPr>
              <w:spacing w:line="360" w:lineRule="auto"/>
              <w:jc w:val="both"/>
              <w:rPr>
                <w:rFonts w:ascii="Times New Roman" w:hAnsi="Times New Roman" w:cs="Times New Roman"/>
              </w:rPr>
            </w:pPr>
            <w:r w:rsidRPr="00366612">
              <w:rPr>
                <w:rFonts w:ascii="Times New Roman" w:hAnsi="Times New Roman" w:cs="Times New Roman"/>
              </w:rPr>
              <w:t>Bank Capital/Assets</w:t>
            </w:r>
          </w:p>
        </w:tc>
        <w:tc>
          <w:tcPr>
            <w:tcW w:w="1944" w:type="dxa"/>
          </w:tcPr>
          <w:p w14:paraId="52677B95" w14:textId="77777777" w:rsidR="00366612" w:rsidRPr="00366612" w:rsidRDefault="00366612" w:rsidP="00C44A6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w:t>
            </w:r>
          </w:p>
        </w:tc>
        <w:tc>
          <w:tcPr>
            <w:tcW w:w="2160" w:type="dxa"/>
          </w:tcPr>
          <w:p w14:paraId="66FCF1DF" w14:textId="77777777" w:rsidR="00366612" w:rsidRPr="00366612" w:rsidRDefault="00366612" w:rsidP="00C44A6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w:t>
            </w:r>
          </w:p>
        </w:tc>
      </w:tr>
      <w:tr w:rsidR="00366612" w:rsidRPr="00366612" w14:paraId="77BD917E" w14:textId="77777777" w:rsidTr="003666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45468B16" w14:textId="77777777" w:rsidR="00366612" w:rsidRPr="00366612" w:rsidRDefault="00366612" w:rsidP="00C44A63">
            <w:pPr>
              <w:spacing w:line="360" w:lineRule="auto"/>
              <w:jc w:val="both"/>
              <w:rPr>
                <w:rFonts w:ascii="Times New Roman" w:hAnsi="Times New Roman" w:cs="Times New Roman"/>
              </w:rPr>
            </w:pPr>
            <w:r w:rsidRPr="00366612">
              <w:rPr>
                <w:rFonts w:ascii="Times New Roman" w:hAnsi="Times New Roman" w:cs="Times New Roman"/>
              </w:rPr>
              <w:t>Profitability (ROA)</w:t>
            </w:r>
          </w:p>
        </w:tc>
        <w:tc>
          <w:tcPr>
            <w:tcW w:w="1944" w:type="dxa"/>
          </w:tcPr>
          <w:p w14:paraId="3E52B504" w14:textId="77777777" w:rsidR="00366612" w:rsidRPr="00366612" w:rsidRDefault="00366612" w:rsidP="00C44A6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w:t>
            </w:r>
          </w:p>
        </w:tc>
        <w:tc>
          <w:tcPr>
            <w:tcW w:w="2160" w:type="dxa"/>
          </w:tcPr>
          <w:p w14:paraId="05F7351F" w14:textId="77777777" w:rsidR="00366612" w:rsidRPr="00366612" w:rsidRDefault="00366612" w:rsidP="00C44A6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w:t>
            </w:r>
          </w:p>
        </w:tc>
      </w:tr>
      <w:tr w:rsidR="00366612" w:rsidRPr="00366612" w14:paraId="1FFD5269" w14:textId="77777777" w:rsidTr="00366612">
        <w:tc>
          <w:tcPr>
            <w:cnfStyle w:val="001000000000" w:firstRow="0" w:lastRow="0" w:firstColumn="1" w:lastColumn="0" w:oddVBand="0" w:evenVBand="0" w:oddHBand="0" w:evenHBand="0" w:firstRowFirstColumn="0" w:firstRowLastColumn="0" w:lastRowFirstColumn="0" w:lastRowLastColumn="0"/>
            <w:tcW w:w="4968" w:type="dxa"/>
          </w:tcPr>
          <w:p w14:paraId="3E83878F" w14:textId="77777777" w:rsidR="00366612" w:rsidRPr="00366612" w:rsidRDefault="00366612" w:rsidP="00C44A63">
            <w:pPr>
              <w:spacing w:line="360" w:lineRule="auto"/>
              <w:jc w:val="both"/>
              <w:rPr>
                <w:rFonts w:ascii="Times New Roman" w:hAnsi="Times New Roman" w:cs="Times New Roman"/>
              </w:rPr>
            </w:pPr>
            <w:r w:rsidRPr="00366612">
              <w:rPr>
                <w:rFonts w:ascii="Times New Roman" w:hAnsi="Times New Roman" w:cs="Times New Roman"/>
              </w:rPr>
              <w:t>Liquidity Ratio</w:t>
            </w:r>
          </w:p>
        </w:tc>
        <w:tc>
          <w:tcPr>
            <w:tcW w:w="1944" w:type="dxa"/>
          </w:tcPr>
          <w:p w14:paraId="56F44B4B" w14:textId="77777777" w:rsidR="00366612" w:rsidRPr="00366612" w:rsidRDefault="00366612" w:rsidP="00C44A6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w:t>
            </w:r>
          </w:p>
        </w:tc>
        <w:tc>
          <w:tcPr>
            <w:tcW w:w="2160" w:type="dxa"/>
          </w:tcPr>
          <w:p w14:paraId="74F96DFC" w14:textId="77777777" w:rsidR="00366612" w:rsidRPr="00366612" w:rsidRDefault="00366612" w:rsidP="00C44A6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6612">
              <w:rPr>
                <w:rFonts w:ascii="Times New Roman" w:hAnsi="Times New Roman" w:cs="Times New Roman"/>
              </w:rPr>
              <w:t>− / ambiguous</w:t>
            </w:r>
          </w:p>
        </w:tc>
      </w:tr>
    </w:tbl>
    <w:p w14:paraId="294B279D" w14:textId="310803EC" w:rsidR="00B21426" w:rsidRPr="00366612" w:rsidRDefault="00B21426" w:rsidP="00C44A63">
      <w:pPr>
        <w:pStyle w:val="Heading2"/>
        <w:spacing w:line="360" w:lineRule="auto"/>
        <w:jc w:val="both"/>
        <w:rPr>
          <w:rFonts w:ascii="Times New Roman" w:hAnsi="Times New Roman" w:cs="Times New Roman"/>
          <w:b/>
          <w:bCs/>
          <w:sz w:val="28"/>
          <w:szCs w:val="28"/>
        </w:rPr>
      </w:pPr>
      <w:bookmarkStart w:id="59" w:name="_Toc235530887"/>
      <w:r w:rsidRPr="00366612">
        <w:rPr>
          <w:rFonts w:ascii="Times New Roman" w:hAnsi="Times New Roman" w:cs="Times New Roman"/>
          <w:b/>
          <w:bCs/>
          <w:sz w:val="28"/>
          <w:szCs w:val="28"/>
        </w:rPr>
        <w:lastRenderedPageBreak/>
        <w:t>3.5 Measuring Inflation Volatility</w:t>
      </w:r>
      <w:bookmarkEnd w:id="59"/>
    </w:p>
    <w:p w14:paraId="433B8428" w14:textId="77777777"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Correctly measuring the volatility of inflation is an essential element in the empirical method of the present work; the impact of macroeconomic uncertainty on the stability of the banking sector is very much related with the way in which price-level variability is measured. This subsection describes the baseline and robustness strategies used to create the inflation volatility variable for each country in the panel.</w:t>
      </w:r>
    </w:p>
    <w:p w14:paraId="5D49CF5E" w14:textId="2BD9BAB6" w:rsidR="00B21426" w:rsidRPr="00366612" w:rsidRDefault="00366612" w:rsidP="00C44A63">
      <w:pPr>
        <w:pStyle w:val="Heading3"/>
        <w:spacing w:line="360" w:lineRule="auto"/>
        <w:jc w:val="both"/>
        <w:rPr>
          <w:rFonts w:ascii="Times New Roman" w:hAnsi="Times New Roman" w:cs="Times New Roman"/>
          <w:b/>
          <w:bCs/>
          <w:sz w:val="24"/>
          <w:szCs w:val="24"/>
        </w:rPr>
      </w:pPr>
      <w:bookmarkStart w:id="60" w:name="_Toc235530888"/>
      <w:r w:rsidRPr="00366612">
        <w:rPr>
          <w:rFonts w:ascii="Times New Roman" w:hAnsi="Times New Roman" w:cs="Times New Roman"/>
          <w:b/>
          <w:bCs/>
          <w:sz w:val="24"/>
          <w:szCs w:val="24"/>
        </w:rPr>
        <w:t xml:space="preserve">3.5.1 </w:t>
      </w:r>
      <w:r w:rsidR="00B21426" w:rsidRPr="00366612">
        <w:rPr>
          <w:rFonts w:ascii="Times New Roman" w:hAnsi="Times New Roman" w:cs="Times New Roman"/>
          <w:b/>
          <w:bCs/>
          <w:sz w:val="24"/>
          <w:szCs w:val="24"/>
        </w:rPr>
        <w:t xml:space="preserve">Baseline Method: </w:t>
      </w:r>
      <w:proofErr w:type="gramStart"/>
      <w:r w:rsidR="00B21426" w:rsidRPr="00366612">
        <w:rPr>
          <w:rFonts w:ascii="Times New Roman" w:hAnsi="Times New Roman" w:cs="Times New Roman"/>
          <w:b/>
          <w:bCs/>
          <w:sz w:val="24"/>
          <w:szCs w:val="24"/>
        </w:rPr>
        <w:t>GARCH(</w:t>
      </w:r>
      <w:proofErr w:type="gramEnd"/>
      <w:r w:rsidR="00B21426" w:rsidRPr="00366612">
        <w:rPr>
          <w:rFonts w:ascii="Times New Roman" w:hAnsi="Times New Roman" w:cs="Times New Roman"/>
          <w:b/>
          <w:bCs/>
          <w:sz w:val="24"/>
          <w:szCs w:val="24"/>
        </w:rPr>
        <w:t>1,1)</w:t>
      </w:r>
      <w:bookmarkEnd w:id="60"/>
    </w:p>
    <w:p w14:paraId="73A52502" w14:textId="268D3DF0"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The main variable used as </w:t>
      </w:r>
      <w:r w:rsidR="00366612">
        <w:rPr>
          <w:rFonts w:ascii="Times New Roman" w:hAnsi="Times New Roman" w:cs="Times New Roman"/>
        </w:rPr>
        <w:t xml:space="preserve">a </w:t>
      </w:r>
      <w:r w:rsidRPr="00B21426">
        <w:rPr>
          <w:rFonts w:ascii="Times New Roman" w:hAnsi="Times New Roman" w:cs="Times New Roman"/>
        </w:rPr>
        <w:t xml:space="preserve">measure of inflation volatility is the </w:t>
      </w:r>
      <w:proofErr w:type="spellStart"/>
      <w:r w:rsidRPr="00B21426">
        <w:rPr>
          <w:rFonts w:ascii="Times New Roman" w:hAnsi="Times New Roman" w:cs="Times New Roman"/>
        </w:rPr>
        <w:t>Generalised</w:t>
      </w:r>
      <w:proofErr w:type="spellEnd"/>
      <w:r w:rsidRPr="00B21426">
        <w:rPr>
          <w:rFonts w:ascii="Times New Roman" w:hAnsi="Times New Roman" w:cs="Times New Roman"/>
        </w:rPr>
        <w:t xml:space="preserve"> Autoregressive Conditional Heteroskedasticity (GARCH) (1,1) model estimated on the annual consumer price inflation series for each country separately. The </w:t>
      </w:r>
      <w:proofErr w:type="gramStart"/>
      <w:r w:rsidRPr="00B21426">
        <w:rPr>
          <w:rFonts w:ascii="Times New Roman" w:hAnsi="Times New Roman" w:cs="Times New Roman"/>
        </w:rPr>
        <w:t>GARCH(</w:t>
      </w:r>
      <w:proofErr w:type="gramEnd"/>
      <w:r w:rsidRPr="00B21426">
        <w:rPr>
          <w:rFonts w:ascii="Times New Roman" w:hAnsi="Times New Roman" w:cs="Times New Roman"/>
        </w:rPr>
        <w:t>1,1) specification allows the conditional variance of inflation to depend on past squared residuals (ARCH term) as well as past conditional variances (GARCH term) which is to capture the clustering of variance observed over time and is a characteristic of macroeconomic series in developing countries. Formally, the conditional variance equation is specified as:</w:t>
      </w:r>
    </w:p>
    <w:p w14:paraId="56CB8E0A" w14:textId="77777777" w:rsidR="00366612" w:rsidRPr="00366612" w:rsidRDefault="00366612" w:rsidP="00EB09E0">
      <w:pPr>
        <w:spacing w:line="360" w:lineRule="auto"/>
        <w:jc w:val="center"/>
        <w:rPr>
          <w:rFonts w:ascii="Times New Roman" w:hAnsi="Times New Roman" w:cs="Times New Roman"/>
        </w:rPr>
      </w:pPr>
      <w:r w:rsidRPr="00366612">
        <w:rPr>
          <w:rFonts w:ascii="Times New Roman" w:hAnsi="Times New Roman" w:cs="Times New Roman"/>
        </w:rPr>
        <w:t>σ</w:t>
      </w:r>
      <w:r w:rsidRPr="00366612">
        <w:rPr>
          <w:rFonts w:ascii="Times New Roman" w:hAnsi="Times New Roman" w:cs="Times New Roman"/>
          <w:vertAlign w:val="subscript"/>
        </w:rPr>
        <w:t>t</w:t>
      </w:r>
      <w:r w:rsidRPr="00366612">
        <w:rPr>
          <w:rFonts w:ascii="Times New Roman" w:hAnsi="Times New Roman" w:cs="Times New Roman"/>
          <w:vertAlign w:val="superscript"/>
        </w:rPr>
        <w:t>2</w:t>
      </w:r>
      <w:r w:rsidRPr="00366612">
        <w:rPr>
          <w:rFonts w:ascii="Times New Roman" w:hAnsi="Times New Roman" w:cs="Times New Roman"/>
        </w:rPr>
        <w:t xml:space="preserve"> = ω + αε</w:t>
      </w:r>
      <w:r w:rsidRPr="00366612">
        <w:rPr>
          <w:rFonts w:ascii="Times New Roman" w:hAnsi="Times New Roman" w:cs="Times New Roman"/>
          <w:vertAlign w:val="subscript"/>
        </w:rPr>
        <w:t>t-1</w:t>
      </w:r>
      <w:r w:rsidRPr="00366612">
        <w:rPr>
          <w:rFonts w:ascii="Times New Roman" w:hAnsi="Times New Roman" w:cs="Times New Roman"/>
          <w:vertAlign w:val="superscript"/>
        </w:rPr>
        <w:t>2</w:t>
      </w:r>
      <w:r w:rsidRPr="00366612">
        <w:rPr>
          <w:rFonts w:ascii="Times New Roman" w:hAnsi="Times New Roman" w:cs="Times New Roman"/>
        </w:rPr>
        <w:t xml:space="preserve"> + βσ</w:t>
      </w:r>
      <w:r w:rsidRPr="00366612">
        <w:rPr>
          <w:rFonts w:ascii="Times New Roman" w:hAnsi="Times New Roman" w:cs="Times New Roman"/>
          <w:vertAlign w:val="subscript"/>
        </w:rPr>
        <w:t>t-1</w:t>
      </w:r>
      <w:r w:rsidRPr="00366612">
        <w:rPr>
          <w:rFonts w:ascii="Times New Roman" w:hAnsi="Times New Roman" w:cs="Times New Roman"/>
          <w:vertAlign w:val="superscript"/>
        </w:rPr>
        <w:t>2</w:t>
      </w:r>
    </w:p>
    <w:p w14:paraId="3A81F9A4" w14:textId="240259C0"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where </w:t>
      </w:r>
      <w:r w:rsidR="00366612" w:rsidRPr="00366612">
        <w:rPr>
          <w:rFonts w:ascii="Times New Roman" w:hAnsi="Times New Roman" w:cs="Times New Roman"/>
        </w:rPr>
        <w:t>σ</w:t>
      </w:r>
      <w:r w:rsidR="00366612" w:rsidRPr="00366612">
        <w:rPr>
          <w:rFonts w:ascii="Times New Roman" w:hAnsi="Times New Roman" w:cs="Times New Roman"/>
          <w:vertAlign w:val="subscript"/>
        </w:rPr>
        <w:t>t</w:t>
      </w:r>
      <w:r w:rsidR="00366612" w:rsidRPr="00366612">
        <w:rPr>
          <w:rFonts w:ascii="Times New Roman" w:hAnsi="Times New Roman" w:cs="Times New Roman"/>
          <w:vertAlign w:val="superscript"/>
        </w:rPr>
        <w:t>2</w:t>
      </w:r>
      <w:r w:rsidRPr="00B21426">
        <w:rPr>
          <w:rFonts w:ascii="Times New Roman" w:hAnsi="Times New Roman" w:cs="Times New Roman"/>
        </w:rPr>
        <w:t xml:space="preserve"> denotes the conditional variance of inflation at time t, εₜ₋₁² represents the squared innovation from the mean equation, and α and β are the ARCH and GARCH parameters, respectively.</w:t>
      </w:r>
    </w:p>
    <w:p w14:paraId="2752E7E4" w14:textId="77777777"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The </w:t>
      </w:r>
      <w:proofErr w:type="gramStart"/>
      <w:r w:rsidRPr="00B21426">
        <w:rPr>
          <w:rFonts w:ascii="Times New Roman" w:hAnsi="Times New Roman" w:cs="Times New Roman"/>
        </w:rPr>
        <w:t>GARCH(</w:t>
      </w:r>
      <w:proofErr w:type="gramEnd"/>
      <w:r w:rsidRPr="00B21426">
        <w:rPr>
          <w:rFonts w:ascii="Times New Roman" w:hAnsi="Times New Roman" w:cs="Times New Roman"/>
        </w:rPr>
        <w:t xml:space="preserve">1,1) specification is preferred for the main analysis for several compelling reasons. First, it takes into explicit consideration the time-varying nature of volatility that is the well-known empirical regularity that volatility tends to cluster; in other words, periods of high volatility are followed by more high volatility, and periods of low volatility are followed by more low volatility, which is very pronounced in frontier economies facing higher supply volatility, commodity prices swings and policy uncertainty. Second, the GARCH framework produces a time varying series of conditional variances that provides a measure of forward-looking uncertainty and, by that definition, provides a theoretically better approximation to dispersion as perceived by economic agents and the banking system as a form of inflation risk. Third, the </w:t>
      </w:r>
      <w:proofErr w:type="gramStart"/>
      <w:r w:rsidRPr="00B21426">
        <w:rPr>
          <w:rFonts w:ascii="Times New Roman" w:hAnsi="Times New Roman" w:cs="Times New Roman"/>
        </w:rPr>
        <w:t>GARCH(</w:t>
      </w:r>
      <w:proofErr w:type="gramEnd"/>
      <w:r w:rsidRPr="00B21426">
        <w:rPr>
          <w:rFonts w:ascii="Times New Roman" w:hAnsi="Times New Roman" w:cs="Times New Roman"/>
        </w:rPr>
        <w:t xml:space="preserve">1,1) framework has been widely used and tested in macroeconomic volatility literature in Sub-Saharan African and South Asian countries for empirical comparisons. Furthermore, panel literature indicates that </w:t>
      </w:r>
      <w:proofErr w:type="gramStart"/>
      <w:r w:rsidRPr="00B21426">
        <w:rPr>
          <w:rFonts w:ascii="Times New Roman" w:hAnsi="Times New Roman" w:cs="Times New Roman"/>
        </w:rPr>
        <w:lastRenderedPageBreak/>
        <w:t>GARCH(</w:t>
      </w:r>
      <w:proofErr w:type="gramEnd"/>
      <w:r w:rsidRPr="00B21426">
        <w:rPr>
          <w:rFonts w:ascii="Times New Roman" w:hAnsi="Times New Roman" w:cs="Times New Roman"/>
        </w:rPr>
        <w:t xml:space="preserve">1,1) is well suited for applications to panel data in a developing country context – for example Olamide et al. used </w:t>
      </w:r>
      <w:proofErr w:type="gramStart"/>
      <w:r w:rsidRPr="00B21426">
        <w:rPr>
          <w:rFonts w:ascii="Times New Roman" w:hAnsi="Times New Roman" w:cs="Times New Roman"/>
        </w:rPr>
        <w:t>GARCH(</w:t>
      </w:r>
      <w:proofErr w:type="gramEnd"/>
      <w:r w:rsidRPr="00B21426">
        <w:rPr>
          <w:rFonts w:ascii="Times New Roman" w:hAnsi="Times New Roman" w:cs="Times New Roman"/>
        </w:rPr>
        <w:t>1,1) to estimate climate-related volatility for economies within Sub-Saharan Africa and Amo-Bediako et al. used the same specification to estimate exchange rate instability in the SADC.</w:t>
      </w:r>
    </w:p>
    <w:p w14:paraId="5DFA83E7" w14:textId="77777777" w:rsidR="00B21426" w:rsidRPr="00B21426" w:rsidRDefault="00B21426" w:rsidP="00C44A63">
      <w:pPr>
        <w:spacing w:line="360" w:lineRule="auto"/>
        <w:jc w:val="both"/>
        <w:rPr>
          <w:rFonts w:ascii="Times New Roman" w:hAnsi="Times New Roman" w:cs="Times New Roman"/>
        </w:rPr>
      </w:pPr>
    </w:p>
    <w:p w14:paraId="6EA31E7D" w14:textId="0CB4C427" w:rsidR="00B21426" w:rsidRPr="00366612" w:rsidRDefault="00366612" w:rsidP="00C44A63">
      <w:pPr>
        <w:pStyle w:val="Heading3"/>
        <w:spacing w:line="360" w:lineRule="auto"/>
        <w:jc w:val="both"/>
        <w:rPr>
          <w:rFonts w:ascii="Times New Roman" w:hAnsi="Times New Roman" w:cs="Times New Roman"/>
          <w:b/>
          <w:bCs/>
          <w:sz w:val="24"/>
          <w:szCs w:val="24"/>
        </w:rPr>
      </w:pPr>
      <w:bookmarkStart w:id="61" w:name="_Toc235530889"/>
      <w:r w:rsidRPr="00366612">
        <w:rPr>
          <w:rFonts w:ascii="Times New Roman" w:hAnsi="Times New Roman" w:cs="Times New Roman"/>
          <w:b/>
          <w:bCs/>
          <w:sz w:val="24"/>
          <w:szCs w:val="24"/>
        </w:rPr>
        <w:t xml:space="preserve">3.5.2 </w:t>
      </w:r>
      <w:r w:rsidR="00B21426" w:rsidRPr="00366612">
        <w:rPr>
          <w:rFonts w:ascii="Times New Roman" w:hAnsi="Times New Roman" w:cs="Times New Roman"/>
          <w:b/>
          <w:bCs/>
          <w:sz w:val="24"/>
          <w:szCs w:val="24"/>
        </w:rPr>
        <w:t>Robustness Method: Rolling Standard Deviation</w:t>
      </w:r>
      <w:bookmarkEnd w:id="61"/>
    </w:p>
    <w:p w14:paraId="02D59EFE" w14:textId="77777777"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For a robustness check which is complementary to the previous one, a rolling measure of inflation volatility is defined as the standard deviation of the various annual inflation rates computed over a specified window of years (usually 3 to 5 years). This non‐parametric method involves a simple calculation of the unconditional variation of inflation over each rolling window, without making assumptions on the distribution of the data‐generating process or its functional form. Since GARCH parameters are often not easily estimable for each individual country with short time series, the rolling standard deviation has been widely used as robustness proxy of volatility in the cross-country macroeconomic research.</w:t>
      </w:r>
    </w:p>
    <w:p w14:paraId="58413A3B" w14:textId="77777777"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In order to report the rolling standard deviation, which is retained as a robustness measure, but not as a primary specification for two main reasons: The rolling window model, first, is similar to the GARCH model in that an observation from any point on the window has the same effect on the AR(1) term, effectively equal weighting, and does not explicitly identify between different persistent regimes of volatility and transient shocks, which may be blamed for important structural changes in inflation dynamics. Secondly, in the case of fixed-window construction, there is a natural trade-off between responsiveness and stability in that narrower windows will capture the shorter-term changes, but might suffer from ‘noise' while wider windows might effectively remove the ‘noise' but at the cost of observing the regime change. However, the use of the rolling standard deviation as a robustness proxy secures the credibility of the overall results of the study and their independence from having been generated by the GARCH modelling assumptions made. The study uses both methods because of the established good practice in the empirical literature of using both parametric and non-parametric volatility measures to bolster the credibility of their inferences concerning the inflation volatility/banking stability nexus.</w:t>
      </w:r>
    </w:p>
    <w:p w14:paraId="5963DFF9" w14:textId="77777777" w:rsidR="00B21426" w:rsidRPr="00B21426" w:rsidRDefault="00B21426" w:rsidP="00C44A63">
      <w:pPr>
        <w:spacing w:line="360" w:lineRule="auto"/>
        <w:jc w:val="both"/>
        <w:rPr>
          <w:rFonts w:ascii="Times New Roman" w:hAnsi="Times New Roman" w:cs="Times New Roman"/>
        </w:rPr>
      </w:pPr>
    </w:p>
    <w:p w14:paraId="3A587142" w14:textId="77777777" w:rsidR="00B21426" w:rsidRPr="00366612" w:rsidRDefault="00B21426" w:rsidP="00C44A63">
      <w:pPr>
        <w:pStyle w:val="Heading2"/>
        <w:spacing w:line="360" w:lineRule="auto"/>
        <w:jc w:val="both"/>
        <w:rPr>
          <w:rFonts w:ascii="Times New Roman" w:hAnsi="Times New Roman" w:cs="Times New Roman"/>
          <w:b/>
          <w:bCs/>
          <w:sz w:val="28"/>
          <w:szCs w:val="28"/>
        </w:rPr>
      </w:pPr>
      <w:bookmarkStart w:id="62" w:name="_Toc235530890"/>
      <w:r w:rsidRPr="00366612">
        <w:rPr>
          <w:rFonts w:ascii="Times New Roman" w:hAnsi="Times New Roman" w:cs="Times New Roman"/>
          <w:b/>
          <w:bCs/>
          <w:sz w:val="28"/>
          <w:szCs w:val="28"/>
        </w:rPr>
        <w:lastRenderedPageBreak/>
        <w:t>3.6 Preliminary Panel Diagnostics</w:t>
      </w:r>
      <w:bookmarkEnd w:id="62"/>
    </w:p>
    <w:p w14:paraId="393E496C" w14:textId="04679144" w:rsid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An extensive panel diagnostics check is performed before the main empirical models are estimated. These diagnostics can be used for two purposes: to assess the statistical structure of the data set and to give a solid empirical test for the choice of the estimators. Both diagnostic procedures suggest that the mechanical application of the methods may result in biased, inconsistent and/or suboptimal estimates, especially in cross-country panels where a large number of heterogeneity, cross-section dependence, and non-stationarity are present</w:t>
      </w:r>
      <w:r w:rsidR="00D2611A">
        <w:rPr>
          <w:rFonts w:ascii="Times New Roman" w:hAnsi="Times New Roman" w:cs="Times New Roman"/>
        </w:rPr>
        <w:t xml:space="preserve"> </w:t>
      </w:r>
      <w:r w:rsidR="00D2611A">
        <w:rPr>
          <w:rFonts w:ascii="Times New Roman" w:hAnsi="Times New Roman" w:cs="Times New Roman"/>
        </w:rPr>
        <w:fldChar w:fldCharType="begin"/>
      </w:r>
      <w:r w:rsidR="00D2611A">
        <w:rPr>
          <w:rFonts w:ascii="Times New Roman" w:hAnsi="Times New Roman" w:cs="Times New Roman"/>
        </w:rPr>
        <w:instrText xml:space="preserve"> ADDIN ZOTERO_ITEM CSL_CITATION {"citationID":"u4PE56gu","properties":{"formattedCitation":"(Aladejare, 2023; Tachega, 2025)","plainCitation":"(Aladejare, 2023; Tachega, 2025)","noteIndex":0},"citationItems":[{"id":609,"uris":["http://zotero.org/users/local/VAqELCal/items/N3P2UE35"],"itemData":{"id":609,"type":"article-journal","container-title":"Fudan Journal of the Humanities and Social Sciences","DOI":"10.1007/s40647-023-00365-1","issue":"2","journalAbbreviation":"Fudan Journal of the Humanities and Social Sciences","page":"213-237","title":"Does External Debt Promote Human Longevity in Developing Countries? Evidence From West African Countries","volume":"16","author":[{"family":"Aladejare","given":"Samson A."}],"issued":{"date-parts":[["2023"]]}}},{"id":610,"uris":["http://zotero.org/users/local/VAqELCal/items/TPH2RIV8"],"itemData":{"id":610,"type":"article-journal","container-title":"Plos One","DOI":"10.1371/journal.pone.0334043","issue":"10","journalAbbreviation":"Plos One","page":"e0334043","title":"Investment Attractiveness in BRICS+ Economies: Evaluating Business Environment Reforms, Institutional Quality, and Macroeconomic Factors","volume":"20","author":[{"family":"Tachega","given":"Mark A."}],"issued":{"date-parts":[["2025"]]}}}],"schema":"https://github.com/citation-style-language/schema/raw/master/csl-citation.json"} </w:instrText>
      </w:r>
      <w:r w:rsidR="00D2611A">
        <w:rPr>
          <w:rFonts w:ascii="Times New Roman" w:hAnsi="Times New Roman" w:cs="Times New Roman"/>
        </w:rPr>
        <w:fldChar w:fldCharType="separate"/>
      </w:r>
      <w:r w:rsidR="00D2611A" w:rsidRPr="00D2611A">
        <w:rPr>
          <w:rFonts w:ascii="Times New Roman" w:hAnsi="Times New Roman" w:cs="Times New Roman"/>
        </w:rPr>
        <w:t>(Aladejare, 2023; Tachega, 2025)</w:t>
      </w:r>
      <w:r w:rsidR="00D2611A">
        <w:rPr>
          <w:rFonts w:ascii="Times New Roman" w:hAnsi="Times New Roman" w:cs="Times New Roman"/>
        </w:rPr>
        <w:fldChar w:fldCharType="end"/>
      </w:r>
      <w:r w:rsidRPr="00B21426">
        <w:rPr>
          <w:rFonts w:ascii="Times New Roman" w:hAnsi="Times New Roman" w:cs="Times New Roman"/>
        </w:rPr>
        <w:t>. This subsection, therefore, outlines the following 6 sequential diagnostic procedures.</w:t>
      </w:r>
    </w:p>
    <w:p w14:paraId="02F26A84" w14:textId="77777777" w:rsidR="008F5919" w:rsidRPr="00B21426" w:rsidRDefault="008F5919" w:rsidP="00C44A63">
      <w:pPr>
        <w:spacing w:line="360" w:lineRule="auto"/>
        <w:jc w:val="both"/>
        <w:rPr>
          <w:rFonts w:ascii="Times New Roman" w:hAnsi="Times New Roman" w:cs="Times New Roman"/>
        </w:rPr>
      </w:pPr>
    </w:p>
    <w:p w14:paraId="25938456" w14:textId="6F7FBF62" w:rsidR="00B21426" w:rsidRPr="00366612" w:rsidRDefault="00366612" w:rsidP="00C44A63">
      <w:pPr>
        <w:pStyle w:val="Heading3"/>
        <w:spacing w:line="360" w:lineRule="auto"/>
        <w:jc w:val="both"/>
        <w:rPr>
          <w:rFonts w:ascii="Times New Roman" w:hAnsi="Times New Roman" w:cs="Times New Roman"/>
          <w:b/>
          <w:bCs/>
          <w:sz w:val="24"/>
          <w:szCs w:val="24"/>
        </w:rPr>
      </w:pPr>
      <w:bookmarkStart w:id="63" w:name="_Toc235530891"/>
      <w:r w:rsidRPr="00366612">
        <w:rPr>
          <w:rFonts w:ascii="Times New Roman" w:hAnsi="Times New Roman" w:cs="Times New Roman"/>
          <w:b/>
          <w:bCs/>
          <w:sz w:val="24"/>
          <w:szCs w:val="24"/>
        </w:rPr>
        <w:t xml:space="preserve">3.6.1 </w:t>
      </w:r>
      <w:r w:rsidR="00B21426" w:rsidRPr="00366612">
        <w:rPr>
          <w:rFonts w:ascii="Times New Roman" w:hAnsi="Times New Roman" w:cs="Times New Roman"/>
          <w:b/>
          <w:bCs/>
          <w:sz w:val="24"/>
          <w:szCs w:val="24"/>
        </w:rPr>
        <w:t>Descriptive Statistics</w:t>
      </w:r>
      <w:bookmarkEnd w:id="63"/>
    </w:p>
    <w:p w14:paraId="27489163" w14:textId="65228C1A"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The diagnostic sequence begins with the calculation of descriptive statistics for each (and all) variables (Х), which include measures of central tendency (mean, median), of measures of dispersion (standard deviation, minimal, maximal value) and of the properties of distribution (squaring, asymmetry). </w:t>
      </w:r>
      <w:proofErr w:type="spellStart"/>
      <w:r w:rsidRPr="00B21426">
        <w:rPr>
          <w:rFonts w:ascii="Times New Roman" w:hAnsi="Times New Roman" w:cs="Times New Roman"/>
        </w:rPr>
        <w:t>Aladejare</w:t>
      </w:r>
      <w:proofErr w:type="spellEnd"/>
      <w:r w:rsidRPr="00B21426">
        <w:rPr>
          <w:rFonts w:ascii="Times New Roman" w:hAnsi="Times New Roman" w:cs="Times New Roman"/>
        </w:rPr>
        <w:t xml:space="preserve"> (2022) and </w:t>
      </w:r>
      <w:proofErr w:type="spellStart"/>
      <w:r w:rsidRPr="00B21426">
        <w:rPr>
          <w:rFonts w:ascii="Times New Roman" w:hAnsi="Times New Roman" w:cs="Times New Roman"/>
        </w:rPr>
        <w:t>Almeshari</w:t>
      </w:r>
      <w:proofErr w:type="spellEnd"/>
      <w:r w:rsidRPr="00B21426">
        <w:rPr>
          <w:rFonts w:ascii="Times New Roman" w:hAnsi="Times New Roman" w:cs="Times New Roman"/>
        </w:rPr>
        <w:t xml:space="preserve"> et al (2023) report these statistics at both the country and pooled panel level, showing the presence of cross-sectional heterogeneity in the data. Additionally, descriptive statistics provide the very first tryout for any outliers, data entry mistakes, and the quantity of within panel variation compared to between panel variations, informing decisions about models</w:t>
      </w:r>
      <w:r w:rsidR="00D2611A">
        <w:rPr>
          <w:rFonts w:ascii="Times New Roman" w:hAnsi="Times New Roman" w:cs="Times New Roman"/>
        </w:rPr>
        <w:t xml:space="preserve"> </w:t>
      </w:r>
      <w:r w:rsidR="00D2611A">
        <w:rPr>
          <w:rFonts w:ascii="Times New Roman" w:hAnsi="Times New Roman" w:cs="Times New Roman"/>
        </w:rPr>
        <w:fldChar w:fldCharType="begin"/>
      </w:r>
      <w:r w:rsidR="00D2611A">
        <w:rPr>
          <w:rFonts w:ascii="Times New Roman" w:hAnsi="Times New Roman" w:cs="Times New Roman"/>
        </w:rPr>
        <w:instrText xml:space="preserve"> ADDIN ZOTERO_ITEM CSL_CITATION {"citationID":"McPHrMxu","properties":{"formattedCitation":"(Onifade et al., 2023; Wu et al., 2021)","plainCitation":"(Onifade et al., 2023; Wu et al., 2021)","noteIndex":0},"citationItems":[{"id":614,"uris":["http://zotero.org/users/local/VAqELCal/items/7XZZF8IR"],"itemData":{"id":614,"type":"article-journal","container-title":"Sustainable Development","DOI":"10.1002/sd.2751","issue":"3","journalAbbreviation":"Sustainable Development","page":"1971-1986","title":"Extending the Frontiers of Financial Development for Sustainability of the MENA States: The Roles of Resource Abundance and Institutional Quality","volume":"32","author":[{"family":"Onifade","given":"Stephen T."},{"family":"Gyamfi","given":"Bright A."},{"family":"Haouas","given":"Ilham"},{"family":"Asongu","given":"Simplice"}],"issued":{"date-parts":[["2023"]]}}},{"id":613,"uris":["http://zotero.org/users/local/VAqELCal/items/76EQKR3N"],"itemData":{"id":613,"type":"article-journal","container-title":"Energies","DOI":"10.3390/en14102943","issue":"10","journalAbbreviation":"Energies","page":"2943","title":"The Carbon-Neutral Energy Consumption and Emission Volatility: The Causality Analysis of ASEAN Region","volume":"14","author":[{"family":"Wu","given":"Shu"},{"family":"Alharthi","given":"Majed"},{"family":"Yin","given":"Weihua"},{"family":"Abbas","given":"Qaiser"},{"family":"Shah","given":"Adnan N."},{"family":"Rahman","given":"Saeed U."},{"family":"Khan","given":"Jamal"}],"issued":{"date-parts":[["2021"]]}}}],"schema":"https://github.com/citation-style-language/schema/raw/master/csl-citation.json"} </w:instrText>
      </w:r>
      <w:r w:rsidR="00D2611A">
        <w:rPr>
          <w:rFonts w:ascii="Times New Roman" w:hAnsi="Times New Roman" w:cs="Times New Roman"/>
        </w:rPr>
        <w:fldChar w:fldCharType="separate"/>
      </w:r>
      <w:r w:rsidR="00D2611A" w:rsidRPr="00D2611A">
        <w:rPr>
          <w:rFonts w:ascii="Times New Roman" w:hAnsi="Times New Roman" w:cs="Times New Roman"/>
        </w:rPr>
        <w:t>(Onifade et al., 2023; Wu et al., 2021)</w:t>
      </w:r>
      <w:r w:rsidR="00D2611A">
        <w:rPr>
          <w:rFonts w:ascii="Times New Roman" w:hAnsi="Times New Roman" w:cs="Times New Roman"/>
        </w:rPr>
        <w:fldChar w:fldCharType="end"/>
      </w:r>
      <w:r w:rsidRPr="00B21426">
        <w:rPr>
          <w:rFonts w:ascii="Times New Roman" w:hAnsi="Times New Roman" w:cs="Times New Roman"/>
        </w:rPr>
        <w:t>.</w:t>
      </w:r>
    </w:p>
    <w:p w14:paraId="25FE5B02" w14:textId="161C222B" w:rsidR="00B21426" w:rsidRPr="00366612" w:rsidRDefault="00366612" w:rsidP="00C44A63">
      <w:pPr>
        <w:pStyle w:val="Heading3"/>
        <w:spacing w:line="360" w:lineRule="auto"/>
        <w:jc w:val="both"/>
        <w:rPr>
          <w:rFonts w:ascii="Times New Roman" w:hAnsi="Times New Roman" w:cs="Times New Roman"/>
          <w:b/>
          <w:bCs/>
          <w:sz w:val="24"/>
          <w:szCs w:val="24"/>
        </w:rPr>
      </w:pPr>
      <w:bookmarkStart w:id="64" w:name="_Toc235530892"/>
      <w:r w:rsidRPr="00366612">
        <w:rPr>
          <w:rFonts w:ascii="Times New Roman" w:hAnsi="Times New Roman" w:cs="Times New Roman"/>
          <w:b/>
          <w:bCs/>
          <w:sz w:val="24"/>
          <w:szCs w:val="24"/>
        </w:rPr>
        <w:t xml:space="preserve">3.6.2 </w:t>
      </w:r>
      <w:r w:rsidR="00B21426" w:rsidRPr="00366612">
        <w:rPr>
          <w:rFonts w:ascii="Times New Roman" w:hAnsi="Times New Roman" w:cs="Times New Roman"/>
          <w:b/>
          <w:bCs/>
          <w:sz w:val="24"/>
          <w:szCs w:val="24"/>
        </w:rPr>
        <w:t>Correlation Analysis and Variance Inflation Factor (VIF)</w:t>
      </w:r>
      <w:bookmarkEnd w:id="64"/>
    </w:p>
    <w:p w14:paraId="29F61F9D" w14:textId="59413A4C"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After this descriptive analysis, a Pairwise correlation matrix is presented to determine the bivariate correlation of all the variables and to give a preliminary sense of the potential multicollinearity </w:t>
      </w:r>
      <w:r w:rsidR="00D2611A">
        <w:rPr>
          <w:rFonts w:ascii="Times New Roman" w:hAnsi="Times New Roman" w:cs="Times New Roman"/>
        </w:rPr>
        <w:fldChar w:fldCharType="begin"/>
      </w:r>
      <w:r w:rsidR="00D2611A">
        <w:rPr>
          <w:rFonts w:ascii="Times New Roman" w:hAnsi="Times New Roman" w:cs="Times New Roman"/>
        </w:rPr>
        <w:instrText xml:space="preserve"> ADDIN ZOTERO_ITEM CSL_CITATION {"citationID":"SiHlfTro","properties":{"formattedCitation":"(\\uc0\\u214{}zdemir, 2023; Tachega, 2025)","plainCitation":"(Özdemir, 2023; Tachega, 2025)","noteIndex":0},"citationItems":[{"id":615,"uris":["http://zotero.org/users/local/VAqELCal/items/7CXW6R8P"],"itemData":{"id":615,"type":"article-journal","container-title":"Food and Energy Security","DOI":"10.1002/fes3.504","issue":"1","journalAbbreviation":"Food and Energy Security","title":"Reconsidering Agricultural Credits and Agricultural Production Nexus From a Global Perspective","volume":"13","author":[{"family":"Özdemir","given":"Dicle"}],"issued":{"date-parts":[["2023"]]}}},{"id":610,"uris":["http://zotero.org/users/local/VAqELCal/items/TPH2RIV8"],"itemData":{"id":610,"type":"article-journal","container-title":"Plos One","DOI":"10.1371/journal.pone.0334043","issue":"10","journalAbbreviation":"Plos One","page":"e0334043","title":"Investment Attractiveness in BRICS+ Economies: Evaluating Business Environment Reforms, Institutional Quality, and Macroeconomic Factors","volume":"20","author":[{"family":"Tachega","given":"Mark A."}],"issued":{"date-parts":[["2025"]]}}}],"schema":"https://github.com/citation-style-language/schema/raw/master/csl-citation.json"} </w:instrText>
      </w:r>
      <w:r w:rsidR="00D2611A">
        <w:rPr>
          <w:rFonts w:ascii="Times New Roman" w:hAnsi="Times New Roman" w:cs="Times New Roman"/>
        </w:rPr>
        <w:fldChar w:fldCharType="separate"/>
      </w:r>
      <w:r w:rsidR="00D2611A" w:rsidRPr="00D2611A">
        <w:rPr>
          <w:rFonts w:ascii="Times New Roman" w:hAnsi="Times New Roman" w:cs="Times New Roman"/>
          <w:kern w:val="0"/>
        </w:rPr>
        <w:t>(Özdemir, 2023; Tachega, 2025)</w:t>
      </w:r>
      <w:r w:rsidR="00D2611A">
        <w:rPr>
          <w:rFonts w:ascii="Times New Roman" w:hAnsi="Times New Roman" w:cs="Times New Roman"/>
        </w:rPr>
        <w:fldChar w:fldCharType="end"/>
      </w:r>
      <w:r w:rsidRPr="00B21426">
        <w:rPr>
          <w:rFonts w:ascii="Times New Roman" w:hAnsi="Times New Roman" w:cs="Times New Roman"/>
        </w:rPr>
        <w:t xml:space="preserve">. Correlations matrices should however only record bivariate relationships and the Variance Inflation Factor (VIF) is, therefore, also calculated for each regressor to assess multivariate collinearity. The value of VIF larger than the traditional benchmark of 5 or 10 indicates the presence of potentially high multicollinearity in the matrix, which can lead to an overestimation of the magnitude of the standard errors, causing unstable coefficient estimates </w:t>
      </w:r>
      <w:r w:rsidR="00D2611A">
        <w:rPr>
          <w:rFonts w:ascii="Times New Roman" w:hAnsi="Times New Roman" w:cs="Times New Roman"/>
        </w:rPr>
        <w:fldChar w:fldCharType="begin"/>
      </w:r>
      <w:r w:rsidR="00D2611A">
        <w:rPr>
          <w:rFonts w:ascii="Times New Roman" w:hAnsi="Times New Roman" w:cs="Times New Roman"/>
        </w:rPr>
        <w:instrText xml:space="preserve"> ADDIN ZOTERO_ITEM CSL_CITATION {"citationID":"txlSfWV7","properties":{"formattedCitation":"(Tachega, 2025; Wu et al., 2021)","plainCitation":"(Tachega, 2025; Wu et al., 2021)","noteIndex":0},"citationItems":[{"id":610,"uris":["http://zotero.org/users/local/VAqELCal/items/TPH2RIV8"],"itemData":{"id":610,"type":"article-journal","container-title":"Plos One","DOI":"10.1371/journal.pone.0334043","issue":"10","journalAbbreviation":"Plos One","page":"e0334043","title":"Investment Attractiveness in BRICS+ Economies: Evaluating Business Environment Reforms, Institutional Quality, and Macroeconomic Factors","volume":"20","author":[{"family":"Tachega","given":"Mark A."}],"issued":{"date-parts":[["2025"]]}}},{"id":613,"uris":["http://zotero.org/users/local/VAqELCal/items/76EQKR3N"],"itemData":{"id":613,"type":"article-journal","container-title":"Energies","DOI":"10.3390/en14102943","issue":"10","journalAbbreviation":"Energies","page":"2943","title":"The Carbon-Neutral Energy Consumption and Emission Volatility: The Causality Analysis of ASEAN Region","volume":"14","author":[{"family":"Wu","given":"Shu"},{"family":"Alharthi","given":"Majed"},{"family":"Yin","given":"Weihua"},{"family":"Abbas","given":"Qaiser"},{"family":"Shah","given":"Adnan N."},{"family":"Rahman","given":"Saeed U."},{"family":"Khan","given":"Jamal"}],"issued":{"date-parts":[["2021"]]}}}],"schema":"https://github.com/citation-style-language/schema/raw/master/csl-citation.json"} </w:instrText>
      </w:r>
      <w:r w:rsidR="00D2611A">
        <w:rPr>
          <w:rFonts w:ascii="Times New Roman" w:hAnsi="Times New Roman" w:cs="Times New Roman"/>
        </w:rPr>
        <w:fldChar w:fldCharType="separate"/>
      </w:r>
      <w:r w:rsidR="00D2611A" w:rsidRPr="00D2611A">
        <w:rPr>
          <w:rFonts w:ascii="Times New Roman" w:hAnsi="Times New Roman" w:cs="Times New Roman"/>
        </w:rPr>
        <w:t>(Tachega, 2025; Wu et al., 2021)</w:t>
      </w:r>
      <w:r w:rsidR="00D2611A">
        <w:rPr>
          <w:rFonts w:ascii="Times New Roman" w:hAnsi="Times New Roman" w:cs="Times New Roman"/>
        </w:rPr>
        <w:fldChar w:fldCharType="end"/>
      </w:r>
      <w:r w:rsidRPr="00B21426">
        <w:rPr>
          <w:rFonts w:ascii="Times New Roman" w:hAnsi="Times New Roman" w:cs="Times New Roman"/>
        </w:rPr>
        <w:t xml:space="preserve">. Performing some operations to remove or transform excessively high VIF value variables before the main estimation is suggested </w:t>
      </w:r>
      <w:r w:rsidR="00D2611A">
        <w:rPr>
          <w:rFonts w:ascii="Times New Roman" w:hAnsi="Times New Roman" w:cs="Times New Roman"/>
        </w:rPr>
        <w:fldChar w:fldCharType="begin"/>
      </w:r>
      <w:r w:rsidR="00D2611A">
        <w:rPr>
          <w:rFonts w:ascii="Times New Roman" w:hAnsi="Times New Roman" w:cs="Times New Roman"/>
        </w:rPr>
        <w:instrText xml:space="preserve"> ADDIN ZOTERO_ITEM CSL_CITATION {"citationID":"JLT1vrCO","properties":{"formattedCitation":"(\\uc0\\u214{}zdemir, 2023)","plainCitation":"(Özdemir, 2023)","noteIndex":0},"citationItems":[{"id":615,"uris":["http://zotero.org/users/local/VAqELCal/items/7CXW6R8P"],"itemData":{"id":615,"type":"article-journal","container-title":"Food and Energy Security","DOI":"10.1002/fes3.504","issue":"1","journalAbbreviation":"Food and Energy Security","title":"Reconsidering Agricultural Credits and Agricultural Production Nexus From a Global Perspective","volume":"13","author":[{"family":"Özdemir","given":"Dicle"}],"issued":{"date-parts":[["2023"]]}}}],"schema":"https://github.com/citation-style-language/schema/raw/master/csl-citation.json"} </w:instrText>
      </w:r>
      <w:r w:rsidR="00D2611A">
        <w:rPr>
          <w:rFonts w:ascii="Times New Roman" w:hAnsi="Times New Roman" w:cs="Times New Roman"/>
        </w:rPr>
        <w:fldChar w:fldCharType="separate"/>
      </w:r>
      <w:r w:rsidR="00D2611A" w:rsidRPr="00D2611A">
        <w:rPr>
          <w:rFonts w:ascii="Times New Roman" w:hAnsi="Times New Roman" w:cs="Times New Roman"/>
          <w:kern w:val="0"/>
        </w:rPr>
        <w:t>(Özdemir, 2023)</w:t>
      </w:r>
      <w:r w:rsidR="00D2611A">
        <w:rPr>
          <w:rFonts w:ascii="Times New Roman" w:hAnsi="Times New Roman" w:cs="Times New Roman"/>
        </w:rPr>
        <w:fldChar w:fldCharType="end"/>
      </w:r>
      <w:r w:rsidR="00D2611A">
        <w:rPr>
          <w:rFonts w:ascii="Times New Roman" w:hAnsi="Times New Roman" w:cs="Times New Roman"/>
        </w:rPr>
        <w:t>.</w:t>
      </w:r>
    </w:p>
    <w:p w14:paraId="6227933D" w14:textId="43C64DFC" w:rsidR="00B21426" w:rsidRPr="00366612" w:rsidRDefault="00366612" w:rsidP="00C44A63">
      <w:pPr>
        <w:pStyle w:val="Heading3"/>
        <w:spacing w:line="360" w:lineRule="auto"/>
        <w:jc w:val="both"/>
        <w:rPr>
          <w:rFonts w:ascii="Times New Roman" w:hAnsi="Times New Roman" w:cs="Times New Roman"/>
          <w:b/>
          <w:bCs/>
          <w:sz w:val="24"/>
          <w:szCs w:val="24"/>
        </w:rPr>
      </w:pPr>
      <w:bookmarkStart w:id="65" w:name="_Toc235530893"/>
      <w:r w:rsidRPr="00366612">
        <w:rPr>
          <w:rFonts w:ascii="Times New Roman" w:hAnsi="Times New Roman" w:cs="Times New Roman"/>
          <w:b/>
          <w:bCs/>
          <w:sz w:val="24"/>
          <w:szCs w:val="24"/>
        </w:rPr>
        <w:lastRenderedPageBreak/>
        <w:t xml:space="preserve">3.6.3 </w:t>
      </w:r>
      <w:r w:rsidR="00B21426" w:rsidRPr="00366612">
        <w:rPr>
          <w:rFonts w:ascii="Times New Roman" w:hAnsi="Times New Roman" w:cs="Times New Roman"/>
          <w:b/>
          <w:bCs/>
          <w:sz w:val="24"/>
          <w:szCs w:val="24"/>
        </w:rPr>
        <w:t>Cross-Sectional Dependence Test</w:t>
      </w:r>
      <w:bookmarkEnd w:id="65"/>
    </w:p>
    <w:p w14:paraId="6E6CE1F5" w14:textId="1B52BB06" w:rsid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One of the key diagnostics for cross country panel data analysis is the test for cross-sectional dependence (CSD), which can occur when the same, unobserved, common factors like global commodity price shocks, international monetary policy spillovers, or regional contagion effects affect many countries in the panel simultaneously</w:t>
      </w:r>
      <w:r w:rsidR="00D2611A">
        <w:rPr>
          <w:rFonts w:ascii="Times New Roman" w:hAnsi="Times New Roman" w:cs="Times New Roman"/>
        </w:rPr>
        <w:t xml:space="preserve"> </w:t>
      </w:r>
      <w:r w:rsidR="00D2611A">
        <w:rPr>
          <w:rFonts w:ascii="Times New Roman" w:hAnsi="Times New Roman" w:cs="Times New Roman"/>
        </w:rPr>
        <w:fldChar w:fldCharType="begin"/>
      </w:r>
      <w:r w:rsidR="00D2611A">
        <w:rPr>
          <w:rFonts w:ascii="Times New Roman" w:hAnsi="Times New Roman" w:cs="Times New Roman"/>
        </w:rPr>
        <w:instrText xml:space="preserve"> ADDIN ZOTERO_ITEM CSL_CITATION {"citationID":"pRVO95Eq","properties":{"formattedCitation":"(Aladejare, 2023; Sahu &amp; Mahalik, 2024)","plainCitation":"(Aladejare, 2023; Sahu &amp; Mahalik, 2024)","noteIndex":0},"citationItems":[{"id":609,"uris":["http://zotero.org/users/local/VAqELCal/items/N3P2UE35"],"itemData":{"id":609,"type":"article-journal","container-title":"Fudan Journal of the Humanities and Social Sciences","DOI":"10.1007/s40647-023-00365-1","issue":"2","journalAbbreviation":"Fudan Journal of the Humanities and Social Sciences","page":"213-237","title":"Does External Debt Promote Human Longevity in Developing Countries? Evidence From West African Countries","volume":"16","author":[{"family":"Aladejare","given":"Samson A."}],"issued":{"date-parts":[["2023"]]}}},{"id":616,"uris":["http://zotero.org/users/local/VAqELCal/items/R5L53P8N"],"itemData":{"id":616,"type":"article-journal","container-title":"Economic Papers a Journal of Applied Economics and Policy","DOI":"10.1111/1759-3441.12429","issue":"4","journalAbbreviation":"Economic Papers a Journal of Applied Economics and Policy","page":"389-410","title":"Unwrapping the Intricate Interplay Between Energy Dependency and Macroeconomic Volatility in OECD Countries","volume":"43","author":[{"family":"Sahu","given":"Anjan K."},{"family":"Mahalik","given":"Mantu K."}],"issued":{"date-parts":[["2024"]]}}}],"schema":"https://github.com/citation-style-language/schema/raw/master/csl-citation.json"} </w:instrText>
      </w:r>
      <w:r w:rsidR="00D2611A">
        <w:rPr>
          <w:rFonts w:ascii="Times New Roman" w:hAnsi="Times New Roman" w:cs="Times New Roman"/>
        </w:rPr>
        <w:fldChar w:fldCharType="separate"/>
      </w:r>
      <w:r w:rsidR="00D2611A" w:rsidRPr="00D2611A">
        <w:rPr>
          <w:rFonts w:ascii="Times New Roman" w:hAnsi="Times New Roman" w:cs="Times New Roman"/>
        </w:rPr>
        <w:t>(Aladejare, 2023; Sahu &amp; Mahalik, 2024)</w:t>
      </w:r>
      <w:r w:rsidR="00D2611A">
        <w:rPr>
          <w:rFonts w:ascii="Times New Roman" w:hAnsi="Times New Roman" w:cs="Times New Roman"/>
        </w:rPr>
        <w:fldChar w:fldCharType="end"/>
      </w:r>
      <w:r w:rsidRPr="00B21426">
        <w:rPr>
          <w:rFonts w:ascii="Times New Roman" w:hAnsi="Times New Roman" w:cs="Times New Roman"/>
        </w:rPr>
        <w:t xml:space="preserve">. The study adopts the well-known </w:t>
      </w:r>
      <w:proofErr w:type="spellStart"/>
      <w:r w:rsidRPr="00B21426">
        <w:rPr>
          <w:rFonts w:ascii="Times New Roman" w:hAnsi="Times New Roman" w:cs="Times New Roman"/>
        </w:rPr>
        <w:t>Pesaran</w:t>
      </w:r>
      <w:proofErr w:type="spellEnd"/>
      <w:r w:rsidRPr="00B21426">
        <w:rPr>
          <w:rFonts w:ascii="Times New Roman" w:hAnsi="Times New Roman" w:cs="Times New Roman"/>
        </w:rPr>
        <w:t xml:space="preserve"> CD test, which is suitable for small and large cross-sectional dimensions</w:t>
      </w:r>
      <w:r w:rsidR="00D2611A">
        <w:rPr>
          <w:rFonts w:ascii="Times New Roman" w:hAnsi="Times New Roman" w:cs="Times New Roman"/>
        </w:rPr>
        <w:t xml:space="preserve"> </w:t>
      </w:r>
      <w:r w:rsidRPr="00B21426">
        <w:rPr>
          <w:rFonts w:ascii="Times New Roman" w:hAnsi="Times New Roman" w:cs="Times New Roman"/>
        </w:rPr>
        <w:t xml:space="preserve"> </w:t>
      </w:r>
      <w:r w:rsidR="00D2611A">
        <w:rPr>
          <w:rFonts w:ascii="Times New Roman" w:hAnsi="Times New Roman" w:cs="Times New Roman"/>
        </w:rPr>
        <w:fldChar w:fldCharType="begin"/>
      </w:r>
      <w:r w:rsidR="00D2611A">
        <w:rPr>
          <w:rFonts w:ascii="Times New Roman" w:hAnsi="Times New Roman" w:cs="Times New Roman"/>
        </w:rPr>
        <w:instrText xml:space="preserve"> ADDIN ZOTERO_ITEM CSL_CITATION {"citationID":"lpxMhL3Y","properties":{"formattedCitation":"(Pal &amp; Mahalik, 2024; \\uc0\\u8220{}Role of Oil Prices in Financial Instability, Trade Openness and Economic Growth: Evidence From ASEAN Countries,\\uc0\\u8221{} 2023)","plainCitation":"(Pal &amp; Mahalik, 2024; “Role of Oil Prices in Financial Instability, Trade Openness and Economic Growth: Evidence From ASEAN Countries,” 2023)","noteIndex":0},"citationItems":[{"id":618,"uris":["http://zotero.org/users/local/VAqELCal/items/RG74VIFY"],"itemData":{"id":618,"type":"article-journal","container-title":"Review of Development Economics","DOI":"10.1111/rode.13187","issue":"3","journalAbbreviation":"Review of Development Economics","page":"1647-1662","title":"Role of Globalization and Innovation Pattern in Growth of Bank Credit: Evidence From Emerging and Advanced Asia","volume":"29","author":[{"family":"Pal","given":"Shreya"},{"family":"Mahalik","given":"Mantu K."}],"issued":{"date-parts":[["2024"]]}}},{"id":617,"uris":["http://zotero.org/users/local/VAqELCal/items/WKNJB99B"],"itemData":{"id":617,"type":"article-journal","container-title":"Jurnal Ekonomi Malaysia","DOI":"10.17576/jem-2023-5701-10","issue":"01","journalAbbreviation":"Jurnal Ekonomi Malaysia","title":"Role of Oil Prices in Financial Instability, Trade Openness and Economic Growth: Evidence From ASEAN Countries","volume":"57","issued":{"date-parts":[["2023"]]}}}],"schema":"https://github.com/citation-style-language/schema/raw/master/csl-citation.json"} </w:instrText>
      </w:r>
      <w:r w:rsidR="00D2611A">
        <w:rPr>
          <w:rFonts w:ascii="Times New Roman" w:hAnsi="Times New Roman" w:cs="Times New Roman"/>
        </w:rPr>
        <w:fldChar w:fldCharType="separate"/>
      </w:r>
      <w:r w:rsidR="00D2611A" w:rsidRPr="00D2611A">
        <w:rPr>
          <w:rFonts w:ascii="Times New Roman" w:hAnsi="Times New Roman" w:cs="Times New Roman"/>
          <w:kern w:val="0"/>
        </w:rPr>
        <w:t>(Pal &amp; Mahalik, 2024; “Role of Oil Prices in Financial Instability, Trade Openness and Economic Growth: Evidence From ASEAN Countries,” 2023)</w:t>
      </w:r>
      <w:r w:rsidR="00D2611A">
        <w:rPr>
          <w:rFonts w:ascii="Times New Roman" w:hAnsi="Times New Roman" w:cs="Times New Roman"/>
        </w:rPr>
        <w:fldChar w:fldCharType="end"/>
      </w:r>
      <w:r w:rsidRPr="00B21426">
        <w:rPr>
          <w:rFonts w:ascii="Times New Roman" w:hAnsi="Times New Roman" w:cs="Times New Roman"/>
        </w:rPr>
        <w:t xml:space="preserve">. However, if the null hypothesis of cross-sectional independence is not accepted, then one must use second-generation panel estimators that explicitly allow for CSD because first generation panel estimators (e.g., standard fixed-effects) which assume independence in the errors across cross-sections, are potentially biased and inconsistent </w:t>
      </w:r>
      <w:r w:rsidR="00D2611A">
        <w:rPr>
          <w:rFonts w:ascii="Times New Roman" w:hAnsi="Times New Roman" w:cs="Times New Roman"/>
        </w:rPr>
        <w:fldChar w:fldCharType="begin"/>
      </w:r>
      <w:r w:rsidR="00D2611A">
        <w:rPr>
          <w:rFonts w:ascii="Times New Roman" w:hAnsi="Times New Roman" w:cs="Times New Roman"/>
        </w:rPr>
        <w:instrText xml:space="preserve"> ADDIN ZOTERO_ITEM CSL_CITATION {"citationID":"HiUpf8J5","properties":{"formattedCitation":"(Aladejare, 2023; Kuti et al., 2023)","plainCitation":"(Aladejare, 2023; Kuti et al., 2023)","noteIndex":0},"citationItems":[{"id":609,"uris":["http://zotero.org/users/local/VAqELCal/items/N3P2UE35"],"itemData":{"id":609,"type":"article-journal","container-title":"Fudan Journal of the Humanities and Social Sciences","DOI":"10.1007/s40647-023-00365-1","issue":"2","journalAbbreviation":"Fudan Journal of the Humanities and Social Sciences","page":"213-237","title":"Does External Debt Promote Human Longevity in Developing Countries? Evidence From West African Countries","volume":"16","author":[{"family":"Aladejare","given":"Samson A."}],"issued":{"date-parts":[["2023"]]}}},{"id":619,"uris":["http://zotero.org/users/local/VAqELCal/items/G6HDJET4"],"itemData":{"id":619,"type":"article-journal","container-title":"Acta Universitatis Sapientiae Economics and Business","DOI":"10.2478/auseb-2023-0002","issue":"1","journalAbbreviation":"Acta Universitatis Sapientiae Economics and Business","page":"18-41","title":"Catalysts of Economic Welfare in Africa: A Cross-Sectional Autoregressive Distributed Lag Approach","volume":"11","author":[{"family":"Kuti","given":"Ayomide O."},{"family":"Aderogba","given":"Taiwo A."},{"family":"Ezenwa","given":"Ndubuisi J."},{"family":"Quadri","given":"Rasheed A."}],"issued":{"date-parts":[["2023"]]}}}],"schema":"https://github.com/citation-style-language/schema/raw/master/csl-citation.json"} </w:instrText>
      </w:r>
      <w:r w:rsidR="00D2611A">
        <w:rPr>
          <w:rFonts w:ascii="Times New Roman" w:hAnsi="Times New Roman" w:cs="Times New Roman"/>
        </w:rPr>
        <w:fldChar w:fldCharType="separate"/>
      </w:r>
      <w:r w:rsidR="00D2611A" w:rsidRPr="00D2611A">
        <w:rPr>
          <w:rFonts w:ascii="Times New Roman" w:hAnsi="Times New Roman" w:cs="Times New Roman"/>
        </w:rPr>
        <w:t>(Aladejare, 2023; Kuti et al., 2023)</w:t>
      </w:r>
      <w:r w:rsidR="00D2611A">
        <w:rPr>
          <w:rFonts w:ascii="Times New Roman" w:hAnsi="Times New Roman" w:cs="Times New Roman"/>
        </w:rPr>
        <w:fldChar w:fldCharType="end"/>
      </w:r>
      <w:r w:rsidRPr="00B21426">
        <w:rPr>
          <w:rFonts w:ascii="Times New Roman" w:hAnsi="Times New Roman" w:cs="Times New Roman"/>
        </w:rPr>
        <w:t xml:space="preserve">. Further, the Breusch-Pagan LM (1979) and </w:t>
      </w:r>
      <w:proofErr w:type="spellStart"/>
      <w:r w:rsidRPr="00B21426">
        <w:rPr>
          <w:rFonts w:ascii="Times New Roman" w:hAnsi="Times New Roman" w:cs="Times New Roman"/>
        </w:rPr>
        <w:t>Pesaran</w:t>
      </w:r>
      <w:proofErr w:type="spellEnd"/>
      <w:r w:rsidRPr="00B21426">
        <w:rPr>
          <w:rFonts w:ascii="Times New Roman" w:hAnsi="Times New Roman" w:cs="Times New Roman"/>
        </w:rPr>
        <w:t xml:space="preserve"> scaled LM tests are used as additional CSD diagnostics for robustness </w:t>
      </w:r>
      <w:r w:rsidR="00D2611A">
        <w:rPr>
          <w:rFonts w:ascii="Times New Roman" w:hAnsi="Times New Roman" w:cs="Times New Roman"/>
        </w:rPr>
        <w:fldChar w:fldCharType="begin"/>
      </w:r>
      <w:r w:rsidR="00D2611A">
        <w:rPr>
          <w:rFonts w:ascii="Times New Roman" w:hAnsi="Times New Roman" w:cs="Times New Roman"/>
        </w:rPr>
        <w:instrText xml:space="preserve"> ADDIN ZOTERO_ITEM CSL_CITATION {"citationID":"9djWxGyb","properties":{"formattedCitation":"(Onifade et al., 2023; Tachega, 2025)","plainCitation":"(Onifade et al., 2023; Tachega, 2025)","noteIndex":0},"citationItems":[{"id":614,"uris":["http://zotero.org/users/local/VAqELCal/items/7XZZF8IR"],"itemData":{"id":614,"type":"article-journal","container-title":"Sustainable Development","DOI":"10.1002/sd.2751","issue":"3","journalAbbreviation":"Sustainable Development","page":"1971-1986","title":"Extending the Frontiers of Financial Development for Sustainability of the MENA States: The Roles of Resource Abundance and Institutional Quality","volume":"32","author":[{"family":"Onifade","given":"Stephen T."},{"family":"Gyamfi","given":"Bright A."},{"family":"Haouas","given":"Ilham"},{"family":"Asongu","given":"Simplice"}],"issued":{"date-parts":[["2023"]]}}},{"id":610,"uris":["http://zotero.org/users/local/VAqELCal/items/TPH2RIV8"],"itemData":{"id":610,"type":"article-journal","container-title":"Plos One","DOI":"10.1371/journal.pone.0334043","issue":"10","journalAbbreviation":"Plos One","page":"e0334043","title":"Investment Attractiveness in BRICS+ Economies: Evaluating Business Environment Reforms, Institutional Quality, and Macroeconomic Factors","volume":"20","author":[{"family":"Tachega","given":"Mark A."}],"issued":{"date-parts":[["2025"]]}}}],"schema":"https://github.com/citation-style-language/schema/raw/master/csl-citation.json"} </w:instrText>
      </w:r>
      <w:r w:rsidR="00D2611A">
        <w:rPr>
          <w:rFonts w:ascii="Times New Roman" w:hAnsi="Times New Roman" w:cs="Times New Roman"/>
        </w:rPr>
        <w:fldChar w:fldCharType="separate"/>
      </w:r>
      <w:r w:rsidR="00D2611A" w:rsidRPr="00D2611A">
        <w:rPr>
          <w:rFonts w:ascii="Times New Roman" w:hAnsi="Times New Roman" w:cs="Times New Roman"/>
        </w:rPr>
        <w:t>(Onifade et al., 2023; Tachega, 2025)</w:t>
      </w:r>
      <w:r w:rsidR="00D2611A">
        <w:rPr>
          <w:rFonts w:ascii="Times New Roman" w:hAnsi="Times New Roman" w:cs="Times New Roman"/>
        </w:rPr>
        <w:fldChar w:fldCharType="end"/>
      </w:r>
      <w:r w:rsidRPr="00B21426">
        <w:rPr>
          <w:rFonts w:ascii="Times New Roman" w:hAnsi="Times New Roman" w:cs="Times New Roman"/>
        </w:rPr>
        <w:t>.</w:t>
      </w:r>
    </w:p>
    <w:p w14:paraId="6EB5F24B" w14:textId="77777777" w:rsidR="008F5919" w:rsidRPr="00B21426" w:rsidRDefault="008F5919" w:rsidP="00C44A63">
      <w:pPr>
        <w:spacing w:line="360" w:lineRule="auto"/>
        <w:jc w:val="both"/>
        <w:rPr>
          <w:rFonts w:ascii="Times New Roman" w:hAnsi="Times New Roman" w:cs="Times New Roman"/>
        </w:rPr>
      </w:pPr>
    </w:p>
    <w:p w14:paraId="622574A7" w14:textId="75E17975" w:rsidR="00B21426" w:rsidRPr="00C44A63" w:rsidRDefault="00C44A63" w:rsidP="00C44A63">
      <w:pPr>
        <w:pStyle w:val="Heading3"/>
        <w:spacing w:line="360" w:lineRule="auto"/>
        <w:jc w:val="both"/>
        <w:rPr>
          <w:rFonts w:ascii="Times New Roman" w:hAnsi="Times New Roman" w:cs="Times New Roman"/>
          <w:b/>
          <w:bCs/>
          <w:sz w:val="24"/>
          <w:szCs w:val="24"/>
        </w:rPr>
      </w:pPr>
      <w:bookmarkStart w:id="66" w:name="_Toc235530894"/>
      <w:r w:rsidRPr="00C44A63">
        <w:rPr>
          <w:rFonts w:ascii="Times New Roman" w:hAnsi="Times New Roman" w:cs="Times New Roman"/>
          <w:b/>
          <w:bCs/>
          <w:sz w:val="24"/>
          <w:szCs w:val="24"/>
        </w:rPr>
        <w:t xml:space="preserve">3.6.4 </w:t>
      </w:r>
      <w:r w:rsidR="00B21426" w:rsidRPr="00C44A63">
        <w:rPr>
          <w:rFonts w:ascii="Times New Roman" w:hAnsi="Times New Roman" w:cs="Times New Roman"/>
          <w:b/>
          <w:bCs/>
          <w:sz w:val="24"/>
          <w:szCs w:val="24"/>
        </w:rPr>
        <w:t>Slope Heterogeneity Test</w:t>
      </w:r>
      <w:bookmarkEnd w:id="66"/>
    </w:p>
    <w:p w14:paraId="51F92639" w14:textId="667EF444"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Since slope coefficients are assumed equal across countries, the </w:t>
      </w:r>
      <w:proofErr w:type="spellStart"/>
      <w:r w:rsidRPr="00B21426">
        <w:rPr>
          <w:rFonts w:ascii="Times New Roman" w:hAnsi="Times New Roman" w:cs="Times New Roman"/>
        </w:rPr>
        <w:t>Pesaran</w:t>
      </w:r>
      <w:proofErr w:type="spellEnd"/>
      <w:r w:rsidRPr="00B21426">
        <w:rPr>
          <w:rFonts w:ascii="Times New Roman" w:hAnsi="Times New Roman" w:cs="Times New Roman"/>
        </w:rPr>
        <w:t xml:space="preserve"> and Yamagata Delta Tilda (Δ̃) and Delta Tilda Adjusted (</w:t>
      </w:r>
      <w:proofErr w:type="spellStart"/>
      <w:r w:rsidRPr="00B21426">
        <w:rPr>
          <w:rFonts w:ascii="Times New Roman" w:hAnsi="Times New Roman" w:cs="Times New Roman"/>
        </w:rPr>
        <w:t>Δ̃_adj</w:t>
      </w:r>
      <w:proofErr w:type="spellEnd"/>
      <w:r w:rsidRPr="00B21426">
        <w:rPr>
          <w:rFonts w:ascii="Times New Roman" w:hAnsi="Times New Roman" w:cs="Times New Roman"/>
        </w:rPr>
        <w:t xml:space="preserve">) slope homogeneity tests conducted by </w:t>
      </w:r>
      <w:proofErr w:type="spellStart"/>
      <w:r w:rsidRPr="00B21426">
        <w:rPr>
          <w:rFonts w:ascii="Times New Roman" w:hAnsi="Times New Roman" w:cs="Times New Roman"/>
        </w:rPr>
        <w:t>Aladejare</w:t>
      </w:r>
      <w:proofErr w:type="spellEnd"/>
      <w:r w:rsidRPr="00B21426">
        <w:rPr>
          <w:rFonts w:ascii="Times New Roman" w:hAnsi="Times New Roman" w:cs="Times New Roman"/>
        </w:rPr>
        <w:t xml:space="preserve"> (2023) and </w:t>
      </w:r>
      <w:r w:rsidR="00D2611A">
        <w:rPr>
          <w:rFonts w:ascii="Times New Roman" w:hAnsi="Times New Roman" w:cs="Times New Roman"/>
        </w:rPr>
        <w:fldChar w:fldCharType="begin"/>
      </w:r>
      <w:r w:rsidR="00A456B4">
        <w:rPr>
          <w:rFonts w:ascii="Times New Roman" w:hAnsi="Times New Roman" w:cs="Times New Roman"/>
        </w:rPr>
        <w:instrText xml:space="preserve"> ADDIN ZOTERO_ITEM CSL_CITATION {"citationID":"IhSnu5Cv","properties":{"formattedCitation":"(\\uc0\\u8220{}Role of Oil Prices in Financial Instability, Trade Openness and Economic Growth: Evidence From ASEAN Countries,\\uc0\\u8221{} 2023)","plainCitation":"(“Role of Oil Prices in Financial Instability, Trade Openness and Economic Growth: Evidence From ASEAN Countries,” 2023)","noteIndex":0},"citationItems":[{"id":617,"uris":["http://zotero.org/users/local/VAqELCal/items/WKNJB99B"],"itemData":{"id":617,"type":"article-journal","container-title":"Jurnal Ekonomi Malaysia","DOI":"10.17576/jem-2023-5701-10","issue":"01","journalAbbreviation":"Jurnal Ekonomi Malaysia","title":"Role of Oil Prices in Financial Instability, Trade Openness and Economic Growth: Evidence From ASEAN Countries","volume":"57","issued":{"date-parts":[["2023"]]}}}],"schema":"https://github.com/citation-style-language/schema/raw/master/csl-citation.json"} </w:instrText>
      </w:r>
      <w:r w:rsidR="00D2611A">
        <w:rPr>
          <w:rFonts w:ascii="Times New Roman" w:hAnsi="Times New Roman" w:cs="Times New Roman"/>
        </w:rPr>
        <w:fldChar w:fldCharType="separate"/>
      </w:r>
      <w:r w:rsidR="00A456B4" w:rsidRPr="00A456B4">
        <w:rPr>
          <w:rFonts w:ascii="Times New Roman" w:hAnsi="Times New Roman" w:cs="Times New Roman"/>
          <w:kern w:val="0"/>
        </w:rPr>
        <w:t>(“Role of Oil Prices in Financial Instability, Trade Openness and Economic Growth: Evidence From ASEAN Countries,” 2023)</w:t>
      </w:r>
      <w:r w:rsidR="00D2611A">
        <w:rPr>
          <w:rFonts w:ascii="Times New Roman" w:hAnsi="Times New Roman" w:cs="Times New Roman"/>
        </w:rPr>
        <w:fldChar w:fldCharType="end"/>
      </w:r>
      <w:r w:rsidR="00A456B4">
        <w:rPr>
          <w:rFonts w:ascii="Times New Roman" w:hAnsi="Times New Roman" w:cs="Times New Roman"/>
        </w:rPr>
        <w:t xml:space="preserve"> </w:t>
      </w:r>
      <w:r w:rsidRPr="00B21426">
        <w:rPr>
          <w:rFonts w:ascii="Times New Roman" w:hAnsi="Times New Roman" w:cs="Times New Roman"/>
        </w:rPr>
        <w:t>are tested. These tests are designed to determine if the relationship between inflation volatility and banking stability is the same for all frontier economies or if important differences are found from one country to another. An estimate of the average effects, obtained by the estimators imposing common slope coefficients, such as pooled OLS and standard fixed effects, can become misleading if cross country heterogeneity exists and the null hypothesis of homogeneity of slopes is rejected</w:t>
      </w:r>
      <w:r w:rsidR="00A456B4">
        <w:rPr>
          <w:rFonts w:ascii="Times New Roman" w:hAnsi="Times New Roman" w:cs="Times New Roman"/>
        </w:rPr>
        <w:t xml:space="preserve"> </w:t>
      </w:r>
      <w:r w:rsidR="00A456B4">
        <w:rPr>
          <w:rFonts w:ascii="Times New Roman" w:hAnsi="Times New Roman" w:cs="Times New Roman"/>
        </w:rPr>
        <w:fldChar w:fldCharType="begin"/>
      </w:r>
      <w:r w:rsidR="00A456B4">
        <w:rPr>
          <w:rFonts w:ascii="Times New Roman" w:hAnsi="Times New Roman" w:cs="Times New Roman"/>
        </w:rPr>
        <w:instrText xml:space="preserve"> ADDIN ZOTERO_ITEM CSL_CITATION {"citationID":"yEyqxu0l","properties":{"formattedCitation":"(Kuti et al., 2023; Sahu &amp; Mahalik, 2024)","plainCitation":"(Kuti et al., 2023; Sahu &amp; Mahalik, 2024)","noteIndex":0},"citationItems":[{"id":619,"uris":["http://zotero.org/users/local/VAqELCal/items/G6HDJET4"],"itemData":{"id":619,"type":"article-journal","container-title":"Acta Universitatis Sapientiae Economics and Business","DOI":"10.2478/auseb-2023-0002","issue":"1","journalAbbreviation":"Acta Universitatis Sapientiae Economics and Business","page":"18-41","title":"Catalysts of Economic Welfare in Africa: A Cross-Sectional Autoregressive Distributed Lag Approach","volume":"11","author":[{"family":"Kuti","given":"Ayomide O."},{"family":"Aderogba","given":"Taiwo A."},{"family":"Ezenwa","given":"Ndubuisi J."},{"family":"Quadri","given":"Rasheed A."}],"issued":{"date-parts":[["2023"]]}}},{"id":616,"uris":["http://zotero.org/users/local/VAqELCal/items/R5L53P8N"],"itemData":{"id":616,"type":"article-journal","container-title":"Economic Papers a Journal of Applied Economics and Policy","DOI":"10.1111/1759-3441.12429","issue":"4","journalAbbreviation":"Economic Papers a Journal of Applied Economics and Policy","page":"389-410","title":"Unwrapping the Intricate Interplay Between Energy Dependency and Macroeconomic Volatility in OECD Countries","volume":"43","author":[{"family":"Sahu","given":"Anjan K."},{"family":"Mahalik","given":"Mantu K."}],"issued":{"date-parts":[["2024"]]}}}],"schema":"https://github.com/citation-style-language/schema/raw/master/csl-citation.json"} </w:instrText>
      </w:r>
      <w:r w:rsidR="00A456B4">
        <w:rPr>
          <w:rFonts w:ascii="Times New Roman" w:hAnsi="Times New Roman" w:cs="Times New Roman"/>
        </w:rPr>
        <w:fldChar w:fldCharType="separate"/>
      </w:r>
      <w:r w:rsidR="00A456B4" w:rsidRPr="00A456B4">
        <w:rPr>
          <w:rFonts w:ascii="Times New Roman" w:hAnsi="Times New Roman" w:cs="Times New Roman"/>
        </w:rPr>
        <w:t>(Kuti et al., 2023; Sahu &amp; Mahalik, 2024)</w:t>
      </w:r>
      <w:r w:rsidR="00A456B4">
        <w:rPr>
          <w:rFonts w:ascii="Times New Roman" w:hAnsi="Times New Roman" w:cs="Times New Roman"/>
        </w:rPr>
        <w:fldChar w:fldCharType="end"/>
      </w:r>
      <w:r w:rsidRPr="00B21426">
        <w:rPr>
          <w:rFonts w:ascii="Times New Roman" w:hAnsi="Times New Roman" w:cs="Times New Roman"/>
        </w:rPr>
        <w:t>.</w:t>
      </w:r>
    </w:p>
    <w:p w14:paraId="5E3C46B3" w14:textId="117A0074" w:rsidR="00B21426" w:rsidRPr="00C44A63" w:rsidRDefault="00C44A63" w:rsidP="00C44A63">
      <w:pPr>
        <w:pStyle w:val="Heading3"/>
        <w:spacing w:line="360" w:lineRule="auto"/>
        <w:jc w:val="both"/>
        <w:rPr>
          <w:rFonts w:ascii="Times New Roman" w:hAnsi="Times New Roman" w:cs="Times New Roman"/>
          <w:b/>
          <w:bCs/>
          <w:sz w:val="24"/>
          <w:szCs w:val="24"/>
        </w:rPr>
      </w:pPr>
      <w:bookmarkStart w:id="67" w:name="_Toc235530895"/>
      <w:r w:rsidRPr="00C44A63">
        <w:rPr>
          <w:rFonts w:ascii="Times New Roman" w:hAnsi="Times New Roman" w:cs="Times New Roman"/>
          <w:b/>
          <w:bCs/>
          <w:sz w:val="24"/>
          <w:szCs w:val="24"/>
        </w:rPr>
        <w:t xml:space="preserve">3.6.5 </w:t>
      </w:r>
      <w:r w:rsidR="00B21426" w:rsidRPr="00C44A63">
        <w:rPr>
          <w:rFonts w:ascii="Times New Roman" w:hAnsi="Times New Roman" w:cs="Times New Roman"/>
          <w:b/>
          <w:bCs/>
          <w:sz w:val="24"/>
          <w:szCs w:val="24"/>
        </w:rPr>
        <w:t>Panel Unit Root Tests</w:t>
      </w:r>
      <w:bookmarkEnd w:id="67"/>
    </w:p>
    <w:p w14:paraId="497133BE" w14:textId="01F29577"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The stationarity properties of all variables are examined using both first-generation and second-generation panel unit root tests. First-generation tests such as Levin-Lin-Chu (LLC) and </w:t>
      </w:r>
      <w:proofErr w:type="spellStart"/>
      <w:r w:rsidRPr="00B21426">
        <w:rPr>
          <w:rFonts w:ascii="Times New Roman" w:hAnsi="Times New Roman" w:cs="Times New Roman"/>
        </w:rPr>
        <w:t>Im</w:t>
      </w:r>
      <w:proofErr w:type="spellEnd"/>
      <w:r w:rsidRPr="00B21426">
        <w:rPr>
          <w:rFonts w:ascii="Times New Roman" w:hAnsi="Times New Roman" w:cs="Times New Roman"/>
        </w:rPr>
        <w:t>-</w:t>
      </w:r>
      <w:proofErr w:type="spellStart"/>
      <w:r w:rsidRPr="00B21426">
        <w:rPr>
          <w:rFonts w:ascii="Times New Roman" w:hAnsi="Times New Roman" w:cs="Times New Roman"/>
        </w:rPr>
        <w:t>Pesaran</w:t>
      </w:r>
      <w:proofErr w:type="spellEnd"/>
      <w:r w:rsidRPr="00B21426">
        <w:rPr>
          <w:rFonts w:ascii="Times New Roman" w:hAnsi="Times New Roman" w:cs="Times New Roman"/>
        </w:rPr>
        <w:t>-Shin (IPS) tests are used as baseline diagnostics</w:t>
      </w:r>
      <w:r w:rsidR="00A456B4">
        <w:rPr>
          <w:rFonts w:ascii="Times New Roman" w:hAnsi="Times New Roman" w:cs="Times New Roman"/>
        </w:rPr>
        <w:t xml:space="preserve"> </w:t>
      </w:r>
      <w:r w:rsidR="00A456B4">
        <w:rPr>
          <w:rFonts w:ascii="Times New Roman" w:hAnsi="Times New Roman" w:cs="Times New Roman"/>
        </w:rPr>
        <w:fldChar w:fldCharType="begin"/>
      </w:r>
      <w:r w:rsidR="00A456B4">
        <w:rPr>
          <w:rFonts w:ascii="Times New Roman" w:hAnsi="Times New Roman" w:cs="Times New Roman"/>
        </w:rPr>
        <w:instrText xml:space="preserve"> ADDIN ZOTERO_ITEM CSL_CITATION {"citationID":"3IKpKMAo","properties":{"formattedCitation":"(Marimuthu et al., 2021; Olamide et al., 2022)","plainCitation":"(Marimuthu et al., 2021; Olamide et al., 2022)","noteIndex":0},"citationItems":[{"id":621,"uris":["http://zotero.org/users/local/VAqELCal/items/2AEM9DGJ"],"itemData":{"id":621,"type":"article-journal","container-title":"Sustainability","DOI":"10.3390/su131810045","issue":"18","journalAbbreviation":"Sustainability","page":"10045","title":"Is the Fiscal Deficit of ASEAN Alarming? Evidence From Fiscal Deficit Consequences and Contribution Towards Sustainable Economic Growth","volume":"13","author":[{"family":"Marimuthu","given":"Maran"},{"family":"Khan","given":"Hanana"},{"family":"Bangash","given":"Romana"}],"issued":{"date-parts":[["2021"]]}}},{"id":431,"uris":["http://zotero.org/users/local/VAqELCal/items/5CEK8RTS"],"itemData":{"id":431,"type":"article-journal","container-title":"Economies","DOI":"10.3390/economies10030067","issue":"3","journalAbbreviation":"Economies","page":"67","title":"Exchange Rate Volatility, Inflation and Economic Growth in Developing Countries: Panel Data Approach for SADC","volume":"10","author":[{"family":"Olamide","given":"Ebenezer"},{"family":"Kanayo","given":"Ogujiuba"},{"family":"Maredza","given":"Andrew"}],"issued":{"date-parts":[["2022"]]}}}],"schema":"https://github.com/citation-style-language/schema/raw/master/csl-citation.json"} </w:instrText>
      </w:r>
      <w:r w:rsidR="00A456B4">
        <w:rPr>
          <w:rFonts w:ascii="Times New Roman" w:hAnsi="Times New Roman" w:cs="Times New Roman"/>
        </w:rPr>
        <w:fldChar w:fldCharType="separate"/>
      </w:r>
      <w:r w:rsidR="00A456B4" w:rsidRPr="00A456B4">
        <w:rPr>
          <w:rFonts w:ascii="Times New Roman" w:hAnsi="Times New Roman" w:cs="Times New Roman"/>
        </w:rPr>
        <w:t xml:space="preserve">(Marimuthu et al., 2021; Olamide et al., </w:t>
      </w:r>
      <w:r w:rsidR="00A456B4" w:rsidRPr="00A456B4">
        <w:rPr>
          <w:rFonts w:ascii="Times New Roman" w:hAnsi="Times New Roman" w:cs="Times New Roman"/>
        </w:rPr>
        <w:lastRenderedPageBreak/>
        <w:t>2022)</w:t>
      </w:r>
      <w:r w:rsidR="00A456B4">
        <w:rPr>
          <w:rFonts w:ascii="Times New Roman" w:hAnsi="Times New Roman" w:cs="Times New Roman"/>
        </w:rPr>
        <w:fldChar w:fldCharType="end"/>
      </w:r>
      <w:r w:rsidRPr="00B21426">
        <w:rPr>
          <w:rFonts w:ascii="Times New Roman" w:hAnsi="Times New Roman" w:cs="Times New Roman"/>
        </w:rPr>
        <w:t xml:space="preserve">. But, to account for the possible presence of cross-sectional dependence as revealed in the previous diagnostic step, the most commonly reported second-generation unit root tests, namely, Cross-sectionally Augmented </w:t>
      </w:r>
      <w:proofErr w:type="spellStart"/>
      <w:r w:rsidRPr="00B21426">
        <w:rPr>
          <w:rFonts w:ascii="Times New Roman" w:hAnsi="Times New Roman" w:cs="Times New Roman"/>
        </w:rPr>
        <w:t>Im</w:t>
      </w:r>
      <w:proofErr w:type="spellEnd"/>
      <w:r w:rsidRPr="00B21426">
        <w:rPr>
          <w:rFonts w:ascii="Times New Roman" w:hAnsi="Times New Roman" w:cs="Times New Roman"/>
        </w:rPr>
        <w:t>-</w:t>
      </w:r>
      <w:proofErr w:type="spellStart"/>
      <w:r w:rsidRPr="00B21426">
        <w:rPr>
          <w:rFonts w:ascii="Times New Roman" w:hAnsi="Times New Roman" w:cs="Times New Roman"/>
        </w:rPr>
        <w:t>Pesaran</w:t>
      </w:r>
      <w:proofErr w:type="spellEnd"/>
      <w:r w:rsidRPr="00B21426">
        <w:rPr>
          <w:rFonts w:ascii="Times New Roman" w:hAnsi="Times New Roman" w:cs="Times New Roman"/>
        </w:rPr>
        <w:t xml:space="preserve">-Shin (CIPS) test and Cross-sectionally Augmented Dickey-Fuller (CADF) test developed by </w:t>
      </w:r>
      <w:proofErr w:type="spellStart"/>
      <w:r w:rsidRPr="00B21426">
        <w:rPr>
          <w:rFonts w:ascii="Times New Roman" w:hAnsi="Times New Roman" w:cs="Times New Roman"/>
        </w:rPr>
        <w:t>Pesaran</w:t>
      </w:r>
      <w:proofErr w:type="spellEnd"/>
      <w:r w:rsidRPr="00B21426">
        <w:rPr>
          <w:rFonts w:ascii="Times New Roman" w:hAnsi="Times New Roman" w:cs="Times New Roman"/>
        </w:rPr>
        <w:t xml:space="preserve"> (2023)) and Sahu &amp; Mahalik (2024), are used as the main stationarity diagnostic tools. Such tests complement the standard ADF regressions by enriching them with lagged level and first difference cross-sectional means to compute reliable inference in the presence of CSD and slope heterogeneity such as in </w:t>
      </w:r>
      <w:r w:rsidR="00A456B4">
        <w:rPr>
          <w:rFonts w:ascii="Times New Roman" w:hAnsi="Times New Roman" w:cs="Times New Roman"/>
        </w:rPr>
        <w:fldChar w:fldCharType="begin"/>
      </w:r>
      <w:r w:rsidR="00A456B4">
        <w:rPr>
          <w:rFonts w:ascii="Times New Roman" w:hAnsi="Times New Roman" w:cs="Times New Roman"/>
        </w:rPr>
        <w:instrText xml:space="preserve"> ADDIN ZOTERO_ITEM CSL_CITATION {"citationID":"AnuYYjFG","properties":{"formattedCitation":"(Delessa et al., 2024; Pal &amp; Mahalik, 2024)","plainCitation":"(Delessa et al., 2024; Pal &amp; Mahalik, 2024)","noteIndex":0},"citationItems":[{"id":622,"uris":["http://zotero.org/users/local/VAqELCal/items/PFCK88AP"],"itemData":{"id":622,"type":"article-journal","container-title":"Heliyon","DOI":"10.1016/j.heliyon.2024.e25690","issue":"3","journalAbbreviation":"Heliyon","page":"e25690","title":"Remittances Inflow and Economic Growth Nexus in Sub-Saharan Africa: Do Institutional Quality and Macroeconomic Stability Matter?","volume":"10","author":[{"family":"Delessa","given":"Kitessa"},{"family":"Alemu","given":"Tekie"},{"family":"Bane","given":"Jonse"}],"issued":{"date-parts":[["2024"]]}}},{"id":618,"uris":["http://zotero.org/users/local/VAqELCal/items/RG74VIFY"],"itemData":{"id":618,"type":"article-journal","container-title":"Review of Development Economics","DOI":"10.1111/rode.13187","issue":"3","journalAbbreviation":"Review of Development Economics","page":"1647-1662","title":"Role of Globalization and Innovation Pattern in Growth of Bank Credit: Evidence From Emerging and Advanced Asia","volume":"29","author":[{"family":"Pal","given":"Shreya"},{"family":"Mahalik","given":"Mantu K."}],"issued":{"date-parts":[["2024"]]}}}],"schema":"https://github.com/citation-style-language/schema/raw/master/csl-citation.json"} </w:instrText>
      </w:r>
      <w:r w:rsidR="00A456B4">
        <w:rPr>
          <w:rFonts w:ascii="Times New Roman" w:hAnsi="Times New Roman" w:cs="Times New Roman"/>
        </w:rPr>
        <w:fldChar w:fldCharType="separate"/>
      </w:r>
      <w:r w:rsidR="00A456B4" w:rsidRPr="00A456B4">
        <w:rPr>
          <w:rFonts w:ascii="Times New Roman" w:hAnsi="Times New Roman" w:cs="Times New Roman"/>
        </w:rPr>
        <w:t>(Delessa et al., 2024; Pal &amp; Mahalik, 2024)</w:t>
      </w:r>
      <w:r w:rsidR="00A456B4">
        <w:rPr>
          <w:rFonts w:ascii="Times New Roman" w:hAnsi="Times New Roman" w:cs="Times New Roman"/>
        </w:rPr>
        <w:fldChar w:fldCharType="end"/>
      </w:r>
      <w:r w:rsidRPr="00B21426">
        <w:rPr>
          <w:rFonts w:ascii="Times New Roman" w:hAnsi="Times New Roman" w:cs="Times New Roman"/>
        </w:rPr>
        <w:t xml:space="preserve">. </w:t>
      </w:r>
    </w:p>
    <w:p w14:paraId="16DADD63" w14:textId="5ADC2D8D" w:rsidR="00B21426" w:rsidRPr="00C44A63" w:rsidRDefault="00C44A63" w:rsidP="00C44A63">
      <w:pPr>
        <w:pStyle w:val="Heading3"/>
        <w:spacing w:line="360" w:lineRule="auto"/>
        <w:jc w:val="both"/>
        <w:rPr>
          <w:rFonts w:ascii="Times New Roman" w:hAnsi="Times New Roman" w:cs="Times New Roman"/>
          <w:b/>
          <w:bCs/>
          <w:sz w:val="24"/>
          <w:szCs w:val="24"/>
        </w:rPr>
      </w:pPr>
      <w:bookmarkStart w:id="68" w:name="_Toc235530896"/>
      <w:r w:rsidRPr="00C44A63">
        <w:rPr>
          <w:rFonts w:ascii="Times New Roman" w:hAnsi="Times New Roman" w:cs="Times New Roman"/>
          <w:b/>
          <w:bCs/>
          <w:sz w:val="24"/>
          <w:szCs w:val="24"/>
        </w:rPr>
        <w:t xml:space="preserve">3.6.6 </w:t>
      </w:r>
      <w:r w:rsidR="00B21426" w:rsidRPr="00C44A63">
        <w:rPr>
          <w:rFonts w:ascii="Times New Roman" w:hAnsi="Times New Roman" w:cs="Times New Roman"/>
          <w:b/>
          <w:bCs/>
          <w:sz w:val="24"/>
          <w:szCs w:val="24"/>
        </w:rPr>
        <w:t>Cointegration Testing</w:t>
      </w:r>
      <w:bookmarkEnd w:id="68"/>
    </w:p>
    <w:p w14:paraId="656BDEE0" w14:textId="0930C3B7"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If the results of unit root tests show that key variables are first order integrated, </w:t>
      </w:r>
      <w:proofErr w:type="gramStart"/>
      <w:r w:rsidRPr="00B21426">
        <w:rPr>
          <w:rFonts w:ascii="Times New Roman" w:hAnsi="Times New Roman" w:cs="Times New Roman"/>
        </w:rPr>
        <w:t>I(</w:t>
      </w:r>
      <w:proofErr w:type="gramEnd"/>
      <w:r w:rsidRPr="00B21426">
        <w:rPr>
          <w:rFonts w:ascii="Times New Roman" w:hAnsi="Times New Roman" w:cs="Times New Roman"/>
        </w:rPr>
        <w:t xml:space="preserve">1), cointegration tests are conducted to determine if there is a stable long-run relationship among the variables. The study uses the Westerlund's error correction-based panel cointegration test which specifically tests for cointegration by testing for the presence of error correction at each of the individual units and for the panel data as a whole </w:t>
      </w:r>
      <w:r w:rsidR="00A456B4">
        <w:rPr>
          <w:rFonts w:ascii="Times New Roman" w:hAnsi="Times New Roman" w:cs="Times New Roman"/>
        </w:rPr>
        <w:fldChar w:fldCharType="begin"/>
      </w:r>
      <w:r w:rsidR="00A456B4">
        <w:rPr>
          <w:rFonts w:ascii="Times New Roman" w:hAnsi="Times New Roman" w:cs="Times New Roman"/>
        </w:rPr>
        <w:instrText xml:space="preserve"> ADDIN ZOTERO_ITEM CSL_CITATION {"citationID":"ucXPyWoK","properties":{"formattedCitation":"(Iheonu, 2025; Tachega, 2025)","plainCitation":"(Iheonu, 2025; Tachega, 2025)","noteIndex":0},"citationItems":[{"id":623,"uris":["http://zotero.org/users/local/VAqELCal/items/4Z5YMX37"],"itemData":{"id":623,"type":"article-journal","container-title":"World Affairs","DOI":"10.1002/waf2.70028","issue":"4","journalAbbreviation":"World Affairs","title":"Energy Price Inflation and Real Output Nexus in Selected Sub‐Saharan African Economies","volume":"188","author":[{"family":"Iheonu","given":"Chimere O."}],"issued":{"date-parts":[["2025"]]}}},{"id":610,"uris":["http://zotero.org/users/local/VAqELCal/items/TPH2RIV8"],"itemData":{"id":610,"type":"article-journal","container-title":"Plos One","DOI":"10.1371/journal.pone.0334043","issue":"10","journalAbbreviation":"Plos One","page":"e0334043","title":"Investment Attractiveness in BRICS+ Economies: Evaluating Business Environment Reforms, Institutional Quality, and Macroeconomic Factors","volume":"20","author":[{"family":"Tachega","given":"Mark A."}],"issued":{"date-parts":[["2025"]]}}}],"schema":"https://github.com/citation-style-language/schema/raw/master/csl-citation.json"} </w:instrText>
      </w:r>
      <w:r w:rsidR="00A456B4">
        <w:rPr>
          <w:rFonts w:ascii="Times New Roman" w:hAnsi="Times New Roman" w:cs="Times New Roman"/>
        </w:rPr>
        <w:fldChar w:fldCharType="separate"/>
      </w:r>
      <w:r w:rsidR="00A456B4" w:rsidRPr="00A456B4">
        <w:rPr>
          <w:rFonts w:ascii="Times New Roman" w:hAnsi="Times New Roman" w:cs="Times New Roman"/>
        </w:rPr>
        <w:t>(Iheonu, 2025; Tachega, 2025)</w:t>
      </w:r>
      <w:r w:rsidR="00A456B4">
        <w:rPr>
          <w:rFonts w:ascii="Times New Roman" w:hAnsi="Times New Roman" w:cs="Times New Roman"/>
        </w:rPr>
        <w:fldChar w:fldCharType="end"/>
      </w:r>
      <w:r w:rsidRPr="00B21426">
        <w:rPr>
          <w:rFonts w:ascii="Times New Roman" w:hAnsi="Times New Roman" w:cs="Times New Roman"/>
        </w:rPr>
        <w:t>. The Westerlund framework is immune to cross-sectional dependence (CSD) and is not dependent on long-run relationships (LRRs) as in the case of residual-based framework like the Pedroni test</w:t>
      </w:r>
      <w:r w:rsidR="00A456B4">
        <w:rPr>
          <w:rFonts w:ascii="Times New Roman" w:hAnsi="Times New Roman" w:cs="Times New Roman"/>
        </w:rPr>
        <w:t xml:space="preserve"> </w:t>
      </w:r>
      <w:r w:rsidR="00A456B4">
        <w:rPr>
          <w:rFonts w:ascii="Times New Roman" w:hAnsi="Times New Roman" w:cs="Times New Roman"/>
        </w:rPr>
        <w:fldChar w:fldCharType="begin"/>
      </w:r>
      <w:r w:rsidR="00A456B4">
        <w:rPr>
          <w:rFonts w:ascii="Times New Roman" w:hAnsi="Times New Roman" w:cs="Times New Roman"/>
        </w:rPr>
        <w:instrText xml:space="preserve"> ADDIN ZOTERO_ITEM CSL_CITATION {"citationID":"1Xi5BfUj","properties":{"formattedCitation":"(Pal &amp; Mahalik, 2024; Sahu &amp; Mahalik, 2024)","plainCitation":"(Pal &amp; Mahalik, 2024; Sahu &amp; Mahalik, 2024)","noteIndex":0},"citationItems":[{"id":618,"uris":["http://zotero.org/users/local/VAqELCal/items/RG74VIFY"],"itemData":{"id":618,"type":"article-journal","container-title":"Review of Development Economics","DOI":"10.1111/rode.13187","issue":"3","journalAbbreviation":"Review of Development Economics","page":"1647-1662","title":"Role of Globalization and Innovation Pattern in Growth of Bank Credit: Evidence From Emerging and Advanced Asia","volume":"29","author":[{"family":"Pal","given":"Shreya"},{"family":"Mahalik","given":"Mantu K."}],"issued":{"date-parts":[["2024"]]}}},{"id":616,"uris":["http://zotero.org/users/local/VAqELCal/items/R5L53P8N"],"itemData":{"id":616,"type":"article-journal","container-title":"Economic Papers a Journal of Applied Economics and Policy","DOI":"10.1111/1759-3441.12429","issue":"4","journalAbbreviation":"Economic Papers a Journal of Applied Economics and Policy","page":"389-410","title":"Unwrapping the Intricate Interplay Between Energy Dependency and Macroeconomic Volatility in OECD Countries","volume":"43","author":[{"family":"Sahu","given":"Anjan K."},{"family":"Mahalik","given":"Mantu K."}],"issued":{"date-parts":[["2024"]]}}}],"schema":"https://github.com/citation-style-language/schema/raw/master/csl-citation.json"} </w:instrText>
      </w:r>
      <w:r w:rsidR="00A456B4">
        <w:rPr>
          <w:rFonts w:ascii="Times New Roman" w:hAnsi="Times New Roman" w:cs="Times New Roman"/>
        </w:rPr>
        <w:fldChar w:fldCharType="separate"/>
      </w:r>
      <w:r w:rsidR="00A456B4" w:rsidRPr="00A456B4">
        <w:rPr>
          <w:rFonts w:ascii="Times New Roman" w:hAnsi="Times New Roman" w:cs="Times New Roman"/>
        </w:rPr>
        <w:t>(Pal &amp; Mahalik, 2024; Sahu &amp; Mahalik, 2024)</w:t>
      </w:r>
      <w:r w:rsidR="00A456B4">
        <w:rPr>
          <w:rFonts w:ascii="Times New Roman" w:hAnsi="Times New Roman" w:cs="Times New Roman"/>
        </w:rPr>
        <w:fldChar w:fldCharType="end"/>
      </w:r>
      <w:r w:rsidRPr="00B21426">
        <w:rPr>
          <w:rFonts w:ascii="Times New Roman" w:hAnsi="Times New Roman" w:cs="Times New Roman"/>
        </w:rPr>
        <w:t xml:space="preserve">. The Westerlund test calculates four statistics; two group-mean statistics (Gt, Ga), and two panel statistics (Pt, Pa) which assess cointegration from individual cross-sectional and collective panel views, respectively </w:t>
      </w:r>
      <w:r w:rsidR="00A456B4">
        <w:rPr>
          <w:rFonts w:ascii="Times New Roman" w:hAnsi="Times New Roman" w:cs="Times New Roman"/>
        </w:rPr>
        <w:fldChar w:fldCharType="begin"/>
      </w:r>
      <w:r w:rsidR="00A456B4">
        <w:rPr>
          <w:rFonts w:ascii="Times New Roman" w:hAnsi="Times New Roman" w:cs="Times New Roman"/>
        </w:rPr>
        <w:instrText xml:space="preserve"> ADDIN ZOTERO_ITEM CSL_CITATION {"citationID":"6lkNFAMx","properties":{"formattedCitation":"(Iheonu, 2025; Onifade et al., 2023)","plainCitation":"(Iheonu, 2025; Onifade et al., 2023)","noteIndex":0},"citationItems":[{"id":623,"uris":["http://zotero.org/users/local/VAqELCal/items/4Z5YMX37"],"itemData":{"id":623,"type":"article-journal","container-title":"World Affairs","DOI":"10.1002/waf2.70028","issue":"4","journalAbbreviation":"World Affairs","title":"Energy Price Inflation and Real Output Nexus in Selected Sub‐Saharan African Economies","volume":"188","author":[{"family":"Iheonu","given":"Chimere O."}],"issued":{"date-parts":[["2025"]]}}},{"id":614,"uris":["http://zotero.org/users/local/VAqELCal/items/7XZZF8IR"],"itemData":{"id":614,"type":"article-journal","container-title":"Sustainable Development","DOI":"10.1002/sd.2751","issue":"3","journalAbbreviation":"Sustainable Development","page":"1971-1986","title":"Extending the Frontiers of Financial Development for Sustainability of the MENA States: The Roles of Resource Abundance and Institutional Quality","volume":"32","author":[{"family":"Onifade","given":"Stephen T."},{"family":"Gyamfi","given":"Bright A."},{"family":"Haouas","given":"Ilham"},{"family":"Asongu","given":"Simplice"}],"issued":{"date-parts":[["2023"]]}}}],"schema":"https://github.com/citation-style-language/schema/raw/master/csl-citation.json"} </w:instrText>
      </w:r>
      <w:r w:rsidR="00A456B4">
        <w:rPr>
          <w:rFonts w:ascii="Times New Roman" w:hAnsi="Times New Roman" w:cs="Times New Roman"/>
        </w:rPr>
        <w:fldChar w:fldCharType="separate"/>
      </w:r>
      <w:r w:rsidR="00A456B4" w:rsidRPr="00A456B4">
        <w:rPr>
          <w:rFonts w:ascii="Times New Roman" w:hAnsi="Times New Roman" w:cs="Times New Roman"/>
        </w:rPr>
        <w:t>(Iheonu, 2025; Onifade et al., 2023)</w:t>
      </w:r>
      <w:r w:rsidR="00A456B4">
        <w:rPr>
          <w:rFonts w:ascii="Times New Roman" w:hAnsi="Times New Roman" w:cs="Times New Roman"/>
        </w:rPr>
        <w:fldChar w:fldCharType="end"/>
      </w:r>
      <w:r w:rsidRPr="00B21426">
        <w:rPr>
          <w:rFonts w:ascii="Times New Roman" w:hAnsi="Times New Roman" w:cs="Times New Roman"/>
        </w:rPr>
        <w:t xml:space="preserve">. If cointegration is detected, then the long-run specification is considered and estimated using proper cointegration-consistent estimators and if cointegration cannot be detected the model is re-specified in first differences or other short-run modeling frameworks </w:t>
      </w:r>
      <w:r w:rsidR="00A456B4">
        <w:rPr>
          <w:rFonts w:ascii="Times New Roman" w:hAnsi="Times New Roman" w:cs="Times New Roman"/>
        </w:rPr>
        <w:fldChar w:fldCharType="begin"/>
      </w:r>
      <w:r w:rsidR="00A456B4">
        <w:rPr>
          <w:rFonts w:ascii="Times New Roman" w:hAnsi="Times New Roman" w:cs="Times New Roman"/>
        </w:rPr>
        <w:instrText xml:space="preserve"> ADDIN ZOTERO_ITEM CSL_CITATION {"citationID":"DrO1fpeZ","properties":{"formattedCitation":"(Almeshari et al., 2023; Bayar et al., 2020)","plainCitation":"(Almeshari et al., 2023; Bayar et al., 2020)","noteIndex":0},"citationItems":[{"id":612,"uris":["http://zotero.org/users/local/VAqELCal/items/Z53QTP5B"],"itemData":{"id":612,"type":"article-journal","container-title":"Economies","DOI":"10.3390/economies11050147","issue":"5","journalAbbreviation":"Economies","page":"147","title":"Liquidity Creation, Oil Term of Trade Shocks, and Growth Volatility in Middle Eastern and North African Countries (MENA)","volume":"11","author":[{"family":"Almeshari","given":"Ali"},{"literal":"Mohamed Hisham Bin Dato Haji Yahya"},{"family":"Kamarudin","given":"Fakarudin"},{"family":"Ali","given":"Rosalan"},{"family":"Hamid","given":"Sha’ari A."}],"issued":{"date-parts":[["2023"]]}}},{"id":624,"uris":["http://zotero.org/users/local/VAqELCal/items/AE6QBQJ8"],"itemData":{"id":624,"type":"article-journal","container-title":"International Journal of Finance &amp; Economics","DOI":"10.1002/ijfe.1829","issue":"1","journalAbbreviation":"International Journal of Finance &amp; Economics","page":"949-961","title":"Banking Sector Stability and Economic Growth in Post‐transition European Union Countries","volume":"26","author":[{"family":"Bayar","given":"Yılmaz"},{"family":"Borozan","given":"Djula"},{"family":"Gavriletea","given":"Marius D."}],"issued":{"date-parts":[["2020"]]}}}],"schema":"https://github.com/citation-style-language/schema/raw/master/csl-citation.json"} </w:instrText>
      </w:r>
      <w:r w:rsidR="00A456B4">
        <w:rPr>
          <w:rFonts w:ascii="Times New Roman" w:hAnsi="Times New Roman" w:cs="Times New Roman"/>
        </w:rPr>
        <w:fldChar w:fldCharType="separate"/>
      </w:r>
      <w:r w:rsidR="00A456B4" w:rsidRPr="00A456B4">
        <w:rPr>
          <w:rFonts w:ascii="Times New Roman" w:hAnsi="Times New Roman" w:cs="Times New Roman"/>
        </w:rPr>
        <w:t>(Almeshari et al., 2023; Bayar et al., 2020)</w:t>
      </w:r>
      <w:r w:rsidR="00A456B4">
        <w:rPr>
          <w:rFonts w:ascii="Times New Roman" w:hAnsi="Times New Roman" w:cs="Times New Roman"/>
        </w:rPr>
        <w:fldChar w:fldCharType="end"/>
      </w:r>
      <w:r w:rsidRPr="00B21426">
        <w:rPr>
          <w:rFonts w:ascii="Times New Roman" w:hAnsi="Times New Roman" w:cs="Times New Roman"/>
        </w:rPr>
        <w:t>.</w:t>
      </w:r>
    </w:p>
    <w:p w14:paraId="2EA61E9A" w14:textId="2ED0EDF7" w:rsidR="00C44A63" w:rsidRPr="00A456B4" w:rsidRDefault="00B21426" w:rsidP="00A456B4">
      <w:pPr>
        <w:spacing w:line="360" w:lineRule="auto"/>
        <w:jc w:val="both"/>
        <w:rPr>
          <w:rFonts w:ascii="Times New Roman" w:hAnsi="Times New Roman" w:cs="Times New Roman"/>
        </w:rPr>
      </w:pPr>
      <w:r w:rsidRPr="00B21426">
        <w:rPr>
          <w:rFonts w:ascii="Times New Roman" w:hAnsi="Times New Roman" w:cs="Times New Roman"/>
        </w:rPr>
        <w:t>All these diagnostic tools can help in selecting a suitable simple panel estimator. The important decision in the revised framework is to decide on which estimator to use: Fixed Effects or Random Effects. For this reason, the Hausman test is used to check if there is a correlation between the regressors and the unobserved country-specific factors, and if the Fixed Effects estimator is preferable to Random Effects.</w:t>
      </w:r>
    </w:p>
    <w:p w14:paraId="4AD1DE72" w14:textId="068B7221" w:rsidR="00B21426" w:rsidRPr="00C44A63" w:rsidRDefault="00B21426" w:rsidP="00C44A63">
      <w:pPr>
        <w:pStyle w:val="Heading2"/>
        <w:spacing w:line="360" w:lineRule="auto"/>
        <w:jc w:val="both"/>
        <w:rPr>
          <w:rFonts w:ascii="Times New Roman" w:hAnsi="Times New Roman" w:cs="Times New Roman"/>
          <w:b/>
          <w:bCs/>
          <w:sz w:val="28"/>
          <w:szCs w:val="28"/>
        </w:rPr>
      </w:pPr>
      <w:bookmarkStart w:id="69" w:name="_Toc235530897"/>
      <w:r w:rsidRPr="00C44A63">
        <w:rPr>
          <w:rFonts w:ascii="Times New Roman" w:hAnsi="Times New Roman" w:cs="Times New Roman"/>
          <w:b/>
          <w:bCs/>
          <w:sz w:val="28"/>
          <w:szCs w:val="28"/>
        </w:rPr>
        <w:lastRenderedPageBreak/>
        <w:t>3.7 Baseline Estimation Method: Simple Panel Fixed Effects and Random Effects</w:t>
      </w:r>
      <w:bookmarkEnd w:id="69"/>
    </w:p>
    <w:p w14:paraId="704FA18A" w14:textId="445C9BBE"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The new baseline empirical approach applies a simple panel-data model.</w:t>
      </w:r>
      <w:r w:rsidR="00133F95">
        <w:rPr>
          <w:rFonts w:ascii="Times New Roman" w:hAnsi="Times New Roman" w:cs="Times New Roman"/>
        </w:rPr>
        <w:t xml:space="preserve"> </w:t>
      </w:r>
      <w:r w:rsidRPr="00B21426">
        <w:rPr>
          <w:rFonts w:ascii="Times New Roman" w:hAnsi="Times New Roman" w:cs="Times New Roman"/>
        </w:rPr>
        <w:t xml:space="preserve">The order of confirmatory panel models starts with the inclusion of the single most important independent variable, </w:t>
      </w:r>
      <w:proofErr w:type="gramStart"/>
      <w:r w:rsidRPr="00B21426">
        <w:rPr>
          <w:rFonts w:ascii="Times New Roman" w:hAnsi="Times New Roman" w:cs="Times New Roman"/>
        </w:rPr>
        <w:t>GARCH(</w:t>
      </w:r>
      <w:proofErr w:type="gramEnd"/>
      <w:r w:rsidRPr="00B21426">
        <w:rPr>
          <w:rFonts w:ascii="Times New Roman" w:hAnsi="Times New Roman" w:cs="Times New Roman"/>
        </w:rPr>
        <w:t>1,1)-based inflation volatility, followed by the addition of other independent variables, namely, the controls.</w:t>
      </w:r>
    </w:p>
    <w:p w14:paraId="39F51B14" w14:textId="77777777"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All time-invariant country-specific characteristics, like geography, legal origin, longstanding institutional structure, and historical characteristics of the financial system, are controlled through the Fixed Effects model. It estimates the relationship using within-country variation over time.</w:t>
      </w:r>
    </w:p>
    <w:p w14:paraId="6370CFC3" w14:textId="1A7CDBD8" w:rsidR="00EA13EB" w:rsidRPr="00EA13EB"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FE baseline: </w:t>
      </w:r>
      <w:r w:rsidR="00EA13EB" w:rsidRPr="00EA13EB">
        <w:rPr>
          <w:rFonts w:ascii="Times New Roman" w:hAnsi="Times New Roman" w:cs="Times New Roman"/>
        </w:rPr>
        <w:t>Zit​=α</w:t>
      </w:r>
      <w:proofErr w:type="spellStart"/>
      <w:r w:rsidR="00EA13EB" w:rsidRPr="00EA13EB">
        <w:rPr>
          <w:rFonts w:ascii="Times New Roman" w:hAnsi="Times New Roman" w:cs="Times New Roman"/>
        </w:rPr>
        <w:t>i</w:t>
      </w:r>
      <w:proofErr w:type="spellEnd"/>
      <w:r w:rsidR="00EA13EB" w:rsidRPr="00EA13EB">
        <w:rPr>
          <w:rFonts w:ascii="Times New Roman" w:hAnsi="Times New Roman" w:cs="Times New Roman"/>
        </w:rPr>
        <w:t>​+β1​</w:t>
      </w:r>
      <w:proofErr w:type="spellStart"/>
      <w:r w:rsidR="00EA13EB" w:rsidRPr="00EA13EB">
        <w:rPr>
          <w:rFonts w:ascii="Times New Roman" w:hAnsi="Times New Roman" w:cs="Times New Roman"/>
        </w:rPr>
        <w:t>INFVOLit</w:t>
      </w:r>
      <w:proofErr w:type="spellEnd"/>
      <w:r w:rsidR="00EA13EB" w:rsidRPr="00EA13EB">
        <w:rPr>
          <w:rFonts w:ascii="Times New Roman" w:hAnsi="Times New Roman" w:cs="Times New Roman"/>
        </w:rPr>
        <w:t>​+</w:t>
      </w:r>
      <w:proofErr w:type="spellStart"/>
      <w:r w:rsidR="00EA13EB" w:rsidRPr="00EA13EB">
        <w:rPr>
          <w:rFonts w:ascii="Times New Roman" w:hAnsi="Times New Roman" w:cs="Times New Roman"/>
        </w:rPr>
        <w:t>γ′Xit</w:t>
      </w:r>
      <w:proofErr w:type="spellEnd"/>
      <w:r w:rsidR="00EA13EB" w:rsidRPr="00EA13EB">
        <w:rPr>
          <w:rFonts w:ascii="Times New Roman" w:hAnsi="Times New Roman" w:cs="Times New Roman"/>
        </w:rPr>
        <w:t>​+</w:t>
      </w:r>
      <w:proofErr w:type="spellStart"/>
      <w:r w:rsidR="00EA13EB" w:rsidRPr="00EA13EB">
        <w:rPr>
          <w:rFonts w:ascii="Times New Roman" w:hAnsi="Times New Roman" w:cs="Times New Roman"/>
        </w:rPr>
        <w:t>εit</w:t>
      </w:r>
      <w:proofErr w:type="spellEnd"/>
      <w:r w:rsidR="00EA13EB" w:rsidRPr="00EA13EB">
        <w:rPr>
          <w:rFonts w:ascii="Times New Roman" w:hAnsi="Times New Roman" w:cs="Times New Roman"/>
        </w:rPr>
        <w:t xml:space="preserve">​ </w:t>
      </w:r>
    </w:p>
    <w:p w14:paraId="61D20EDD" w14:textId="70C16433"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where z is a bank z-score for country </w:t>
      </w:r>
      <w:proofErr w:type="spellStart"/>
      <w:r w:rsidRPr="00B21426">
        <w:rPr>
          <w:rFonts w:ascii="Times New Roman" w:hAnsi="Times New Roman" w:cs="Times New Roman"/>
        </w:rPr>
        <w:t>i</w:t>
      </w:r>
      <w:proofErr w:type="spellEnd"/>
      <w:r w:rsidRPr="00B21426">
        <w:rPr>
          <w:rFonts w:ascii="Times New Roman" w:hAnsi="Times New Roman" w:cs="Times New Roman"/>
        </w:rPr>
        <w:t xml:space="preserve"> and year t, </w:t>
      </w:r>
      <w:proofErr w:type="spellStart"/>
      <w:r w:rsidRPr="00B21426">
        <w:rPr>
          <w:rFonts w:ascii="Times New Roman" w:hAnsi="Times New Roman" w:cs="Times New Roman"/>
        </w:rPr>
        <w:t>infvol</w:t>
      </w:r>
      <w:proofErr w:type="spellEnd"/>
      <w:r w:rsidRPr="00B21426">
        <w:rPr>
          <w:rFonts w:ascii="Times New Roman" w:hAnsi="Times New Roman" w:cs="Times New Roman"/>
        </w:rPr>
        <w:t xml:space="preserve"> it is a baseline </w:t>
      </w:r>
      <w:proofErr w:type="gramStart"/>
      <w:r w:rsidRPr="00B21426">
        <w:rPr>
          <w:rFonts w:ascii="Times New Roman" w:hAnsi="Times New Roman" w:cs="Times New Roman"/>
        </w:rPr>
        <w:t>GARCH(</w:t>
      </w:r>
      <w:proofErr w:type="gramEnd"/>
      <w:r w:rsidRPr="00B21426">
        <w:rPr>
          <w:rFonts w:ascii="Times New Roman" w:hAnsi="Times New Roman" w:cs="Times New Roman"/>
        </w:rPr>
        <w:t xml:space="preserve">1,1) measure of inflation-volatility, x it is a set of control variables, alpha </w:t>
      </w:r>
      <w:proofErr w:type="spellStart"/>
      <w:r w:rsidRPr="00B21426">
        <w:rPr>
          <w:rFonts w:ascii="Times New Roman" w:hAnsi="Times New Roman" w:cs="Times New Roman"/>
        </w:rPr>
        <w:t>i</w:t>
      </w:r>
      <w:proofErr w:type="spellEnd"/>
      <w:r w:rsidRPr="00B21426">
        <w:rPr>
          <w:rFonts w:ascii="Times New Roman" w:hAnsi="Times New Roman" w:cs="Times New Roman"/>
        </w:rPr>
        <w:t xml:space="preserve"> are country fixed effects, and epsilon it is an idiosyncratic error term.</w:t>
      </w:r>
    </w:p>
    <w:p w14:paraId="52911C0F" w14:textId="697E7434"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The </w:t>
      </w:r>
      <w:r w:rsidR="00EA13EB">
        <w:rPr>
          <w:rFonts w:ascii="Times New Roman" w:hAnsi="Times New Roman" w:cs="Times New Roman"/>
        </w:rPr>
        <w:t>country-specific</w:t>
      </w:r>
      <w:r w:rsidRPr="00B21426">
        <w:rPr>
          <w:rFonts w:ascii="Times New Roman" w:hAnsi="Times New Roman" w:cs="Times New Roman"/>
        </w:rPr>
        <w:t xml:space="preserve"> differences can also be included in the Random Effects model but are part of the composite error term and are assumed to be uncorrelated with the regressors. This estimator is more efficient if the Random Effects assumption is valid.</w:t>
      </w:r>
    </w:p>
    <w:p w14:paraId="5A59DA47" w14:textId="41B0F607" w:rsidR="008F5919" w:rsidRPr="00EA13EB" w:rsidRDefault="00B21426" w:rsidP="00EA13EB">
      <w:pPr>
        <w:spacing w:line="360" w:lineRule="auto"/>
        <w:jc w:val="both"/>
        <w:rPr>
          <w:rFonts w:ascii="Times New Roman" w:hAnsi="Times New Roman" w:cs="Times New Roman"/>
          <w:b/>
          <w:bCs/>
        </w:rPr>
      </w:pPr>
      <w:r w:rsidRPr="00B21426">
        <w:rPr>
          <w:rFonts w:ascii="Times New Roman" w:hAnsi="Times New Roman" w:cs="Times New Roman"/>
        </w:rPr>
        <w:t xml:space="preserve">Random effects baseline: </w:t>
      </w:r>
      <w:r w:rsidR="00EA13EB" w:rsidRPr="00EA13EB">
        <w:rPr>
          <w:rFonts w:ascii="Times New Roman" w:hAnsi="Times New Roman" w:cs="Times New Roman"/>
        </w:rPr>
        <w:t>Zit​=α+β1​</w:t>
      </w:r>
      <w:proofErr w:type="spellStart"/>
      <w:r w:rsidR="00EA13EB" w:rsidRPr="00EA13EB">
        <w:rPr>
          <w:rFonts w:ascii="Times New Roman" w:hAnsi="Times New Roman" w:cs="Times New Roman"/>
        </w:rPr>
        <w:t>INFVOLit</w:t>
      </w:r>
      <w:proofErr w:type="spellEnd"/>
      <w:r w:rsidR="00EA13EB" w:rsidRPr="00EA13EB">
        <w:rPr>
          <w:rFonts w:ascii="Times New Roman" w:hAnsi="Times New Roman" w:cs="Times New Roman"/>
        </w:rPr>
        <w:t>​+</w:t>
      </w:r>
      <w:proofErr w:type="spellStart"/>
      <w:r w:rsidR="00EA13EB" w:rsidRPr="00EA13EB">
        <w:rPr>
          <w:rFonts w:ascii="Times New Roman" w:hAnsi="Times New Roman" w:cs="Times New Roman"/>
        </w:rPr>
        <w:t>γ′Xit</w:t>
      </w:r>
      <w:proofErr w:type="spellEnd"/>
      <w:r w:rsidR="00EA13EB" w:rsidRPr="00EA13EB">
        <w:rPr>
          <w:rFonts w:ascii="Times New Roman" w:hAnsi="Times New Roman" w:cs="Times New Roman"/>
        </w:rPr>
        <w:t>​+</w:t>
      </w:r>
      <w:proofErr w:type="spellStart"/>
      <w:r w:rsidR="00EA13EB" w:rsidRPr="00EA13EB">
        <w:rPr>
          <w:rFonts w:ascii="Times New Roman" w:hAnsi="Times New Roman" w:cs="Times New Roman"/>
        </w:rPr>
        <w:t>ui</w:t>
      </w:r>
      <w:proofErr w:type="spellEnd"/>
      <w:r w:rsidR="00EA13EB" w:rsidRPr="00EA13EB">
        <w:rPr>
          <w:rFonts w:ascii="Times New Roman" w:hAnsi="Times New Roman" w:cs="Times New Roman"/>
        </w:rPr>
        <w:t>​+</w:t>
      </w:r>
      <w:proofErr w:type="spellStart"/>
      <w:r w:rsidR="00EA13EB" w:rsidRPr="00EA13EB">
        <w:rPr>
          <w:rFonts w:ascii="Times New Roman" w:hAnsi="Times New Roman" w:cs="Times New Roman"/>
        </w:rPr>
        <w:t>εit</w:t>
      </w:r>
      <w:proofErr w:type="spellEnd"/>
      <w:r w:rsidR="00EA13EB" w:rsidRPr="00EA13EB">
        <w:rPr>
          <w:rFonts w:ascii="Times New Roman" w:hAnsi="Times New Roman" w:cs="Times New Roman"/>
        </w:rPr>
        <w:t>​</w:t>
      </w:r>
    </w:p>
    <w:p w14:paraId="0A2F33AA" w14:textId="551D2679" w:rsidR="00B21426" w:rsidRPr="00C44A63" w:rsidRDefault="00C44A63" w:rsidP="00C44A63">
      <w:pPr>
        <w:pStyle w:val="Heading3"/>
        <w:spacing w:line="360" w:lineRule="auto"/>
        <w:jc w:val="both"/>
        <w:rPr>
          <w:rFonts w:ascii="Times New Roman" w:hAnsi="Times New Roman" w:cs="Times New Roman"/>
          <w:b/>
          <w:bCs/>
          <w:sz w:val="24"/>
          <w:szCs w:val="24"/>
        </w:rPr>
      </w:pPr>
      <w:bookmarkStart w:id="70" w:name="_Toc235530898"/>
      <w:r w:rsidRPr="00C44A63">
        <w:rPr>
          <w:rFonts w:ascii="Times New Roman" w:hAnsi="Times New Roman" w:cs="Times New Roman"/>
          <w:b/>
          <w:bCs/>
          <w:sz w:val="24"/>
          <w:szCs w:val="24"/>
        </w:rPr>
        <w:t xml:space="preserve">3.7.1 </w:t>
      </w:r>
      <w:r w:rsidR="00B21426" w:rsidRPr="00C44A63">
        <w:rPr>
          <w:rFonts w:ascii="Times New Roman" w:hAnsi="Times New Roman" w:cs="Times New Roman"/>
          <w:b/>
          <w:bCs/>
          <w:sz w:val="24"/>
          <w:szCs w:val="24"/>
        </w:rPr>
        <w:t>Hausman Test and Estimator Choice</w:t>
      </w:r>
      <w:bookmarkEnd w:id="70"/>
    </w:p>
    <w:p w14:paraId="5FBE3D1B" w14:textId="1301FAD1" w:rsidR="00C44A63" w:rsidRPr="00B751B1" w:rsidRDefault="00B21426" w:rsidP="00B751B1">
      <w:pPr>
        <w:spacing w:line="360" w:lineRule="auto"/>
        <w:jc w:val="both"/>
        <w:rPr>
          <w:rFonts w:ascii="Times New Roman" w:hAnsi="Times New Roman" w:cs="Times New Roman"/>
        </w:rPr>
      </w:pPr>
      <w:r w:rsidRPr="00B21426">
        <w:rPr>
          <w:rFonts w:ascii="Times New Roman" w:hAnsi="Times New Roman" w:cs="Times New Roman"/>
        </w:rPr>
        <w:t>The Hausman test is used to choose between Fixed Effects and Random Effects. The null hypothesis is that of consistency and efficiency of Random Effects. A Hausman p-value of &lt; 0.05 leads to rejection of the null and the selection of Fixed Effects. Random Effects can be used for interpretation in case that the p value is 0.05 or higher.</w:t>
      </w:r>
      <w:r w:rsidR="00B751B1">
        <w:rPr>
          <w:rFonts w:ascii="Times New Roman" w:hAnsi="Times New Roman" w:cs="Times New Roman"/>
        </w:rPr>
        <w:t xml:space="preserve"> </w:t>
      </w:r>
      <w:r w:rsidRPr="00B21426">
        <w:rPr>
          <w:rFonts w:ascii="Times New Roman" w:hAnsi="Times New Roman" w:cs="Times New Roman"/>
        </w:rPr>
        <w:t xml:space="preserve">This leads to a transparent estimator-selection rule for the 6 panel-models. </w:t>
      </w:r>
    </w:p>
    <w:p w14:paraId="2812253B" w14:textId="2B0AFDFB" w:rsidR="00B21426" w:rsidRPr="00C44A63" w:rsidRDefault="00B21426" w:rsidP="00C44A63">
      <w:pPr>
        <w:pStyle w:val="Heading2"/>
        <w:spacing w:line="360" w:lineRule="auto"/>
        <w:jc w:val="both"/>
        <w:rPr>
          <w:rFonts w:ascii="Times New Roman" w:hAnsi="Times New Roman" w:cs="Times New Roman"/>
          <w:b/>
          <w:bCs/>
          <w:sz w:val="28"/>
          <w:szCs w:val="28"/>
        </w:rPr>
      </w:pPr>
      <w:bookmarkStart w:id="71" w:name="_Toc235530899"/>
      <w:r w:rsidRPr="00C44A63">
        <w:rPr>
          <w:rFonts w:ascii="Times New Roman" w:hAnsi="Times New Roman" w:cs="Times New Roman"/>
          <w:b/>
          <w:bCs/>
          <w:sz w:val="28"/>
          <w:szCs w:val="28"/>
        </w:rPr>
        <w:t>3.8 Stepwise Panel Model Specifications</w:t>
      </w:r>
      <w:bookmarkEnd w:id="71"/>
    </w:p>
    <w:p w14:paraId="5B2B0619" w14:textId="77777777"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The results are presented in six panel models. Model 1 of the Panel is the base line model - Fixed Effects with only </w:t>
      </w:r>
      <w:proofErr w:type="gramStart"/>
      <w:r w:rsidRPr="00B21426">
        <w:rPr>
          <w:rFonts w:ascii="Times New Roman" w:hAnsi="Times New Roman" w:cs="Times New Roman"/>
        </w:rPr>
        <w:t>GARCH(</w:t>
      </w:r>
      <w:proofErr w:type="gramEnd"/>
      <w:r w:rsidRPr="00B21426">
        <w:rPr>
          <w:rFonts w:ascii="Times New Roman" w:hAnsi="Times New Roman" w:cs="Times New Roman"/>
        </w:rPr>
        <w:t xml:space="preserve">1,1) inflation volatility. Panel Model 2 presents the baseline model with only </w:t>
      </w:r>
      <w:proofErr w:type="gramStart"/>
      <w:r w:rsidRPr="00B21426">
        <w:rPr>
          <w:rFonts w:ascii="Times New Roman" w:hAnsi="Times New Roman" w:cs="Times New Roman"/>
        </w:rPr>
        <w:t>GARCH(</w:t>
      </w:r>
      <w:proofErr w:type="gramEnd"/>
      <w:r w:rsidRPr="00B21426">
        <w:rPr>
          <w:rFonts w:ascii="Times New Roman" w:hAnsi="Times New Roman" w:cs="Times New Roman"/>
        </w:rPr>
        <w:t>1,1) inflation volatility (Random Effects).</w:t>
      </w:r>
    </w:p>
    <w:p w14:paraId="1C95D9BB" w14:textId="77777777"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lastRenderedPageBreak/>
        <w:t>Both Fixed Effects and Random Effects are reported in the baseline specification in Panel Model 3, and the Hausman test is applied. Both are reported in Panel Model 4 in the presence of a control variable for GDP growth.</w:t>
      </w:r>
    </w:p>
    <w:p w14:paraId="3BCE9CF2" w14:textId="77777777"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Once adding the real interest rate as a control variable, model 5 is amenable to reporting both of the estimators. Panel Model 6 reports the entire model along with </w:t>
      </w:r>
      <w:proofErr w:type="gramStart"/>
      <w:r w:rsidRPr="00B21426">
        <w:rPr>
          <w:rFonts w:ascii="Times New Roman" w:hAnsi="Times New Roman" w:cs="Times New Roman"/>
        </w:rPr>
        <w:t>GARCH(</w:t>
      </w:r>
      <w:proofErr w:type="gramEnd"/>
      <w:r w:rsidRPr="00B21426">
        <w:rPr>
          <w:rFonts w:ascii="Times New Roman" w:hAnsi="Times New Roman" w:cs="Times New Roman"/>
        </w:rPr>
        <w:t>1,1) inflation volatility, GDP growth, real interest rate and all other control variables available for use in the project.</w:t>
      </w:r>
    </w:p>
    <w:p w14:paraId="00624115" w14:textId="77777777" w:rsidR="00EA13EB"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The general full-model equation is: </w:t>
      </w:r>
      <w:r w:rsidR="00EA13EB" w:rsidRPr="00EA13EB">
        <w:rPr>
          <w:rFonts w:ascii="Times New Roman" w:hAnsi="Times New Roman" w:cs="Times New Roman"/>
        </w:rPr>
        <w:t>Zit​=α</w:t>
      </w:r>
      <w:proofErr w:type="spellStart"/>
      <w:r w:rsidR="00EA13EB" w:rsidRPr="00EA13EB">
        <w:rPr>
          <w:rFonts w:ascii="Times New Roman" w:hAnsi="Times New Roman" w:cs="Times New Roman"/>
        </w:rPr>
        <w:t>i</w:t>
      </w:r>
      <w:proofErr w:type="spellEnd"/>
      <w:r w:rsidR="00EA13EB" w:rsidRPr="00EA13EB">
        <w:rPr>
          <w:rFonts w:ascii="Times New Roman" w:hAnsi="Times New Roman" w:cs="Times New Roman"/>
        </w:rPr>
        <w:t>​+β1​</w:t>
      </w:r>
      <w:proofErr w:type="spellStart"/>
      <w:r w:rsidR="00EA13EB" w:rsidRPr="00EA13EB">
        <w:rPr>
          <w:rFonts w:ascii="Times New Roman" w:hAnsi="Times New Roman" w:cs="Times New Roman"/>
        </w:rPr>
        <w:t>INFVOLit</w:t>
      </w:r>
      <w:proofErr w:type="spellEnd"/>
      <w:r w:rsidR="00EA13EB" w:rsidRPr="00EA13EB">
        <w:rPr>
          <w:rFonts w:ascii="Times New Roman" w:hAnsi="Times New Roman" w:cs="Times New Roman"/>
        </w:rPr>
        <w:t>​+β2​</w:t>
      </w:r>
      <w:proofErr w:type="spellStart"/>
      <w:r w:rsidR="00EA13EB" w:rsidRPr="00EA13EB">
        <w:rPr>
          <w:rFonts w:ascii="Times New Roman" w:hAnsi="Times New Roman" w:cs="Times New Roman"/>
        </w:rPr>
        <w:t>GDPit</w:t>
      </w:r>
      <w:proofErr w:type="spellEnd"/>
      <w:r w:rsidR="00EA13EB" w:rsidRPr="00EA13EB">
        <w:rPr>
          <w:rFonts w:ascii="Times New Roman" w:hAnsi="Times New Roman" w:cs="Times New Roman"/>
        </w:rPr>
        <w:t>​+β3​</w:t>
      </w:r>
      <w:proofErr w:type="spellStart"/>
      <w:r w:rsidR="00EA13EB" w:rsidRPr="00EA13EB">
        <w:rPr>
          <w:rFonts w:ascii="Times New Roman" w:hAnsi="Times New Roman" w:cs="Times New Roman"/>
        </w:rPr>
        <w:t>RIRit</w:t>
      </w:r>
      <w:proofErr w:type="spellEnd"/>
      <w:r w:rsidR="00EA13EB" w:rsidRPr="00EA13EB">
        <w:rPr>
          <w:rFonts w:ascii="Times New Roman" w:hAnsi="Times New Roman" w:cs="Times New Roman"/>
        </w:rPr>
        <w:t>​+</w:t>
      </w:r>
      <w:proofErr w:type="spellStart"/>
      <w:r w:rsidR="00EA13EB" w:rsidRPr="00EA13EB">
        <w:rPr>
          <w:rFonts w:ascii="Times New Roman" w:hAnsi="Times New Roman" w:cs="Times New Roman"/>
        </w:rPr>
        <w:t>δ′Controlsit</w:t>
      </w:r>
      <w:proofErr w:type="spellEnd"/>
      <w:r w:rsidR="00EA13EB" w:rsidRPr="00EA13EB">
        <w:rPr>
          <w:rFonts w:ascii="Times New Roman" w:hAnsi="Times New Roman" w:cs="Times New Roman"/>
        </w:rPr>
        <w:t>​+</w:t>
      </w:r>
      <w:proofErr w:type="spellStart"/>
      <w:r w:rsidR="00EA13EB" w:rsidRPr="00EA13EB">
        <w:rPr>
          <w:rFonts w:ascii="Times New Roman" w:hAnsi="Times New Roman" w:cs="Times New Roman"/>
        </w:rPr>
        <w:t>εit</w:t>
      </w:r>
      <w:proofErr w:type="spellEnd"/>
      <w:r w:rsidR="00EA13EB" w:rsidRPr="00EA13EB">
        <w:rPr>
          <w:rFonts w:ascii="Times New Roman" w:hAnsi="Times New Roman" w:cs="Times New Roman"/>
        </w:rPr>
        <w:t>​</w:t>
      </w:r>
    </w:p>
    <w:p w14:paraId="4DD1CBEF" w14:textId="77777777" w:rsidR="00C330E2"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for Fixed Effects, and </w:t>
      </w:r>
      <w:r w:rsidR="00C330E2" w:rsidRPr="00C330E2">
        <w:rPr>
          <w:rFonts w:ascii="Times New Roman" w:hAnsi="Times New Roman" w:cs="Times New Roman"/>
        </w:rPr>
        <w:t>Zit​=α+β1​</w:t>
      </w:r>
      <w:proofErr w:type="spellStart"/>
      <w:r w:rsidR="00C330E2" w:rsidRPr="00C330E2">
        <w:rPr>
          <w:rFonts w:ascii="Times New Roman" w:hAnsi="Times New Roman" w:cs="Times New Roman"/>
        </w:rPr>
        <w:t>INFVOLit</w:t>
      </w:r>
      <w:proofErr w:type="spellEnd"/>
      <w:r w:rsidR="00C330E2" w:rsidRPr="00C330E2">
        <w:rPr>
          <w:rFonts w:ascii="Times New Roman" w:hAnsi="Times New Roman" w:cs="Times New Roman"/>
        </w:rPr>
        <w:t>​+β2​</w:t>
      </w:r>
      <w:proofErr w:type="spellStart"/>
      <w:r w:rsidR="00C330E2" w:rsidRPr="00C330E2">
        <w:rPr>
          <w:rFonts w:ascii="Times New Roman" w:hAnsi="Times New Roman" w:cs="Times New Roman"/>
        </w:rPr>
        <w:t>GDPit</w:t>
      </w:r>
      <w:proofErr w:type="spellEnd"/>
      <w:r w:rsidR="00C330E2" w:rsidRPr="00C330E2">
        <w:rPr>
          <w:rFonts w:ascii="Times New Roman" w:hAnsi="Times New Roman" w:cs="Times New Roman"/>
        </w:rPr>
        <w:t>​+β3​</w:t>
      </w:r>
      <w:proofErr w:type="spellStart"/>
      <w:r w:rsidR="00C330E2" w:rsidRPr="00C330E2">
        <w:rPr>
          <w:rFonts w:ascii="Times New Roman" w:hAnsi="Times New Roman" w:cs="Times New Roman"/>
        </w:rPr>
        <w:t>RIRit</w:t>
      </w:r>
      <w:proofErr w:type="spellEnd"/>
      <w:r w:rsidR="00C330E2" w:rsidRPr="00C330E2">
        <w:rPr>
          <w:rFonts w:ascii="Times New Roman" w:hAnsi="Times New Roman" w:cs="Times New Roman"/>
        </w:rPr>
        <w:t>​+</w:t>
      </w:r>
      <w:proofErr w:type="spellStart"/>
      <w:r w:rsidR="00C330E2" w:rsidRPr="00C330E2">
        <w:rPr>
          <w:rFonts w:ascii="Times New Roman" w:hAnsi="Times New Roman" w:cs="Times New Roman"/>
        </w:rPr>
        <w:t>δ′Controlsit</w:t>
      </w:r>
      <w:proofErr w:type="spellEnd"/>
      <w:r w:rsidR="00C330E2" w:rsidRPr="00C330E2">
        <w:rPr>
          <w:rFonts w:ascii="Times New Roman" w:hAnsi="Times New Roman" w:cs="Times New Roman"/>
        </w:rPr>
        <w:t>​+</w:t>
      </w:r>
      <w:proofErr w:type="spellStart"/>
      <w:r w:rsidR="00C330E2" w:rsidRPr="00C330E2">
        <w:rPr>
          <w:rFonts w:ascii="Times New Roman" w:hAnsi="Times New Roman" w:cs="Times New Roman"/>
        </w:rPr>
        <w:t>ui</w:t>
      </w:r>
      <w:proofErr w:type="spellEnd"/>
      <w:r w:rsidR="00C330E2" w:rsidRPr="00C330E2">
        <w:rPr>
          <w:rFonts w:ascii="Times New Roman" w:hAnsi="Times New Roman" w:cs="Times New Roman"/>
        </w:rPr>
        <w:t>​+</w:t>
      </w:r>
      <w:proofErr w:type="spellStart"/>
      <w:r w:rsidR="00C330E2" w:rsidRPr="00C330E2">
        <w:rPr>
          <w:rFonts w:ascii="Times New Roman" w:hAnsi="Times New Roman" w:cs="Times New Roman"/>
        </w:rPr>
        <w:t>εit</w:t>
      </w:r>
      <w:proofErr w:type="spellEnd"/>
      <w:r w:rsidR="00C330E2" w:rsidRPr="00C330E2">
        <w:rPr>
          <w:rFonts w:ascii="Times New Roman" w:hAnsi="Times New Roman" w:cs="Times New Roman"/>
        </w:rPr>
        <w:t>​</w:t>
      </w:r>
    </w:p>
    <w:p w14:paraId="27FAA12C" w14:textId="77777777" w:rsidR="00C330E2"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for Random Effects. The primary explanatory variable throughout all of the models is the baseline </w:t>
      </w:r>
    </w:p>
    <w:p w14:paraId="0067CABB" w14:textId="04897282" w:rsidR="00B21426" w:rsidRPr="00B21426" w:rsidRDefault="00B21426" w:rsidP="00C44A63">
      <w:pPr>
        <w:spacing w:line="360" w:lineRule="auto"/>
        <w:jc w:val="both"/>
        <w:rPr>
          <w:rFonts w:ascii="Times New Roman" w:hAnsi="Times New Roman" w:cs="Times New Roman"/>
        </w:rPr>
      </w:pPr>
      <w:proofErr w:type="gramStart"/>
      <w:r w:rsidRPr="00B21426">
        <w:rPr>
          <w:rFonts w:ascii="Times New Roman" w:hAnsi="Times New Roman" w:cs="Times New Roman"/>
        </w:rPr>
        <w:t>GARCH(</w:t>
      </w:r>
      <w:proofErr w:type="gramEnd"/>
      <w:r w:rsidRPr="00B21426">
        <w:rPr>
          <w:rFonts w:ascii="Times New Roman" w:hAnsi="Times New Roman" w:cs="Times New Roman"/>
        </w:rPr>
        <w:t>1,1) volatility variable.</w:t>
      </w:r>
    </w:p>
    <w:p w14:paraId="54F837F2" w14:textId="77777777" w:rsidR="00EB09E0" w:rsidRDefault="00EB09E0" w:rsidP="00EB09E0">
      <w:pPr>
        <w:spacing w:line="360" w:lineRule="auto"/>
        <w:jc w:val="both"/>
        <w:rPr>
          <w:rFonts w:ascii="Times New Roman" w:hAnsi="Times New Roman" w:cs="Times New Roman"/>
        </w:rPr>
      </w:pPr>
    </w:p>
    <w:p w14:paraId="28D9211B" w14:textId="6C74B95E" w:rsidR="00B21426" w:rsidRPr="00EB09E0" w:rsidRDefault="00B21426" w:rsidP="00EB09E0">
      <w:pPr>
        <w:pStyle w:val="Heading2"/>
        <w:rPr>
          <w:rFonts w:ascii="Times New Roman" w:hAnsi="Times New Roman" w:cs="Times New Roman"/>
          <w:b/>
          <w:bCs/>
          <w:sz w:val="28"/>
          <w:szCs w:val="28"/>
        </w:rPr>
      </w:pPr>
      <w:bookmarkStart w:id="72" w:name="_Toc235530900"/>
      <w:r w:rsidRPr="00EB09E0">
        <w:rPr>
          <w:rFonts w:ascii="Times New Roman" w:hAnsi="Times New Roman" w:cs="Times New Roman"/>
          <w:b/>
          <w:bCs/>
          <w:sz w:val="28"/>
          <w:szCs w:val="28"/>
        </w:rPr>
        <w:t>3.9 Robustness, Heterogeneity, and Nonlinearity Methods</w:t>
      </w:r>
      <w:bookmarkEnd w:id="72"/>
    </w:p>
    <w:p w14:paraId="2CD7D2FE" w14:textId="77777777"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A set of extensive robustness, heterogeneity, and nonlinearity tests are performed to send a free-rider in this context, and to investigate the multidimensionality of the banking stability–inflation volatility relationship.</w:t>
      </w:r>
    </w:p>
    <w:p w14:paraId="4D3225A4" w14:textId="40CF6CAB" w:rsidR="00C44A63" w:rsidRPr="00C44A63" w:rsidRDefault="00C44A63" w:rsidP="00C44A63">
      <w:pPr>
        <w:pStyle w:val="Heading3"/>
        <w:spacing w:line="360" w:lineRule="auto"/>
        <w:jc w:val="both"/>
        <w:rPr>
          <w:rFonts w:ascii="Times New Roman" w:hAnsi="Times New Roman" w:cs="Times New Roman"/>
          <w:b/>
          <w:bCs/>
          <w:sz w:val="24"/>
          <w:szCs w:val="24"/>
        </w:rPr>
      </w:pPr>
      <w:bookmarkStart w:id="73" w:name="_Toc235530901"/>
      <w:r w:rsidRPr="00C44A63">
        <w:rPr>
          <w:rFonts w:ascii="Times New Roman" w:hAnsi="Times New Roman" w:cs="Times New Roman"/>
          <w:b/>
          <w:bCs/>
          <w:sz w:val="24"/>
          <w:szCs w:val="24"/>
        </w:rPr>
        <w:t>3.9.1 Alternative Volatility Proxy and Control Sets</w:t>
      </w:r>
      <w:bookmarkEnd w:id="73"/>
    </w:p>
    <w:p w14:paraId="402F833B" w14:textId="78AD3036"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We use the rolling standard deviation proxy for inflation volatility measure instead of the baseline GARCH(1,1)-based one, as described in Section 3.5, to check whether the findings are robust against the choice of volatility building method, following</w:t>
      </w:r>
      <w:r w:rsidR="00A456B4">
        <w:rPr>
          <w:rFonts w:ascii="Times New Roman" w:hAnsi="Times New Roman" w:cs="Times New Roman"/>
        </w:rPr>
        <w:t xml:space="preserve"> </w:t>
      </w:r>
      <w:r w:rsidR="00A456B4">
        <w:rPr>
          <w:rFonts w:ascii="Times New Roman" w:hAnsi="Times New Roman" w:cs="Times New Roman"/>
        </w:rPr>
        <w:fldChar w:fldCharType="begin"/>
      </w:r>
      <w:r w:rsidR="00A456B4">
        <w:rPr>
          <w:rFonts w:ascii="Times New Roman" w:hAnsi="Times New Roman" w:cs="Times New Roman"/>
        </w:rPr>
        <w:instrText xml:space="preserve"> ADDIN ZOTERO_ITEM CSL_CITATION {"citationID":"9r6H4F3m","properties":{"formattedCitation":"(Bui &amp; Kiss, 2020)","plainCitation":"(Bui &amp; Kiss, 2020)","noteIndex":0},"citationItems":[{"id":774,"uris":["http://zotero.org/users/local/VAqELCal/items/H69STB2V"],"itemData":{"id":774,"type":"article-journal","container-title":"Pénzügyi Szemle = Public Finance Quarterly","DOI":"10.35551/pfq_2020_2_4","issue":"2","journalAbbreviation":"Pénzügyi Szemle = Public Finance Quarterly","page":"210-224","title":"Asymmetry in the Reaction Function of Monetary Policy in Emerging Economies","volume":"65","author":[{"family":"Bui","given":"Trung T."},{"family":"Kiss","given":"Gábor D."}],"issued":{"date-parts":[["2020"]]}}}],"schema":"https://github.com/citation-style-language/schema/raw/master/csl-citation.json"} </w:instrText>
      </w:r>
      <w:r w:rsidR="00A456B4">
        <w:rPr>
          <w:rFonts w:ascii="Times New Roman" w:hAnsi="Times New Roman" w:cs="Times New Roman"/>
        </w:rPr>
        <w:fldChar w:fldCharType="separate"/>
      </w:r>
      <w:r w:rsidR="00A456B4" w:rsidRPr="00A456B4">
        <w:rPr>
          <w:rFonts w:ascii="Times New Roman" w:hAnsi="Times New Roman" w:cs="Times New Roman"/>
        </w:rPr>
        <w:t>(Bui &amp; Kiss, 2020)</w:t>
      </w:r>
      <w:r w:rsidR="00A456B4">
        <w:rPr>
          <w:rFonts w:ascii="Times New Roman" w:hAnsi="Times New Roman" w:cs="Times New Roman"/>
        </w:rPr>
        <w:fldChar w:fldCharType="end"/>
      </w:r>
      <w:r w:rsidRPr="00B21426">
        <w:rPr>
          <w:rFonts w:ascii="Times New Roman" w:hAnsi="Times New Roman" w:cs="Times New Roman"/>
        </w:rPr>
        <w:t xml:space="preserve">. Furthermore, alternative control variable combinations are investigated, since the coefficient for the inflation volatility is tested, with and without additional controls like bank profitability measures and institutional quality indicators, to check the sensitivity of that coefficient to an omitted variable bias and/or multi-collinearity problems </w:t>
      </w:r>
      <w:r w:rsidR="00A456B4">
        <w:rPr>
          <w:rFonts w:ascii="Times New Roman" w:hAnsi="Times New Roman" w:cs="Times New Roman"/>
        </w:rPr>
        <w:fldChar w:fldCharType="begin"/>
      </w:r>
      <w:r w:rsidR="00A456B4">
        <w:rPr>
          <w:rFonts w:ascii="Times New Roman" w:hAnsi="Times New Roman" w:cs="Times New Roman"/>
        </w:rPr>
        <w:instrText xml:space="preserve"> ADDIN ZOTERO_ITEM CSL_CITATION {"citationID":"YLCFSpQg","properties":{"formattedCitation":"(Addis, 2025)","plainCitation":"(Addis, 2025)","noteIndex":0},"citationItems":[{"id":775,"uris":["http://zotero.org/users/local/VAqELCal/items/PSR3ZZ2A"],"itemData":{"id":775,"type":"article-journal","container-title":"Plos One","DOI":"10.1371/journal.pone.0338636","issue":"12","journalAbbreviation":"Plos One","page":"e0338636","title":"The Role of Economic Stability in Boosting Exports in COMESA: Threshold Effects Analysis","volume":"20","author":[{"family":"Addis","given":"Amsalu K."}],"issued":{"date-parts":[["2025"]]}}}],"schema":"https://github.com/citation-style-language/schema/raw/master/csl-citation.json"} </w:instrText>
      </w:r>
      <w:r w:rsidR="00A456B4">
        <w:rPr>
          <w:rFonts w:ascii="Times New Roman" w:hAnsi="Times New Roman" w:cs="Times New Roman"/>
        </w:rPr>
        <w:fldChar w:fldCharType="separate"/>
      </w:r>
      <w:r w:rsidR="00A456B4" w:rsidRPr="00A456B4">
        <w:rPr>
          <w:rFonts w:ascii="Times New Roman" w:hAnsi="Times New Roman" w:cs="Times New Roman"/>
        </w:rPr>
        <w:t>(Addis, 2025)</w:t>
      </w:r>
      <w:r w:rsidR="00A456B4">
        <w:rPr>
          <w:rFonts w:ascii="Times New Roman" w:hAnsi="Times New Roman" w:cs="Times New Roman"/>
        </w:rPr>
        <w:fldChar w:fldCharType="end"/>
      </w:r>
      <w:r w:rsidRPr="00B21426">
        <w:rPr>
          <w:rFonts w:ascii="Times New Roman" w:hAnsi="Times New Roman" w:cs="Times New Roman"/>
        </w:rPr>
        <w:t xml:space="preserve">. This method allows the effect estimate of inflation volatility on banking stability to not be dependent on a specific combination of covariates </w:t>
      </w:r>
      <w:r w:rsidR="00A456B4">
        <w:rPr>
          <w:rFonts w:ascii="Times New Roman" w:hAnsi="Times New Roman" w:cs="Times New Roman"/>
        </w:rPr>
        <w:fldChar w:fldCharType="begin"/>
      </w:r>
      <w:r w:rsidR="00A456B4">
        <w:rPr>
          <w:rFonts w:ascii="Times New Roman" w:hAnsi="Times New Roman" w:cs="Times New Roman"/>
        </w:rPr>
        <w:instrText xml:space="preserve"> ADDIN ZOTERO_ITEM CSL_CITATION {"citationID":"aNulGwmg","properties":{"formattedCitation":"(Bilalli &amp; Sadiku, 2023)","plainCitation":"(Bilalli &amp; Sadiku, 2023)","noteIndex":0},"citationItems":[{"id":776,"uris":["http://zotero.org/users/local/VAqELCal/items/TQDSRCKU"],"itemData":{"id":776,"type":"article-journal","container-title":"Seeu Review","DOI":"10.2478/seeur-2023-0071","issue":"2","journalAbbreviation":"Seeu Review","page":"74-89","title":"The Impact of Inflation on Financial Sector Performance: Evidence. From. Western Balkan Countries","volume":"18","author":[{"family":"Bilalli","given":"Argjira"},{"family":"Sadiku","given":"Murat"}],"issued":{"date-parts":[["2023"]]}}}],"schema":"https://github.com/citation-style-language/schema/raw/master/csl-citation.json"} </w:instrText>
      </w:r>
      <w:r w:rsidR="00A456B4">
        <w:rPr>
          <w:rFonts w:ascii="Times New Roman" w:hAnsi="Times New Roman" w:cs="Times New Roman"/>
        </w:rPr>
        <w:fldChar w:fldCharType="separate"/>
      </w:r>
      <w:r w:rsidR="00A456B4" w:rsidRPr="00A456B4">
        <w:rPr>
          <w:rFonts w:ascii="Times New Roman" w:hAnsi="Times New Roman" w:cs="Times New Roman"/>
        </w:rPr>
        <w:t>(Bilalli &amp; Sadiku, 2023)</w:t>
      </w:r>
      <w:r w:rsidR="00A456B4">
        <w:rPr>
          <w:rFonts w:ascii="Times New Roman" w:hAnsi="Times New Roman" w:cs="Times New Roman"/>
        </w:rPr>
        <w:fldChar w:fldCharType="end"/>
      </w:r>
      <w:r w:rsidRPr="00B21426">
        <w:rPr>
          <w:rFonts w:ascii="Times New Roman" w:hAnsi="Times New Roman" w:cs="Times New Roman"/>
        </w:rPr>
        <w:t>.</w:t>
      </w:r>
    </w:p>
    <w:p w14:paraId="79CA4978" w14:textId="2DA36C30" w:rsidR="00B21426" w:rsidRPr="00C44A63" w:rsidRDefault="00C44A63" w:rsidP="00C44A63">
      <w:pPr>
        <w:pStyle w:val="Heading3"/>
        <w:spacing w:line="360" w:lineRule="auto"/>
        <w:jc w:val="both"/>
        <w:rPr>
          <w:rFonts w:ascii="Times New Roman" w:hAnsi="Times New Roman" w:cs="Times New Roman"/>
          <w:b/>
          <w:bCs/>
          <w:sz w:val="24"/>
          <w:szCs w:val="24"/>
        </w:rPr>
      </w:pPr>
      <w:bookmarkStart w:id="74" w:name="_Toc235530902"/>
      <w:r w:rsidRPr="00C44A63">
        <w:rPr>
          <w:rFonts w:ascii="Times New Roman" w:hAnsi="Times New Roman" w:cs="Times New Roman"/>
          <w:b/>
          <w:bCs/>
          <w:sz w:val="24"/>
          <w:szCs w:val="24"/>
        </w:rPr>
        <w:lastRenderedPageBreak/>
        <w:t xml:space="preserve">3.9.2 </w:t>
      </w:r>
      <w:r w:rsidR="00B21426" w:rsidRPr="00C44A63">
        <w:rPr>
          <w:rFonts w:ascii="Times New Roman" w:hAnsi="Times New Roman" w:cs="Times New Roman"/>
          <w:b/>
          <w:bCs/>
          <w:sz w:val="24"/>
          <w:szCs w:val="24"/>
        </w:rPr>
        <w:t>Estimator and Specification Sensitivity</w:t>
      </w:r>
      <w:bookmarkEnd w:id="74"/>
    </w:p>
    <w:p w14:paraId="60717508" w14:textId="32B089FF"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The sensitivity of the simple panel estimates is investigated by examining the Fixed Effects and Random Effects coefficients and deliberately testing the Hausman-test decisions; step by step adding of the control variables is further analyzed.</w:t>
      </w:r>
      <w:r w:rsidR="00B751B1">
        <w:rPr>
          <w:rFonts w:ascii="Times New Roman" w:hAnsi="Times New Roman" w:cs="Times New Roman"/>
        </w:rPr>
        <w:t xml:space="preserve"> </w:t>
      </w:r>
      <w:r w:rsidRPr="00B21426">
        <w:rPr>
          <w:rFonts w:ascii="Times New Roman" w:hAnsi="Times New Roman" w:cs="Times New Roman"/>
        </w:rPr>
        <w:t xml:space="preserve">The primary interest is to see if sign and meaning of the </w:t>
      </w:r>
      <w:proofErr w:type="gramStart"/>
      <w:r w:rsidRPr="00B21426">
        <w:rPr>
          <w:rFonts w:ascii="Times New Roman" w:hAnsi="Times New Roman" w:cs="Times New Roman"/>
        </w:rPr>
        <w:t>GARCH(</w:t>
      </w:r>
      <w:proofErr w:type="gramEnd"/>
      <w:r w:rsidRPr="00B21426">
        <w:rPr>
          <w:rFonts w:ascii="Times New Roman" w:hAnsi="Times New Roman" w:cs="Times New Roman"/>
        </w:rPr>
        <w:t>1,1) inflation-volatility coefficient is consistent across Panel Models 1-6.</w:t>
      </w:r>
    </w:p>
    <w:p w14:paraId="7BA3983B" w14:textId="77777777" w:rsidR="00B21426" w:rsidRPr="00B21426" w:rsidRDefault="00B21426" w:rsidP="00C44A63">
      <w:pPr>
        <w:spacing w:line="360" w:lineRule="auto"/>
        <w:jc w:val="both"/>
        <w:rPr>
          <w:rFonts w:ascii="Times New Roman" w:hAnsi="Times New Roman" w:cs="Times New Roman"/>
        </w:rPr>
      </w:pPr>
    </w:p>
    <w:p w14:paraId="4E1417F4" w14:textId="27E102E4" w:rsidR="00B21426" w:rsidRPr="00C44A63" w:rsidRDefault="00C44A63" w:rsidP="00C44A63">
      <w:pPr>
        <w:pStyle w:val="Heading3"/>
        <w:spacing w:line="360" w:lineRule="auto"/>
        <w:jc w:val="both"/>
        <w:rPr>
          <w:rFonts w:ascii="Times New Roman" w:hAnsi="Times New Roman" w:cs="Times New Roman"/>
          <w:b/>
          <w:bCs/>
          <w:sz w:val="24"/>
          <w:szCs w:val="24"/>
        </w:rPr>
      </w:pPr>
      <w:bookmarkStart w:id="75" w:name="_Toc235530903"/>
      <w:r w:rsidRPr="00C44A63">
        <w:rPr>
          <w:rFonts w:ascii="Times New Roman" w:hAnsi="Times New Roman" w:cs="Times New Roman"/>
          <w:b/>
          <w:bCs/>
          <w:sz w:val="24"/>
          <w:szCs w:val="24"/>
        </w:rPr>
        <w:t xml:space="preserve">3.9.3 </w:t>
      </w:r>
      <w:r w:rsidR="00B21426" w:rsidRPr="00C44A63">
        <w:rPr>
          <w:rFonts w:ascii="Times New Roman" w:hAnsi="Times New Roman" w:cs="Times New Roman"/>
          <w:b/>
          <w:bCs/>
          <w:sz w:val="24"/>
          <w:szCs w:val="24"/>
        </w:rPr>
        <w:t>Regional and Institutional Heterogeneity Split</w:t>
      </w:r>
      <w:bookmarkEnd w:id="75"/>
    </w:p>
    <w:p w14:paraId="73E7C3AE" w14:textId="3111FACD"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To analyze if the inflation volatility–banking stability nexus systematically varies across regions, the entire panel is separated into two sub-samples, namely South Asian and Sub-Saharan Africa, and the baseline models are re-estimated for each regional sub-sample</w:t>
      </w:r>
      <w:r w:rsidR="00A456B4">
        <w:rPr>
          <w:rFonts w:ascii="Times New Roman" w:hAnsi="Times New Roman" w:cs="Times New Roman"/>
        </w:rPr>
        <w:t xml:space="preserve"> </w:t>
      </w:r>
      <w:r w:rsidR="00A456B4">
        <w:rPr>
          <w:rFonts w:ascii="Times New Roman" w:hAnsi="Times New Roman" w:cs="Times New Roman"/>
        </w:rPr>
        <w:fldChar w:fldCharType="begin"/>
      </w:r>
      <w:r w:rsidR="00A456B4">
        <w:rPr>
          <w:rFonts w:ascii="Times New Roman" w:hAnsi="Times New Roman" w:cs="Times New Roman"/>
        </w:rPr>
        <w:instrText xml:space="preserve"> ADDIN ZOTERO_ITEM CSL_CITATION {"citationID":"Tsl92EfO","properties":{"formattedCitation":"(Karadam &amp; \\uc0\\u214{}cal, 2020)","plainCitation":"(Karadam &amp; Öcal, 2020)","noteIndex":0},"citationItems":[{"id":777,"uris":["http://zotero.org/users/local/VAqELCal/items/P94PSJTC"],"itemData":{"id":777,"type":"article-journal","container-title":"International Journal of Finance &amp; Economics","DOI":"10.1002/ijfe.2275","issue":"2","journalAbbreviation":"International Journal of Finance &amp; Economics","page":"2326-2344","title":"Analysis of Distinct Asymmetries in Financial integration‐growth Nexus for Industrial, Emerging and Developing Countries","volume":"27","author":[{"family":"Karadam","given":"Duygu Y."},{"family":"Öcal","given":"Nadir"}],"issued":{"date-parts":[["2020"]]}}}],"schema":"https://github.com/citation-style-language/schema/raw/master/csl-citation.json"} </w:instrText>
      </w:r>
      <w:r w:rsidR="00A456B4">
        <w:rPr>
          <w:rFonts w:ascii="Times New Roman" w:hAnsi="Times New Roman" w:cs="Times New Roman"/>
        </w:rPr>
        <w:fldChar w:fldCharType="separate"/>
      </w:r>
      <w:r w:rsidR="00A456B4" w:rsidRPr="00A456B4">
        <w:rPr>
          <w:rFonts w:ascii="Times New Roman" w:hAnsi="Times New Roman" w:cs="Times New Roman"/>
          <w:kern w:val="0"/>
        </w:rPr>
        <w:t>(Karadam &amp; Öcal, 2020)</w:t>
      </w:r>
      <w:r w:rsidR="00A456B4">
        <w:rPr>
          <w:rFonts w:ascii="Times New Roman" w:hAnsi="Times New Roman" w:cs="Times New Roman"/>
        </w:rPr>
        <w:fldChar w:fldCharType="end"/>
      </w:r>
      <w:r w:rsidRPr="00B21426">
        <w:rPr>
          <w:rFonts w:ascii="Times New Roman" w:hAnsi="Times New Roman" w:cs="Times New Roman"/>
        </w:rPr>
        <w:t>. In addition, the heterogeneity among institutions is examined by splitting the sample into countries with better and weaker institutional quality based on the governance quality indicators; to determine if there are differences in inflation volatility effects in banking sector outcomes between groups with better and weaker institutional structures</w:t>
      </w:r>
      <w:r w:rsidR="00C16F75">
        <w:rPr>
          <w:rFonts w:ascii="Times New Roman" w:hAnsi="Times New Roman" w:cs="Times New Roman"/>
        </w:rPr>
        <w:t xml:space="preserve"> </w:t>
      </w:r>
      <w:r w:rsidR="00C16F75">
        <w:rPr>
          <w:rFonts w:ascii="Times New Roman" w:hAnsi="Times New Roman" w:cs="Times New Roman"/>
        </w:rPr>
        <w:fldChar w:fldCharType="begin"/>
      </w:r>
      <w:r w:rsidR="00C16F75">
        <w:rPr>
          <w:rFonts w:ascii="Times New Roman" w:hAnsi="Times New Roman" w:cs="Times New Roman"/>
        </w:rPr>
        <w:instrText xml:space="preserve"> ADDIN ZOTERO_ITEM CSL_CITATION {"citationID":"9ZnTdeMP","properties":{"formattedCitation":"(Addis, 2025; Ali &amp; Mim, 2022)","plainCitation":"(Addis, 2025; Ali &amp; Mim, 2022)","noteIndex":0},"citationItems":[{"id":775,"uris":["http://zotero.org/users/local/VAqELCal/items/PSR3ZZ2A"],"itemData":{"id":775,"type":"article-journal","container-title":"Plos One","DOI":"10.1371/journal.pone.0338636","issue":"12","journalAbbreviation":"Plos One","page":"e0338636","title":"The Role of Economic Stability in Boosting Exports in COMESA: Threshold Effects Analysis","volume":"20","author":[{"family":"Addis","given":"Amsalu K."}],"issued":{"date-parts":[["2025"]]}}},{"id":778,"uris":["http://zotero.org/users/local/VAqELCal/items/BWQY6NCW"],"itemData":{"id":778,"type":"article-journal","container-title":"Journal of the Knowledge Economy","DOI":"10.1007/s13132-022-01063-1","issue":"4","journalAbbreviation":"Journal of the Knowledge Economy","page":"4426-4448","title":"Democracy and Banking Stability: Is the Relationship U-Shaped?","volume":"14","author":[{"family":"Ali","given":"Mohamed S. B."},{"family":"Mim","given":"Sami B."}],"issued":{"date-parts":[["2022"]]}}}],"schema":"https://github.com/citation-style-language/schema/raw/master/csl-citation.json"} </w:instrText>
      </w:r>
      <w:r w:rsidR="00C16F75">
        <w:rPr>
          <w:rFonts w:ascii="Times New Roman" w:hAnsi="Times New Roman" w:cs="Times New Roman"/>
        </w:rPr>
        <w:fldChar w:fldCharType="separate"/>
      </w:r>
      <w:r w:rsidR="00C16F75" w:rsidRPr="00C16F75">
        <w:rPr>
          <w:rFonts w:ascii="Times New Roman" w:hAnsi="Times New Roman" w:cs="Times New Roman"/>
        </w:rPr>
        <w:t>(Addis, 2025; Ali &amp; Mim, 2022)</w:t>
      </w:r>
      <w:r w:rsidR="00C16F75">
        <w:rPr>
          <w:rFonts w:ascii="Times New Roman" w:hAnsi="Times New Roman" w:cs="Times New Roman"/>
        </w:rPr>
        <w:fldChar w:fldCharType="end"/>
      </w:r>
      <w:r w:rsidRPr="00B21426">
        <w:rPr>
          <w:rFonts w:ascii="Times New Roman" w:hAnsi="Times New Roman" w:cs="Times New Roman"/>
        </w:rPr>
        <w:t>.</w:t>
      </w:r>
    </w:p>
    <w:p w14:paraId="1D4AD476" w14:textId="573435AA" w:rsidR="00B21426" w:rsidRPr="00C44A63" w:rsidRDefault="00C44A63" w:rsidP="00C44A63">
      <w:pPr>
        <w:pStyle w:val="Heading3"/>
        <w:spacing w:line="360" w:lineRule="auto"/>
        <w:jc w:val="both"/>
        <w:rPr>
          <w:rFonts w:ascii="Times New Roman" w:hAnsi="Times New Roman" w:cs="Times New Roman"/>
          <w:b/>
          <w:bCs/>
          <w:sz w:val="24"/>
          <w:szCs w:val="24"/>
        </w:rPr>
      </w:pPr>
      <w:bookmarkStart w:id="76" w:name="_Toc235530904"/>
      <w:r w:rsidRPr="00C44A63">
        <w:rPr>
          <w:rFonts w:ascii="Times New Roman" w:hAnsi="Times New Roman" w:cs="Times New Roman"/>
          <w:b/>
          <w:bCs/>
          <w:sz w:val="24"/>
          <w:szCs w:val="24"/>
        </w:rPr>
        <w:t xml:space="preserve">3.9.4 </w:t>
      </w:r>
      <w:r w:rsidR="00B21426" w:rsidRPr="00C44A63">
        <w:rPr>
          <w:rFonts w:ascii="Times New Roman" w:hAnsi="Times New Roman" w:cs="Times New Roman"/>
          <w:b/>
          <w:bCs/>
          <w:sz w:val="24"/>
          <w:szCs w:val="24"/>
        </w:rPr>
        <w:t>High- versus Low-Inflation Regime Analysis</w:t>
      </w:r>
      <w:bookmarkEnd w:id="76"/>
    </w:p>
    <w:p w14:paraId="5AC57C38" w14:textId="28143178"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In order to assess the regime-dependent nature of the relationship between inflation volatility and banking stability, the study divides the sample into two groups: high inflation and low inflation </w:t>
      </w:r>
      <w:r w:rsidR="00C16F75">
        <w:rPr>
          <w:rFonts w:ascii="Times New Roman" w:hAnsi="Times New Roman" w:cs="Times New Roman"/>
        </w:rPr>
        <w:fldChar w:fldCharType="begin"/>
      </w:r>
      <w:r w:rsidR="00C16F75">
        <w:rPr>
          <w:rFonts w:ascii="Times New Roman" w:hAnsi="Times New Roman" w:cs="Times New Roman"/>
        </w:rPr>
        <w:instrText xml:space="preserve"> ADDIN ZOTERO_ITEM CSL_CITATION {"citationID":"7jwOp5o1","properties":{"formattedCitation":"(Addis, 2025; Karadam &amp; \\uc0\\u214{}cal, 2020)","plainCitation":"(Addis, 2025; Karadam &amp; Öcal, 2020)","noteIndex":0},"citationItems":[{"id":775,"uris":["http://zotero.org/users/local/VAqELCal/items/PSR3ZZ2A"],"itemData":{"id":775,"type":"article-journal","container-title":"Plos One","DOI":"10.1371/journal.pone.0338636","issue":"12","journalAbbreviation":"Plos One","page":"e0338636","title":"The Role of Economic Stability in Boosting Exports in COMESA: Threshold Effects Analysis","volume":"20","author":[{"family":"Addis","given":"Amsalu K."}],"issued":{"date-parts":[["2025"]]}}},{"id":777,"uris":["http://zotero.org/users/local/VAqELCal/items/P94PSJTC"],"itemData":{"id":777,"type":"article-journal","container-title":"International Journal of Finance &amp; Economics","DOI":"10.1002/ijfe.2275","issue":"2","journalAbbreviation":"International Journal of Finance &amp; Economics","page":"2326-2344","title":"Analysis of Distinct Asymmetries in Financial integration‐growth Nexus for Industrial, Emerging and Developing Countries","volume":"27","author":[{"family":"Karadam","given":"Duygu Y."},{"family":"Öcal","given":"Nadir"}],"issued":{"date-parts":[["2020"]]}}}],"schema":"https://github.com/citation-style-language/schema/raw/master/csl-citation.json"} </w:instrText>
      </w:r>
      <w:r w:rsidR="00C16F75">
        <w:rPr>
          <w:rFonts w:ascii="Times New Roman" w:hAnsi="Times New Roman" w:cs="Times New Roman"/>
        </w:rPr>
        <w:fldChar w:fldCharType="separate"/>
      </w:r>
      <w:r w:rsidR="00C16F75" w:rsidRPr="00C16F75">
        <w:rPr>
          <w:rFonts w:ascii="Times New Roman" w:hAnsi="Times New Roman" w:cs="Times New Roman"/>
          <w:kern w:val="0"/>
        </w:rPr>
        <w:t>(Addis, 2025; Karadam &amp; Öcal, 2020)</w:t>
      </w:r>
      <w:r w:rsidR="00C16F75">
        <w:rPr>
          <w:rFonts w:ascii="Times New Roman" w:hAnsi="Times New Roman" w:cs="Times New Roman"/>
        </w:rPr>
        <w:fldChar w:fldCharType="end"/>
      </w:r>
      <w:r w:rsidRPr="00B21426">
        <w:rPr>
          <w:rFonts w:ascii="Times New Roman" w:hAnsi="Times New Roman" w:cs="Times New Roman"/>
        </w:rPr>
        <w:t xml:space="preserve"> country-year observations. The motivation for this regime based analysis rests on the theoretical basis that inflation volatility can have a higher marginal destabilizing impact in high inflation economies because this usually worsens the macro-economic fragility of the economy and undermines the effectiveness of monetary policy transmission </w:t>
      </w:r>
      <w:r w:rsidR="00C16F75">
        <w:rPr>
          <w:rFonts w:ascii="Times New Roman" w:hAnsi="Times New Roman" w:cs="Times New Roman"/>
        </w:rPr>
        <w:fldChar w:fldCharType="begin"/>
      </w:r>
      <w:r w:rsidR="00C16F75">
        <w:rPr>
          <w:rFonts w:ascii="Times New Roman" w:hAnsi="Times New Roman" w:cs="Times New Roman"/>
        </w:rPr>
        <w:instrText xml:space="preserve"> ADDIN ZOTERO_ITEM CSL_CITATION {"citationID":"i2yeGGSA","properties":{"formattedCitation":"(Bilalli &amp; Sadiku, 2023; Sule et al., 2024)","plainCitation":"(Bilalli &amp; Sadiku, 2023; Sule et al., 2024)","noteIndex":0},"citationItems":[{"id":776,"uris":["http://zotero.org/users/local/VAqELCal/items/TQDSRCKU"],"itemData":{"id":776,"type":"article-journal","container-title":"Seeu Review","DOI":"10.2478/seeur-2023-0071","issue":"2","journalAbbreviation":"Seeu Review","page":"74-89","title":"The Impact of Inflation on Financial Sector Performance: Evidence. From. Western Balkan Countries","volume":"18","author":[{"family":"Bilalli","given":"Argjira"},{"family":"Sadiku","given":"Murat"}],"issued":{"date-parts":[["2023"]]}}},{"id":779,"uris":["http://zotero.org/users/local/VAqELCal/items/327G7LC3"],"itemData":{"id":779,"type":"article-journal","container-title":"Ijefsd","DOI":"10.31149/ijefsd.v6i11.5334","issue":"11","journalAbbreviation":"Ijefsd","page":"274-286","title":"The Impact of Inflation on the Business Cycle and Economic Growth: An Empirical Analysis","volume":"6","author":[{"family":"Sule","given":"Sani A."},{"family":"Hakim","given":"Lukman"},{"family":"Putro","given":"Tetuko R."},{"family":"Pamungkas","given":"Putra"}],"issued":{"date-parts":[["2024"]]}}}],"schema":"https://github.com/citation-style-language/schema/raw/master/csl-citation.json"} </w:instrText>
      </w:r>
      <w:r w:rsidR="00C16F75">
        <w:rPr>
          <w:rFonts w:ascii="Times New Roman" w:hAnsi="Times New Roman" w:cs="Times New Roman"/>
        </w:rPr>
        <w:fldChar w:fldCharType="separate"/>
      </w:r>
      <w:r w:rsidR="00C16F75" w:rsidRPr="00C16F75">
        <w:rPr>
          <w:rFonts w:ascii="Times New Roman" w:hAnsi="Times New Roman" w:cs="Times New Roman"/>
        </w:rPr>
        <w:t>(Bilalli &amp; Sadiku, 2023; Sule et al., 2024)</w:t>
      </w:r>
      <w:r w:rsidR="00C16F75">
        <w:rPr>
          <w:rFonts w:ascii="Times New Roman" w:hAnsi="Times New Roman" w:cs="Times New Roman"/>
        </w:rPr>
        <w:fldChar w:fldCharType="end"/>
      </w:r>
      <w:r w:rsidRPr="00B21426">
        <w:rPr>
          <w:rFonts w:ascii="Times New Roman" w:hAnsi="Times New Roman" w:cs="Times New Roman"/>
        </w:rPr>
        <w:t>.</w:t>
      </w:r>
    </w:p>
    <w:p w14:paraId="653B69E0" w14:textId="73BAE864" w:rsidR="00B21426" w:rsidRPr="00C44A63" w:rsidRDefault="00C44A63" w:rsidP="00C44A63">
      <w:pPr>
        <w:pStyle w:val="Heading3"/>
        <w:spacing w:line="360" w:lineRule="auto"/>
        <w:jc w:val="both"/>
        <w:rPr>
          <w:rFonts w:ascii="Times New Roman" w:hAnsi="Times New Roman" w:cs="Times New Roman"/>
          <w:b/>
          <w:bCs/>
          <w:sz w:val="24"/>
          <w:szCs w:val="24"/>
        </w:rPr>
      </w:pPr>
      <w:bookmarkStart w:id="77" w:name="_Toc235530905"/>
      <w:r w:rsidRPr="00C44A63">
        <w:rPr>
          <w:rFonts w:ascii="Times New Roman" w:hAnsi="Times New Roman" w:cs="Times New Roman"/>
          <w:b/>
          <w:bCs/>
          <w:sz w:val="24"/>
          <w:szCs w:val="24"/>
        </w:rPr>
        <w:t xml:space="preserve">3.9.5 </w:t>
      </w:r>
      <w:r w:rsidR="00B21426" w:rsidRPr="00C44A63">
        <w:rPr>
          <w:rFonts w:ascii="Times New Roman" w:hAnsi="Times New Roman" w:cs="Times New Roman"/>
          <w:b/>
          <w:bCs/>
          <w:sz w:val="24"/>
          <w:szCs w:val="24"/>
        </w:rPr>
        <w:t>Threshold &amp; Interaction Based Nonlinearity Tests</w:t>
      </w:r>
      <w:bookmarkEnd w:id="77"/>
    </w:p>
    <w:p w14:paraId="77D3674A" w14:textId="4D2D3B47"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Last, the study formally examines the robustness of the inflation volatility–banking stability relationship by employing two alternative test strategies. Second, a quadratic (squared) term for inflation volatility moves forward from the baseline specification to check for potential U-shaped or inverted U-shaped relationships, such that moderate inflation volatility may not have any impact, but extreme inflation volatility may lead to a disproportionate banking instability</w:t>
      </w:r>
      <w:r w:rsidR="00C16F75">
        <w:rPr>
          <w:rFonts w:ascii="Times New Roman" w:hAnsi="Times New Roman" w:cs="Times New Roman"/>
        </w:rPr>
        <w:t xml:space="preserve"> </w:t>
      </w:r>
      <w:r w:rsidR="00C16F75">
        <w:rPr>
          <w:rFonts w:ascii="Times New Roman" w:hAnsi="Times New Roman" w:cs="Times New Roman"/>
        </w:rPr>
        <w:fldChar w:fldCharType="begin"/>
      </w:r>
      <w:r w:rsidR="00C16F75">
        <w:rPr>
          <w:rFonts w:ascii="Times New Roman" w:hAnsi="Times New Roman" w:cs="Times New Roman"/>
        </w:rPr>
        <w:instrText xml:space="preserve"> ADDIN ZOTERO_ITEM CSL_CITATION {"citationID":"mVrR4rwV","properties":{"formattedCitation":"(Ali &amp; Mim, 2022; Ekananda, 2022)","plainCitation":"(Ali &amp; Mim, 2022; Ekananda, 2022)","noteIndex":0},"citationItems":[{"id":778,"uris":["http://zotero.org/users/local/VAqELCal/items/BWQY6NCW"],"itemData":{"id":778,"type":"article-journal","container-title":"Journal of the Knowledge Economy","DOI":"10.1007/s13132-022-01063-1","issue":"4","journalAbbreviation":"Journal of the Knowledge Economy","page":"4426-4448","title":"Democracy and Banking Stability: Is the Relationship U-Shaped?","volume":"14","author":[{"family":"Ali","given":"Mohamed S. B."},{"family":"Mim","given":"Sami B."}],"issued":{"date-parts":[["2022"]]}}},{"id":780,"uris":["http://zotero.org/users/local/VAqELCal/items/FAT3FP2L"],"itemData":{"id":780,"type":"article-journal","container-title":"Jurnal Ekonomi Kuantitatif Terapan","DOI":"10.24843/jekt.2022.v15.i02.p02","journalAbbreviation":"Jurnal Ekonomi Kuantitatif Terapan","page":"179","title":"Threshold Panel Method for Analysis of the Effect of Banking Investment Allocation on Banking Performance, a Cross Country Studies: Some OECD Countries","author":[{"family":"Ekananda","given":"Mahjus"}],"issued":{"date-parts":[["2022"]]}}}],"schema":"https://github.com/citation-style-language/schema/raw/master/csl-citation.json"} </w:instrText>
      </w:r>
      <w:r w:rsidR="00C16F75">
        <w:rPr>
          <w:rFonts w:ascii="Times New Roman" w:hAnsi="Times New Roman" w:cs="Times New Roman"/>
        </w:rPr>
        <w:fldChar w:fldCharType="separate"/>
      </w:r>
      <w:r w:rsidR="00C16F75" w:rsidRPr="00C16F75">
        <w:rPr>
          <w:rFonts w:ascii="Times New Roman" w:hAnsi="Times New Roman" w:cs="Times New Roman"/>
        </w:rPr>
        <w:t>(Ali &amp; Mim, 2022; Ekananda, 2022)</w:t>
      </w:r>
      <w:r w:rsidR="00C16F75">
        <w:rPr>
          <w:rFonts w:ascii="Times New Roman" w:hAnsi="Times New Roman" w:cs="Times New Roman"/>
        </w:rPr>
        <w:fldChar w:fldCharType="end"/>
      </w:r>
      <w:r w:rsidRPr="00B21426">
        <w:rPr>
          <w:rFonts w:ascii="Times New Roman" w:hAnsi="Times New Roman" w:cs="Times New Roman"/>
        </w:rPr>
        <w:t xml:space="preserve">. Second, we also included all the interaction terms between variables </w:t>
      </w:r>
      <w:r w:rsidRPr="00B21426">
        <w:rPr>
          <w:rFonts w:ascii="Times New Roman" w:hAnsi="Times New Roman" w:cs="Times New Roman"/>
        </w:rPr>
        <w:lastRenderedPageBreak/>
        <w:t>to understand whether the effect of inflation volatility on banking stability is conditional on institutional and structural factors such as institutional quality, financial depth and regional dummies</w:t>
      </w:r>
      <w:r w:rsidR="00C16F75">
        <w:rPr>
          <w:rFonts w:ascii="Times New Roman" w:hAnsi="Times New Roman" w:cs="Times New Roman"/>
        </w:rPr>
        <w:t xml:space="preserve"> </w:t>
      </w:r>
      <w:r w:rsidR="00C16F75">
        <w:rPr>
          <w:rFonts w:ascii="Times New Roman" w:hAnsi="Times New Roman" w:cs="Times New Roman"/>
        </w:rPr>
        <w:fldChar w:fldCharType="begin"/>
      </w:r>
      <w:r w:rsidR="00C16F75">
        <w:rPr>
          <w:rFonts w:ascii="Times New Roman" w:hAnsi="Times New Roman" w:cs="Times New Roman"/>
        </w:rPr>
        <w:instrText xml:space="preserve"> ADDIN ZOTERO_ITEM CSL_CITATION {"citationID":"y9smY06C","properties":{"formattedCitation":"(Addis, 2025; Karadam &amp; \\uc0\\u214{}cal, 2020)","plainCitation":"(Addis, 2025; Karadam &amp; Öcal, 2020)","noteIndex":0},"citationItems":[{"id":775,"uris":["http://zotero.org/users/local/VAqELCal/items/PSR3ZZ2A"],"itemData":{"id":775,"type":"article-journal","container-title":"Plos One","DOI":"10.1371/journal.pone.0338636","issue":"12","journalAbbreviation":"Plos One","page":"e0338636","title":"The Role of Economic Stability in Boosting Exports in COMESA: Threshold Effects Analysis","volume":"20","author":[{"family":"Addis","given":"Amsalu K."}],"issued":{"date-parts":[["2025"]]}}},{"id":777,"uris":["http://zotero.org/users/local/VAqELCal/items/P94PSJTC"],"itemData":{"id":777,"type":"article-journal","container-title":"International Journal of Finance &amp; Economics","DOI":"10.1002/ijfe.2275","issue":"2","journalAbbreviation":"International Journal of Finance &amp; Economics","page":"2326-2344","title":"Analysis of Distinct Asymmetries in Financial integration‐growth Nexus for Industrial, Emerging and Developing Countries","volume":"27","author":[{"family":"Karadam","given":"Duygu Y."},{"family":"Öcal","given":"Nadir"}],"issued":{"date-parts":[["2020"]]}}}],"schema":"https://github.com/citation-style-language/schema/raw/master/csl-citation.json"} </w:instrText>
      </w:r>
      <w:r w:rsidR="00C16F75">
        <w:rPr>
          <w:rFonts w:ascii="Times New Roman" w:hAnsi="Times New Roman" w:cs="Times New Roman"/>
        </w:rPr>
        <w:fldChar w:fldCharType="separate"/>
      </w:r>
      <w:r w:rsidR="00C16F75" w:rsidRPr="00C16F75">
        <w:rPr>
          <w:rFonts w:ascii="Times New Roman" w:hAnsi="Times New Roman" w:cs="Times New Roman"/>
          <w:kern w:val="0"/>
        </w:rPr>
        <w:t>(Addis, 2025; Karadam &amp; Öcal, 2020)</w:t>
      </w:r>
      <w:r w:rsidR="00C16F75">
        <w:rPr>
          <w:rFonts w:ascii="Times New Roman" w:hAnsi="Times New Roman" w:cs="Times New Roman"/>
        </w:rPr>
        <w:fldChar w:fldCharType="end"/>
      </w:r>
      <w:r w:rsidRPr="00B21426">
        <w:rPr>
          <w:rFonts w:ascii="Times New Roman" w:hAnsi="Times New Roman" w:cs="Times New Roman"/>
        </w:rPr>
        <w:t>. The tests of this paper quantify these interactions and are thus able to offer more detailed evidence on the pathways through which inflation volatility is tied to differential impacts of inflation volatility on the banking systems of heterogeneous frontier economies.</w:t>
      </w:r>
    </w:p>
    <w:p w14:paraId="1BA4B418" w14:textId="77777777" w:rsidR="00B21426" w:rsidRPr="00B21426" w:rsidRDefault="00B21426" w:rsidP="00C44A63">
      <w:pPr>
        <w:spacing w:line="360" w:lineRule="auto"/>
        <w:jc w:val="both"/>
        <w:rPr>
          <w:rFonts w:ascii="Times New Roman" w:hAnsi="Times New Roman" w:cs="Times New Roman"/>
        </w:rPr>
      </w:pPr>
    </w:p>
    <w:p w14:paraId="79908383" w14:textId="77777777" w:rsidR="00B21426" w:rsidRPr="00C44A63" w:rsidRDefault="00B21426" w:rsidP="00C44A63">
      <w:pPr>
        <w:pStyle w:val="Heading2"/>
        <w:spacing w:line="360" w:lineRule="auto"/>
        <w:jc w:val="both"/>
        <w:rPr>
          <w:rFonts w:ascii="Times New Roman" w:hAnsi="Times New Roman" w:cs="Times New Roman"/>
          <w:b/>
          <w:bCs/>
          <w:sz w:val="28"/>
          <w:szCs w:val="28"/>
        </w:rPr>
      </w:pPr>
      <w:bookmarkStart w:id="78" w:name="_Toc235530906"/>
      <w:r w:rsidRPr="00C44A63">
        <w:rPr>
          <w:rFonts w:ascii="Times New Roman" w:hAnsi="Times New Roman" w:cs="Times New Roman"/>
          <w:b/>
          <w:bCs/>
          <w:sz w:val="28"/>
          <w:szCs w:val="28"/>
        </w:rPr>
        <w:t>3.10 Data Architecture, Missing-Data Treatment, and Indicator Availability Map</w:t>
      </w:r>
      <w:bookmarkEnd w:id="78"/>
    </w:p>
    <w:p w14:paraId="381226A9" w14:textId="77777777"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Building up a reliable and analytically sound set of data from the various international sources involves systematic data cleaning, variable </w:t>
      </w:r>
      <w:proofErr w:type="spellStart"/>
      <w:r w:rsidRPr="00B21426">
        <w:rPr>
          <w:rFonts w:ascii="Times New Roman" w:hAnsi="Times New Roman" w:cs="Times New Roman"/>
        </w:rPr>
        <w:t>harmonisation</w:t>
      </w:r>
      <w:proofErr w:type="spellEnd"/>
      <w:r w:rsidRPr="00B21426">
        <w:rPr>
          <w:rFonts w:ascii="Times New Roman" w:hAnsi="Times New Roman" w:cs="Times New Roman"/>
        </w:rPr>
        <w:t>, documentation of missing-value procedures and explaining the country exclusions. This subsection explains the steps of the data architecture in detail, so as to be fully replicable and explain the used methodology.</w:t>
      </w:r>
    </w:p>
    <w:p w14:paraId="4F5C4ECD" w14:textId="347A326B" w:rsidR="00C44A63" w:rsidRPr="00C44A63" w:rsidRDefault="00C44A63" w:rsidP="00C44A63">
      <w:pPr>
        <w:pStyle w:val="Heading3"/>
        <w:spacing w:line="360" w:lineRule="auto"/>
        <w:jc w:val="both"/>
        <w:rPr>
          <w:rFonts w:ascii="Times New Roman" w:hAnsi="Times New Roman" w:cs="Times New Roman"/>
          <w:b/>
          <w:bCs/>
          <w:sz w:val="24"/>
          <w:szCs w:val="24"/>
        </w:rPr>
      </w:pPr>
      <w:bookmarkStart w:id="79" w:name="_Toc235530907"/>
      <w:r w:rsidRPr="00C44A63">
        <w:rPr>
          <w:rFonts w:ascii="Times New Roman" w:hAnsi="Times New Roman" w:cs="Times New Roman"/>
          <w:b/>
          <w:bCs/>
          <w:sz w:val="24"/>
          <w:szCs w:val="24"/>
        </w:rPr>
        <w:t xml:space="preserve">3.10.1 Data Cleaning and Variable </w:t>
      </w:r>
      <w:proofErr w:type="spellStart"/>
      <w:r w:rsidRPr="00C44A63">
        <w:rPr>
          <w:rFonts w:ascii="Times New Roman" w:hAnsi="Times New Roman" w:cs="Times New Roman"/>
          <w:b/>
          <w:bCs/>
          <w:sz w:val="24"/>
          <w:szCs w:val="24"/>
        </w:rPr>
        <w:t>Harmonisation</w:t>
      </w:r>
      <w:bookmarkEnd w:id="79"/>
      <w:proofErr w:type="spellEnd"/>
    </w:p>
    <w:p w14:paraId="67F8C997" w14:textId="69BCA5F2"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Data from three sources, namely the World Bank's World Development Indicators (WDI), the Global Financial Development Database (GFDD), and the IMF Financial Soundness Indicators (FSI), are gathered and arranged in a common country-year panel format</w:t>
      </w:r>
      <w:r w:rsidR="00C16F75">
        <w:rPr>
          <w:rFonts w:ascii="Times New Roman" w:hAnsi="Times New Roman" w:cs="Times New Roman"/>
        </w:rPr>
        <w:t xml:space="preserve"> </w:t>
      </w:r>
      <w:r w:rsidR="00C16F75">
        <w:rPr>
          <w:rFonts w:ascii="Times New Roman" w:hAnsi="Times New Roman" w:cs="Times New Roman"/>
        </w:rPr>
        <w:fldChar w:fldCharType="begin"/>
      </w:r>
      <w:r w:rsidR="00C16F75">
        <w:rPr>
          <w:rFonts w:ascii="Times New Roman" w:hAnsi="Times New Roman" w:cs="Times New Roman"/>
        </w:rPr>
        <w:instrText xml:space="preserve"> ADDIN ZOTERO_ITEM CSL_CITATION {"citationID":"GiNZP8KW","properties":{"formattedCitation":"(Haile et al., 2025; Lestari et al., 2023)","plainCitation":"(Haile et al., 2025; Lestari et al., 2023)","noteIndex":0},"citationItems":[{"id":36,"uris":["http://zotero.org/users/local/VAqELCal/items/D42C2ZDI"],"itemData":{"id":36,"type":"article-journal","container-title":"Heliyon","DOI":"10.1016/j.heliyon.2024.e41347","issue":"1","journalAbbreviation":"Heliyon","page":"e41347","title":"Does Regulatory Convergence Shape Banking Resilience in Africa?","volume":"11","author":[{"family":"Haile","given":"Minyahil A."},{"family":"Jayamohan","given":"M K."},{"family":"Mulugeta","given":"Wondaferahu"}],"issued":{"date-parts":[["2025"]]}}},{"id":28,"uris":["http://zotero.org/users/local/VAqELCal/items/QQDPZLN2"],"itemData":{"id":28,"type":"article-journal","container-title":"Studies in Economics and Finance","DOI":"10.1108/sef-12-2022-0554","issue":"4","journalAbbreviation":"Studies in Economics and Finance","page":"606-624","title":"Enhancing Bank Stability From Diversification and Digitalization Perspective in ASEAN","volume":"40","author":[{"family":"Lestari","given":"Diyan"},{"family":"Ma","given":"Shiguang"},{"family":"Jun","given":"Aelee"}],"issued":{"date-parts":[["2023"]]}}}],"schema":"https://github.com/citation-style-language/schema/raw/master/csl-citation.json"} </w:instrText>
      </w:r>
      <w:r w:rsidR="00C16F75">
        <w:rPr>
          <w:rFonts w:ascii="Times New Roman" w:hAnsi="Times New Roman" w:cs="Times New Roman"/>
        </w:rPr>
        <w:fldChar w:fldCharType="separate"/>
      </w:r>
      <w:r w:rsidR="00C16F75" w:rsidRPr="00C16F75">
        <w:rPr>
          <w:rFonts w:ascii="Times New Roman" w:hAnsi="Times New Roman" w:cs="Times New Roman"/>
        </w:rPr>
        <w:t>(Haile et al., 2025; Lestari et al., 2023)</w:t>
      </w:r>
      <w:r w:rsidR="00C16F75">
        <w:rPr>
          <w:rFonts w:ascii="Times New Roman" w:hAnsi="Times New Roman" w:cs="Times New Roman"/>
        </w:rPr>
        <w:fldChar w:fldCharType="end"/>
      </w:r>
      <w:r w:rsidRPr="00B21426">
        <w:rPr>
          <w:rFonts w:ascii="Times New Roman" w:hAnsi="Times New Roman" w:cs="Times New Roman"/>
        </w:rPr>
        <w:t xml:space="preserve">. These databases will use various types of reporting conventions, variable definitions and measurement units between countries and over time and so a strict </w:t>
      </w:r>
      <w:proofErr w:type="spellStart"/>
      <w:r w:rsidRPr="00B21426">
        <w:rPr>
          <w:rFonts w:ascii="Times New Roman" w:hAnsi="Times New Roman" w:cs="Times New Roman"/>
        </w:rPr>
        <w:t>harmonisation</w:t>
      </w:r>
      <w:proofErr w:type="spellEnd"/>
      <w:r w:rsidRPr="00B21426">
        <w:rPr>
          <w:rFonts w:ascii="Times New Roman" w:hAnsi="Times New Roman" w:cs="Times New Roman"/>
        </w:rPr>
        <w:t xml:space="preserve"> procedure is used. To make the result of the analysis of monetary and financial variables comparable across countries, the monetary and financial variables are used in percentage (</w:t>
      </w:r>
      <w:proofErr w:type="spellStart"/>
      <w:r w:rsidRPr="00B21426">
        <w:rPr>
          <w:rFonts w:ascii="Times New Roman" w:hAnsi="Times New Roman" w:cs="Times New Roman"/>
        </w:rPr>
        <w:t>standardisation</w:t>
      </w:r>
      <w:proofErr w:type="spellEnd"/>
      <w:r w:rsidRPr="00B21426">
        <w:rPr>
          <w:rFonts w:ascii="Times New Roman" w:hAnsi="Times New Roman" w:cs="Times New Roman"/>
        </w:rPr>
        <w:t xml:space="preserve"> as a ratio to GDP), following the practice of comparative macro-financial research </w:t>
      </w:r>
      <w:r w:rsidR="00C16F75">
        <w:rPr>
          <w:rFonts w:ascii="Times New Roman" w:hAnsi="Times New Roman" w:cs="Times New Roman"/>
        </w:rPr>
        <w:fldChar w:fldCharType="begin"/>
      </w:r>
      <w:r w:rsidR="00C16F75">
        <w:rPr>
          <w:rFonts w:ascii="Times New Roman" w:hAnsi="Times New Roman" w:cs="Times New Roman"/>
        </w:rPr>
        <w:instrText xml:space="preserve"> ADDIN ZOTERO_ITEM CSL_CITATION {"citationID":"fYtaesyj","properties":{"formattedCitation":"(Ibrahim et al., 2022; Paul et al., 2021)","plainCitation":"(Ibrahim et al., 2022; Paul et al., 2021)","noteIndex":0},"citationItems":[{"id":867,"uris":["http://zotero.org/users/local/VAqELCal/items/GRIKYWXB"],"itemData":{"id":867,"type":"article-journal","container-title":"Frontiers in Environmental Science","DOI":"10.3389/fenvs.2022.962838","journalAbbreviation":"Frontiers in Environmental Science","title":"Trade Facilitation and Agriculture Sector Performance in Sub-Saharan Africa: Insightful Policy Implications for Economic Sustainability","volume":"10","author":[{"family":"Ibrahim","given":"Ridwan L."},{"family":"Yu","given":"Zhang"},{"family":"Hassan","given":"Shafiqul"},{"family":"Ajide","given":"Kazeem B."},{"family":"Tanveer","given":"Muhammad"},{"family":"Khan","given":"Abdul R."}],"issued":{"date-parts":[["2022"]]}}},{"id":866,"uris":["http://zotero.org/users/local/VAqELCal/items/8NYUNX7D"],"itemData":{"id":866,"type":"article-journal","container-title":"Asian Development Policy Review","DOI":"10.18488/journal.107.2021.92.69.82","issue":"2","journalAbbreviation":"Asian Development Policy Review","page":"69-82","title":"The Macroeconomic Determinants and FDI: Evidence From 14 International Alliances","volume":"9","author":[{"family":"Paul","given":"Sujan C."},{"family":"Rosid","given":"Md H. O."},{"family":"Islam","given":"Mohammad R."},{"family":"Ferdous","given":"Refat"}],"issued":{"date-parts":[["2021"]]}}}],"schema":"https://github.com/citation-style-language/schema/raw/master/csl-citation.json"} </w:instrText>
      </w:r>
      <w:r w:rsidR="00C16F75">
        <w:rPr>
          <w:rFonts w:ascii="Times New Roman" w:hAnsi="Times New Roman" w:cs="Times New Roman"/>
        </w:rPr>
        <w:fldChar w:fldCharType="separate"/>
      </w:r>
      <w:r w:rsidR="00C16F75" w:rsidRPr="00C16F75">
        <w:rPr>
          <w:rFonts w:ascii="Times New Roman" w:hAnsi="Times New Roman" w:cs="Times New Roman"/>
        </w:rPr>
        <w:t>(Ibrahim et al., 2022; Paul et al., 2021)</w:t>
      </w:r>
      <w:r w:rsidR="00C16F75">
        <w:rPr>
          <w:rFonts w:ascii="Times New Roman" w:hAnsi="Times New Roman" w:cs="Times New Roman"/>
        </w:rPr>
        <w:fldChar w:fldCharType="end"/>
      </w:r>
      <w:r w:rsidRPr="00B21426">
        <w:rPr>
          <w:rFonts w:ascii="Times New Roman" w:hAnsi="Times New Roman" w:cs="Times New Roman"/>
        </w:rPr>
        <w:t xml:space="preserve">. To avoid mismatch due to differently named countries across the various databases, country names are </w:t>
      </w:r>
      <w:proofErr w:type="spellStart"/>
      <w:r w:rsidRPr="00B21426">
        <w:rPr>
          <w:rFonts w:ascii="Times New Roman" w:hAnsi="Times New Roman" w:cs="Times New Roman"/>
        </w:rPr>
        <w:t>harmonised</w:t>
      </w:r>
      <w:proofErr w:type="spellEnd"/>
      <w:r w:rsidRPr="00B21426">
        <w:rPr>
          <w:rFonts w:ascii="Times New Roman" w:hAnsi="Times New Roman" w:cs="Times New Roman"/>
        </w:rPr>
        <w:t xml:space="preserve"> based on ISO 3166-1 alpha-3 codes (Nabaweesi et al., 2023). To remove inflationary distortion of values reported in local currency unit, variables are converted to a constant US dollar using the World Bank deflators. Furthermore, </w:t>
      </w:r>
      <w:proofErr w:type="spellStart"/>
      <w:r w:rsidRPr="00B21426">
        <w:rPr>
          <w:rFonts w:ascii="Times New Roman" w:hAnsi="Times New Roman" w:cs="Times New Roman"/>
        </w:rPr>
        <w:t>all time</w:t>
      </w:r>
      <w:proofErr w:type="spellEnd"/>
      <w:r w:rsidRPr="00B21426">
        <w:rPr>
          <w:rFonts w:ascii="Times New Roman" w:hAnsi="Times New Roman" w:cs="Times New Roman"/>
        </w:rPr>
        <w:t xml:space="preserve"> series are harmonized to a calendar year frequency since some of the databases provide fiscal year data, which would cause the panel to be potentially temporally misaligned if not harmonized</w:t>
      </w:r>
      <w:r w:rsidR="00C16F75">
        <w:rPr>
          <w:rFonts w:ascii="Times New Roman" w:hAnsi="Times New Roman" w:cs="Times New Roman"/>
        </w:rPr>
        <w:t xml:space="preserve"> </w:t>
      </w:r>
      <w:r w:rsidR="00C16F75">
        <w:rPr>
          <w:rFonts w:ascii="Times New Roman" w:hAnsi="Times New Roman" w:cs="Times New Roman"/>
        </w:rPr>
        <w:fldChar w:fldCharType="begin"/>
      </w:r>
      <w:r w:rsidR="00C16F75">
        <w:rPr>
          <w:rFonts w:ascii="Times New Roman" w:hAnsi="Times New Roman" w:cs="Times New Roman"/>
        </w:rPr>
        <w:instrText xml:space="preserve"> ADDIN ZOTERO_ITEM CSL_CITATION {"citationID":"l0WhUGqJ","properties":{"formattedCitation":"(Samosir &amp; Usman, 2024)","plainCitation":"(Samosir &amp; Usman, 2024)","noteIndex":0},"citationItems":[{"id":870,"uris":["http://zotero.org/users/local/VAqELCal/items/4DJ5JIPS"],"itemData":{"id":870,"type":"article-journal","container-title":"Jrmsi - Jurnal Riset Manajemen Sains Indonesia","DOI":"10.21009/jrmsi.015.1.02","issue":"01","journalAbbreviation":"Jrmsi - Jurnal Riset Manajemen Sains Indonesia","page":"10-19","title":"Empirical  Insights Into the Influence of Financial Development on Capital Markets in  Southeast Asia","volume":"15","author":[{"family":"Samosir","given":"Nikolas"},{"family":"Usman","given":"Berto"}],"issued":{"date-parts":[["2024"]]}}}],"schema":"https://github.com/citation-style-language/schema/raw/master/csl-citation.json"} </w:instrText>
      </w:r>
      <w:r w:rsidR="00C16F75">
        <w:rPr>
          <w:rFonts w:ascii="Times New Roman" w:hAnsi="Times New Roman" w:cs="Times New Roman"/>
        </w:rPr>
        <w:fldChar w:fldCharType="separate"/>
      </w:r>
      <w:r w:rsidR="00C16F75" w:rsidRPr="00C16F75">
        <w:rPr>
          <w:rFonts w:ascii="Times New Roman" w:hAnsi="Times New Roman" w:cs="Times New Roman"/>
        </w:rPr>
        <w:t>(Samosir &amp; Usman, 2024)</w:t>
      </w:r>
      <w:r w:rsidR="00C16F75">
        <w:rPr>
          <w:rFonts w:ascii="Times New Roman" w:hAnsi="Times New Roman" w:cs="Times New Roman"/>
        </w:rPr>
        <w:fldChar w:fldCharType="end"/>
      </w:r>
      <w:r w:rsidRPr="00B21426">
        <w:rPr>
          <w:rFonts w:ascii="Times New Roman" w:hAnsi="Times New Roman" w:cs="Times New Roman"/>
        </w:rPr>
        <w:t>.</w:t>
      </w:r>
    </w:p>
    <w:p w14:paraId="4E5A8863" w14:textId="34DE5150" w:rsidR="00B21426" w:rsidRPr="00C44A63" w:rsidRDefault="00C44A63" w:rsidP="00C44A63">
      <w:pPr>
        <w:pStyle w:val="Heading3"/>
        <w:spacing w:line="360" w:lineRule="auto"/>
        <w:jc w:val="both"/>
        <w:rPr>
          <w:rFonts w:ascii="Times New Roman" w:hAnsi="Times New Roman" w:cs="Times New Roman"/>
          <w:b/>
          <w:bCs/>
          <w:sz w:val="24"/>
          <w:szCs w:val="24"/>
        </w:rPr>
      </w:pPr>
      <w:bookmarkStart w:id="80" w:name="_Toc235530908"/>
      <w:r w:rsidRPr="00C44A63">
        <w:rPr>
          <w:rFonts w:ascii="Times New Roman" w:hAnsi="Times New Roman" w:cs="Times New Roman"/>
          <w:b/>
          <w:bCs/>
          <w:sz w:val="24"/>
          <w:szCs w:val="24"/>
        </w:rPr>
        <w:lastRenderedPageBreak/>
        <w:t xml:space="preserve">3.10.2 </w:t>
      </w:r>
      <w:r w:rsidR="00B21426" w:rsidRPr="00C44A63">
        <w:rPr>
          <w:rFonts w:ascii="Times New Roman" w:hAnsi="Times New Roman" w:cs="Times New Roman"/>
          <w:b/>
          <w:bCs/>
          <w:sz w:val="24"/>
          <w:szCs w:val="24"/>
        </w:rPr>
        <w:t>Missing-Value Treatment</w:t>
      </w:r>
      <w:bookmarkEnd w:id="80"/>
    </w:p>
    <w:p w14:paraId="022F1257" w14:textId="1074BF41"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Overall, missing data is a major challenge in the construction of macro-financial cross-country panels, especially for frontier economies, which suffer from lack of statistical capabilities, institutional breakdowns, and civil conflicts that often leave statistical reporting incomplete</w:t>
      </w:r>
      <w:r w:rsidR="00C16F75">
        <w:rPr>
          <w:rFonts w:ascii="Times New Roman" w:hAnsi="Times New Roman" w:cs="Times New Roman"/>
        </w:rPr>
        <w:t xml:space="preserve"> </w:t>
      </w:r>
      <w:r w:rsidR="00C16F75">
        <w:rPr>
          <w:rFonts w:ascii="Times New Roman" w:hAnsi="Times New Roman" w:cs="Times New Roman"/>
        </w:rPr>
        <w:fldChar w:fldCharType="begin"/>
      </w:r>
      <w:r w:rsidR="00C16F75">
        <w:rPr>
          <w:rFonts w:ascii="Times New Roman" w:hAnsi="Times New Roman" w:cs="Times New Roman"/>
        </w:rPr>
        <w:instrText xml:space="preserve"> ADDIN ZOTERO_ITEM CSL_CITATION {"citationID":"1y7iltEu","properties":{"formattedCitation":"(Haile et al., 2025)","plainCitation":"(Haile et al., 2025)","noteIndex":0},"citationItems":[{"id":36,"uris":["http://zotero.org/users/local/VAqELCal/items/D42C2ZDI"],"itemData":{"id":36,"type":"article-journal","container-title":"Heliyon","DOI":"10.1016/j.heliyon.2024.e41347","issue":"1","journalAbbreviation":"Heliyon","page":"e41347","title":"Does Regulatory Convergence Shape Banking Resilience in Africa?","volume":"11","author":[{"family":"Haile","given":"Minyahil A."},{"family":"Jayamohan","given":"M K."},{"family":"Mulugeta","given":"Wondaferahu"}],"issued":{"date-parts":[["2025"]]}}}],"schema":"https://github.com/citation-style-language/schema/raw/master/csl-citation.json"} </w:instrText>
      </w:r>
      <w:r w:rsidR="00C16F75">
        <w:rPr>
          <w:rFonts w:ascii="Times New Roman" w:hAnsi="Times New Roman" w:cs="Times New Roman"/>
        </w:rPr>
        <w:fldChar w:fldCharType="separate"/>
      </w:r>
      <w:r w:rsidR="00C16F75" w:rsidRPr="00C16F75">
        <w:rPr>
          <w:rFonts w:ascii="Times New Roman" w:hAnsi="Times New Roman" w:cs="Times New Roman"/>
        </w:rPr>
        <w:t>(Haile et al., 2025)</w:t>
      </w:r>
      <w:r w:rsidR="00C16F75">
        <w:rPr>
          <w:rFonts w:ascii="Times New Roman" w:hAnsi="Times New Roman" w:cs="Times New Roman"/>
        </w:rPr>
        <w:fldChar w:fldCharType="end"/>
      </w:r>
      <w:r w:rsidRPr="00B21426">
        <w:rPr>
          <w:rFonts w:ascii="Times New Roman" w:hAnsi="Times New Roman" w:cs="Times New Roman"/>
        </w:rPr>
        <w:t>. It takes cautious and transparent approach to address missing value treatment. Single years with negative data for other variables in continuous series, such as malaria and HIV/AIDS, are first interpolated linearly, which is a common approach used in panel-based literature, because it does not add or impute structural patterns</w:t>
      </w:r>
      <w:r w:rsidR="00C16F75">
        <w:rPr>
          <w:rFonts w:ascii="Times New Roman" w:hAnsi="Times New Roman" w:cs="Times New Roman"/>
        </w:rPr>
        <w:t xml:space="preserve"> </w:t>
      </w:r>
      <w:r w:rsidR="00C16F75">
        <w:rPr>
          <w:rFonts w:ascii="Times New Roman" w:hAnsi="Times New Roman" w:cs="Times New Roman"/>
        </w:rPr>
        <w:fldChar w:fldCharType="begin"/>
      </w:r>
      <w:r w:rsidR="00C16F75">
        <w:rPr>
          <w:rFonts w:ascii="Times New Roman" w:hAnsi="Times New Roman" w:cs="Times New Roman"/>
        </w:rPr>
        <w:instrText xml:space="preserve"> ADDIN ZOTERO_ITEM CSL_CITATION {"citationID":"N1DLsPjB","properties":{"formattedCitation":"(Azaria &amp; Sihaloho, 2021; Ibrahim et al., 2022)","plainCitation":"(Azaria &amp; Sihaloho, 2021; Ibrahim et al., 2022)","noteIndex":0},"citationItems":[{"id":872,"uris":["http://zotero.org/users/local/VAqELCal/items/NBKQUUZE"],"itemData":{"id":872,"type":"article-journal","container-title":"Trikonomika","DOI":"10.23969/trikonomika.v20i2.4085","issue":"2","journalAbbreviation":"Trikonomika","page":"62-70","title":"Impacts of Foreign Direct Investment on Poverty Eradication in Asean-5 Countries","volume":"20","author":[{"family":"Azaria","given":"Shania P."},{"family":"Sihaloho","given":"Estro D."}],"issued":{"date-parts":[["2021"]]}}},{"id":867,"uris":["http://zotero.org/users/local/VAqELCal/items/GRIKYWXB"],"itemData":{"id":867,"type":"article-journal","container-title":"Frontiers in Environmental Science","DOI":"10.3389/fenvs.2022.962838","journalAbbreviation":"Frontiers in Environmental Science","title":"Trade Facilitation and Agriculture Sector Performance in Sub-Saharan Africa: Insightful Policy Implications for Economic Sustainability","volume":"10","author":[{"family":"Ibrahim","given":"Ridwan L."},{"family":"Yu","given":"Zhang"},{"family":"Hassan","given":"Shafiqul"},{"family":"Ajide","given":"Kazeem B."},{"family":"Tanveer","given":"Muhammad"},{"family":"Khan","given":"Abdul R."}],"issued":{"date-parts":[["2022"]]}}}],"schema":"https://github.com/citation-style-language/schema/raw/master/csl-citation.json"} </w:instrText>
      </w:r>
      <w:r w:rsidR="00C16F75">
        <w:rPr>
          <w:rFonts w:ascii="Times New Roman" w:hAnsi="Times New Roman" w:cs="Times New Roman"/>
        </w:rPr>
        <w:fldChar w:fldCharType="separate"/>
      </w:r>
      <w:r w:rsidR="00C16F75" w:rsidRPr="00C16F75">
        <w:rPr>
          <w:rFonts w:ascii="Times New Roman" w:hAnsi="Times New Roman" w:cs="Times New Roman"/>
        </w:rPr>
        <w:t>(Azaria &amp; Sihaloho, 2021; Ibrahim et al., 2022)</w:t>
      </w:r>
      <w:r w:rsidR="00C16F75">
        <w:rPr>
          <w:rFonts w:ascii="Times New Roman" w:hAnsi="Times New Roman" w:cs="Times New Roman"/>
        </w:rPr>
        <w:fldChar w:fldCharType="end"/>
      </w:r>
      <w:r w:rsidRPr="00B21426">
        <w:rPr>
          <w:rFonts w:ascii="Times New Roman" w:hAnsi="Times New Roman" w:cs="Times New Roman"/>
        </w:rPr>
        <w:t>. This interpolation is used sparingly and only if the gap is bracketed by the observed values on either side so that there is no extrapolation outside of the observed data range.</w:t>
      </w:r>
    </w:p>
    <w:p w14:paraId="62DF34F2" w14:textId="31358F59"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Second, no imputation is conducted for variables having longer gaps – variables with at least two consecutive missing years are not imputed. These observations are, instead, kept missing and the panel is kept unbalanced following the methodological rationale given in Section 3.2 </w:t>
      </w:r>
      <w:r w:rsidR="00C16F75">
        <w:rPr>
          <w:rFonts w:ascii="Times New Roman" w:hAnsi="Times New Roman" w:cs="Times New Roman"/>
        </w:rPr>
        <w:fldChar w:fldCharType="begin"/>
      </w:r>
      <w:r w:rsidR="00C16F75">
        <w:rPr>
          <w:rFonts w:ascii="Times New Roman" w:hAnsi="Times New Roman" w:cs="Times New Roman"/>
        </w:rPr>
        <w:instrText xml:space="preserve"> ADDIN ZOTERO_ITEM CSL_CITATION {"citationID":"HEeyn5S4","properties":{"formattedCitation":"(Haile et al., 2025; Nabaweesi et al., 2023)","plainCitation":"(Haile et al., 2025; Nabaweesi et al., 2023)","noteIndex":0},"citationItems":[{"id":36,"uris":["http://zotero.org/users/local/VAqELCal/items/D42C2ZDI"],"itemData":{"id":36,"type":"article-journal","container-title":"Heliyon","DOI":"10.1016/j.heliyon.2024.e41347","issue":"1","journalAbbreviation":"Heliyon","page":"e41347","title":"Does Regulatory Convergence Shape Banking Resilience in Africa?","volume":"11","author":[{"family":"Haile","given":"Minyahil A."},{"family":"Jayamohan","given":"M K."},{"family":"Mulugeta","given":"Wondaferahu"}],"issued":{"date-parts":[["2025"]]}}},{"id":868,"uris":["http://zotero.org/users/local/VAqELCal/items/DW5IWN9V"],"itemData":{"id":868,"type":"article-journal","container-title":"Management of Environmental Quality an International Journal","DOI":"10.1108/meq-05-2023-0152","issue":"2","journalAbbreviation":"Management of Environmental Quality an International Journal","page":"358-377","title":"Governance and Modern Renewable Energy Consumption in the East African Community (EAC): A dynamic Panel CS-ARDL Approach","volume":"35","author":[{"family":"Nabaweesi","given":"Jennifer"},{"family":"Kaawaase","given":"Twaha K."},{"family":"Buyinza","given":"Faisal"},{"family":"Adaramola","given":"Muyiwa S."},{"family":"Namagembe","given":"Sheila"},{"family":"Nkote","given":"Isaac"}],"issued":{"date-parts":[["2023"]]}}}],"schema":"https://github.com/citation-style-language/schema/raw/master/csl-citation.json"} </w:instrText>
      </w:r>
      <w:r w:rsidR="00C16F75">
        <w:rPr>
          <w:rFonts w:ascii="Times New Roman" w:hAnsi="Times New Roman" w:cs="Times New Roman"/>
        </w:rPr>
        <w:fldChar w:fldCharType="separate"/>
      </w:r>
      <w:r w:rsidR="00C16F75" w:rsidRPr="00C16F75">
        <w:rPr>
          <w:rFonts w:ascii="Times New Roman" w:hAnsi="Times New Roman" w:cs="Times New Roman"/>
        </w:rPr>
        <w:t>(Haile et al., 2025; Nabaweesi et al., 2023)</w:t>
      </w:r>
      <w:r w:rsidR="00C16F75">
        <w:rPr>
          <w:rFonts w:ascii="Times New Roman" w:hAnsi="Times New Roman" w:cs="Times New Roman"/>
        </w:rPr>
        <w:fldChar w:fldCharType="end"/>
      </w:r>
      <w:r w:rsidRPr="00B21426">
        <w:rPr>
          <w:rFonts w:ascii="Times New Roman" w:hAnsi="Times New Roman" w:cs="Times New Roman"/>
        </w:rPr>
        <w:t>. A conservative approach is used because aggressive imputation methods (e.g., multiple imputation and expectation-</w:t>
      </w:r>
      <w:proofErr w:type="spellStart"/>
      <w:r w:rsidRPr="00B21426">
        <w:rPr>
          <w:rFonts w:ascii="Times New Roman" w:hAnsi="Times New Roman" w:cs="Times New Roman"/>
        </w:rPr>
        <w:t>maximisation</w:t>
      </w:r>
      <w:proofErr w:type="spellEnd"/>
      <w:r w:rsidRPr="00B21426">
        <w:rPr>
          <w:rFonts w:ascii="Times New Roman" w:hAnsi="Times New Roman" w:cs="Times New Roman"/>
        </w:rPr>
        <w:t>) can create artificial data structures that could lead to relationships that are misleading in the overall sample, especially with small cross-sectional samples where each country's data is assumed to drive a significant portion of the overall findings</w:t>
      </w:r>
      <w:r w:rsidR="00C16F75">
        <w:rPr>
          <w:rFonts w:ascii="Times New Roman" w:hAnsi="Times New Roman" w:cs="Times New Roman"/>
        </w:rPr>
        <w:t xml:space="preserve"> </w:t>
      </w:r>
      <w:r w:rsidR="00C16F75">
        <w:rPr>
          <w:rFonts w:ascii="Times New Roman" w:hAnsi="Times New Roman" w:cs="Times New Roman"/>
        </w:rPr>
        <w:fldChar w:fldCharType="begin"/>
      </w:r>
      <w:r w:rsidR="00C16F75">
        <w:rPr>
          <w:rFonts w:ascii="Times New Roman" w:hAnsi="Times New Roman" w:cs="Times New Roman"/>
        </w:rPr>
        <w:instrText xml:space="preserve"> ADDIN ZOTERO_ITEM CSL_CITATION {"citationID":"rYWgFSAJ","properties":{"formattedCitation":"(Khan et al., 2021; Paul et al., 2021)","plainCitation":"(Khan et al., 2021; Paul et al., 2021)","noteIndex":0},"citationItems":[{"id":115,"uris":["http://zotero.org/users/local/VAqELCal/items/ZAXJ5G2A"],"itemData":{"id":115,"type":"article-journal","container-title":"Frontiers in Environmental Science","DOI":"10.3389/fenvs.2021.729922","journalAbbreviation":"Frontiers in Environmental Science","title":"Financial Innovation, Sustainable Economic Growth, and Credit Risk: A Case of the ASEAN Banking Sector","volume":"9","author":[{"family":"Khan","given":"Ali B."},{"family":"Fareed","given":"Muhammad"},{"family":"Salameh","given":"Anas A."},{"family":"Hussain","given":"Haroon"}],"issued":{"date-parts":[["2021"]]}}},{"id":866,"uris":["http://zotero.org/users/local/VAqELCal/items/8NYUNX7D"],"itemData":{"id":866,"type":"article-journal","container-title":"Asian Development Policy Review","DOI":"10.18488/journal.107.2021.92.69.82","issue":"2","journalAbbreviation":"Asian Development Policy Review","page":"69-82","title":"The Macroeconomic Determinants and FDI: Evidence From 14 International Alliances","volume":"9","author":[{"family":"Paul","given":"Sujan C."},{"family":"Rosid","given":"Md H. O."},{"family":"Islam","given":"Mohammad R."},{"family":"Ferdous","given":"Refat"}],"issued":{"date-parts":[["2021"]]}}}],"schema":"https://github.com/citation-style-language/schema/raw/master/csl-citation.json"} </w:instrText>
      </w:r>
      <w:r w:rsidR="00C16F75">
        <w:rPr>
          <w:rFonts w:ascii="Times New Roman" w:hAnsi="Times New Roman" w:cs="Times New Roman"/>
        </w:rPr>
        <w:fldChar w:fldCharType="separate"/>
      </w:r>
      <w:r w:rsidR="00C16F75" w:rsidRPr="00C16F75">
        <w:rPr>
          <w:rFonts w:ascii="Times New Roman" w:hAnsi="Times New Roman" w:cs="Times New Roman"/>
        </w:rPr>
        <w:t>(Khan et al., 2021; Paul et al., 2021)</w:t>
      </w:r>
      <w:r w:rsidR="00C16F75">
        <w:rPr>
          <w:rFonts w:ascii="Times New Roman" w:hAnsi="Times New Roman" w:cs="Times New Roman"/>
        </w:rPr>
        <w:fldChar w:fldCharType="end"/>
      </w:r>
      <w:r w:rsidRPr="00B21426">
        <w:rPr>
          <w:rFonts w:ascii="Times New Roman" w:hAnsi="Times New Roman" w:cs="Times New Roman"/>
        </w:rPr>
        <w:t>.</w:t>
      </w:r>
    </w:p>
    <w:p w14:paraId="27FF219A" w14:textId="52D880DC" w:rsidR="00B21426" w:rsidRPr="00C44A63" w:rsidRDefault="00C44A63" w:rsidP="00C44A63">
      <w:pPr>
        <w:pStyle w:val="Heading3"/>
        <w:spacing w:line="360" w:lineRule="auto"/>
        <w:jc w:val="both"/>
        <w:rPr>
          <w:rFonts w:ascii="Times New Roman" w:hAnsi="Times New Roman" w:cs="Times New Roman"/>
          <w:b/>
          <w:bCs/>
          <w:sz w:val="24"/>
          <w:szCs w:val="24"/>
        </w:rPr>
      </w:pPr>
      <w:bookmarkStart w:id="81" w:name="_Toc235530909"/>
      <w:r w:rsidRPr="00C44A63">
        <w:rPr>
          <w:rFonts w:ascii="Times New Roman" w:hAnsi="Times New Roman" w:cs="Times New Roman"/>
          <w:b/>
          <w:bCs/>
          <w:sz w:val="24"/>
          <w:szCs w:val="24"/>
        </w:rPr>
        <w:t xml:space="preserve">3.10.3 </w:t>
      </w:r>
      <w:r w:rsidR="00B21426" w:rsidRPr="00C44A63">
        <w:rPr>
          <w:rFonts w:ascii="Times New Roman" w:hAnsi="Times New Roman" w:cs="Times New Roman"/>
          <w:b/>
          <w:bCs/>
          <w:sz w:val="24"/>
          <w:szCs w:val="24"/>
        </w:rPr>
        <w:t>Country Exclusions</w:t>
      </w:r>
      <w:bookmarkEnd w:id="81"/>
    </w:p>
    <w:p w14:paraId="2BAFAE3D" w14:textId="134228F1"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The final sample excludes countries that are originally selected in the frontier-market sample year under two circumstances. The first criterion applies to countries where less than half of the study period has information in the primary dependent variables (bank Z-score, NPL ratio), as such countries would not add much information but would significantly increase the share of missing observations in the panel and potentially affect panel diagnostics outcomes</w:t>
      </w:r>
      <w:r w:rsidR="00C16F75">
        <w:rPr>
          <w:rFonts w:ascii="Times New Roman" w:hAnsi="Times New Roman" w:cs="Times New Roman"/>
        </w:rPr>
        <w:t xml:space="preserve"> </w:t>
      </w:r>
      <w:r w:rsidR="00C16F75">
        <w:rPr>
          <w:rFonts w:ascii="Times New Roman" w:hAnsi="Times New Roman" w:cs="Times New Roman"/>
        </w:rPr>
        <w:fldChar w:fldCharType="begin"/>
      </w:r>
      <w:r w:rsidR="00C16F75">
        <w:rPr>
          <w:rFonts w:ascii="Times New Roman" w:hAnsi="Times New Roman" w:cs="Times New Roman"/>
        </w:rPr>
        <w:instrText xml:space="preserve"> ADDIN ZOTERO_ITEM CSL_CITATION {"citationID":"RIJbmUj6","properties":{"formattedCitation":"(Haile et al., 2025; Lestari et al., 2023)","plainCitation":"(Haile et al., 2025; Lestari et al., 2023)","noteIndex":0},"citationItems":[{"id":36,"uris":["http://zotero.org/users/local/VAqELCal/items/D42C2ZDI"],"itemData":{"id":36,"type":"article-journal","container-title":"Heliyon","DOI":"10.1016/j.heliyon.2024.e41347","issue":"1","journalAbbreviation":"Heliyon","page":"e41347","title":"Does Regulatory Convergence Shape Banking Resilience in Africa?","volume":"11","author":[{"family":"Haile","given":"Minyahil A."},{"family":"Jayamohan","given":"M K."},{"family":"Mulugeta","given":"Wondaferahu"}],"issued":{"date-parts":[["2025"]]}}},{"id":28,"uris":["http://zotero.org/users/local/VAqELCal/items/QQDPZLN2"],"itemData":{"id":28,"type":"article-journal","container-title":"Studies in Economics and Finance","DOI":"10.1108/sef-12-2022-0554","issue":"4","journalAbbreviation":"Studies in Economics and Finance","page":"606-624","title":"Enhancing Bank Stability From Diversification and Digitalization Perspective in ASEAN","volume":"40","author":[{"family":"Lestari","given":"Diyan"},{"family":"Ma","given":"Shiguang"},{"family":"Jun","given":"Aelee"}],"issued":{"date-parts":[["2023"]]}}}],"schema":"https://github.com/citation-style-language/schema/raw/master/csl-citation.json"} </w:instrText>
      </w:r>
      <w:r w:rsidR="00C16F75">
        <w:rPr>
          <w:rFonts w:ascii="Times New Roman" w:hAnsi="Times New Roman" w:cs="Times New Roman"/>
        </w:rPr>
        <w:fldChar w:fldCharType="separate"/>
      </w:r>
      <w:r w:rsidR="00C16F75" w:rsidRPr="00C16F75">
        <w:rPr>
          <w:rFonts w:ascii="Times New Roman" w:hAnsi="Times New Roman" w:cs="Times New Roman"/>
        </w:rPr>
        <w:t>(Haile et al., 2025; Lestari et al., 2023)</w:t>
      </w:r>
      <w:r w:rsidR="00C16F75">
        <w:rPr>
          <w:rFonts w:ascii="Times New Roman" w:hAnsi="Times New Roman" w:cs="Times New Roman"/>
        </w:rPr>
        <w:fldChar w:fldCharType="end"/>
      </w:r>
      <w:r w:rsidRPr="00B21426">
        <w:rPr>
          <w:rFonts w:ascii="Times New Roman" w:hAnsi="Times New Roman" w:cs="Times New Roman"/>
        </w:rPr>
        <w:t>. Second, countries with extensive bank network failures (crisis years where the share of banks that fail exceeds 10 percent) or hyperinflation (episode years where the average inflation rate is above 1000 percent per annum) are flagged and subjected to sensitivity testing, since they can be unduly affecting the estimated coefficients and could lead to spurious patterns in the relationships</w:t>
      </w:r>
      <w:r w:rsidR="00C16F75">
        <w:rPr>
          <w:rFonts w:ascii="Times New Roman" w:hAnsi="Times New Roman" w:cs="Times New Roman"/>
        </w:rPr>
        <w:t xml:space="preserve"> </w:t>
      </w:r>
      <w:r w:rsidR="00C16F75">
        <w:rPr>
          <w:rFonts w:ascii="Times New Roman" w:hAnsi="Times New Roman" w:cs="Times New Roman"/>
        </w:rPr>
        <w:fldChar w:fldCharType="begin"/>
      </w:r>
      <w:r w:rsidR="00C16F75">
        <w:rPr>
          <w:rFonts w:ascii="Times New Roman" w:hAnsi="Times New Roman" w:cs="Times New Roman"/>
        </w:rPr>
        <w:instrText xml:space="preserve"> ADDIN ZOTERO_ITEM CSL_CITATION {"citationID":"sygHKDzg","properties":{"formattedCitation":"(Ikpesu, 2024; Khan et al., 2021)","plainCitation":"(Ikpesu, 2024; Khan et al., 2021)","noteIndex":0},"citationItems":[{"id":869,"uris":["http://zotero.org/users/local/VAqELCal/items/FY4ABPK2"],"itemData":{"id":869,"type":"article-journal","container-title":"International Journal of Social Economics","DOI":"10.1108/ijse-01-2024-0005","issue":"2","journalAbbreviation":"International Journal of Social Economics","page":"253-264","title":"Unraveling the Dynamics: Macroeconomic Drivers Of equity market Development In Sub-Saharan Africa","volume":"52","author":[{"family":"Ikpesu","given":"Fredrick"}],"issued":{"date-parts":[["2024"]]}}},{"id":115,"uris":["http://zotero.org/users/local/VAqELCal/items/ZAXJ5G2A"],"itemData":{"id":115,"type":"article-journal","container-title":"Frontiers in Environmental Science","DOI":"10.3389/fenvs.2021.729922","journalAbbreviation":"Frontiers in Environmental Science","title":"Financial Innovation, Sustainable Economic Growth, and Credit Risk: A Case of the ASEAN Banking Sector","volume":"9","author":[{"family":"Khan","given":"Ali B."},{"family":"Fareed","given":"Muhammad"},{"family":"Salameh","given":"Anas A."},{"family":"Hussain","given":"Haroon"}],"issued":{"date-parts":[["2021"]]}}}],"schema":"https://github.com/citation-style-language/schema/raw/master/csl-citation.json"} </w:instrText>
      </w:r>
      <w:r w:rsidR="00C16F75">
        <w:rPr>
          <w:rFonts w:ascii="Times New Roman" w:hAnsi="Times New Roman" w:cs="Times New Roman"/>
        </w:rPr>
        <w:fldChar w:fldCharType="separate"/>
      </w:r>
      <w:r w:rsidR="00C16F75" w:rsidRPr="00C16F75">
        <w:rPr>
          <w:rFonts w:ascii="Times New Roman" w:hAnsi="Times New Roman" w:cs="Times New Roman"/>
        </w:rPr>
        <w:t>(Ikpesu, 2024; Khan et al., 2021)</w:t>
      </w:r>
      <w:r w:rsidR="00C16F75">
        <w:rPr>
          <w:rFonts w:ascii="Times New Roman" w:hAnsi="Times New Roman" w:cs="Times New Roman"/>
        </w:rPr>
        <w:fldChar w:fldCharType="end"/>
      </w:r>
      <w:r w:rsidRPr="00B21426">
        <w:rPr>
          <w:rFonts w:ascii="Times New Roman" w:hAnsi="Times New Roman" w:cs="Times New Roman"/>
        </w:rPr>
        <w:t>. A supplementary appendix has been provided for each exclusion, providing a full explanation for the exclusion.</w:t>
      </w:r>
    </w:p>
    <w:p w14:paraId="07633558" w14:textId="0ED7BDDE" w:rsidR="00B21426" w:rsidRPr="00C44A63" w:rsidRDefault="00C44A63" w:rsidP="00C44A63">
      <w:pPr>
        <w:pStyle w:val="Heading3"/>
        <w:spacing w:line="360" w:lineRule="auto"/>
        <w:jc w:val="both"/>
        <w:rPr>
          <w:rFonts w:ascii="Times New Roman" w:hAnsi="Times New Roman" w:cs="Times New Roman"/>
          <w:b/>
          <w:bCs/>
          <w:sz w:val="24"/>
          <w:szCs w:val="24"/>
        </w:rPr>
      </w:pPr>
      <w:bookmarkStart w:id="82" w:name="_Toc235530910"/>
      <w:r w:rsidRPr="00C44A63">
        <w:rPr>
          <w:rFonts w:ascii="Times New Roman" w:hAnsi="Times New Roman" w:cs="Times New Roman"/>
          <w:b/>
          <w:bCs/>
          <w:sz w:val="24"/>
          <w:szCs w:val="24"/>
        </w:rPr>
        <w:lastRenderedPageBreak/>
        <w:t xml:space="preserve">3.10.4 </w:t>
      </w:r>
      <w:r w:rsidR="00B21426" w:rsidRPr="00C44A63">
        <w:rPr>
          <w:rFonts w:ascii="Times New Roman" w:hAnsi="Times New Roman" w:cs="Times New Roman"/>
          <w:b/>
          <w:bCs/>
          <w:sz w:val="24"/>
          <w:szCs w:val="24"/>
        </w:rPr>
        <w:t>Indicator Availability Map and Final Usable Observations</w:t>
      </w:r>
      <w:bookmarkEnd w:id="82"/>
    </w:p>
    <w:p w14:paraId="04022280" w14:textId="54921C85" w:rsidR="00B21426" w:rsidRP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The availability matrix of indicators, in matrix format with country by indicator, is achieved to visualize the available data as a proportion of the data for the period of study</w:t>
      </w:r>
      <w:r w:rsidR="00C16F75">
        <w:rPr>
          <w:rFonts w:ascii="Times New Roman" w:hAnsi="Times New Roman" w:cs="Times New Roman"/>
        </w:rPr>
        <w:t xml:space="preserve"> </w:t>
      </w:r>
      <w:r w:rsidR="00C16F75">
        <w:rPr>
          <w:rFonts w:ascii="Times New Roman" w:hAnsi="Times New Roman" w:cs="Times New Roman"/>
        </w:rPr>
        <w:fldChar w:fldCharType="begin"/>
      </w:r>
      <w:r w:rsidR="00870443">
        <w:rPr>
          <w:rFonts w:ascii="Times New Roman" w:hAnsi="Times New Roman" w:cs="Times New Roman"/>
        </w:rPr>
        <w:instrText xml:space="preserve"> ADDIN ZOTERO_ITEM CSL_CITATION {"citationID":"QAflmWFT","properties":{"formattedCitation":"(Nabaweesi et al., 2023; Samosir &amp; Usman, 2024)","plainCitation":"(Nabaweesi et al., 2023; Samosir &amp; Usman, 2024)","noteIndex":0},"citationItems":[{"id":868,"uris":["http://zotero.org/users/local/VAqELCal/items/DW5IWN9V"],"itemData":{"id":868,"type":"article-journal","container-title":"Management of Environmental Quality an International Journal","DOI":"10.1108/meq-05-2023-0152","issue":"2","journalAbbreviation":"Management of Environmental Quality an International Journal","page":"358-377","title":"Governance and Modern Renewable Energy Consumption in the East African Community (EAC): A dynamic Panel CS-ARDL Approach","volume":"35","author":[{"family":"Nabaweesi","given":"Jennifer"},{"family":"Kaawaase","given":"Twaha K."},{"family":"Buyinza","given":"Faisal"},{"family":"Adaramola","given":"Muyiwa S."},{"family":"Namagembe","given":"Sheila"},{"family":"Nkote","given":"Isaac"}],"issued":{"date-parts":[["2023"]]}}},{"id":870,"uris":["http://zotero.org/users/local/VAqELCal/items/4DJ5JIPS"],"itemData":{"id":870,"type":"article-journal","container-title":"Jrmsi - Jurnal Riset Manajemen Sains Indonesia","DOI":"10.21009/jrmsi.015.1.02","issue":"01","journalAbbreviation":"Jrmsi - Jurnal Riset Manajemen Sains Indonesia","page":"10-19","title":"Empirical  Insights Into the Influence of Financial Development on Capital Markets in  Southeast Asia","volume":"15","author":[{"family":"Samosir","given":"Nikolas"},{"family":"Usman","given":"Berto"}],"issued":{"date-parts":[["2024"]]}}}],"schema":"https://github.com/citation-style-language/schema/raw/master/csl-citation.json"} </w:instrText>
      </w:r>
      <w:r w:rsidR="00C16F75">
        <w:rPr>
          <w:rFonts w:ascii="Times New Roman" w:hAnsi="Times New Roman" w:cs="Times New Roman"/>
        </w:rPr>
        <w:fldChar w:fldCharType="separate"/>
      </w:r>
      <w:r w:rsidR="00870443" w:rsidRPr="00870443">
        <w:rPr>
          <w:rFonts w:ascii="Times New Roman" w:hAnsi="Times New Roman" w:cs="Times New Roman"/>
        </w:rPr>
        <w:t>(Nabaweesi et al., 2023; Samosir &amp; Usman, 2024)</w:t>
      </w:r>
      <w:r w:rsidR="00C16F75">
        <w:rPr>
          <w:rFonts w:ascii="Times New Roman" w:hAnsi="Times New Roman" w:cs="Times New Roman"/>
        </w:rPr>
        <w:fldChar w:fldCharType="end"/>
      </w:r>
      <w:r w:rsidRPr="00B21426">
        <w:rPr>
          <w:rFonts w:ascii="Times New Roman" w:hAnsi="Times New Roman" w:cs="Times New Roman"/>
        </w:rPr>
        <w:t>. The pro Visual diagnostic tool can work in different ways: it can be used to see patterns of missingness across regions and variables; to detect potential for selection bias from systematic missingness; and to visualize at a glance how representative the final estimation sample is</w:t>
      </w:r>
      <w:r w:rsidR="00870443">
        <w:rPr>
          <w:rFonts w:ascii="Times New Roman" w:hAnsi="Times New Roman" w:cs="Times New Roman"/>
        </w:rPr>
        <w:t xml:space="preserve"> </w:t>
      </w:r>
      <w:r w:rsidR="00870443">
        <w:rPr>
          <w:rFonts w:ascii="Times New Roman" w:hAnsi="Times New Roman" w:cs="Times New Roman"/>
        </w:rPr>
        <w:fldChar w:fldCharType="begin"/>
      </w:r>
      <w:r w:rsidR="00870443">
        <w:rPr>
          <w:rFonts w:ascii="Times New Roman" w:hAnsi="Times New Roman" w:cs="Times New Roman"/>
        </w:rPr>
        <w:instrText xml:space="preserve"> ADDIN ZOTERO_ITEM CSL_CITATION {"citationID":"LjjwYUtb","properties":{"formattedCitation":"(Haile et al., 2025; Ibrahim et al., 2022)","plainCitation":"(Haile et al., 2025; Ibrahim et al., 2022)","noteIndex":0},"citationItems":[{"id":36,"uris":["http://zotero.org/users/local/VAqELCal/items/D42C2ZDI"],"itemData":{"id":36,"type":"article-journal","container-title":"Heliyon","DOI":"10.1016/j.heliyon.2024.e41347","issue":"1","journalAbbreviation":"Heliyon","page":"e41347","title":"Does Regulatory Convergence Shape Banking Resilience in Africa?","volume":"11","author":[{"family":"Haile","given":"Minyahil A."},{"family":"Jayamohan","given":"M K."},{"family":"Mulugeta","given":"Wondaferahu"}],"issued":{"date-parts":[["2025"]]}}},{"id":867,"uris":["http://zotero.org/users/local/VAqELCal/items/GRIKYWXB"],"itemData":{"id":867,"type":"article-journal","container-title":"Frontiers in Environmental Science","DOI":"10.3389/fenvs.2022.962838","journalAbbreviation":"Frontiers in Environmental Science","title":"Trade Facilitation and Agriculture Sector Performance in Sub-Saharan Africa: Insightful Policy Implications for Economic Sustainability","volume":"10","author":[{"family":"Ibrahim","given":"Ridwan L."},{"family":"Yu","given":"Zhang"},{"family":"Hassan","given":"Shafiqul"},{"family":"Ajide","given":"Kazeem B."},{"family":"Tanveer","given":"Muhammad"},{"family":"Khan","given":"Abdul R."}],"issued":{"date-parts":[["2022"]]}}}],"schema":"https://github.com/citation-style-language/schema/raw/master/csl-citation.json"} </w:instrText>
      </w:r>
      <w:r w:rsidR="00870443">
        <w:rPr>
          <w:rFonts w:ascii="Times New Roman" w:hAnsi="Times New Roman" w:cs="Times New Roman"/>
        </w:rPr>
        <w:fldChar w:fldCharType="separate"/>
      </w:r>
      <w:r w:rsidR="00870443" w:rsidRPr="00870443">
        <w:rPr>
          <w:rFonts w:ascii="Times New Roman" w:hAnsi="Times New Roman" w:cs="Times New Roman"/>
        </w:rPr>
        <w:t>(Haile et al., 2025; Ibrahim et al., 2022)</w:t>
      </w:r>
      <w:r w:rsidR="00870443">
        <w:rPr>
          <w:rFonts w:ascii="Times New Roman" w:hAnsi="Times New Roman" w:cs="Times New Roman"/>
        </w:rPr>
        <w:fldChar w:fldCharType="end"/>
      </w:r>
      <w:r w:rsidRPr="00B21426">
        <w:rPr>
          <w:rFonts w:ascii="Times New Roman" w:hAnsi="Times New Roman" w:cs="Times New Roman"/>
        </w:rPr>
        <w:t>. This map of availability is shown separately for the Z-score and NPL model samples, in accordance with the different temporal range considered in Section 3.3.</w:t>
      </w:r>
    </w:p>
    <w:p w14:paraId="75A55283" w14:textId="1A56AB9F" w:rsidR="00B21426" w:rsidRDefault="00B21426" w:rsidP="00C44A63">
      <w:pPr>
        <w:spacing w:line="360" w:lineRule="auto"/>
        <w:jc w:val="both"/>
        <w:rPr>
          <w:rFonts w:ascii="Times New Roman" w:hAnsi="Times New Roman" w:cs="Times New Roman"/>
        </w:rPr>
      </w:pPr>
      <w:r w:rsidRPr="00B21426">
        <w:rPr>
          <w:rFonts w:ascii="Times New Roman" w:hAnsi="Times New Roman" w:cs="Times New Roman"/>
        </w:rPr>
        <w:t xml:space="preserve">The final usable dataset (cleaned, </w:t>
      </w:r>
      <w:proofErr w:type="spellStart"/>
      <w:r w:rsidRPr="00B21426">
        <w:rPr>
          <w:rFonts w:ascii="Times New Roman" w:hAnsi="Times New Roman" w:cs="Times New Roman"/>
        </w:rPr>
        <w:t>harmonised</w:t>
      </w:r>
      <w:proofErr w:type="spellEnd"/>
      <w:r w:rsidRPr="00B21426">
        <w:rPr>
          <w:rFonts w:ascii="Times New Roman" w:hAnsi="Times New Roman" w:cs="Times New Roman"/>
        </w:rPr>
        <w:t>, excluded, missing values) contains the most country-year observations for which all the necessary variables (dependent, independent and control) are available. For each model specification, the number of usable observations, as well as the number of countries and the actual time period for which observations are reported, are provided to allow judgments to be made about degrees of freedom and the statistical power of the empirical estimates</w:t>
      </w:r>
      <w:r w:rsidR="00870443">
        <w:rPr>
          <w:rFonts w:ascii="Times New Roman" w:hAnsi="Times New Roman" w:cs="Times New Roman"/>
        </w:rPr>
        <w:t xml:space="preserve"> </w:t>
      </w:r>
      <w:r w:rsidR="00870443">
        <w:rPr>
          <w:rFonts w:ascii="Times New Roman" w:hAnsi="Times New Roman" w:cs="Times New Roman"/>
        </w:rPr>
        <w:fldChar w:fldCharType="begin"/>
      </w:r>
      <w:r w:rsidR="00870443">
        <w:rPr>
          <w:rFonts w:ascii="Times New Roman" w:hAnsi="Times New Roman" w:cs="Times New Roman"/>
        </w:rPr>
        <w:instrText xml:space="preserve"> ADDIN ZOTERO_ITEM CSL_CITATION {"citationID":"bPzzPJt2","properties":{"formattedCitation":"(Khan et al., 2021; Lestari et al., 2023)","plainCitation":"(Khan et al., 2021; Lestari et al., 2023)","noteIndex":0},"citationItems":[{"id":115,"uris":["http://zotero.org/users/local/VAqELCal/items/ZAXJ5G2A"],"itemData":{"id":115,"type":"article-journal","container-title":"Frontiers in Environmental Science","DOI":"10.3389/fenvs.2021.729922","journalAbbreviation":"Frontiers in Environmental Science","title":"Financial Innovation, Sustainable Economic Growth, and Credit Risk: A Case of the ASEAN Banking Sector","volume":"9","author":[{"family":"Khan","given":"Ali B."},{"family":"Fareed","given":"Muhammad"},{"family":"Salameh","given":"Anas A."},{"family":"Hussain","given":"Haroon"}],"issued":{"date-parts":[["2021"]]}}},{"id":28,"uris":["http://zotero.org/users/local/VAqELCal/items/QQDPZLN2"],"itemData":{"id":28,"type":"article-journal","container-title":"Studies in Economics and Finance","DOI":"10.1108/sef-12-2022-0554","issue":"4","journalAbbreviation":"Studies in Economics and Finance","page":"606-624","title":"Enhancing Bank Stability From Diversification and Digitalization Perspective in ASEAN","volume":"40","author":[{"family":"Lestari","given":"Diyan"},{"family":"Ma","given":"Shiguang"},{"family":"Jun","given":"Aelee"}],"issued":{"date-parts":[["2023"]]}}}],"schema":"https://github.com/citation-style-language/schema/raw/master/csl-citation.json"} </w:instrText>
      </w:r>
      <w:r w:rsidR="00870443">
        <w:rPr>
          <w:rFonts w:ascii="Times New Roman" w:hAnsi="Times New Roman" w:cs="Times New Roman"/>
        </w:rPr>
        <w:fldChar w:fldCharType="separate"/>
      </w:r>
      <w:r w:rsidR="00870443" w:rsidRPr="00870443">
        <w:rPr>
          <w:rFonts w:ascii="Times New Roman" w:hAnsi="Times New Roman" w:cs="Times New Roman"/>
        </w:rPr>
        <w:t>(Khan et al., 2021; Lestari et al., 2023)</w:t>
      </w:r>
      <w:r w:rsidR="00870443">
        <w:rPr>
          <w:rFonts w:ascii="Times New Roman" w:hAnsi="Times New Roman" w:cs="Times New Roman"/>
        </w:rPr>
        <w:fldChar w:fldCharType="end"/>
      </w:r>
      <w:r w:rsidRPr="00B21426">
        <w:rPr>
          <w:rFonts w:ascii="Times New Roman" w:hAnsi="Times New Roman" w:cs="Times New Roman"/>
        </w:rPr>
        <w:t>. This careful record keeping of the data architecture guarantees that the empirical results of the study are rooted in verifiable, transparent and replicable data procedures and increases the credibility of the research.</w:t>
      </w:r>
    </w:p>
    <w:p w14:paraId="600699FD" w14:textId="77777777" w:rsidR="008F5919" w:rsidRDefault="008F5919" w:rsidP="00C44A63">
      <w:pPr>
        <w:spacing w:line="360" w:lineRule="auto"/>
        <w:jc w:val="both"/>
        <w:rPr>
          <w:rFonts w:ascii="Times New Roman" w:hAnsi="Times New Roman" w:cs="Times New Roman"/>
        </w:rPr>
      </w:pPr>
    </w:p>
    <w:p w14:paraId="758C376C" w14:textId="77777777" w:rsidR="008F5919" w:rsidRDefault="008F5919" w:rsidP="00C44A63">
      <w:pPr>
        <w:spacing w:line="360" w:lineRule="auto"/>
        <w:jc w:val="both"/>
        <w:rPr>
          <w:rFonts w:ascii="Times New Roman" w:hAnsi="Times New Roman" w:cs="Times New Roman"/>
        </w:rPr>
      </w:pPr>
    </w:p>
    <w:p w14:paraId="1CDBA900" w14:textId="77777777" w:rsidR="000B7447" w:rsidRDefault="000B7447">
      <w:pPr>
        <w:rPr>
          <w:rFonts w:ascii="Times New Roman" w:eastAsiaTheme="majorEastAsia" w:hAnsi="Times New Roman" w:cs="Times New Roman"/>
          <w:b/>
          <w:bCs/>
          <w:color w:val="2F5496" w:themeColor="accent1" w:themeShade="BF"/>
          <w:sz w:val="32"/>
          <w:szCs w:val="32"/>
        </w:rPr>
      </w:pPr>
      <w:r>
        <w:rPr>
          <w:rFonts w:ascii="Times New Roman" w:hAnsi="Times New Roman" w:cs="Times New Roman"/>
          <w:b/>
          <w:bCs/>
          <w:sz w:val="32"/>
          <w:szCs w:val="32"/>
        </w:rPr>
        <w:br w:type="page"/>
      </w:r>
    </w:p>
    <w:p w14:paraId="1F617F19" w14:textId="43F804C4" w:rsidR="008F5919" w:rsidRDefault="000B7447" w:rsidP="000B7447">
      <w:pPr>
        <w:pStyle w:val="Heading1"/>
        <w:jc w:val="center"/>
        <w:rPr>
          <w:rFonts w:ascii="Times New Roman" w:hAnsi="Times New Roman" w:cs="Times New Roman"/>
          <w:b/>
          <w:bCs/>
          <w:sz w:val="32"/>
          <w:szCs w:val="32"/>
        </w:rPr>
      </w:pPr>
      <w:bookmarkStart w:id="83" w:name="_Toc235530911"/>
      <w:r w:rsidRPr="000B7447">
        <w:rPr>
          <w:rFonts w:ascii="Times New Roman" w:hAnsi="Times New Roman" w:cs="Times New Roman"/>
          <w:b/>
          <w:bCs/>
          <w:sz w:val="32"/>
          <w:szCs w:val="32"/>
        </w:rPr>
        <w:lastRenderedPageBreak/>
        <w:t>CHAPTER 4: RESULTS</w:t>
      </w:r>
      <w:bookmarkEnd w:id="83"/>
    </w:p>
    <w:p w14:paraId="49939E51" w14:textId="77777777" w:rsidR="000B7447" w:rsidRDefault="000B7447" w:rsidP="000B7447"/>
    <w:p w14:paraId="5EF5F2B3" w14:textId="2594692D" w:rsidR="000B7447" w:rsidRP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 xml:space="preserve">This section presents empirical results based on the baseline </w:t>
      </w:r>
      <w:proofErr w:type="gramStart"/>
      <w:r w:rsidRPr="000B7447">
        <w:rPr>
          <w:rFonts w:ascii="Times New Roman" w:hAnsi="Times New Roman" w:cs="Times New Roman"/>
        </w:rPr>
        <w:t>GARCH(</w:t>
      </w:r>
      <w:proofErr w:type="gramEnd"/>
      <w:r w:rsidRPr="000B7447">
        <w:rPr>
          <w:rFonts w:ascii="Times New Roman" w:hAnsi="Times New Roman" w:cs="Times New Roman"/>
        </w:rPr>
        <w:t xml:space="preserve">1,1) inflation-volatility series and on the banking-stability outcome of the Bank Z-score. According to the new approach, results are presented in the light of simple panel-models: descriptives, diagnostic tests, Fixed Effects and Random Effects estimates, Hausman-test selection, robustness tests and controlled specifications. </w:t>
      </w:r>
    </w:p>
    <w:p w14:paraId="1C6CA422" w14:textId="77777777" w:rsidR="000B7447" w:rsidRPr="000B7447" w:rsidRDefault="000B7447" w:rsidP="000B7447">
      <w:pPr>
        <w:pStyle w:val="Heading2"/>
        <w:rPr>
          <w:rFonts w:ascii="Times New Roman" w:hAnsi="Times New Roman" w:cs="Times New Roman"/>
          <w:b/>
          <w:bCs/>
          <w:sz w:val="28"/>
          <w:szCs w:val="28"/>
        </w:rPr>
      </w:pPr>
      <w:bookmarkStart w:id="84" w:name="_Toc235530912"/>
      <w:r w:rsidRPr="000B7447">
        <w:rPr>
          <w:rFonts w:ascii="Times New Roman" w:hAnsi="Times New Roman" w:cs="Times New Roman"/>
          <w:b/>
          <w:bCs/>
          <w:sz w:val="28"/>
          <w:szCs w:val="28"/>
        </w:rPr>
        <w:t>4.1 Sample profile and descriptive behavior</w:t>
      </w:r>
      <w:bookmarkEnd w:id="84"/>
    </w:p>
    <w:p w14:paraId="0EE15D6F" w14:textId="77777777" w:rsid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 xml:space="preserve">The final empirical sample is composed of the observations in which the </w:t>
      </w:r>
      <w:proofErr w:type="gramStart"/>
      <w:r w:rsidRPr="000B7447">
        <w:rPr>
          <w:rFonts w:ascii="Times New Roman" w:hAnsi="Times New Roman" w:cs="Times New Roman"/>
        </w:rPr>
        <w:t>GARCH(</w:t>
      </w:r>
      <w:proofErr w:type="gramEnd"/>
      <w:r w:rsidRPr="000B7447">
        <w:rPr>
          <w:rFonts w:ascii="Times New Roman" w:hAnsi="Times New Roman" w:cs="Times New Roman"/>
        </w:rPr>
        <w:t>1,1) inflation-volatility series and Bank z-score coincide. The broadest Z-score linkage comprises 816 country-year observations between 2000 and 2021, for 44 countries. This Bank Z-score sample provides the baseline panel used for Panel Models 1-3. The controlled panel models use smaller samples due to the need of the variables GDP growth, real interest rate and other controls.</w:t>
      </w:r>
    </w:p>
    <w:p w14:paraId="007EA517" w14:textId="77777777" w:rsidR="000B7447" w:rsidRDefault="000B7447" w:rsidP="000B7447">
      <w:pPr>
        <w:keepNext/>
        <w:spacing w:after="60"/>
        <w:rPr>
          <w:rFonts w:ascii="Times New Roman" w:hAnsi="Times New Roman" w:cs="Times New Roman"/>
          <w:b/>
          <w:iCs/>
        </w:rPr>
      </w:pPr>
      <w:r w:rsidRPr="000B7447">
        <w:rPr>
          <w:rFonts w:ascii="Times New Roman" w:hAnsi="Times New Roman" w:cs="Times New Roman"/>
          <w:b/>
          <w:iCs/>
        </w:rPr>
        <w:t>Table 4.1. Final country-year coverage by estimation sample.</w:t>
      </w:r>
    </w:p>
    <w:tbl>
      <w:tblPr>
        <w:tblStyle w:val="GridTable4-Accent1"/>
        <w:tblW w:w="0" w:type="auto"/>
        <w:tblLook w:val="04A0" w:firstRow="1" w:lastRow="0" w:firstColumn="1" w:lastColumn="0" w:noHBand="0" w:noVBand="1"/>
      </w:tblPr>
      <w:tblGrid>
        <w:gridCol w:w="1110"/>
        <w:gridCol w:w="1325"/>
        <w:gridCol w:w="1230"/>
        <w:gridCol w:w="1577"/>
        <w:gridCol w:w="968"/>
        <w:gridCol w:w="965"/>
        <w:gridCol w:w="938"/>
        <w:gridCol w:w="1237"/>
      </w:tblGrid>
      <w:tr w:rsidR="000B7447" w:rsidRPr="000B7447" w14:paraId="4F1DDA21" w14:textId="77777777" w:rsidTr="000B74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hideMark/>
          </w:tcPr>
          <w:p w14:paraId="2BB28293" w14:textId="77777777" w:rsidR="000B7447" w:rsidRPr="000B7447" w:rsidRDefault="000B7447" w:rsidP="00361008">
            <w:pPr>
              <w:spacing w:after="160" w:line="278" w:lineRule="auto"/>
              <w:rPr>
                <w:rFonts w:ascii="Times New Roman" w:hAnsi="Times New Roman" w:cs="Times New Roman"/>
              </w:rPr>
            </w:pPr>
            <w:r w:rsidRPr="000B7447">
              <w:rPr>
                <w:rFonts w:ascii="Times New Roman" w:hAnsi="Times New Roman" w:cs="Times New Roman"/>
              </w:rPr>
              <w:t>Sample</w:t>
            </w:r>
          </w:p>
        </w:tc>
        <w:tc>
          <w:tcPr>
            <w:tcW w:w="1326" w:type="dxa"/>
            <w:hideMark/>
          </w:tcPr>
          <w:p w14:paraId="7A480CC7" w14:textId="77777777" w:rsidR="000B7447" w:rsidRPr="000B7447" w:rsidRDefault="000B744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Dependent variable support</w:t>
            </w:r>
          </w:p>
        </w:tc>
        <w:tc>
          <w:tcPr>
            <w:tcW w:w="1209" w:type="dxa"/>
            <w:hideMark/>
          </w:tcPr>
          <w:p w14:paraId="391F2428" w14:textId="77777777" w:rsidR="000B7447" w:rsidRPr="000B7447" w:rsidRDefault="000B744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Countries</w:t>
            </w:r>
          </w:p>
        </w:tc>
        <w:tc>
          <w:tcPr>
            <w:tcW w:w="1531" w:type="dxa"/>
            <w:hideMark/>
          </w:tcPr>
          <w:p w14:paraId="7ABAE1BA" w14:textId="77777777" w:rsidR="000B7447" w:rsidRPr="000B7447" w:rsidRDefault="000B744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Observations</w:t>
            </w:r>
          </w:p>
        </w:tc>
        <w:tc>
          <w:tcPr>
            <w:tcW w:w="988" w:type="dxa"/>
            <w:hideMark/>
          </w:tcPr>
          <w:p w14:paraId="6E729C8C" w14:textId="77777777" w:rsidR="000B7447" w:rsidRPr="000B7447" w:rsidRDefault="000B744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Start</w:t>
            </w:r>
          </w:p>
        </w:tc>
        <w:tc>
          <w:tcPr>
            <w:tcW w:w="988" w:type="dxa"/>
            <w:hideMark/>
          </w:tcPr>
          <w:p w14:paraId="3DEC89FD" w14:textId="77777777" w:rsidR="000B7447" w:rsidRPr="000B7447" w:rsidRDefault="000B744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End</w:t>
            </w:r>
          </w:p>
        </w:tc>
        <w:tc>
          <w:tcPr>
            <w:tcW w:w="961" w:type="dxa"/>
            <w:hideMark/>
          </w:tcPr>
          <w:p w14:paraId="367694BD" w14:textId="77777777" w:rsidR="000B7447" w:rsidRPr="000B7447" w:rsidRDefault="000B744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Avg. T</w:t>
            </w:r>
          </w:p>
        </w:tc>
        <w:tc>
          <w:tcPr>
            <w:tcW w:w="1241" w:type="dxa"/>
            <w:hideMark/>
          </w:tcPr>
          <w:p w14:paraId="7E34EABA" w14:textId="77777777" w:rsidR="000B7447" w:rsidRPr="000B7447" w:rsidRDefault="000B744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Primary use</w:t>
            </w:r>
          </w:p>
        </w:tc>
      </w:tr>
      <w:tr w:rsidR="000B7447" w:rsidRPr="000B7447" w14:paraId="7A916F87" w14:textId="77777777" w:rsidTr="000B74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hideMark/>
          </w:tcPr>
          <w:p w14:paraId="474607DE" w14:textId="77777777" w:rsidR="000B7447" w:rsidRPr="000B7447" w:rsidRDefault="000B7447" w:rsidP="00361008">
            <w:pPr>
              <w:spacing w:after="160" w:line="278" w:lineRule="auto"/>
              <w:rPr>
                <w:rFonts w:ascii="Times New Roman" w:hAnsi="Times New Roman" w:cs="Times New Roman"/>
              </w:rPr>
            </w:pPr>
            <w:r w:rsidRPr="000B7447">
              <w:rPr>
                <w:rFonts w:ascii="Times New Roman" w:hAnsi="Times New Roman" w:cs="Times New Roman"/>
              </w:rPr>
              <w:t>GARCH + Bank Z-score pair</w:t>
            </w:r>
          </w:p>
        </w:tc>
        <w:tc>
          <w:tcPr>
            <w:tcW w:w="1326" w:type="dxa"/>
            <w:hideMark/>
          </w:tcPr>
          <w:p w14:paraId="64A8AE5B"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Bank Z-score</w:t>
            </w:r>
          </w:p>
        </w:tc>
        <w:tc>
          <w:tcPr>
            <w:tcW w:w="1209" w:type="dxa"/>
            <w:hideMark/>
          </w:tcPr>
          <w:p w14:paraId="3635C9AD"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44</w:t>
            </w:r>
          </w:p>
        </w:tc>
        <w:tc>
          <w:tcPr>
            <w:tcW w:w="1531" w:type="dxa"/>
            <w:hideMark/>
          </w:tcPr>
          <w:p w14:paraId="4886CBE9"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816</w:t>
            </w:r>
          </w:p>
        </w:tc>
        <w:tc>
          <w:tcPr>
            <w:tcW w:w="988" w:type="dxa"/>
            <w:hideMark/>
          </w:tcPr>
          <w:p w14:paraId="76499038"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2000</w:t>
            </w:r>
          </w:p>
        </w:tc>
        <w:tc>
          <w:tcPr>
            <w:tcW w:w="988" w:type="dxa"/>
            <w:hideMark/>
          </w:tcPr>
          <w:p w14:paraId="7F2EA7BB"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2021</w:t>
            </w:r>
          </w:p>
        </w:tc>
        <w:tc>
          <w:tcPr>
            <w:tcW w:w="961" w:type="dxa"/>
            <w:hideMark/>
          </w:tcPr>
          <w:p w14:paraId="3BE5A6A6"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18.5</w:t>
            </w:r>
          </w:p>
        </w:tc>
        <w:tc>
          <w:tcPr>
            <w:tcW w:w="1241" w:type="dxa"/>
            <w:hideMark/>
          </w:tcPr>
          <w:p w14:paraId="7436EF90"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Main Z-score coverage</w:t>
            </w:r>
          </w:p>
        </w:tc>
      </w:tr>
      <w:tr w:rsidR="000B7447" w:rsidRPr="000B7447" w14:paraId="4EE82F84" w14:textId="77777777" w:rsidTr="000B7447">
        <w:tc>
          <w:tcPr>
            <w:cnfStyle w:val="001000000000" w:firstRow="0" w:lastRow="0" w:firstColumn="1" w:lastColumn="0" w:oddVBand="0" w:evenVBand="0" w:oddHBand="0" w:evenHBand="0" w:firstRowFirstColumn="0" w:firstRowLastColumn="0" w:lastRowFirstColumn="0" w:lastRowLastColumn="0"/>
            <w:tcW w:w="1106" w:type="dxa"/>
            <w:hideMark/>
          </w:tcPr>
          <w:p w14:paraId="387096F0" w14:textId="77777777" w:rsidR="000B7447" w:rsidRPr="000B7447" w:rsidRDefault="000B7447" w:rsidP="00361008">
            <w:pPr>
              <w:spacing w:after="160" w:line="278" w:lineRule="auto"/>
              <w:rPr>
                <w:rFonts w:ascii="Times New Roman" w:hAnsi="Times New Roman" w:cs="Times New Roman"/>
              </w:rPr>
            </w:pPr>
            <w:r w:rsidRPr="000B7447">
              <w:rPr>
                <w:rFonts w:ascii="Times New Roman" w:hAnsi="Times New Roman" w:cs="Times New Roman"/>
              </w:rPr>
              <w:t>GARCH + NPL pair</w:t>
            </w:r>
          </w:p>
        </w:tc>
        <w:tc>
          <w:tcPr>
            <w:tcW w:w="1326" w:type="dxa"/>
            <w:hideMark/>
          </w:tcPr>
          <w:p w14:paraId="525B49A2" w14:textId="77777777" w:rsidR="000B7447" w:rsidRPr="000B7447" w:rsidRDefault="000B744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NPL ratio</w:t>
            </w:r>
          </w:p>
        </w:tc>
        <w:tc>
          <w:tcPr>
            <w:tcW w:w="1209" w:type="dxa"/>
            <w:hideMark/>
          </w:tcPr>
          <w:p w14:paraId="13249A88" w14:textId="77777777" w:rsidR="000B7447" w:rsidRPr="000B7447" w:rsidRDefault="000B744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34</w:t>
            </w:r>
          </w:p>
        </w:tc>
        <w:tc>
          <w:tcPr>
            <w:tcW w:w="1531" w:type="dxa"/>
            <w:hideMark/>
          </w:tcPr>
          <w:p w14:paraId="7E48FC3D" w14:textId="77777777" w:rsidR="000B7447" w:rsidRPr="000B7447" w:rsidRDefault="000B744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446</w:t>
            </w:r>
          </w:p>
        </w:tc>
        <w:tc>
          <w:tcPr>
            <w:tcW w:w="988" w:type="dxa"/>
            <w:hideMark/>
          </w:tcPr>
          <w:p w14:paraId="5101B023" w14:textId="77777777" w:rsidR="000B7447" w:rsidRPr="000B7447" w:rsidRDefault="000B744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2005</w:t>
            </w:r>
          </w:p>
        </w:tc>
        <w:tc>
          <w:tcPr>
            <w:tcW w:w="988" w:type="dxa"/>
            <w:hideMark/>
          </w:tcPr>
          <w:p w14:paraId="48CF11D8" w14:textId="77777777" w:rsidR="000B7447" w:rsidRPr="000B7447" w:rsidRDefault="000B744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2023</w:t>
            </w:r>
          </w:p>
        </w:tc>
        <w:tc>
          <w:tcPr>
            <w:tcW w:w="961" w:type="dxa"/>
            <w:hideMark/>
          </w:tcPr>
          <w:p w14:paraId="4AEC7139" w14:textId="77777777" w:rsidR="000B7447" w:rsidRPr="000B7447" w:rsidRDefault="000B744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13.1</w:t>
            </w:r>
          </w:p>
        </w:tc>
        <w:tc>
          <w:tcPr>
            <w:tcW w:w="1241" w:type="dxa"/>
            <w:hideMark/>
          </w:tcPr>
          <w:p w14:paraId="6BC064CE" w14:textId="77777777" w:rsidR="000B7447" w:rsidRPr="000B7447" w:rsidRDefault="000B744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Main NPL coverage</w:t>
            </w:r>
          </w:p>
        </w:tc>
      </w:tr>
      <w:tr w:rsidR="000B7447" w:rsidRPr="000B7447" w14:paraId="31638616" w14:textId="77777777" w:rsidTr="000B74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hideMark/>
          </w:tcPr>
          <w:p w14:paraId="3C73BE62" w14:textId="77777777" w:rsidR="000B7447" w:rsidRPr="000B7447" w:rsidRDefault="000B7447" w:rsidP="00361008">
            <w:pPr>
              <w:spacing w:after="160" w:line="278" w:lineRule="auto"/>
              <w:rPr>
                <w:rFonts w:ascii="Times New Roman" w:hAnsi="Times New Roman" w:cs="Times New Roman"/>
              </w:rPr>
            </w:pPr>
            <w:r w:rsidRPr="000B7447">
              <w:rPr>
                <w:rFonts w:ascii="Times New Roman" w:hAnsi="Times New Roman" w:cs="Times New Roman"/>
              </w:rPr>
              <w:t>GARCH + Z-score + NPL</w:t>
            </w:r>
          </w:p>
        </w:tc>
        <w:tc>
          <w:tcPr>
            <w:tcW w:w="1326" w:type="dxa"/>
            <w:hideMark/>
          </w:tcPr>
          <w:p w14:paraId="3F5B90DD"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Both banking indicators</w:t>
            </w:r>
          </w:p>
        </w:tc>
        <w:tc>
          <w:tcPr>
            <w:tcW w:w="1209" w:type="dxa"/>
            <w:hideMark/>
          </w:tcPr>
          <w:p w14:paraId="36D15144"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31</w:t>
            </w:r>
          </w:p>
        </w:tc>
        <w:tc>
          <w:tcPr>
            <w:tcW w:w="1531" w:type="dxa"/>
            <w:hideMark/>
          </w:tcPr>
          <w:p w14:paraId="17277586"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324</w:t>
            </w:r>
          </w:p>
        </w:tc>
        <w:tc>
          <w:tcPr>
            <w:tcW w:w="988" w:type="dxa"/>
            <w:hideMark/>
          </w:tcPr>
          <w:p w14:paraId="5FD444A8"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2005</w:t>
            </w:r>
          </w:p>
        </w:tc>
        <w:tc>
          <w:tcPr>
            <w:tcW w:w="988" w:type="dxa"/>
            <w:hideMark/>
          </w:tcPr>
          <w:p w14:paraId="6D5ADCF6"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2021</w:t>
            </w:r>
          </w:p>
        </w:tc>
        <w:tc>
          <w:tcPr>
            <w:tcW w:w="961" w:type="dxa"/>
            <w:hideMark/>
          </w:tcPr>
          <w:p w14:paraId="51DBB3D7"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10.5</w:t>
            </w:r>
          </w:p>
        </w:tc>
        <w:tc>
          <w:tcPr>
            <w:tcW w:w="1241" w:type="dxa"/>
            <w:hideMark/>
          </w:tcPr>
          <w:p w14:paraId="748F1D4A"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Core connected sample</w:t>
            </w:r>
          </w:p>
        </w:tc>
      </w:tr>
    </w:tbl>
    <w:p w14:paraId="08136F8A" w14:textId="77777777" w:rsidR="00E45C03" w:rsidRPr="00E45C03" w:rsidRDefault="000B7447" w:rsidP="00E45C03">
      <w:pPr>
        <w:rPr>
          <w:rFonts w:ascii="Times New Roman" w:hAnsi="Times New Roman" w:cs="Times New Roman"/>
          <w:iCs/>
          <w:sz w:val="22"/>
          <w:szCs w:val="22"/>
        </w:rPr>
      </w:pPr>
      <w:r w:rsidRPr="00E45C03">
        <w:rPr>
          <w:rFonts w:ascii="Times New Roman" w:hAnsi="Times New Roman" w:cs="Times New Roman"/>
          <w:iCs/>
          <w:sz w:val="22"/>
          <w:szCs w:val="22"/>
        </w:rPr>
        <w:t>Note. The Z-score and NPL pairwise samples use maximum available coverage. The three-way sample is used where all three variables must be connected directly.</w:t>
      </w:r>
    </w:p>
    <w:p w14:paraId="6BDCB678" w14:textId="77777777" w:rsidR="00E45C03" w:rsidRDefault="00E45C03" w:rsidP="00E45C03">
      <w:pPr>
        <w:rPr>
          <w:rFonts w:ascii="Times New Roman" w:hAnsi="Times New Roman" w:cs="Times New Roman"/>
        </w:rPr>
      </w:pPr>
    </w:p>
    <w:p w14:paraId="76CA1DD3" w14:textId="6CAAB488" w:rsidR="000B7447" w:rsidRPr="00E45C03" w:rsidRDefault="000B7447" w:rsidP="00E45C03">
      <w:pPr>
        <w:rPr>
          <w:rFonts w:ascii="Times New Roman" w:hAnsi="Times New Roman" w:cs="Times New Roman"/>
          <w:iCs/>
        </w:rPr>
      </w:pPr>
      <w:r w:rsidRPr="000B7447">
        <w:rPr>
          <w:rFonts w:ascii="Times New Roman" w:hAnsi="Times New Roman" w:cs="Times New Roman"/>
        </w:rPr>
        <w:lastRenderedPageBreak/>
        <w:t xml:space="preserve">There is significant inter-country variance in the descriptive statistics. Average GARCH volatility in the three-way sample is 8.03 but is highly right skewed due to some countries with very short spells of high inflation uncertainty. Average distance from insolvency (Bank Z score) equals 17.36, and average non-performing loans (NPL) equals 7.92 percent. This distribution of the </w:t>
      </w:r>
      <w:proofErr w:type="spellStart"/>
      <w:r w:rsidRPr="000B7447">
        <w:rPr>
          <w:rFonts w:ascii="Times New Roman" w:hAnsi="Times New Roman" w:cs="Times New Roman"/>
        </w:rPr>
        <w:t>Zscores</w:t>
      </w:r>
      <w:proofErr w:type="spellEnd"/>
      <w:r w:rsidRPr="000B7447">
        <w:rPr>
          <w:rFonts w:ascii="Times New Roman" w:hAnsi="Times New Roman" w:cs="Times New Roman"/>
        </w:rPr>
        <w:t xml:space="preserve"> is also right-skewed, indicating that a number of countries have significantly higher measures of solvency than the average of this group. Regionally, the three-way sample contains 24 African countries and 7 South Asian countries. The comparison of the average GARCH volatility, and NPL ratios across African observations indicate that the average values of these variables are slightly higher for the former relative to the latter, while the average Z-score across South Asian observations is slightly higher than that for their African counterparts. This is the contrast that is important to consider because inflation flexibility does not work in a comparable banking </w:t>
      </w:r>
      <w:proofErr w:type="gramStart"/>
      <w:r w:rsidRPr="000B7447">
        <w:rPr>
          <w:rFonts w:ascii="Times New Roman" w:hAnsi="Times New Roman" w:cs="Times New Roman"/>
        </w:rPr>
        <w:t>environments</w:t>
      </w:r>
      <w:proofErr w:type="gramEnd"/>
      <w:r w:rsidRPr="000B7447">
        <w:rPr>
          <w:rFonts w:ascii="Times New Roman" w:hAnsi="Times New Roman" w:cs="Times New Roman"/>
        </w:rPr>
        <w:t xml:space="preserve">.    </w:t>
      </w:r>
    </w:p>
    <w:p w14:paraId="514B931C" w14:textId="77777777" w:rsidR="000B7447" w:rsidRPr="000B7447" w:rsidRDefault="000B7447" w:rsidP="000B7447">
      <w:pPr>
        <w:keepNext/>
        <w:spacing w:after="60"/>
        <w:rPr>
          <w:rFonts w:ascii="Times New Roman" w:hAnsi="Times New Roman" w:cs="Times New Roman"/>
          <w:iCs/>
        </w:rPr>
      </w:pPr>
      <w:r w:rsidRPr="000B7447">
        <w:rPr>
          <w:rFonts w:ascii="Times New Roman" w:hAnsi="Times New Roman" w:cs="Times New Roman"/>
          <w:b/>
          <w:iCs/>
        </w:rPr>
        <w:t>Table 4.2. Descriptive statistics for the core three-way sample.</w:t>
      </w:r>
    </w:p>
    <w:tbl>
      <w:tblPr>
        <w:tblStyle w:val="GridTable4-Accent1"/>
        <w:tblW w:w="0" w:type="auto"/>
        <w:tblLook w:val="04A0" w:firstRow="1" w:lastRow="0" w:firstColumn="1" w:lastColumn="0" w:noHBand="0" w:noVBand="1"/>
      </w:tblPr>
      <w:tblGrid>
        <w:gridCol w:w="1124"/>
        <w:gridCol w:w="901"/>
        <w:gridCol w:w="1018"/>
        <w:gridCol w:w="1058"/>
        <w:gridCol w:w="972"/>
        <w:gridCol w:w="972"/>
        <w:gridCol w:w="1018"/>
        <w:gridCol w:w="1190"/>
        <w:gridCol w:w="1097"/>
      </w:tblGrid>
      <w:tr w:rsidR="000B7447" w:rsidRPr="000B7447" w14:paraId="7C611569" w14:textId="77777777" w:rsidTr="000B74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dxa"/>
            <w:hideMark/>
          </w:tcPr>
          <w:p w14:paraId="69E9B353" w14:textId="77777777" w:rsidR="000B7447" w:rsidRPr="000B7447" w:rsidRDefault="000B7447" w:rsidP="00361008">
            <w:pPr>
              <w:spacing w:after="160" w:line="278" w:lineRule="auto"/>
              <w:rPr>
                <w:rFonts w:ascii="Times New Roman" w:hAnsi="Times New Roman" w:cs="Times New Roman"/>
              </w:rPr>
            </w:pPr>
            <w:r w:rsidRPr="000B7447">
              <w:rPr>
                <w:rFonts w:ascii="Times New Roman" w:hAnsi="Times New Roman" w:cs="Times New Roman"/>
              </w:rPr>
              <w:t>Variable</w:t>
            </w:r>
          </w:p>
        </w:tc>
        <w:tc>
          <w:tcPr>
            <w:tcW w:w="919" w:type="dxa"/>
            <w:hideMark/>
          </w:tcPr>
          <w:p w14:paraId="459171E3" w14:textId="77777777" w:rsidR="000B7447" w:rsidRPr="000B7447" w:rsidRDefault="000B744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N</w:t>
            </w:r>
          </w:p>
        </w:tc>
        <w:tc>
          <w:tcPr>
            <w:tcW w:w="1026" w:type="dxa"/>
            <w:hideMark/>
          </w:tcPr>
          <w:p w14:paraId="77CAD92B" w14:textId="77777777" w:rsidR="000B7447" w:rsidRPr="000B7447" w:rsidRDefault="000B744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Mean</w:t>
            </w:r>
          </w:p>
        </w:tc>
        <w:tc>
          <w:tcPr>
            <w:tcW w:w="1061" w:type="dxa"/>
            <w:hideMark/>
          </w:tcPr>
          <w:p w14:paraId="3BFA404E" w14:textId="77777777" w:rsidR="000B7447" w:rsidRPr="000B7447" w:rsidRDefault="000B744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Median</w:t>
            </w:r>
          </w:p>
        </w:tc>
        <w:tc>
          <w:tcPr>
            <w:tcW w:w="984" w:type="dxa"/>
            <w:hideMark/>
          </w:tcPr>
          <w:p w14:paraId="0A81C994" w14:textId="77777777" w:rsidR="000B7447" w:rsidRPr="000B7447" w:rsidRDefault="000B744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SD</w:t>
            </w:r>
          </w:p>
        </w:tc>
        <w:tc>
          <w:tcPr>
            <w:tcW w:w="984" w:type="dxa"/>
            <w:hideMark/>
          </w:tcPr>
          <w:p w14:paraId="301EF30E" w14:textId="77777777" w:rsidR="000B7447" w:rsidRPr="000B7447" w:rsidRDefault="000B744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Min</w:t>
            </w:r>
          </w:p>
        </w:tc>
        <w:tc>
          <w:tcPr>
            <w:tcW w:w="1026" w:type="dxa"/>
            <w:hideMark/>
          </w:tcPr>
          <w:p w14:paraId="2E5F3415" w14:textId="77777777" w:rsidR="000B7447" w:rsidRPr="000B7447" w:rsidRDefault="000B744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Max</w:t>
            </w:r>
          </w:p>
        </w:tc>
        <w:tc>
          <w:tcPr>
            <w:tcW w:w="1178" w:type="dxa"/>
            <w:hideMark/>
          </w:tcPr>
          <w:p w14:paraId="155DD4DC" w14:textId="77777777" w:rsidR="000B7447" w:rsidRPr="000B7447" w:rsidRDefault="000B744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Skewness</w:t>
            </w:r>
          </w:p>
        </w:tc>
        <w:tc>
          <w:tcPr>
            <w:tcW w:w="1074" w:type="dxa"/>
            <w:hideMark/>
          </w:tcPr>
          <w:p w14:paraId="4BBBBD7C" w14:textId="77777777" w:rsidR="000B7447" w:rsidRPr="000B7447" w:rsidRDefault="000B744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Kurtosis</w:t>
            </w:r>
          </w:p>
        </w:tc>
      </w:tr>
      <w:tr w:rsidR="000B7447" w:rsidRPr="000B7447" w14:paraId="08ABDC69" w14:textId="77777777" w:rsidTr="000B74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dxa"/>
            <w:hideMark/>
          </w:tcPr>
          <w:p w14:paraId="337F5568" w14:textId="77777777" w:rsidR="000B7447" w:rsidRPr="000B7447" w:rsidRDefault="000B7447" w:rsidP="00361008">
            <w:pPr>
              <w:spacing w:after="160" w:line="278" w:lineRule="auto"/>
              <w:rPr>
                <w:rFonts w:ascii="Times New Roman" w:hAnsi="Times New Roman" w:cs="Times New Roman"/>
              </w:rPr>
            </w:pPr>
            <w:r w:rsidRPr="000B7447">
              <w:rPr>
                <w:rFonts w:ascii="Times New Roman" w:hAnsi="Times New Roman" w:cs="Times New Roman"/>
              </w:rPr>
              <w:t>GARCH volatility</w:t>
            </w:r>
          </w:p>
        </w:tc>
        <w:tc>
          <w:tcPr>
            <w:tcW w:w="919" w:type="dxa"/>
            <w:hideMark/>
          </w:tcPr>
          <w:p w14:paraId="36FC3ECA"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324</w:t>
            </w:r>
          </w:p>
        </w:tc>
        <w:tc>
          <w:tcPr>
            <w:tcW w:w="1026" w:type="dxa"/>
            <w:hideMark/>
          </w:tcPr>
          <w:p w14:paraId="06019438"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8.031</w:t>
            </w:r>
          </w:p>
        </w:tc>
        <w:tc>
          <w:tcPr>
            <w:tcW w:w="1061" w:type="dxa"/>
            <w:hideMark/>
          </w:tcPr>
          <w:p w14:paraId="059FCABD"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5.730</w:t>
            </w:r>
          </w:p>
        </w:tc>
        <w:tc>
          <w:tcPr>
            <w:tcW w:w="984" w:type="dxa"/>
            <w:hideMark/>
          </w:tcPr>
          <w:p w14:paraId="5E317672"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6.916</w:t>
            </w:r>
          </w:p>
        </w:tc>
        <w:tc>
          <w:tcPr>
            <w:tcW w:w="984" w:type="dxa"/>
            <w:hideMark/>
          </w:tcPr>
          <w:p w14:paraId="2A99DFB0"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1.530</w:t>
            </w:r>
          </w:p>
        </w:tc>
        <w:tc>
          <w:tcPr>
            <w:tcW w:w="1026" w:type="dxa"/>
            <w:hideMark/>
          </w:tcPr>
          <w:p w14:paraId="6C272878"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65.062</w:t>
            </w:r>
          </w:p>
        </w:tc>
        <w:tc>
          <w:tcPr>
            <w:tcW w:w="1178" w:type="dxa"/>
            <w:hideMark/>
          </w:tcPr>
          <w:p w14:paraId="35487303"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3.436</w:t>
            </w:r>
          </w:p>
        </w:tc>
        <w:tc>
          <w:tcPr>
            <w:tcW w:w="1074" w:type="dxa"/>
            <w:hideMark/>
          </w:tcPr>
          <w:p w14:paraId="377117D3"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20.977</w:t>
            </w:r>
          </w:p>
        </w:tc>
      </w:tr>
      <w:tr w:rsidR="000B7447" w:rsidRPr="000B7447" w14:paraId="1F7DC0D0" w14:textId="77777777" w:rsidTr="000B7447">
        <w:tc>
          <w:tcPr>
            <w:cnfStyle w:val="001000000000" w:firstRow="0" w:lastRow="0" w:firstColumn="1" w:lastColumn="0" w:oddVBand="0" w:evenVBand="0" w:oddHBand="0" w:evenHBand="0" w:firstRowFirstColumn="0" w:firstRowLastColumn="0" w:lastRowFirstColumn="0" w:lastRowLastColumn="0"/>
            <w:tcW w:w="1098" w:type="dxa"/>
            <w:hideMark/>
          </w:tcPr>
          <w:p w14:paraId="44336B0E" w14:textId="77777777" w:rsidR="000B7447" w:rsidRPr="000B7447" w:rsidRDefault="000B7447" w:rsidP="00361008">
            <w:pPr>
              <w:spacing w:after="160" w:line="278" w:lineRule="auto"/>
              <w:rPr>
                <w:rFonts w:ascii="Times New Roman" w:hAnsi="Times New Roman" w:cs="Times New Roman"/>
              </w:rPr>
            </w:pPr>
            <w:r w:rsidRPr="000B7447">
              <w:rPr>
                <w:rFonts w:ascii="Times New Roman" w:hAnsi="Times New Roman" w:cs="Times New Roman"/>
              </w:rPr>
              <w:t>Bank Z-score</w:t>
            </w:r>
          </w:p>
        </w:tc>
        <w:tc>
          <w:tcPr>
            <w:tcW w:w="919" w:type="dxa"/>
            <w:hideMark/>
          </w:tcPr>
          <w:p w14:paraId="039ED9CC" w14:textId="77777777" w:rsidR="000B7447" w:rsidRPr="000B7447" w:rsidRDefault="000B744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324</w:t>
            </w:r>
          </w:p>
        </w:tc>
        <w:tc>
          <w:tcPr>
            <w:tcW w:w="1026" w:type="dxa"/>
            <w:hideMark/>
          </w:tcPr>
          <w:p w14:paraId="00161532" w14:textId="77777777" w:rsidR="000B7447" w:rsidRPr="000B7447" w:rsidRDefault="000B744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17.358</w:t>
            </w:r>
          </w:p>
        </w:tc>
        <w:tc>
          <w:tcPr>
            <w:tcW w:w="1061" w:type="dxa"/>
            <w:hideMark/>
          </w:tcPr>
          <w:p w14:paraId="6A37C779" w14:textId="77777777" w:rsidR="000B7447" w:rsidRPr="000B7447" w:rsidRDefault="000B744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15.856</w:t>
            </w:r>
          </w:p>
        </w:tc>
        <w:tc>
          <w:tcPr>
            <w:tcW w:w="984" w:type="dxa"/>
            <w:hideMark/>
          </w:tcPr>
          <w:p w14:paraId="78EC6285" w14:textId="77777777" w:rsidR="000B7447" w:rsidRPr="000B7447" w:rsidRDefault="000B744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7.869</w:t>
            </w:r>
          </w:p>
        </w:tc>
        <w:tc>
          <w:tcPr>
            <w:tcW w:w="984" w:type="dxa"/>
            <w:hideMark/>
          </w:tcPr>
          <w:p w14:paraId="1F8C6F92" w14:textId="77777777" w:rsidR="000B7447" w:rsidRPr="000B7447" w:rsidRDefault="000B744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5.233</w:t>
            </w:r>
          </w:p>
        </w:tc>
        <w:tc>
          <w:tcPr>
            <w:tcW w:w="1026" w:type="dxa"/>
            <w:hideMark/>
          </w:tcPr>
          <w:p w14:paraId="69A0F334" w14:textId="77777777" w:rsidR="000B7447" w:rsidRPr="000B7447" w:rsidRDefault="000B744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44.514</w:t>
            </w:r>
          </w:p>
        </w:tc>
        <w:tc>
          <w:tcPr>
            <w:tcW w:w="1178" w:type="dxa"/>
            <w:hideMark/>
          </w:tcPr>
          <w:p w14:paraId="5E9EF073" w14:textId="77777777" w:rsidR="000B7447" w:rsidRPr="000B7447" w:rsidRDefault="000B744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1.403</w:t>
            </w:r>
          </w:p>
        </w:tc>
        <w:tc>
          <w:tcPr>
            <w:tcW w:w="1074" w:type="dxa"/>
            <w:hideMark/>
          </w:tcPr>
          <w:p w14:paraId="127B4E76" w14:textId="77777777" w:rsidR="000B7447" w:rsidRPr="000B7447" w:rsidRDefault="000B744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2.042</w:t>
            </w:r>
          </w:p>
        </w:tc>
      </w:tr>
      <w:tr w:rsidR="000B7447" w:rsidRPr="000B7447" w14:paraId="4DB25908" w14:textId="77777777" w:rsidTr="000B74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dxa"/>
            <w:hideMark/>
          </w:tcPr>
          <w:p w14:paraId="365AAB07" w14:textId="77777777" w:rsidR="000B7447" w:rsidRPr="000B7447" w:rsidRDefault="000B7447" w:rsidP="00361008">
            <w:pPr>
              <w:spacing w:after="160" w:line="278" w:lineRule="auto"/>
              <w:rPr>
                <w:rFonts w:ascii="Times New Roman" w:hAnsi="Times New Roman" w:cs="Times New Roman"/>
              </w:rPr>
            </w:pPr>
            <w:r w:rsidRPr="000B7447">
              <w:rPr>
                <w:rFonts w:ascii="Times New Roman" w:hAnsi="Times New Roman" w:cs="Times New Roman"/>
              </w:rPr>
              <w:t>NPL ratio</w:t>
            </w:r>
          </w:p>
        </w:tc>
        <w:tc>
          <w:tcPr>
            <w:tcW w:w="919" w:type="dxa"/>
            <w:hideMark/>
          </w:tcPr>
          <w:p w14:paraId="4F5FFF9D"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324</w:t>
            </w:r>
          </w:p>
        </w:tc>
        <w:tc>
          <w:tcPr>
            <w:tcW w:w="1026" w:type="dxa"/>
            <w:hideMark/>
          </w:tcPr>
          <w:p w14:paraId="30DDFC3C"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7.915</w:t>
            </w:r>
          </w:p>
        </w:tc>
        <w:tc>
          <w:tcPr>
            <w:tcW w:w="1061" w:type="dxa"/>
            <w:hideMark/>
          </w:tcPr>
          <w:p w14:paraId="4F22473D"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7.387</w:t>
            </w:r>
          </w:p>
        </w:tc>
        <w:tc>
          <w:tcPr>
            <w:tcW w:w="984" w:type="dxa"/>
            <w:hideMark/>
          </w:tcPr>
          <w:p w14:paraId="7113C6E6"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4.162</w:t>
            </w:r>
          </w:p>
        </w:tc>
        <w:tc>
          <w:tcPr>
            <w:tcW w:w="984" w:type="dxa"/>
            <w:hideMark/>
          </w:tcPr>
          <w:p w14:paraId="1EC25A4C"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1.157</w:t>
            </w:r>
          </w:p>
        </w:tc>
        <w:tc>
          <w:tcPr>
            <w:tcW w:w="1026" w:type="dxa"/>
            <w:hideMark/>
          </w:tcPr>
          <w:p w14:paraId="210EC916"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27.198</w:t>
            </w:r>
          </w:p>
        </w:tc>
        <w:tc>
          <w:tcPr>
            <w:tcW w:w="1178" w:type="dxa"/>
            <w:hideMark/>
          </w:tcPr>
          <w:p w14:paraId="4F4522AA"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1.055</w:t>
            </w:r>
          </w:p>
        </w:tc>
        <w:tc>
          <w:tcPr>
            <w:tcW w:w="1074" w:type="dxa"/>
            <w:hideMark/>
          </w:tcPr>
          <w:p w14:paraId="2A4FAD26" w14:textId="77777777" w:rsidR="000B7447" w:rsidRPr="000B7447" w:rsidRDefault="000B744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7447">
              <w:rPr>
                <w:rFonts w:ascii="Times New Roman" w:hAnsi="Times New Roman" w:cs="Times New Roman"/>
              </w:rPr>
              <w:t>1.805</w:t>
            </w:r>
          </w:p>
        </w:tc>
      </w:tr>
    </w:tbl>
    <w:p w14:paraId="71195E5C" w14:textId="77777777" w:rsidR="000B7447" w:rsidRPr="00E45C03" w:rsidRDefault="000B7447" w:rsidP="000B7447">
      <w:pPr>
        <w:rPr>
          <w:rFonts w:ascii="Times New Roman" w:hAnsi="Times New Roman" w:cs="Times New Roman"/>
          <w:iCs/>
          <w:sz w:val="22"/>
          <w:szCs w:val="22"/>
        </w:rPr>
      </w:pPr>
      <w:r w:rsidRPr="00E45C03">
        <w:rPr>
          <w:rFonts w:ascii="Times New Roman" w:hAnsi="Times New Roman" w:cs="Times New Roman"/>
          <w:iCs/>
          <w:sz w:val="22"/>
          <w:szCs w:val="22"/>
        </w:rPr>
        <w:t>Note. Descriptive statistics are based on the 324 observations in which GARCH volatility, Bank Z-score, and NPL ratio are all available. Kurtosis is excess kurtosis.</w:t>
      </w:r>
    </w:p>
    <w:p w14:paraId="27C0EEE2" w14:textId="687EEB0F" w:rsidR="000B7447" w:rsidRDefault="000B7447" w:rsidP="000B7447">
      <w:pPr>
        <w:rPr>
          <w:rFonts w:ascii="Times New Roman" w:hAnsi="Times New Roman" w:cs="Times New Roman"/>
          <w:iCs/>
        </w:rPr>
      </w:pPr>
      <w:r w:rsidRPr="00C41234">
        <w:rPr>
          <w:noProof/>
        </w:rPr>
        <w:drawing>
          <wp:inline distT="0" distB="0" distL="0" distR="0" wp14:anchorId="680C9F79" wp14:editId="474EDCEB">
            <wp:extent cx="5715000" cy="3078480"/>
            <wp:effectExtent l="0" t="0" r="0" b="7620"/>
            <wp:docPr id="201271106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3078480"/>
                    </a:xfrm>
                    <a:prstGeom prst="rect">
                      <a:avLst/>
                    </a:prstGeom>
                    <a:noFill/>
                    <a:ln>
                      <a:noFill/>
                    </a:ln>
                  </pic:spPr>
                </pic:pic>
              </a:graphicData>
            </a:graphic>
          </wp:inline>
        </w:drawing>
      </w:r>
    </w:p>
    <w:p w14:paraId="0A6C1238" w14:textId="77777777" w:rsidR="000B7447" w:rsidRPr="000B7447" w:rsidRDefault="000B7447" w:rsidP="000B7447">
      <w:pPr>
        <w:keepNext/>
        <w:spacing w:after="60"/>
        <w:rPr>
          <w:rFonts w:ascii="Times New Roman" w:hAnsi="Times New Roman" w:cs="Times New Roman"/>
          <w:iCs/>
        </w:rPr>
      </w:pPr>
      <w:r w:rsidRPr="000B7447">
        <w:rPr>
          <w:rFonts w:ascii="Times New Roman" w:hAnsi="Times New Roman" w:cs="Times New Roman"/>
          <w:b/>
          <w:iCs/>
        </w:rPr>
        <w:lastRenderedPageBreak/>
        <w:t xml:space="preserve">Figure 4.1. Average </w:t>
      </w:r>
      <w:proofErr w:type="gramStart"/>
      <w:r w:rsidRPr="000B7447">
        <w:rPr>
          <w:rFonts w:ascii="Times New Roman" w:hAnsi="Times New Roman" w:cs="Times New Roman"/>
          <w:b/>
          <w:iCs/>
        </w:rPr>
        <w:t>GARCH(</w:t>
      </w:r>
      <w:proofErr w:type="gramEnd"/>
      <w:r w:rsidRPr="000B7447">
        <w:rPr>
          <w:rFonts w:ascii="Times New Roman" w:hAnsi="Times New Roman" w:cs="Times New Roman"/>
          <w:b/>
          <w:iCs/>
        </w:rPr>
        <w:t>1,1) inflation volatility by region.</w:t>
      </w:r>
    </w:p>
    <w:p w14:paraId="6F039860" w14:textId="77777777" w:rsidR="000B7447" w:rsidRPr="00E45C03" w:rsidRDefault="000B7447" w:rsidP="000B7447">
      <w:pPr>
        <w:rPr>
          <w:rFonts w:ascii="Times New Roman" w:hAnsi="Times New Roman" w:cs="Times New Roman"/>
          <w:iCs/>
          <w:sz w:val="22"/>
          <w:szCs w:val="22"/>
        </w:rPr>
      </w:pPr>
      <w:r w:rsidRPr="00E45C03">
        <w:rPr>
          <w:rFonts w:ascii="Times New Roman" w:hAnsi="Times New Roman" w:cs="Times New Roman"/>
          <w:iCs/>
          <w:sz w:val="22"/>
          <w:szCs w:val="22"/>
        </w:rPr>
        <w:t>Note. The figure uses the three-way matched sample and plots regional annual averages.</w:t>
      </w:r>
    </w:p>
    <w:p w14:paraId="493579DE" w14:textId="220A4F2F" w:rsidR="000B7447" w:rsidRPr="000B7447" w:rsidRDefault="00E45C03" w:rsidP="000B7447">
      <w:pPr>
        <w:rPr>
          <w:rFonts w:ascii="Times New Roman" w:hAnsi="Times New Roman" w:cs="Times New Roman"/>
          <w:iCs/>
        </w:rPr>
      </w:pPr>
      <w:r w:rsidRPr="00C41234">
        <w:rPr>
          <w:noProof/>
        </w:rPr>
        <w:drawing>
          <wp:inline distT="0" distB="0" distL="0" distR="0" wp14:anchorId="008C8350" wp14:editId="2996413F">
            <wp:extent cx="5715000" cy="3078480"/>
            <wp:effectExtent l="0" t="0" r="0" b="7620"/>
            <wp:docPr id="12929949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3078480"/>
                    </a:xfrm>
                    <a:prstGeom prst="rect">
                      <a:avLst/>
                    </a:prstGeom>
                    <a:noFill/>
                    <a:ln>
                      <a:noFill/>
                    </a:ln>
                  </pic:spPr>
                </pic:pic>
              </a:graphicData>
            </a:graphic>
          </wp:inline>
        </w:drawing>
      </w:r>
    </w:p>
    <w:p w14:paraId="70BEAE98" w14:textId="77777777" w:rsidR="000B7447" w:rsidRDefault="000B7447" w:rsidP="000B7447">
      <w:pPr>
        <w:rPr>
          <w:rFonts w:ascii="Times New Roman" w:hAnsi="Times New Roman" w:cs="Times New Roman"/>
          <w:iCs/>
        </w:rPr>
      </w:pPr>
    </w:p>
    <w:p w14:paraId="330E6665" w14:textId="77777777" w:rsidR="00E45C03" w:rsidRPr="00E45C03" w:rsidRDefault="00E45C03" w:rsidP="00E45C03">
      <w:pPr>
        <w:keepNext/>
        <w:spacing w:after="60"/>
        <w:rPr>
          <w:rFonts w:ascii="Times New Roman" w:hAnsi="Times New Roman" w:cs="Times New Roman"/>
          <w:iCs/>
        </w:rPr>
      </w:pPr>
      <w:r w:rsidRPr="00E45C03">
        <w:rPr>
          <w:rFonts w:ascii="Times New Roman" w:hAnsi="Times New Roman" w:cs="Times New Roman"/>
          <w:b/>
          <w:iCs/>
        </w:rPr>
        <w:t>Figure 4.2. Distribution of the two banking-stability indicators.</w:t>
      </w:r>
    </w:p>
    <w:p w14:paraId="4A7AFB18" w14:textId="77777777" w:rsidR="00E45C03" w:rsidRPr="00E45C03" w:rsidRDefault="00E45C03" w:rsidP="00E45C03">
      <w:pPr>
        <w:rPr>
          <w:rFonts w:ascii="Times New Roman" w:hAnsi="Times New Roman" w:cs="Times New Roman"/>
          <w:iCs/>
          <w:sz w:val="22"/>
          <w:szCs w:val="22"/>
        </w:rPr>
      </w:pPr>
      <w:r w:rsidRPr="00E45C03">
        <w:rPr>
          <w:rFonts w:ascii="Times New Roman" w:hAnsi="Times New Roman" w:cs="Times New Roman"/>
          <w:iCs/>
          <w:sz w:val="22"/>
          <w:szCs w:val="22"/>
        </w:rPr>
        <w:t>Note. Higher Bank Z-score indicates stronger stability; higher NPL ratio indicates weaker asset quality.</w:t>
      </w:r>
    </w:p>
    <w:p w14:paraId="4A1BEB98" w14:textId="77777777" w:rsidR="00E45C03" w:rsidRDefault="00E45C03" w:rsidP="000B7447">
      <w:pPr>
        <w:spacing w:line="360" w:lineRule="auto"/>
        <w:jc w:val="both"/>
        <w:rPr>
          <w:rFonts w:ascii="Times New Roman" w:hAnsi="Times New Roman" w:cs="Times New Roman"/>
          <w:iCs/>
        </w:rPr>
      </w:pPr>
    </w:p>
    <w:p w14:paraId="35A3B454" w14:textId="757CA6E7" w:rsidR="000B7447" w:rsidRPr="00E45C03" w:rsidRDefault="000B7447" w:rsidP="00E45C03">
      <w:pPr>
        <w:pStyle w:val="Heading2"/>
        <w:rPr>
          <w:rFonts w:ascii="Times New Roman" w:hAnsi="Times New Roman" w:cs="Times New Roman"/>
          <w:b/>
          <w:bCs/>
          <w:sz w:val="28"/>
          <w:szCs w:val="28"/>
        </w:rPr>
      </w:pPr>
      <w:bookmarkStart w:id="85" w:name="_Toc235530913"/>
      <w:r w:rsidRPr="00E45C03">
        <w:rPr>
          <w:rFonts w:ascii="Times New Roman" w:hAnsi="Times New Roman" w:cs="Times New Roman"/>
          <w:b/>
          <w:bCs/>
          <w:sz w:val="28"/>
          <w:szCs w:val="28"/>
        </w:rPr>
        <w:t>4.2 Diagnostic test results for the simple panel framework</w:t>
      </w:r>
      <w:bookmarkEnd w:id="85"/>
    </w:p>
    <w:p w14:paraId="6449CAD6" w14:textId="77777777" w:rsid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 xml:space="preserve">The diagnostic results favor the use of panel estimation to that of simple pooled correlation only. Theoretically, the raw correlation should be negative between </w:t>
      </w:r>
      <w:proofErr w:type="gramStart"/>
      <w:r w:rsidRPr="000B7447">
        <w:rPr>
          <w:rFonts w:ascii="Times New Roman" w:hAnsi="Times New Roman" w:cs="Times New Roman"/>
        </w:rPr>
        <w:t>GARCH(</w:t>
      </w:r>
      <w:proofErr w:type="gramEnd"/>
      <w:r w:rsidRPr="000B7447">
        <w:rPr>
          <w:rFonts w:ascii="Times New Roman" w:hAnsi="Times New Roman" w:cs="Times New Roman"/>
        </w:rPr>
        <w:t>1,1) volatility and bank Z-score as it can be seen in the raw correlation matrix. For the matched sample this negative correlation is equivalent to a decrease in the distance from insolvency as conditional inflation volatility increases. The diagnostic section hence paves the way for transition to fixed effects and random effects panel regressions.</w:t>
      </w:r>
    </w:p>
    <w:p w14:paraId="5EE76CF3" w14:textId="77777777" w:rsidR="00E45C03" w:rsidRPr="00E45C03" w:rsidRDefault="00E45C03" w:rsidP="00E45C03">
      <w:pPr>
        <w:keepNext/>
        <w:spacing w:after="60"/>
        <w:rPr>
          <w:rFonts w:ascii="Times New Roman" w:hAnsi="Times New Roman" w:cs="Times New Roman"/>
          <w:iCs/>
        </w:rPr>
      </w:pPr>
      <w:r w:rsidRPr="00E45C03">
        <w:rPr>
          <w:rFonts w:ascii="Times New Roman" w:hAnsi="Times New Roman" w:cs="Times New Roman"/>
          <w:b/>
          <w:iCs/>
        </w:rPr>
        <w:t>Table 4.3. Correlation matrix for the three-way sample.</w:t>
      </w:r>
    </w:p>
    <w:tbl>
      <w:tblPr>
        <w:tblStyle w:val="GridTable4-Accent1"/>
        <w:tblW w:w="0" w:type="auto"/>
        <w:tblLook w:val="04A0" w:firstRow="1" w:lastRow="0" w:firstColumn="1" w:lastColumn="0" w:noHBand="0" w:noVBand="1"/>
      </w:tblPr>
      <w:tblGrid>
        <w:gridCol w:w="2354"/>
        <w:gridCol w:w="2355"/>
        <w:gridCol w:w="2321"/>
        <w:gridCol w:w="2320"/>
      </w:tblGrid>
      <w:tr w:rsidR="00E45C03" w:rsidRPr="00E45C03" w14:paraId="3BF006D7" w14:textId="77777777" w:rsidTr="003610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4" w:type="dxa"/>
            <w:hideMark/>
          </w:tcPr>
          <w:p w14:paraId="6F4B976B" w14:textId="77777777" w:rsidR="00E45C03" w:rsidRPr="00E45C03" w:rsidRDefault="00E45C03" w:rsidP="00361008">
            <w:pPr>
              <w:spacing w:after="160" w:line="278" w:lineRule="auto"/>
              <w:rPr>
                <w:rFonts w:ascii="Times New Roman" w:hAnsi="Times New Roman" w:cs="Times New Roman"/>
              </w:rPr>
            </w:pPr>
            <w:r w:rsidRPr="00E45C03">
              <w:rPr>
                <w:rFonts w:ascii="Times New Roman" w:hAnsi="Times New Roman" w:cs="Times New Roman"/>
              </w:rPr>
              <w:t>Variable</w:t>
            </w:r>
          </w:p>
        </w:tc>
        <w:tc>
          <w:tcPr>
            <w:tcW w:w="2484" w:type="dxa"/>
            <w:hideMark/>
          </w:tcPr>
          <w:p w14:paraId="41FCC85A" w14:textId="77777777" w:rsidR="00E45C03" w:rsidRPr="00E45C03" w:rsidRDefault="00E45C03"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GARCH volatility</w:t>
            </w:r>
          </w:p>
        </w:tc>
        <w:tc>
          <w:tcPr>
            <w:tcW w:w="2484" w:type="dxa"/>
            <w:hideMark/>
          </w:tcPr>
          <w:p w14:paraId="199EEE81" w14:textId="77777777" w:rsidR="00E45C03" w:rsidRPr="00E45C03" w:rsidRDefault="00E45C03"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Bank Z-score</w:t>
            </w:r>
          </w:p>
        </w:tc>
        <w:tc>
          <w:tcPr>
            <w:tcW w:w="2484" w:type="dxa"/>
            <w:hideMark/>
          </w:tcPr>
          <w:p w14:paraId="01307B1F" w14:textId="77777777" w:rsidR="00E45C03" w:rsidRPr="00E45C03" w:rsidRDefault="00E45C03"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NPL ratio</w:t>
            </w:r>
          </w:p>
        </w:tc>
      </w:tr>
      <w:tr w:rsidR="00E45C03" w:rsidRPr="00E45C03" w14:paraId="76FB2F6B" w14:textId="77777777" w:rsidTr="00361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4" w:type="dxa"/>
            <w:hideMark/>
          </w:tcPr>
          <w:p w14:paraId="024330E4" w14:textId="77777777" w:rsidR="00E45C03" w:rsidRPr="00E45C03" w:rsidRDefault="00E45C03" w:rsidP="00361008">
            <w:pPr>
              <w:spacing w:after="160" w:line="278" w:lineRule="auto"/>
              <w:rPr>
                <w:rFonts w:ascii="Times New Roman" w:hAnsi="Times New Roman" w:cs="Times New Roman"/>
              </w:rPr>
            </w:pPr>
            <w:r w:rsidRPr="00E45C03">
              <w:rPr>
                <w:rFonts w:ascii="Times New Roman" w:hAnsi="Times New Roman" w:cs="Times New Roman"/>
              </w:rPr>
              <w:t>GARCH volatility</w:t>
            </w:r>
          </w:p>
        </w:tc>
        <w:tc>
          <w:tcPr>
            <w:tcW w:w="2484" w:type="dxa"/>
            <w:hideMark/>
          </w:tcPr>
          <w:p w14:paraId="66B73E0B"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1.000</w:t>
            </w:r>
          </w:p>
        </w:tc>
        <w:tc>
          <w:tcPr>
            <w:tcW w:w="2484" w:type="dxa"/>
            <w:hideMark/>
          </w:tcPr>
          <w:p w14:paraId="1ED41414"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-0.308</w:t>
            </w:r>
          </w:p>
        </w:tc>
        <w:tc>
          <w:tcPr>
            <w:tcW w:w="2484" w:type="dxa"/>
            <w:hideMark/>
          </w:tcPr>
          <w:p w14:paraId="4912F2D8"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0.050</w:t>
            </w:r>
          </w:p>
        </w:tc>
      </w:tr>
      <w:tr w:rsidR="00E45C03" w:rsidRPr="00E45C03" w14:paraId="52F2C8F8" w14:textId="77777777" w:rsidTr="00361008">
        <w:tc>
          <w:tcPr>
            <w:cnfStyle w:val="001000000000" w:firstRow="0" w:lastRow="0" w:firstColumn="1" w:lastColumn="0" w:oddVBand="0" w:evenVBand="0" w:oddHBand="0" w:evenHBand="0" w:firstRowFirstColumn="0" w:firstRowLastColumn="0" w:lastRowFirstColumn="0" w:lastRowLastColumn="0"/>
            <w:tcW w:w="2484" w:type="dxa"/>
            <w:hideMark/>
          </w:tcPr>
          <w:p w14:paraId="1D570BBE" w14:textId="77777777" w:rsidR="00E45C03" w:rsidRPr="00E45C03" w:rsidRDefault="00E45C03" w:rsidP="00361008">
            <w:pPr>
              <w:spacing w:after="160" w:line="278" w:lineRule="auto"/>
              <w:rPr>
                <w:rFonts w:ascii="Times New Roman" w:hAnsi="Times New Roman" w:cs="Times New Roman"/>
              </w:rPr>
            </w:pPr>
            <w:r w:rsidRPr="00E45C03">
              <w:rPr>
                <w:rFonts w:ascii="Times New Roman" w:hAnsi="Times New Roman" w:cs="Times New Roman"/>
              </w:rPr>
              <w:t>Bank Z-score</w:t>
            </w:r>
          </w:p>
        </w:tc>
        <w:tc>
          <w:tcPr>
            <w:tcW w:w="2484" w:type="dxa"/>
            <w:hideMark/>
          </w:tcPr>
          <w:p w14:paraId="2F6A32D8"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-0.308</w:t>
            </w:r>
          </w:p>
        </w:tc>
        <w:tc>
          <w:tcPr>
            <w:tcW w:w="2484" w:type="dxa"/>
            <w:hideMark/>
          </w:tcPr>
          <w:p w14:paraId="182D5280"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1.000</w:t>
            </w:r>
          </w:p>
        </w:tc>
        <w:tc>
          <w:tcPr>
            <w:tcW w:w="2484" w:type="dxa"/>
            <w:hideMark/>
          </w:tcPr>
          <w:p w14:paraId="1DC2BDA9"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-0.176</w:t>
            </w:r>
          </w:p>
        </w:tc>
      </w:tr>
      <w:tr w:rsidR="00E45C03" w:rsidRPr="00E45C03" w14:paraId="47942F1D" w14:textId="77777777" w:rsidTr="00361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4" w:type="dxa"/>
            <w:hideMark/>
          </w:tcPr>
          <w:p w14:paraId="4714C45C" w14:textId="77777777" w:rsidR="00E45C03" w:rsidRPr="00E45C03" w:rsidRDefault="00E45C03" w:rsidP="00361008">
            <w:pPr>
              <w:spacing w:after="160" w:line="278" w:lineRule="auto"/>
              <w:rPr>
                <w:rFonts w:ascii="Times New Roman" w:hAnsi="Times New Roman" w:cs="Times New Roman"/>
              </w:rPr>
            </w:pPr>
            <w:r w:rsidRPr="00E45C03">
              <w:rPr>
                <w:rFonts w:ascii="Times New Roman" w:hAnsi="Times New Roman" w:cs="Times New Roman"/>
              </w:rPr>
              <w:lastRenderedPageBreak/>
              <w:t>NPL ratio</w:t>
            </w:r>
          </w:p>
        </w:tc>
        <w:tc>
          <w:tcPr>
            <w:tcW w:w="2484" w:type="dxa"/>
            <w:hideMark/>
          </w:tcPr>
          <w:p w14:paraId="02BDD757"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0.050</w:t>
            </w:r>
          </w:p>
        </w:tc>
        <w:tc>
          <w:tcPr>
            <w:tcW w:w="2484" w:type="dxa"/>
            <w:hideMark/>
          </w:tcPr>
          <w:p w14:paraId="47FAD6E2"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-0.176</w:t>
            </w:r>
          </w:p>
        </w:tc>
        <w:tc>
          <w:tcPr>
            <w:tcW w:w="2484" w:type="dxa"/>
            <w:hideMark/>
          </w:tcPr>
          <w:p w14:paraId="7D12715E"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1.000</w:t>
            </w:r>
          </w:p>
        </w:tc>
      </w:tr>
    </w:tbl>
    <w:p w14:paraId="7DF76927" w14:textId="7D8203B8" w:rsidR="000B7447" w:rsidRPr="00E45C03" w:rsidRDefault="00E45C03" w:rsidP="00E45C03">
      <w:pPr>
        <w:rPr>
          <w:rFonts w:ascii="Times New Roman" w:hAnsi="Times New Roman" w:cs="Times New Roman"/>
          <w:iCs/>
          <w:sz w:val="22"/>
          <w:szCs w:val="22"/>
        </w:rPr>
      </w:pPr>
      <w:r w:rsidRPr="00E45C03">
        <w:rPr>
          <w:rFonts w:ascii="Times New Roman" w:hAnsi="Times New Roman" w:cs="Times New Roman"/>
          <w:iCs/>
          <w:sz w:val="22"/>
          <w:szCs w:val="22"/>
        </w:rPr>
        <w:t>Note. Correlations are Pearson correlations calculated from the 324 three-way matched country-year observations.</w:t>
      </w:r>
    </w:p>
    <w:p w14:paraId="44732E50" w14:textId="77777777" w:rsidR="00E45C03" w:rsidRPr="00E45C03" w:rsidRDefault="00E45C03" w:rsidP="00E45C03">
      <w:pPr>
        <w:rPr>
          <w:rFonts w:ascii="Times New Roman" w:hAnsi="Times New Roman" w:cs="Times New Roman"/>
          <w:iCs/>
        </w:rPr>
      </w:pPr>
    </w:p>
    <w:p w14:paraId="1789EF36" w14:textId="77777777" w:rsid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The formal diagnostic checks are given in Table 4.4. After incorporating the additional variables of GDP growth and real interest rate the VIF values are not high enough to be a substantive issue of multicollinearity. Macro-financial panels are suggested to be cross-sectional dependent since they are exposed to common shocks. The most critical diagnostic choice for the revised simple panel approach is the Hausman test, which provides guidance as to which estimator to prefer for each model, Fixed Effects or Random Effects.</w:t>
      </w:r>
    </w:p>
    <w:p w14:paraId="40FC3EC8" w14:textId="77777777" w:rsidR="00E45C03" w:rsidRPr="00E45C03" w:rsidRDefault="00E45C03" w:rsidP="00E45C03">
      <w:pPr>
        <w:keepNext/>
        <w:spacing w:after="60"/>
        <w:rPr>
          <w:rFonts w:ascii="Times New Roman" w:hAnsi="Times New Roman" w:cs="Times New Roman"/>
          <w:iCs/>
        </w:rPr>
      </w:pPr>
      <w:r w:rsidRPr="00E45C03">
        <w:rPr>
          <w:rFonts w:ascii="Times New Roman" w:hAnsi="Times New Roman" w:cs="Times New Roman"/>
          <w:b/>
          <w:iCs/>
        </w:rPr>
        <w:t>Table 4.4. Diagnostic and long-run-retention test summary.</w:t>
      </w:r>
    </w:p>
    <w:tbl>
      <w:tblPr>
        <w:tblStyle w:val="GridTable4-Accent1"/>
        <w:tblW w:w="0" w:type="auto"/>
        <w:tblLook w:val="04A0" w:firstRow="1" w:lastRow="0" w:firstColumn="1" w:lastColumn="0" w:noHBand="0" w:noVBand="1"/>
      </w:tblPr>
      <w:tblGrid>
        <w:gridCol w:w="2343"/>
        <w:gridCol w:w="2373"/>
        <w:gridCol w:w="2256"/>
        <w:gridCol w:w="2378"/>
      </w:tblGrid>
      <w:tr w:rsidR="00E45C03" w:rsidRPr="00E45C03" w14:paraId="55337F51" w14:textId="77777777" w:rsidTr="00E45C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4" w:type="dxa"/>
            <w:hideMark/>
          </w:tcPr>
          <w:p w14:paraId="28016203" w14:textId="77777777" w:rsidR="00E45C03" w:rsidRPr="00E45C03" w:rsidRDefault="00E45C03" w:rsidP="00361008">
            <w:pPr>
              <w:spacing w:after="160" w:line="278" w:lineRule="auto"/>
              <w:rPr>
                <w:rFonts w:ascii="Times New Roman" w:hAnsi="Times New Roman" w:cs="Times New Roman"/>
              </w:rPr>
            </w:pPr>
            <w:r w:rsidRPr="00E45C03">
              <w:rPr>
                <w:rFonts w:ascii="Times New Roman" w:hAnsi="Times New Roman" w:cs="Times New Roman"/>
              </w:rPr>
              <w:t>Diagnostic</w:t>
            </w:r>
          </w:p>
        </w:tc>
        <w:tc>
          <w:tcPr>
            <w:tcW w:w="2484" w:type="dxa"/>
            <w:hideMark/>
          </w:tcPr>
          <w:p w14:paraId="5819E162" w14:textId="77777777" w:rsidR="00E45C03" w:rsidRPr="00E45C03" w:rsidRDefault="00E45C03"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Variable/model</w:t>
            </w:r>
          </w:p>
        </w:tc>
        <w:tc>
          <w:tcPr>
            <w:tcW w:w="2484" w:type="dxa"/>
            <w:hideMark/>
          </w:tcPr>
          <w:p w14:paraId="73E853B3" w14:textId="77777777" w:rsidR="00E45C03" w:rsidRPr="00E45C03" w:rsidRDefault="00E45C03"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Statistic or p-value</w:t>
            </w:r>
          </w:p>
        </w:tc>
        <w:tc>
          <w:tcPr>
            <w:tcW w:w="2484" w:type="dxa"/>
            <w:hideMark/>
          </w:tcPr>
          <w:p w14:paraId="32DFF7D5" w14:textId="77777777" w:rsidR="00E45C03" w:rsidRPr="00E45C03" w:rsidRDefault="00E45C03"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Interpretation</w:t>
            </w:r>
          </w:p>
        </w:tc>
      </w:tr>
      <w:tr w:rsidR="00E45C03" w:rsidRPr="00E45C03" w14:paraId="0977A5FA" w14:textId="77777777" w:rsidTr="00E45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4" w:type="dxa"/>
            <w:hideMark/>
          </w:tcPr>
          <w:p w14:paraId="33A83792" w14:textId="77777777" w:rsidR="00E45C03" w:rsidRPr="00E45C03" w:rsidRDefault="00E45C03" w:rsidP="00361008">
            <w:pPr>
              <w:spacing w:after="160" w:line="278" w:lineRule="auto"/>
              <w:rPr>
                <w:rFonts w:ascii="Times New Roman" w:hAnsi="Times New Roman" w:cs="Times New Roman"/>
              </w:rPr>
            </w:pPr>
            <w:r w:rsidRPr="00E45C03">
              <w:rPr>
                <w:rFonts w:ascii="Times New Roman" w:hAnsi="Times New Roman" w:cs="Times New Roman"/>
              </w:rPr>
              <w:t>Maximum VIF</w:t>
            </w:r>
          </w:p>
        </w:tc>
        <w:tc>
          <w:tcPr>
            <w:tcW w:w="2484" w:type="dxa"/>
            <w:hideMark/>
          </w:tcPr>
          <w:p w14:paraId="57689A27" w14:textId="13DF4413"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 xml:space="preserve">Z-score </w:t>
            </w:r>
          </w:p>
        </w:tc>
        <w:tc>
          <w:tcPr>
            <w:tcW w:w="2484" w:type="dxa"/>
            <w:hideMark/>
          </w:tcPr>
          <w:p w14:paraId="62EEBA42"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1.056</w:t>
            </w:r>
          </w:p>
        </w:tc>
        <w:tc>
          <w:tcPr>
            <w:tcW w:w="2484" w:type="dxa"/>
            <w:hideMark/>
          </w:tcPr>
          <w:p w14:paraId="7B6C6BFC"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No severe multicollinearity</w:t>
            </w:r>
          </w:p>
        </w:tc>
      </w:tr>
      <w:tr w:rsidR="00E45C03" w:rsidRPr="00E45C03" w14:paraId="11918C79" w14:textId="77777777" w:rsidTr="00E45C03">
        <w:tc>
          <w:tcPr>
            <w:cnfStyle w:val="001000000000" w:firstRow="0" w:lastRow="0" w:firstColumn="1" w:lastColumn="0" w:oddVBand="0" w:evenVBand="0" w:oddHBand="0" w:evenHBand="0" w:firstRowFirstColumn="0" w:firstRowLastColumn="0" w:lastRowFirstColumn="0" w:lastRowLastColumn="0"/>
            <w:tcW w:w="2484" w:type="dxa"/>
            <w:hideMark/>
          </w:tcPr>
          <w:p w14:paraId="4E270C03" w14:textId="77777777" w:rsidR="00E45C03" w:rsidRPr="00E45C03" w:rsidRDefault="00E45C03" w:rsidP="00361008">
            <w:pPr>
              <w:spacing w:after="160" w:line="278" w:lineRule="auto"/>
              <w:rPr>
                <w:rFonts w:ascii="Times New Roman" w:hAnsi="Times New Roman" w:cs="Times New Roman"/>
              </w:rPr>
            </w:pPr>
            <w:r w:rsidRPr="00E45C03">
              <w:rPr>
                <w:rFonts w:ascii="Times New Roman" w:hAnsi="Times New Roman" w:cs="Times New Roman"/>
              </w:rPr>
              <w:t>Maximum VIF</w:t>
            </w:r>
          </w:p>
        </w:tc>
        <w:tc>
          <w:tcPr>
            <w:tcW w:w="2484" w:type="dxa"/>
            <w:hideMark/>
          </w:tcPr>
          <w:p w14:paraId="4B049EAA" w14:textId="78CED6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 xml:space="preserve">NPL </w:t>
            </w:r>
          </w:p>
        </w:tc>
        <w:tc>
          <w:tcPr>
            <w:tcW w:w="2484" w:type="dxa"/>
            <w:hideMark/>
          </w:tcPr>
          <w:p w14:paraId="0B47B5DB"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1.006</w:t>
            </w:r>
          </w:p>
        </w:tc>
        <w:tc>
          <w:tcPr>
            <w:tcW w:w="2484" w:type="dxa"/>
            <w:hideMark/>
          </w:tcPr>
          <w:p w14:paraId="59183AB8"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No severe multicollinearity</w:t>
            </w:r>
          </w:p>
        </w:tc>
      </w:tr>
      <w:tr w:rsidR="00E45C03" w:rsidRPr="00E45C03" w14:paraId="0D88D7CE" w14:textId="77777777" w:rsidTr="00E45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4" w:type="dxa"/>
            <w:hideMark/>
          </w:tcPr>
          <w:p w14:paraId="17C6B974" w14:textId="77777777" w:rsidR="00E45C03" w:rsidRPr="00E45C03" w:rsidRDefault="00E45C03" w:rsidP="00361008">
            <w:pPr>
              <w:spacing w:after="160" w:line="278" w:lineRule="auto"/>
              <w:rPr>
                <w:rFonts w:ascii="Times New Roman" w:hAnsi="Times New Roman" w:cs="Times New Roman"/>
              </w:rPr>
            </w:pPr>
            <w:proofErr w:type="spellStart"/>
            <w:r w:rsidRPr="00E45C03">
              <w:rPr>
                <w:rFonts w:ascii="Times New Roman" w:hAnsi="Times New Roman" w:cs="Times New Roman"/>
              </w:rPr>
              <w:t>Pesaran</w:t>
            </w:r>
            <w:proofErr w:type="spellEnd"/>
            <w:r w:rsidRPr="00E45C03">
              <w:rPr>
                <w:rFonts w:ascii="Times New Roman" w:hAnsi="Times New Roman" w:cs="Times New Roman"/>
              </w:rPr>
              <w:t xml:space="preserve"> CD p-value</w:t>
            </w:r>
          </w:p>
        </w:tc>
        <w:tc>
          <w:tcPr>
            <w:tcW w:w="2484" w:type="dxa"/>
            <w:hideMark/>
          </w:tcPr>
          <w:p w14:paraId="3DC55329"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GARCH volatility, three-way sample</w:t>
            </w:r>
          </w:p>
        </w:tc>
        <w:tc>
          <w:tcPr>
            <w:tcW w:w="2484" w:type="dxa"/>
            <w:hideMark/>
          </w:tcPr>
          <w:p w14:paraId="56141253"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0.603</w:t>
            </w:r>
          </w:p>
        </w:tc>
        <w:tc>
          <w:tcPr>
            <w:tcW w:w="2484" w:type="dxa"/>
            <w:hideMark/>
          </w:tcPr>
          <w:p w14:paraId="5B0FF076"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No strong common dependence in volatility</w:t>
            </w:r>
          </w:p>
        </w:tc>
      </w:tr>
      <w:tr w:rsidR="00E45C03" w:rsidRPr="00E45C03" w14:paraId="2A606DD3" w14:textId="77777777" w:rsidTr="00E45C03">
        <w:tc>
          <w:tcPr>
            <w:cnfStyle w:val="001000000000" w:firstRow="0" w:lastRow="0" w:firstColumn="1" w:lastColumn="0" w:oddVBand="0" w:evenVBand="0" w:oddHBand="0" w:evenHBand="0" w:firstRowFirstColumn="0" w:firstRowLastColumn="0" w:lastRowFirstColumn="0" w:lastRowLastColumn="0"/>
            <w:tcW w:w="2484" w:type="dxa"/>
            <w:hideMark/>
          </w:tcPr>
          <w:p w14:paraId="55CBB3C1" w14:textId="77777777" w:rsidR="00E45C03" w:rsidRPr="00E45C03" w:rsidRDefault="00E45C03" w:rsidP="00361008">
            <w:pPr>
              <w:spacing w:after="160" w:line="278" w:lineRule="auto"/>
              <w:rPr>
                <w:rFonts w:ascii="Times New Roman" w:hAnsi="Times New Roman" w:cs="Times New Roman"/>
              </w:rPr>
            </w:pPr>
            <w:proofErr w:type="spellStart"/>
            <w:r w:rsidRPr="00E45C03">
              <w:rPr>
                <w:rFonts w:ascii="Times New Roman" w:hAnsi="Times New Roman" w:cs="Times New Roman"/>
              </w:rPr>
              <w:t>Pesaran</w:t>
            </w:r>
            <w:proofErr w:type="spellEnd"/>
            <w:r w:rsidRPr="00E45C03">
              <w:rPr>
                <w:rFonts w:ascii="Times New Roman" w:hAnsi="Times New Roman" w:cs="Times New Roman"/>
              </w:rPr>
              <w:t xml:space="preserve"> CD p-value</w:t>
            </w:r>
          </w:p>
        </w:tc>
        <w:tc>
          <w:tcPr>
            <w:tcW w:w="2484" w:type="dxa"/>
            <w:hideMark/>
          </w:tcPr>
          <w:p w14:paraId="02BBDC9E"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Bank Z-score pair</w:t>
            </w:r>
          </w:p>
        </w:tc>
        <w:tc>
          <w:tcPr>
            <w:tcW w:w="2484" w:type="dxa"/>
            <w:hideMark/>
          </w:tcPr>
          <w:p w14:paraId="7C0B4348"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&lt;0.001</w:t>
            </w:r>
          </w:p>
        </w:tc>
        <w:tc>
          <w:tcPr>
            <w:tcW w:w="2484" w:type="dxa"/>
            <w:hideMark/>
          </w:tcPr>
          <w:p w14:paraId="57210F9A"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Cross-country dependence present</w:t>
            </w:r>
          </w:p>
        </w:tc>
      </w:tr>
      <w:tr w:rsidR="00E45C03" w:rsidRPr="00E45C03" w14:paraId="66C8A4CE" w14:textId="77777777" w:rsidTr="00E45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4" w:type="dxa"/>
            <w:hideMark/>
          </w:tcPr>
          <w:p w14:paraId="5061FA30" w14:textId="77777777" w:rsidR="00E45C03" w:rsidRPr="00E45C03" w:rsidRDefault="00E45C03" w:rsidP="00361008">
            <w:pPr>
              <w:spacing w:after="160" w:line="278" w:lineRule="auto"/>
              <w:rPr>
                <w:rFonts w:ascii="Times New Roman" w:hAnsi="Times New Roman" w:cs="Times New Roman"/>
              </w:rPr>
            </w:pPr>
            <w:proofErr w:type="spellStart"/>
            <w:r w:rsidRPr="00E45C03">
              <w:rPr>
                <w:rFonts w:ascii="Times New Roman" w:hAnsi="Times New Roman" w:cs="Times New Roman"/>
              </w:rPr>
              <w:t>Pesaran</w:t>
            </w:r>
            <w:proofErr w:type="spellEnd"/>
            <w:r w:rsidRPr="00E45C03">
              <w:rPr>
                <w:rFonts w:ascii="Times New Roman" w:hAnsi="Times New Roman" w:cs="Times New Roman"/>
              </w:rPr>
              <w:t xml:space="preserve"> CD p-value</w:t>
            </w:r>
          </w:p>
        </w:tc>
        <w:tc>
          <w:tcPr>
            <w:tcW w:w="2484" w:type="dxa"/>
            <w:hideMark/>
          </w:tcPr>
          <w:p w14:paraId="59C7E8AA"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NPL pair</w:t>
            </w:r>
          </w:p>
        </w:tc>
        <w:tc>
          <w:tcPr>
            <w:tcW w:w="2484" w:type="dxa"/>
            <w:hideMark/>
          </w:tcPr>
          <w:p w14:paraId="6535AACE"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&lt;0.001</w:t>
            </w:r>
          </w:p>
        </w:tc>
        <w:tc>
          <w:tcPr>
            <w:tcW w:w="2484" w:type="dxa"/>
            <w:hideMark/>
          </w:tcPr>
          <w:p w14:paraId="56E69400"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Cross-country dependence present</w:t>
            </w:r>
          </w:p>
        </w:tc>
      </w:tr>
      <w:tr w:rsidR="00E45C03" w:rsidRPr="00E45C03" w14:paraId="0548475A" w14:textId="77777777" w:rsidTr="00E45C03">
        <w:tc>
          <w:tcPr>
            <w:cnfStyle w:val="001000000000" w:firstRow="0" w:lastRow="0" w:firstColumn="1" w:lastColumn="0" w:oddVBand="0" w:evenVBand="0" w:oddHBand="0" w:evenHBand="0" w:firstRowFirstColumn="0" w:firstRowLastColumn="0" w:lastRowFirstColumn="0" w:lastRowLastColumn="0"/>
            <w:tcW w:w="2484" w:type="dxa"/>
            <w:hideMark/>
          </w:tcPr>
          <w:p w14:paraId="3A6766C0" w14:textId="77777777" w:rsidR="00E45C03" w:rsidRPr="00E45C03" w:rsidRDefault="00E45C03" w:rsidP="00361008">
            <w:pPr>
              <w:spacing w:after="160" w:line="278" w:lineRule="auto"/>
              <w:rPr>
                <w:rFonts w:ascii="Times New Roman" w:hAnsi="Times New Roman" w:cs="Times New Roman"/>
              </w:rPr>
            </w:pPr>
            <w:r w:rsidRPr="00E45C03">
              <w:rPr>
                <w:rFonts w:ascii="Times New Roman" w:hAnsi="Times New Roman" w:cs="Times New Roman"/>
              </w:rPr>
              <w:t>Slope heterogeneity p-value</w:t>
            </w:r>
          </w:p>
        </w:tc>
        <w:tc>
          <w:tcPr>
            <w:tcW w:w="2484" w:type="dxa"/>
            <w:hideMark/>
          </w:tcPr>
          <w:p w14:paraId="2BDDAD84"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Z-score slope on GARCH</w:t>
            </w:r>
          </w:p>
        </w:tc>
        <w:tc>
          <w:tcPr>
            <w:tcW w:w="2484" w:type="dxa"/>
            <w:hideMark/>
          </w:tcPr>
          <w:p w14:paraId="72566BA7"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&lt;0.001</w:t>
            </w:r>
          </w:p>
        </w:tc>
        <w:tc>
          <w:tcPr>
            <w:tcW w:w="2484" w:type="dxa"/>
            <w:hideMark/>
          </w:tcPr>
          <w:p w14:paraId="786CE98A"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Country slopes differ</w:t>
            </w:r>
          </w:p>
        </w:tc>
      </w:tr>
      <w:tr w:rsidR="00E45C03" w:rsidRPr="00E45C03" w14:paraId="1FAF49F6" w14:textId="77777777" w:rsidTr="00E45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4" w:type="dxa"/>
            <w:hideMark/>
          </w:tcPr>
          <w:p w14:paraId="40E5F0AE" w14:textId="77777777" w:rsidR="00E45C03" w:rsidRPr="00E45C03" w:rsidRDefault="00E45C03" w:rsidP="00361008">
            <w:pPr>
              <w:spacing w:after="160" w:line="278" w:lineRule="auto"/>
              <w:rPr>
                <w:rFonts w:ascii="Times New Roman" w:hAnsi="Times New Roman" w:cs="Times New Roman"/>
              </w:rPr>
            </w:pPr>
            <w:r w:rsidRPr="00E45C03">
              <w:rPr>
                <w:rFonts w:ascii="Times New Roman" w:hAnsi="Times New Roman" w:cs="Times New Roman"/>
              </w:rPr>
              <w:t>Slope heterogeneity p-value</w:t>
            </w:r>
          </w:p>
        </w:tc>
        <w:tc>
          <w:tcPr>
            <w:tcW w:w="2484" w:type="dxa"/>
            <w:hideMark/>
          </w:tcPr>
          <w:p w14:paraId="504F2AC3"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NPL slope on GARCH</w:t>
            </w:r>
          </w:p>
        </w:tc>
        <w:tc>
          <w:tcPr>
            <w:tcW w:w="2484" w:type="dxa"/>
            <w:hideMark/>
          </w:tcPr>
          <w:p w14:paraId="082855BB"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&lt;0.001</w:t>
            </w:r>
          </w:p>
        </w:tc>
        <w:tc>
          <w:tcPr>
            <w:tcW w:w="2484" w:type="dxa"/>
            <w:hideMark/>
          </w:tcPr>
          <w:p w14:paraId="0E6DA713"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Country slopes differ</w:t>
            </w:r>
          </w:p>
        </w:tc>
      </w:tr>
      <w:tr w:rsidR="00E45C03" w:rsidRPr="00E45C03" w14:paraId="473C469A" w14:textId="77777777" w:rsidTr="00E45C03">
        <w:tc>
          <w:tcPr>
            <w:cnfStyle w:val="001000000000" w:firstRow="0" w:lastRow="0" w:firstColumn="1" w:lastColumn="0" w:oddVBand="0" w:evenVBand="0" w:oddHBand="0" w:evenHBand="0" w:firstRowFirstColumn="0" w:firstRowLastColumn="0" w:lastRowFirstColumn="0" w:lastRowLastColumn="0"/>
            <w:tcW w:w="2484" w:type="dxa"/>
            <w:hideMark/>
          </w:tcPr>
          <w:p w14:paraId="22B535D7" w14:textId="77777777" w:rsidR="00E45C03" w:rsidRPr="00E45C03" w:rsidRDefault="00E45C03" w:rsidP="00361008">
            <w:pPr>
              <w:spacing w:after="160" w:line="278" w:lineRule="auto"/>
              <w:rPr>
                <w:rFonts w:ascii="Times New Roman" w:hAnsi="Times New Roman" w:cs="Times New Roman"/>
              </w:rPr>
            </w:pPr>
            <w:r w:rsidRPr="00E45C03">
              <w:rPr>
                <w:rFonts w:ascii="Times New Roman" w:hAnsi="Times New Roman" w:cs="Times New Roman"/>
              </w:rPr>
              <w:t>Fisher ADF p-value</w:t>
            </w:r>
          </w:p>
        </w:tc>
        <w:tc>
          <w:tcPr>
            <w:tcW w:w="2484" w:type="dxa"/>
            <w:hideMark/>
          </w:tcPr>
          <w:p w14:paraId="1CDF39EC"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GARCH volatility</w:t>
            </w:r>
          </w:p>
        </w:tc>
        <w:tc>
          <w:tcPr>
            <w:tcW w:w="2484" w:type="dxa"/>
            <w:hideMark/>
          </w:tcPr>
          <w:p w14:paraId="3ABDCAC8"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&lt;0.001</w:t>
            </w:r>
          </w:p>
        </w:tc>
        <w:tc>
          <w:tcPr>
            <w:tcW w:w="2484" w:type="dxa"/>
            <w:hideMark/>
          </w:tcPr>
          <w:p w14:paraId="1E192F67"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Stationary panel screen</w:t>
            </w:r>
          </w:p>
        </w:tc>
      </w:tr>
      <w:tr w:rsidR="00E45C03" w:rsidRPr="00E45C03" w14:paraId="5F6B2E04" w14:textId="77777777" w:rsidTr="00E45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4" w:type="dxa"/>
            <w:hideMark/>
          </w:tcPr>
          <w:p w14:paraId="6E6D6705" w14:textId="77777777" w:rsidR="00E45C03" w:rsidRPr="00E45C03" w:rsidRDefault="00E45C03" w:rsidP="00361008">
            <w:pPr>
              <w:spacing w:after="160" w:line="278" w:lineRule="auto"/>
              <w:rPr>
                <w:rFonts w:ascii="Times New Roman" w:hAnsi="Times New Roman" w:cs="Times New Roman"/>
              </w:rPr>
            </w:pPr>
            <w:r w:rsidRPr="00E45C03">
              <w:rPr>
                <w:rFonts w:ascii="Times New Roman" w:hAnsi="Times New Roman" w:cs="Times New Roman"/>
              </w:rPr>
              <w:t>Fisher ADF p-value</w:t>
            </w:r>
          </w:p>
        </w:tc>
        <w:tc>
          <w:tcPr>
            <w:tcW w:w="2484" w:type="dxa"/>
            <w:hideMark/>
          </w:tcPr>
          <w:p w14:paraId="76162C4A"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Bank Z-score</w:t>
            </w:r>
          </w:p>
        </w:tc>
        <w:tc>
          <w:tcPr>
            <w:tcW w:w="2484" w:type="dxa"/>
            <w:hideMark/>
          </w:tcPr>
          <w:p w14:paraId="4BAE0E4A"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0.010</w:t>
            </w:r>
          </w:p>
        </w:tc>
        <w:tc>
          <w:tcPr>
            <w:tcW w:w="2484" w:type="dxa"/>
            <w:hideMark/>
          </w:tcPr>
          <w:p w14:paraId="6F670D03"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Stationary panel screen</w:t>
            </w:r>
          </w:p>
        </w:tc>
      </w:tr>
      <w:tr w:rsidR="00E45C03" w:rsidRPr="00E45C03" w14:paraId="1C86BC07" w14:textId="77777777" w:rsidTr="00E45C03">
        <w:tc>
          <w:tcPr>
            <w:cnfStyle w:val="001000000000" w:firstRow="0" w:lastRow="0" w:firstColumn="1" w:lastColumn="0" w:oddVBand="0" w:evenVBand="0" w:oddHBand="0" w:evenHBand="0" w:firstRowFirstColumn="0" w:firstRowLastColumn="0" w:lastRowFirstColumn="0" w:lastRowLastColumn="0"/>
            <w:tcW w:w="2484" w:type="dxa"/>
            <w:hideMark/>
          </w:tcPr>
          <w:p w14:paraId="2DD12818" w14:textId="77777777" w:rsidR="00E45C03" w:rsidRPr="00E45C03" w:rsidRDefault="00E45C03" w:rsidP="00361008">
            <w:pPr>
              <w:spacing w:after="160" w:line="278" w:lineRule="auto"/>
              <w:rPr>
                <w:rFonts w:ascii="Times New Roman" w:hAnsi="Times New Roman" w:cs="Times New Roman"/>
              </w:rPr>
            </w:pPr>
            <w:r w:rsidRPr="00E45C03">
              <w:rPr>
                <w:rFonts w:ascii="Times New Roman" w:hAnsi="Times New Roman" w:cs="Times New Roman"/>
              </w:rPr>
              <w:lastRenderedPageBreak/>
              <w:t>Fisher ADF p-value</w:t>
            </w:r>
          </w:p>
        </w:tc>
        <w:tc>
          <w:tcPr>
            <w:tcW w:w="2484" w:type="dxa"/>
            <w:hideMark/>
          </w:tcPr>
          <w:p w14:paraId="4BFBF5FD"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NPL ratio</w:t>
            </w:r>
          </w:p>
        </w:tc>
        <w:tc>
          <w:tcPr>
            <w:tcW w:w="2484" w:type="dxa"/>
            <w:hideMark/>
          </w:tcPr>
          <w:p w14:paraId="1C18B983"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0.028</w:t>
            </w:r>
          </w:p>
        </w:tc>
        <w:tc>
          <w:tcPr>
            <w:tcW w:w="2484" w:type="dxa"/>
            <w:hideMark/>
          </w:tcPr>
          <w:p w14:paraId="7B919ED1"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Stationary panel screen</w:t>
            </w:r>
          </w:p>
        </w:tc>
      </w:tr>
      <w:tr w:rsidR="00E45C03" w:rsidRPr="00E45C03" w14:paraId="54ADE9D7" w14:textId="77777777" w:rsidTr="00E45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4" w:type="dxa"/>
            <w:hideMark/>
          </w:tcPr>
          <w:p w14:paraId="77E81502" w14:textId="77777777" w:rsidR="00E45C03" w:rsidRPr="00E45C03" w:rsidRDefault="00E45C03" w:rsidP="00361008">
            <w:pPr>
              <w:spacing w:after="160" w:line="278" w:lineRule="auto"/>
              <w:rPr>
                <w:rFonts w:ascii="Times New Roman" w:hAnsi="Times New Roman" w:cs="Times New Roman"/>
              </w:rPr>
            </w:pPr>
            <w:r w:rsidRPr="00E45C03">
              <w:rPr>
                <w:rFonts w:ascii="Times New Roman" w:hAnsi="Times New Roman" w:cs="Times New Roman"/>
              </w:rPr>
              <w:t>Fisher cointegration p-value</w:t>
            </w:r>
          </w:p>
        </w:tc>
        <w:tc>
          <w:tcPr>
            <w:tcW w:w="2484" w:type="dxa"/>
            <w:hideMark/>
          </w:tcPr>
          <w:p w14:paraId="1D7ADDF9"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Z-score and GARCH</w:t>
            </w:r>
          </w:p>
        </w:tc>
        <w:tc>
          <w:tcPr>
            <w:tcW w:w="2484" w:type="dxa"/>
            <w:hideMark/>
          </w:tcPr>
          <w:p w14:paraId="0DA250D5"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0.088</w:t>
            </w:r>
          </w:p>
        </w:tc>
        <w:tc>
          <w:tcPr>
            <w:tcW w:w="2484" w:type="dxa"/>
            <w:hideMark/>
          </w:tcPr>
          <w:p w14:paraId="2703B7C6" w14:textId="77777777" w:rsidR="00E45C03" w:rsidRPr="00E45C03" w:rsidRDefault="00E45C03"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Weak long-run evidence only</w:t>
            </w:r>
          </w:p>
        </w:tc>
      </w:tr>
      <w:tr w:rsidR="00E45C03" w:rsidRPr="00E45C03" w14:paraId="0BAD5E04" w14:textId="77777777" w:rsidTr="00E45C03">
        <w:tc>
          <w:tcPr>
            <w:cnfStyle w:val="001000000000" w:firstRow="0" w:lastRow="0" w:firstColumn="1" w:lastColumn="0" w:oddVBand="0" w:evenVBand="0" w:oddHBand="0" w:evenHBand="0" w:firstRowFirstColumn="0" w:firstRowLastColumn="0" w:lastRowFirstColumn="0" w:lastRowLastColumn="0"/>
            <w:tcW w:w="2484" w:type="dxa"/>
            <w:hideMark/>
          </w:tcPr>
          <w:p w14:paraId="2EF0BED0" w14:textId="77777777" w:rsidR="00E45C03" w:rsidRPr="00E45C03" w:rsidRDefault="00E45C03" w:rsidP="00361008">
            <w:pPr>
              <w:spacing w:after="160" w:line="278" w:lineRule="auto"/>
              <w:rPr>
                <w:rFonts w:ascii="Times New Roman" w:hAnsi="Times New Roman" w:cs="Times New Roman"/>
              </w:rPr>
            </w:pPr>
            <w:r w:rsidRPr="00E45C03">
              <w:rPr>
                <w:rFonts w:ascii="Times New Roman" w:hAnsi="Times New Roman" w:cs="Times New Roman"/>
              </w:rPr>
              <w:t>Fisher cointegration p-value</w:t>
            </w:r>
          </w:p>
        </w:tc>
        <w:tc>
          <w:tcPr>
            <w:tcW w:w="2484" w:type="dxa"/>
            <w:hideMark/>
          </w:tcPr>
          <w:p w14:paraId="64D50601"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NPL and GARCH</w:t>
            </w:r>
          </w:p>
        </w:tc>
        <w:tc>
          <w:tcPr>
            <w:tcW w:w="2484" w:type="dxa"/>
            <w:hideMark/>
          </w:tcPr>
          <w:p w14:paraId="5B544966"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0.585</w:t>
            </w:r>
          </w:p>
        </w:tc>
        <w:tc>
          <w:tcPr>
            <w:tcW w:w="2484" w:type="dxa"/>
            <w:hideMark/>
          </w:tcPr>
          <w:p w14:paraId="4B90C39E" w14:textId="77777777" w:rsidR="00E45C03" w:rsidRPr="00E45C03" w:rsidRDefault="00E45C03"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45C03">
              <w:rPr>
                <w:rFonts w:ascii="Times New Roman" w:hAnsi="Times New Roman" w:cs="Times New Roman"/>
              </w:rPr>
              <w:t>No strong cointegration signal</w:t>
            </w:r>
          </w:p>
        </w:tc>
      </w:tr>
    </w:tbl>
    <w:p w14:paraId="14FC7C39" w14:textId="77777777" w:rsidR="00E45C03" w:rsidRPr="00E45C03" w:rsidRDefault="00E45C03" w:rsidP="00E45C03">
      <w:pPr>
        <w:rPr>
          <w:rFonts w:ascii="Times New Roman" w:hAnsi="Times New Roman" w:cs="Times New Roman"/>
          <w:sz w:val="22"/>
          <w:szCs w:val="22"/>
        </w:rPr>
      </w:pPr>
      <w:r w:rsidRPr="00E45C03">
        <w:rPr>
          <w:rFonts w:ascii="Times New Roman" w:hAnsi="Times New Roman" w:cs="Times New Roman"/>
          <w:sz w:val="22"/>
          <w:szCs w:val="22"/>
        </w:rPr>
        <w:t xml:space="preserve">Note. </w:t>
      </w:r>
      <w:proofErr w:type="spellStart"/>
      <w:r w:rsidRPr="00E45C03">
        <w:rPr>
          <w:rFonts w:ascii="Times New Roman" w:hAnsi="Times New Roman" w:cs="Times New Roman"/>
          <w:sz w:val="22"/>
          <w:szCs w:val="22"/>
        </w:rPr>
        <w:t>Pesaran</w:t>
      </w:r>
      <w:proofErr w:type="spellEnd"/>
      <w:r w:rsidRPr="00E45C03">
        <w:rPr>
          <w:rFonts w:ascii="Times New Roman" w:hAnsi="Times New Roman" w:cs="Times New Roman"/>
          <w:sz w:val="22"/>
          <w:szCs w:val="22"/>
        </w:rPr>
        <w:t xml:space="preserve"> CD tests examine cross-sectional dependence; Fisher ADF tests screen for panel stationarity; VIF checks multicollinearity; and the Hausman test guides the choice between Fixed Effects and Random Effects in the revised simple panel models.</w:t>
      </w:r>
    </w:p>
    <w:p w14:paraId="35365619" w14:textId="77777777" w:rsidR="00E45C03" w:rsidRPr="00E45C03" w:rsidRDefault="00E45C03" w:rsidP="00E45C03">
      <w:pPr>
        <w:rPr>
          <w:rFonts w:ascii="Times New Roman" w:hAnsi="Times New Roman" w:cs="Times New Roman"/>
        </w:rPr>
      </w:pPr>
      <w:r w:rsidRPr="00E45C03">
        <w:rPr>
          <w:rFonts w:ascii="Times New Roman" w:hAnsi="Times New Roman" w:cs="Times New Roman"/>
          <w:noProof/>
        </w:rPr>
        <w:drawing>
          <wp:inline distT="0" distB="0" distL="0" distR="0" wp14:anchorId="2F5436C3" wp14:editId="4CC5975A">
            <wp:extent cx="5715000" cy="4663440"/>
            <wp:effectExtent l="0" t="0" r="0" b="3810"/>
            <wp:docPr id="17505454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4663440"/>
                    </a:xfrm>
                    <a:prstGeom prst="rect">
                      <a:avLst/>
                    </a:prstGeom>
                    <a:noFill/>
                    <a:ln>
                      <a:noFill/>
                    </a:ln>
                  </pic:spPr>
                </pic:pic>
              </a:graphicData>
            </a:graphic>
          </wp:inline>
        </w:drawing>
      </w:r>
    </w:p>
    <w:p w14:paraId="0091CA30" w14:textId="77777777" w:rsidR="00E45C03" w:rsidRPr="00E45C03" w:rsidRDefault="00E45C03" w:rsidP="00E45C03">
      <w:pPr>
        <w:keepNext/>
        <w:spacing w:after="60"/>
        <w:rPr>
          <w:rFonts w:ascii="Times New Roman" w:hAnsi="Times New Roman" w:cs="Times New Roman"/>
          <w:iCs/>
        </w:rPr>
      </w:pPr>
      <w:r w:rsidRPr="00E45C03">
        <w:rPr>
          <w:rFonts w:ascii="Times New Roman" w:hAnsi="Times New Roman" w:cs="Times New Roman"/>
          <w:b/>
          <w:iCs/>
        </w:rPr>
        <w:t>Figure 4.3. Correlation heatmap for the core three-way sample.</w:t>
      </w:r>
    </w:p>
    <w:p w14:paraId="74064364" w14:textId="77777777" w:rsidR="00E45C03" w:rsidRPr="00E45C03" w:rsidRDefault="00E45C03" w:rsidP="00E45C03">
      <w:pPr>
        <w:rPr>
          <w:rFonts w:ascii="Times New Roman" w:hAnsi="Times New Roman" w:cs="Times New Roman"/>
          <w:iCs/>
          <w:sz w:val="22"/>
          <w:szCs w:val="22"/>
        </w:rPr>
      </w:pPr>
      <w:r w:rsidRPr="00E45C03">
        <w:rPr>
          <w:rFonts w:ascii="Times New Roman" w:hAnsi="Times New Roman" w:cs="Times New Roman"/>
          <w:iCs/>
          <w:sz w:val="22"/>
          <w:szCs w:val="22"/>
        </w:rPr>
        <w:t>Note. The heatmap visualizes the same association structure reported in Table 4.3.</w:t>
      </w:r>
    </w:p>
    <w:p w14:paraId="21AAAFC7" w14:textId="77777777" w:rsidR="000B7447" w:rsidRPr="000B7447" w:rsidRDefault="000B7447" w:rsidP="000B7447">
      <w:pPr>
        <w:spacing w:line="360" w:lineRule="auto"/>
        <w:jc w:val="both"/>
        <w:rPr>
          <w:rFonts w:ascii="Times New Roman" w:hAnsi="Times New Roman" w:cs="Times New Roman"/>
        </w:rPr>
      </w:pPr>
    </w:p>
    <w:p w14:paraId="2C2631DF" w14:textId="77777777" w:rsidR="000B7447" w:rsidRPr="00E45C03" w:rsidRDefault="000B7447" w:rsidP="00E45C03">
      <w:pPr>
        <w:pStyle w:val="Heading2"/>
        <w:rPr>
          <w:rFonts w:ascii="Times New Roman" w:hAnsi="Times New Roman" w:cs="Times New Roman"/>
          <w:b/>
          <w:bCs/>
          <w:sz w:val="28"/>
          <w:szCs w:val="28"/>
        </w:rPr>
      </w:pPr>
      <w:bookmarkStart w:id="86" w:name="_Toc235530914"/>
      <w:r w:rsidRPr="00E45C03">
        <w:rPr>
          <w:rFonts w:ascii="Times New Roman" w:hAnsi="Times New Roman" w:cs="Times New Roman"/>
          <w:b/>
          <w:bCs/>
          <w:sz w:val="28"/>
          <w:szCs w:val="28"/>
        </w:rPr>
        <w:lastRenderedPageBreak/>
        <w:t>4.3 Baseline simple panel results: Fixed Effects and Random Effects</w:t>
      </w:r>
      <w:bookmarkEnd w:id="86"/>
    </w:p>
    <w:p w14:paraId="505403EA" w14:textId="428C2CE6" w:rsid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 xml:space="preserve">Baseline simple panel results are presented. Fixed Effects baseline is Panel Model 1 and Random Effects baseline is Panel Model 2. In both models, Bank Z-score is used as a dependent variable and </w:t>
      </w:r>
      <w:proofErr w:type="gramStart"/>
      <w:r w:rsidRPr="000B7447">
        <w:rPr>
          <w:rFonts w:ascii="Times New Roman" w:hAnsi="Times New Roman" w:cs="Times New Roman"/>
        </w:rPr>
        <w:t>GARCH(</w:t>
      </w:r>
      <w:proofErr w:type="gramEnd"/>
      <w:r w:rsidRPr="000B7447">
        <w:rPr>
          <w:rFonts w:ascii="Times New Roman" w:hAnsi="Times New Roman" w:cs="Times New Roman"/>
        </w:rPr>
        <w:t>1,1) inflation volatility as the critical explanatory variable of concern. A lagged dependent variable is not included since it is not a dynamic panel model, but rather a simple panel model</w:t>
      </w:r>
      <w:r w:rsidR="00E45C03">
        <w:rPr>
          <w:rFonts w:ascii="Times New Roman" w:hAnsi="Times New Roman" w:cs="Times New Roman"/>
        </w:rPr>
        <w:t>.</w:t>
      </w:r>
    </w:p>
    <w:p w14:paraId="77B26F7B" w14:textId="77777777" w:rsidR="00E45C03" w:rsidRPr="00E45C03" w:rsidRDefault="00E45C03" w:rsidP="00E45C03">
      <w:pPr>
        <w:keepNext/>
        <w:spacing w:after="60"/>
        <w:rPr>
          <w:rFonts w:ascii="Times New Roman" w:hAnsi="Times New Roman" w:cs="Times New Roman"/>
          <w:b/>
          <w:bCs/>
        </w:rPr>
      </w:pPr>
      <w:r w:rsidRPr="00E45C03">
        <w:rPr>
          <w:rFonts w:ascii="Times New Roman" w:hAnsi="Times New Roman" w:cs="Times New Roman"/>
          <w:b/>
          <w:bCs/>
        </w:rPr>
        <w:t>Table 4.5. Baseline simple panel estimates: Panel Model 1 and Panel Model 2.</w:t>
      </w:r>
    </w:p>
    <w:tbl>
      <w:tblPr>
        <w:tblStyle w:val="GridTable4-Accent1"/>
        <w:tblW w:w="0" w:type="auto"/>
        <w:tblLook w:val="04A0" w:firstRow="1" w:lastRow="0" w:firstColumn="1" w:lastColumn="0" w:noHBand="0" w:noVBand="1"/>
      </w:tblPr>
      <w:tblGrid>
        <w:gridCol w:w="3144"/>
        <w:gridCol w:w="3103"/>
        <w:gridCol w:w="3103"/>
      </w:tblGrid>
      <w:tr w:rsidR="001219B4" w:rsidRPr="00E45C03" w14:paraId="71025574" w14:textId="77777777" w:rsidTr="001219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4" w:type="dxa"/>
            <w:vAlign w:val="center"/>
            <w:hideMark/>
          </w:tcPr>
          <w:p w14:paraId="2512A6BA" w14:textId="77777777" w:rsidR="001219B4" w:rsidRDefault="001219B4" w:rsidP="009B3C84">
            <w:pPr>
              <w:jc w:val="center"/>
            </w:pPr>
            <w:r>
              <w:rPr>
                <w:rFonts w:ascii="Times New Roman" w:eastAsia="Times New Roman" w:hAnsi="Times New Roman"/>
                <w:color w:val="FFFFFF"/>
                <w:sz w:val="20"/>
              </w:rPr>
              <w:t>Variable / diagnostic</w:t>
            </w:r>
          </w:p>
        </w:tc>
        <w:tc>
          <w:tcPr>
            <w:tcW w:w="3103" w:type="dxa"/>
            <w:vAlign w:val="center"/>
            <w:hideMark/>
          </w:tcPr>
          <w:p w14:paraId="5792E7CA" w14:textId="77777777" w:rsidR="001219B4" w:rsidRDefault="001219B4"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20"/>
              </w:rPr>
              <w:t>Panel Model 1: FE baseline</w:t>
            </w:r>
          </w:p>
        </w:tc>
        <w:tc>
          <w:tcPr>
            <w:tcW w:w="3103" w:type="dxa"/>
            <w:vAlign w:val="center"/>
            <w:hideMark/>
          </w:tcPr>
          <w:p w14:paraId="39D30F65" w14:textId="77777777" w:rsidR="001219B4" w:rsidRDefault="001219B4"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20"/>
              </w:rPr>
              <w:t>Panel Model 2: RE baseline</w:t>
            </w:r>
          </w:p>
        </w:tc>
      </w:tr>
      <w:tr w:rsidR="001219B4" w:rsidRPr="00E45C03" w14:paraId="2D192F91" w14:textId="77777777" w:rsidTr="001219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4" w:type="dxa"/>
            <w:vAlign w:val="center"/>
            <w:hideMark/>
          </w:tcPr>
          <w:p w14:paraId="01953316" w14:textId="77777777" w:rsidR="001219B4" w:rsidRDefault="001219B4" w:rsidP="009B3C84">
            <w:r>
              <w:rPr>
                <w:rFonts w:ascii="Times New Roman" w:eastAsia="Times New Roman" w:hAnsi="Times New Roman"/>
                <w:sz w:val="20"/>
              </w:rPr>
              <w:t>Dependent variable</w:t>
            </w:r>
          </w:p>
        </w:tc>
        <w:tc>
          <w:tcPr>
            <w:tcW w:w="3103" w:type="dxa"/>
            <w:vAlign w:val="center"/>
            <w:hideMark/>
          </w:tcPr>
          <w:p w14:paraId="53D594DA"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0"/>
              </w:rPr>
              <w:t>Bank Z-score</w:t>
            </w:r>
          </w:p>
        </w:tc>
        <w:tc>
          <w:tcPr>
            <w:tcW w:w="3103" w:type="dxa"/>
            <w:vAlign w:val="center"/>
            <w:hideMark/>
          </w:tcPr>
          <w:p w14:paraId="43BC6270"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0"/>
              </w:rPr>
              <w:t>Bank Z-score</w:t>
            </w:r>
          </w:p>
        </w:tc>
      </w:tr>
      <w:tr w:rsidR="001219B4" w:rsidRPr="00E45C03" w14:paraId="1AF77F14" w14:textId="77777777" w:rsidTr="001219B4">
        <w:tc>
          <w:tcPr>
            <w:cnfStyle w:val="001000000000" w:firstRow="0" w:lastRow="0" w:firstColumn="1" w:lastColumn="0" w:oddVBand="0" w:evenVBand="0" w:oddHBand="0" w:evenHBand="0" w:firstRowFirstColumn="0" w:firstRowLastColumn="0" w:lastRowFirstColumn="0" w:lastRowLastColumn="0"/>
            <w:tcW w:w="3144" w:type="dxa"/>
            <w:vAlign w:val="center"/>
            <w:hideMark/>
          </w:tcPr>
          <w:p w14:paraId="3A428F17" w14:textId="77777777" w:rsidR="001219B4" w:rsidRDefault="001219B4" w:rsidP="009B3C84">
            <w:proofErr w:type="gramStart"/>
            <w:r>
              <w:rPr>
                <w:rFonts w:ascii="Times New Roman" w:eastAsia="Times New Roman" w:hAnsi="Times New Roman"/>
                <w:sz w:val="20"/>
              </w:rPr>
              <w:t>GARCH(</w:t>
            </w:r>
            <w:proofErr w:type="gramEnd"/>
            <w:r>
              <w:rPr>
                <w:rFonts w:ascii="Times New Roman" w:eastAsia="Times New Roman" w:hAnsi="Times New Roman"/>
                <w:sz w:val="20"/>
              </w:rPr>
              <w:t>1,1) volatility</w:t>
            </w:r>
            <w:r>
              <w:rPr>
                <w:rFonts w:ascii="Times New Roman" w:eastAsia="Times New Roman" w:hAnsi="Times New Roman"/>
                <w:sz w:val="20"/>
              </w:rPr>
              <w:br/>
              <w:t xml:space="preserve">(coefficient, clustered </w:t>
            </w:r>
            <w:proofErr w:type="spellStart"/>
            <w:r>
              <w:rPr>
                <w:rFonts w:ascii="Times New Roman" w:eastAsia="Times New Roman" w:hAnsi="Times New Roman"/>
                <w:sz w:val="20"/>
              </w:rPr>
              <w:t>s.e.</w:t>
            </w:r>
            <w:proofErr w:type="spellEnd"/>
            <w:r>
              <w:rPr>
                <w:rFonts w:ascii="Times New Roman" w:eastAsia="Times New Roman" w:hAnsi="Times New Roman"/>
                <w:sz w:val="20"/>
              </w:rPr>
              <w:t>)</w:t>
            </w:r>
          </w:p>
        </w:tc>
        <w:tc>
          <w:tcPr>
            <w:tcW w:w="3103" w:type="dxa"/>
            <w:vAlign w:val="center"/>
            <w:hideMark/>
          </w:tcPr>
          <w:p w14:paraId="26782EC9"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0"/>
              </w:rPr>
              <w:t>-0.048</w:t>
            </w:r>
            <w:r>
              <w:rPr>
                <w:rFonts w:ascii="Times New Roman" w:eastAsia="Times New Roman" w:hAnsi="Times New Roman"/>
                <w:sz w:val="20"/>
              </w:rPr>
              <w:br/>
              <w:t>(0.059)</w:t>
            </w:r>
          </w:p>
        </w:tc>
        <w:tc>
          <w:tcPr>
            <w:tcW w:w="3103" w:type="dxa"/>
            <w:vAlign w:val="center"/>
            <w:hideMark/>
          </w:tcPr>
          <w:p w14:paraId="6BA7AF28"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0"/>
              </w:rPr>
              <w:t>-0.056</w:t>
            </w:r>
            <w:r>
              <w:rPr>
                <w:rFonts w:ascii="Times New Roman" w:eastAsia="Times New Roman" w:hAnsi="Times New Roman"/>
                <w:sz w:val="20"/>
              </w:rPr>
              <w:br/>
              <w:t>(0.053)</w:t>
            </w:r>
          </w:p>
        </w:tc>
      </w:tr>
      <w:tr w:rsidR="001219B4" w:rsidRPr="00E45C03" w14:paraId="09BC12C9" w14:textId="77777777" w:rsidTr="001219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4" w:type="dxa"/>
            <w:vAlign w:val="center"/>
            <w:hideMark/>
          </w:tcPr>
          <w:p w14:paraId="23D2EB53" w14:textId="77777777" w:rsidR="001219B4" w:rsidRDefault="001219B4" w:rsidP="009B3C84">
            <w:r>
              <w:rPr>
                <w:rFonts w:ascii="Times New Roman" w:eastAsia="Times New Roman" w:hAnsi="Times New Roman"/>
                <w:sz w:val="20"/>
              </w:rPr>
              <w:t>Country effects</w:t>
            </w:r>
          </w:p>
        </w:tc>
        <w:tc>
          <w:tcPr>
            <w:tcW w:w="3103" w:type="dxa"/>
            <w:vAlign w:val="center"/>
            <w:hideMark/>
          </w:tcPr>
          <w:p w14:paraId="6D9A8672"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0"/>
              </w:rPr>
              <w:t>Fixed country effects</w:t>
            </w:r>
          </w:p>
        </w:tc>
        <w:tc>
          <w:tcPr>
            <w:tcW w:w="3103" w:type="dxa"/>
            <w:vAlign w:val="center"/>
            <w:hideMark/>
          </w:tcPr>
          <w:p w14:paraId="5C24C590"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0"/>
              </w:rPr>
              <w:t>Random country effects</w:t>
            </w:r>
          </w:p>
        </w:tc>
      </w:tr>
      <w:tr w:rsidR="001219B4" w:rsidRPr="00E45C03" w14:paraId="1F74B938" w14:textId="77777777" w:rsidTr="001219B4">
        <w:tc>
          <w:tcPr>
            <w:cnfStyle w:val="001000000000" w:firstRow="0" w:lastRow="0" w:firstColumn="1" w:lastColumn="0" w:oddVBand="0" w:evenVBand="0" w:oddHBand="0" w:evenHBand="0" w:firstRowFirstColumn="0" w:firstRowLastColumn="0" w:lastRowFirstColumn="0" w:lastRowLastColumn="0"/>
            <w:tcW w:w="3144" w:type="dxa"/>
            <w:vAlign w:val="center"/>
            <w:hideMark/>
          </w:tcPr>
          <w:p w14:paraId="0F296AF6" w14:textId="77777777" w:rsidR="001219B4" w:rsidRDefault="001219B4" w:rsidP="009B3C84">
            <w:r>
              <w:rPr>
                <w:rFonts w:ascii="Times New Roman" w:eastAsia="Times New Roman" w:hAnsi="Times New Roman"/>
                <w:sz w:val="20"/>
              </w:rPr>
              <w:t>Lagged dependent variable</w:t>
            </w:r>
          </w:p>
        </w:tc>
        <w:tc>
          <w:tcPr>
            <w:tcW w:w="3103" w:type="dxa"/>
            <w:vAlign w:val="center"/>
            <w:hideMark/>
          </w:tcPr>
          <w:p w14:paraId="42F90CD9"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0"/>
              </w:rPr>
              <w:t>Not included</w:t>
            </w:r>
          </w:p>
        </w:tc>
        <w:tc>
          <w:tcPr>
            <w:tcW w:w="3103" w:type="dxa"/>
            <w:vAlign w:val="center"/>
            <w:hideMark/>
          </w:tcPr>
          <w:p w14:paraId="676EC47C"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0"/>
              </w:rPr>
              <w:t>Not included</w:t>
            </w:r>
          </w:p>
        </w:tc>
      </w:tr>
      <w:tr w:rsidR="001219B4" w:rsidRPr="00E45C03" w14:paraId="09315323" w14:textId="77777777" w:rsidTr="001219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4" w:type="dxa"/>
            <w:vAlign w:val="center"/>
            <w:hideMark/>
          </w:tcPr>
          <w:p w14:paraId="5BF24999" w14:textId="77777777" w:rsidR="001219B4" w:rsidRDefault="001219B4" w:rsidP="009B3C84">
            <w:r>
              <w:rPr>
                <w:rFonts w:ascii="Times New Roman" w:eastAsia="Times New Roman" w:hAnsi="Times New Roman"/>
                <w:sz w:val="20"/>
              </w:rPr>
              <w:t>Control variables</w:t>
            </w:r>
          </w:p>
        </w:tc>
        <w:tc>
          <w:tcPr>
            <w:tcW w:w="3103" w:type="dxa"/>
            <w:vAlign w:val="center"/>
            <w:hideMark/>
          </w:tcPr>
          <w:p w14:paraId="78FE4B85"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0"/>
              </w:rPr>
              <w:t>None</w:t>
            </w:r>
          </w:p>
        </w:tc>
        <w:tc>
          <w:tcPr>
            <w:tcW w:w="3103" w:type="dxa"/>
            <w:vAlign w:val="center"/>
            <w:hideMark/>
          </w:tcPr>
          <w:p w14:paraId="4EA41E75"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0"/>
              </w:rPr>
              <w:t>None</w:t>
            </w:r>
          </w:p>
        </w:tc>
      </w:tr>
      <w:tr w:rsidR="001219B4" w:rsidRPr="00E45C03" w14:paraId="2724EBAE" w14:textId="77777777" w:rsidTr="001219B4">
        <w:tc>
          <w:tcPr>
            <w:cnfStyle w:val="001000000000" w:firstRow="0" w:lastRow="0" w:firstColumn="1" w:lastColumn="0" w:oddVBand="0" w:evenVBand="0" w:oddHBand="0" w:evenHBand="0" w:firstRowFirstColumn="0" w:firstRowLastColumn="0" w:lastRowFirstColumn="0" w:lastRowLastColumn="0"/>
            <w:tcW w:w="3144" w:type="dxa"/>
            <w:vAlign w:val="center"/>
            <w:hideMark/>
          </w:tcPr>
          <w:p w14:paraId="444F1705" w14:textId="77777777" w:rsidR="001219B4" w:rsidRDefault="001219B4" w:rsidP="009B3C84">
            <w:r>
              <w:rPr>
                <w:rFonts w:ascii="Times New Roman" w:eastAsia="Times New Roman" w:hAnsi="Times New Roman"/>
                <w:sz w:val="20"/>
              </w:rPr>
              <w:t>Hausman test</w:t>
            </w:r>
          </w:p>
        </w:tc>
        <w:tc>
          <w:tcPr>
            <w:tcW w:w="3103" w:type="dxa"/>
            <w:vAlign w:val="center"/>
            <w:hideMark/>
          </w:tcPr>
          <w:p w14:paraId="2932E23A"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0"/>
              </w:rPr>
              <w:t>—</w:t>
            </w:r>
          </w:p>
        </w:tc>
        <w:tc>
          <w:tcPr>
            <w:tcW w:w="3103" w:type="dxa"/>
            <w:vAlign w:val="center"/>
            <w:hideMark/>
          </w:tcPr>
          <w:p w14:paraId="201D8285"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0"/>
              </w:rPr>
              <w:t>—</w:t>
            </w:r>
          </w:p>
        </w:tc>
      </w:tr>
      <w:tr w:rsidR="001219B4" w:rsidRPr="00E45C03" w14:paraId="4DECC6A8" w14:textId="77777777" w:rsidTr="001219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4" w:type="dxa"/>
            <w:vAlign w:val="center"/>
            <w:hideMark/>
          </w:tcPr>
          <w:p w14:paraId="4E723100" w14:textId="77777777" w:rsidR="001219B4" w:rsidRDefault="001219B4" w:rsidP="009B3C84">
            <w:r>
              <w:rPr>
                <w:rFonts w:ascii="Times New Roman" w:eastAsia="Times New Roman" w:hAnsi="Times New Roman"/>
                <w:sz w:val="20"/>
              </w:rPr>
              <w:t>Observations / countries</w:t>
            </w:r>
          </w:p>
        </w:tc>
        <w:tc>
          <w:tcPr>
            <w:tcW w:w="3103" w:type="dxa"/>
            <w:vAlign w:val="center"/>
            <w:hideMark/>
          </w:tcPr>
          <w:p w14:paraId="0DCEAF16"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0"/>
              </w:rPr>
              <w:t>816 / 44</w:t>
            </w:r>
          </w:p>
        </w:tc>
        <w:tc>
          <w:tcPr>
            <w:tcW w:w="3103" w:type="dxa"/>
            <w:vAlign w:val="center"/>
            <w:hideMark/>
          </w:tcPr>
          <w:p w14:paraId="4D1F898D"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0"/>
              </w:rPr>
              <w:t>816 / 44</w:t>
            </w:r>
          </w:p>
        </w:tc>
      </w:tr>
      <w:tr w:rsidR="001219B4" w:rsidRPr="00E45C03" w14:paraId="512D943B" w14:textId="77777777" w:rsidTr="001219B4">
        <w:tc>
          <w:tcPr>
            <w:cnfStyle w:val="001000000000" w:firstRow="0" w:lastRow="0" w:firstColumn="1" w:lastColumn="0" w:oddVBand="0" w:evenVBand="0" w:oddHBand="0" w:evenHBand="0" w:firstRowFirstColumn="0" w:firstRowLastColumn="0" w:lastRowFirstColumn="0" w:lastRowLastColumn="0"/>
            <w:tcW w:w="3144" w:type="dxa"/>
            <w:vAlign w:val="center"/>
            <w:hideMark/>
          </w:tcPr>
          <w:p w14:paraId="0F8DEC1B" w14:textId="77777777" w:rsidR="001219B4" w:rsidRDefault="001219B4" w:rsidP="009B3C84">
            <w:r>
              <w:rPr>
                <w:rFonts w:ascii="Times New Roman" w:eastAsia="Times New Roman" w:hAnsi="Times New Roman"/>
                <w:sz w:val="20"/>
              </w:rPr>
              <w:t>Interpretation</w:t>
            </w:r>
          </w:p>
        </w:tc>
        <w:tc>
          <w:tcPr>
            <w:tcW w:w="3103" w:type="dxa"/>
            <w:vAlign w:val="center"/>
            <w:hideMark/>
          </w:tcPr>
          <w:p w14:paraId="52A78FD0"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0"/>
              </w:rPr>
              <w:t>Negative; p = 0.417</w:t>
            </w:r>
          </w:p>
        </w:tc>
        <w:tc>
          <w:tcPr>
            <w:tcW w:w="3103" w:type="dxa"/>
            <w:vAlign w:val="center"/>
            <w:hideMark/>
          </w:tcPr>
          <w:p w14:paraId="01450DC3"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0"/>
              </w:rPr>
              <w:t>Negative; p = 0.291</w:t>
            </w:r>
          </w:p>
        </w:tc>
      </w:tr>
    </w:tbl>
    <w:p w14:paraId="3B5CE86B" w14:textId="77777777" w:rsidR="001219B4" w:rsidRDefault="001219B4" w:rsidP="001219B4">
      <w:pPr>
        <w:spacing w:after="120"/>
      </w:pPr>
      <w:r>
        <w:rPr>
          <w:rFonts w:ascii="Times New Roman" w:eastAsia="Times New Roman" w:hAnsi="Times New Roman"/>
          <w:sz w:val="20"/>
        </w:rPr>
        <w:t>Note. Country-clustered standard errors are in parentheses. *** p&lt;0.01, ** p&lt;0.05, * p&lt;0.10. The baseline sample contains 816 observations from 44 countries over 2000-2021.</w:t>
      </w:r>
    </w:p>
    <w:p w14:paraId="6D81935F" w14:textId="77777777" w:rsidR="000B7447" w:rsidRP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 xml:space="preserve">This relevant coefficient for the Bank Z-score model is the coefficient of the inflation volatility from the </w:t>
      </w:r>
      <w:proofErr w:type="gramStart"/>
      <w:r w:rsidRPr="000B7447">
        <w:rPr>
          <w:rFonts w:ascii="Times New Roman" w:hAnsi="Times New Roman" w:cs="Times New Roman"/>
        </w:rPr>
        <w:t>GARCH(</w:t>
      </w:r>
      <w:proofErr w:type="gramEnd"/>
      <w:r w:rsidRPr="000B7447">
        <w:rPr>
          <w:rFonts w:ascii="Times New Roman" w:hAnsi="Times New Roman" w:cs="Times New Roman"/>
        </w:rPr>
        <w:t>1,1) model. A negative coefficient means that an increase in the volatility of inflation will lead to a decrease in banking stability. The Fixed Effects estimate can be interpreted as a within-country relationship, and the Random Effects estimate should be interpreted as a panel-wide relationship, assuming that country effects are orthogonal to regressors.</w:t>
      </w:r>
    </w:p>
    <w:p w14:paraId="4BA13F46" w14:textId="77777777" w:rsidR="00E45C03" w:rsidRPr="00E45C03" w:rsidRDefault="00E45C03" w:rsidP="00E45C03">
      <w:pPr>
        <w:keepNext/>
        <w:spacing w:after="60"/>
        <w:rPr>
          <w:rFonts w:ascii="Times New Roman" w:hAnsi="Times New Roman" w:cs="Times New Roman"/>
          <w:b/>
          <w:bCs/>
        </w:rPr>
      </w:pPr>
      <w:r w:rsidRPr="00E45C03">
        <w:rPr>
          <w:rFonts w:ascii="Times New Roman" w:hAnsi="Times New Roman" w:cs="Times New Roman"/>
          <w:b/>
          <w:bCs/>
        </w:rPr>
        <w:t>Table 4.6. Baseline FE-RE comparison and Hausman-test structure: Panel Model 3.</w:t>
      </w:r>
    </w:p>
    <w:tbl>
      <w:tblPr>
        <w:tblStyle w:val="GridTable4-Accent1"/>
        <w:tblW w:w="0" w:type="auto"/>
        <w:tblLook w:val="04A0" w:firstRow="1" w:lastRow="0" w:firstColumn="1" w:lastColumn="0" w:noHBand="0" w:noVBand="1"/>
      </w:tblPr>
      <w:tblGrid>
        <w:gridCol w:w="3136"/>
        <w:gridCol w:w="3104"/>
        <w:gridCol w:w="3110"/>
      </w:tblGrid>
      <w:tr w:rsidR="001219B4" w:rsidRPr="00E45C03" w14:paraId="1007D625" w14:textId="77777777" w:rsidTr="001219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6" w:type="dxa"/>
            <w:vAlign w:val="center"/>
            <w:hideMark/>
          </w:tcPr>
          <w:p w14:paraId="64FB51FB" w14:textId="77777777" w:rsidR="001219B4" w:rsidRDefault="001219B4" w:rsidP="009B3C84">
            <w:pPr>
              <w:jc w:val="center"/>
            </w:pPr>
            <w:r>
              <w:rPr>
                <w:rFonts w:ascii="Times New Roman" w:eastAsia="Times New Roman" w:hAnsi="Times New Roman"/>
                <w:color w:val="FFFFFF"/>
                <w:sz w:val="20"/>
              </w:rPr>
              <w:t>Variable / diagnostic</w:t>
            </w:r>
          </w:p>
        </w:tc>
        <w:tc>
          <w:tcPr>
            <w:tcW w:w="3104" w:type="dxa"/>
            <w:vAlign w:val="center"/>
            <w:hideMark/>
          </w:tcPr>
          <w:p w14:paraId="1884F6D5" w14:textId="77777777" w:rsidR="001219B4" w:rsidRDefault="001219B4"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20"/>
              </w:rPr>
              <w:t>Panel Model 3: FE estimate</w:t>
            </w:r>
          </w:p>
        </w:tc>
        <w:tc>
          <w:tcPr>
            <w:tcW w:w="3110" w:type="dxa"/>
            <w:vAlign w:val="center"/>
            <w:hideMark/>
          </w:tcPr>
          <w:p w14:paraId="3FFE0B64" w14:textId="77777777" w:rsidR="001219B4" w:rsidRDefault="001219B4"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20"/>
              </w:rPr>
              <w:t>Panel Model 3: RE estimate</w:t>
            </w:r>
          </w:p>
        </w:tc>
      </w:tr>
      <w:tr w:rsidR="001219B4" w:rsidRPr="00E45C03" w14:paraId="76889399" w14:textId="77777777" w:rsidTr="001219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6" w:type="dxa"/>
            <w:vAlign w:val="center"/>
            <w:hideMark/>
          </w:tcPr>
          <w:p w14:paraId="17AF029D" w14:textId="77777777" w:rsidR="001219B4" w:rsidRDefault="001219B4" w:rsidP="009B3C84">
            <w:r>
              <w:rPr>
                <w:rFonts w:ascii="Times New Roman" w:eastAsia="Times New Roman" w:hAnsi="Times New Roman"/>
                <w:sz w:val="20"/>
              </w:rPr>
              <w:t>Dependent variable</w:t>
            </w:r>
          </w:p>
        </w:tc>
        <w:tc>
          <w:tcPr>
            <w:tcW w:w="3104" w:type="dxa"/>
            <w:vAlign w:val="center"/>
            <w:hideMark/>
          </w:tcPr>
          <w:p w14:paraId="30040B37"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0"/>
              </w:rPr>
              <w:t>Bank Z-score</w:t>
            </w:r>
          </w:p>
        </w:tc>
        <w:tc>
          <w:tcPr>
            <w:tcW w:w="3110" w:type="dxa"/>
            <w:vAlign w:val="center"/>
            <w:hideMark/>
          </w:tcPr>
          <w:p w14:paraId="262F1014"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0"/>
              </w:rPr>
              <w:t>Bank Z-score</w:t>
            </w:r>
          </w:p>
        </w:tc>
      </w:tr>
      <w:tr w:rsidR="001219B4" w:rsidRPr="00E45C03" w14:paraId="1AC8119A" w14:textId="77777777" w:rsidTr="001219B4">
        <w:tc>
          <w:tcPr>
            <w:cnfStyle w:val="001000000000" w:firstRow="0" w:lastRow="0" w:firstColumn="1" w:lastColumn="0" w:oddVBand="0" w:evenVBand="0" w:oddHBand="0" w:evenHBand="0" w:firstRowFirstColumn="0" w:firstRowLastColumn="0" w:lastRowFirstColumn="0" w:lastRowLastColumn="0"/>
            <w:tcW w:w="3136" w:type="dxa"/>
            <w:vAlign w:val="center"/>
            <w:hideMark/>
          </w:tcPr>
          <w:p w14:paraId="70934798" w14:textId="77777777" w:rsidR="001219B4" w:rsidRDefault="001219B4" w:rsidP="009B3C84">
            <w:proofErr w:type="gramStart"/>
            <w:r>
              <w:rPr>
                <w:rFonts w:ascii="Times New Roman" w:eastAsia="Times New Roman" w:hAnsi="Times New Roman"/>
                <w:sz w:val="20"/>
              </w:rPr>
              <w:t>GARCH(</w:t>
            </w:r>
            <w:proofErr w:type="gramEnd"/>
            <w:r>
              <w:rPr>
                <w:rFonts w:ascii="Times New Roman" w:eastAsia="Times New Roman" w:hAnsi="Times New Roman"/>
                <w:sz w:val="20"/>
              </w:rPr>
              <w:t>1,1) volatility</w:t>
            </w:r>
          </w:p>
        </w:tc>
        <w:tc>
          <w:tcPr>
            <w:tcW w:w="3104" w:type="dxa"/>
            <w:vAlign w:val="center"/>
            <w:hideMark/>
          </w:tcPr>
          <w:p w14:paraId="5D2E8B87"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0"/>
              </w:rPr>
              <w:t>-0.048</w:t>
            </w:r>
            <w:r>
              <w:rPr>
                <w:rFonts w:ascii="Times New Roman" w:eastAsia="Times New Roman" w:hAnsi="Times New Roman"/>
                <w:sz w:val="20"/>
              </w:rPr>
              <w:br/>
              <w:t>(0.059)</w:t>
            </w:r>
          </w:p>
        </w:tc>
        <w:tc>
          <w:tcPr>
            <w:tcW w:w="3110" w:type="dxa"/>
            <w:vAlign w:val="center"/>
            <w:hideMark/>
          </w:tcPr>
          <w:p w14:paraId="5DAB96E1"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0"/>
              </w:rPr>
              <w:t>-0.056</w:t>
            </w:r>
            <w:r>
              <w:rPr>
                <w:rFonts w:ascii="Times New Roman" w:eastAsia="Times New Roman" w:hAnsi="Times New Roman"/>
                <w:sz w:val="20"/>
              </w:rPr>
              <w:br/>
              <w:t>(0.053)</w:t>
            </w:r>
          </w:p>
        </w:tc>
      </w:tr>
      <w:tr w:rsidR="001219B4" w:rsidRPr="00E45C03" w14:paraId="4B64497D" w14:textId="77777777" w:rsidTr="001219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6" w:type="dxa"/>
            <w:vAlign w:val="center"/>
            <w:hideMark/>
          </w:tcPr>
          <w:p w14:paraId="08580EF3" w14:textId="77777777" w:rsidR="001219B4" w:rsidRDefault="001219B4" w:rsidP="009B3C84">
            <w:r>
              <w:rPr>
                <w:rFonts w:ascii="Times New Roman" w:eastAsia="Times New Roman" w:hAnsi="Times New Roman"/>
                <w:sz w:val="20"/>
              </w:rPr>
              <w:t>Constant</w:t>
            </w:r>
          </w:p>
        </w:tc>
        <w:tc>
          <w:tcPr>
            <w:tcW w:w="3104" w:type="dxa"/>
            <w:vAlign w:val="center"/>
            <w:hideMark/>
          </w:tcPr>
          <w:p w14:paraId="35423720"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0"/>
              </w:rPr>
              <w:t>Absorbed by FE</w:t>
            </w:r>
          </w:p>
        </w:tc>
        <w:tc>
          <w:tcPr>
            <w:tcW w:w="3110" w:type="dxa"/>
            <w:vAlign w:val="center"/>
            <w:hideMark/>
          </w:tcPr>
          <w:p w14:paraId="48499EF7"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0"/>
              </w:rPr>
              <w:t>17.357***</w:t>
            </w:r>
            <w:r>
              <w:rPr>
                <w:rFonts w:ascii="Times New Roman" w:eastAsia="Times New Roman" w:hAnsi="Times New Roman"/>
                <w:sz w:val="20"/>
              </w:rPr>
              <w:br/>
              <w:t>(1.346)</w:t>
            </w:r>
          </w:p>
        </w:tc>
      </w:tr>
      <w:tr w:rsidR="001219B4" w:rsidRPr="00E45C03" w14:paraId="7B41AD0A" w14:textId="77777777" w:rsidTr="001219B4">
        <w:tc>
          <w:tcPr>
            <w:cnfStyle w:val="001000000000" w:firstRow="0" w:lastRow="0" w:firstColumn="1" w:lastColumn="0" w:oddVBand="0" w:evenVBand="0" w:oddHBand="0" w:evenHBand="0" w:firstRowFirstColumn="0" w:firstRowLastColumn="0" w:lastRowFirstColumn="0" w:lastRowLastColumn="0"/>
            <w:tcW w:w="3136" w:type="dxa"/>
            <w:vAlign w:val="center"/>
            <w:hideMark/>
          </w:tcPr>
          <w:p w14:paraId="61641F7E" w14:textId="77777777" w:rsidR="001219B4" w:rsidRDefault="001219B4" w:rsidP="009B3C84">
            <w:r>
              <w:rPr>
                <w:rFonts w:ascii="Times New Roman" w:eastAsia="Times New Roman" w:hAnsi="Times New Roman"/>
                <w:sz w:val="20"/>
              </w:rPr>
              <w:t>Controls</w:t>
            </w:r>
          </w:p>
        </w:tc>
        <w:tc>
          <w:tcPr>
            <w:tcW w:w="3104" w:type="dxa"/>
            <w:vAlign w:val="center"/>
            <w:hideMark/>
          </w:tcPr>
          <w:p w14:paraId="591911DE"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0"/>
              </w:rPr>
              <w:t>None</w:t>
            </w:r>
          </w:p>
        </w:tc>
        <w:tc>
          <w:tcPr>
            <w:tcW w:w="3110" w:type="dxa"/>
            <w:vAlign w:val="center"/>
            <w:hideMark/>
          </w:tcPr>
          <w:p w14:paraId="31CF5D79"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0"/>
              </w:rPr>
              <w:t>None</w:t>
            </w:r>
          </w:p>
        </w:tc>
      </w:tr>
      <w:tr w:rsidR="001219B4" w:rsidRPr="00E45C03" w14:paraId="0FCFC72B" w14:textId="77777777" w:rsidTr="001219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6" w:type="dxa"/>
            <w:vAlign w:val="center"/>
            <w:hideMark/>
          </w:tcPr>
          <w:p w14:paraId="219860C8" w14:textId="77777777" w:rsidR="001219B4" w:rsidRDefault="001219B4" w:rsidP="009B3C84">
            <w:r>
              <w:rPr>
                <w:rFonts w:ascii="Times New Roman" w:eastAsia="Times New Roman" w:hAnsi="Times New Roman"/>
                <w:sz w:val="20"/>
              </w:rPr>
              <w:t>Hausman p-value</w:t>
            </w:r>
          </w:p>
        </w:tc>
        <w:tc>
          <w:tcPr>
            <w:tcW w:w="3104" w:type="dxa"/>
            <w:vAlign w:val="center"/>
            <w:hideMark/>
          </w:tcPr>
          <w:p w14:paraId="6DC58DC7"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0"/>
              </w:rPr>
              <w:t>0.324</w:t>
            </w:r>
          </w:p>
        </w:tc>
        <w:tc>
          <w:tcPr>
            <w:tcW w:w="3110" w:type="dxa"/>
            <w:vAlign w:val="center"/>
            <w:hideMark/>
          </w:tcPr>
          <w:p w14:paraId="4EDD032D"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0"/>
              </w:rPr>
              <w:t>0.324</w:t>
            </w:r>
          </w:p>
        </w:tc>
      </w:tr>
      <w:tr w:rsidR="001219B4" w:rsidRPr="00E45C03" w14:paraId="5F6BDAF6" w14:textId="77777777" w:rsidTr="001219B4">
        <w:tc>
          <w:tcPr>
            <w:cnfStyle w:val="001000000000" w:firstRow="0" w:lastRow="0" w:firstColumn="1" w:lastColumn="0" w:oddVBand="0" w:evenVBand="0" w:oddHBand="0" w:evenHBand="0" w:firstRowFirstColumn="0" w:firstRowLastColumn="0" w:lastRowFirstColumn="0" w:lastRowLastColumn="0"/>
            <w:tcW w:w="3136" w:type="dxa"/>
            <w:vAlign w:val="center"/>
            <w:hideMark/>
          </w:tcPr>
          <w:p w14:paraId="31186CBA" w14:textId="77777777" w:rsidR="001219B4" w:rsidRDefault="001219B4" w:rsidP="009B3C84">
            <w:r>
              <w:rPr>
                <w:rFonts w:ascii="Times New Roman" w:eastAsia="Times New Roman" w:hAnsi="Times New Roman"/>
                <w:sz w:val="20"/>
              </w:rPr>
              <w:t>Preferred estimator</w:t>
            </w:r>
          </w:p>
        </w:tc>
        <w:tc>
          <w:tcPr>
            <w:tcW w:w="3104" w:type="dxa"/>
            <w:vAlign w:val="center"/>
            <w:hideMark/>
          </w:tcPr>
          <w:p w14:paraId="110FE694"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0"/>
              </w:rPr>
              <w:t>RE selected</w:t>
            </w:r>
          </w:p>
        </w:tc>
        <w:tc>
          <w:tcPr>
            <w:tcW w:w="3110" w:type="dxa"/>
            <w:vAlign w:val="center"/>
            <w:hideMark/>
          </w:tcPr>
          <w:p w14:paraId="2A0D686D"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0"/>
              </w:rPr>
              <w:t>RE selected</w:t>
            </w:r>
          </w:p>
        </w:tc>
      </w:tr>
      <w:tr w:rsidR="001219B4" w:rsidRPr="00E45C03" w14:paraId="4747B0EB" w14:textId="77777777" w:rsidTr="001219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6" w:type="dxa"/>
            <w:vAlign w:val="center"/>
            <w:hideMark/>
          </w:tcPr>
          <w:p w14:paraId="47BC0681" w14:textId="77777777" w:rsidR="001219B4" w:rsidRDefault="001219B4" w:rsidP="009B3C84">
            <w:r>
              <w:rPr>
                <w:rFonts w:ascii="Times New Roman" w:eastAsia="Times New Roman" w:hAnsi="Times New Roman"/>
                <w:sz w:val="20"/>
              </w:rPr>
              <w:t>Observations</w:t>
            </w:r>
          </w:p>
        </w:tc>
        <w:tc>
          <w:tcPr>
            <w:tcW w:w="3104" w:type="dxa"/>
            <w:vAlign w:val="center"/>
            <w:hideMark/>
          </w:tcPr>
          <w:p w14:paraId="1352555D"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0"/>
              </w:rPr>
              <w:t>816</w:t>
            </w:r>
          </w:p>
        </w:tc>
        <w:tc>
          <w:tcPr>
            <w:tcW w:w="3110" w:type="dxa"/>
            <w:vAlign w:val="center"/>
            <w:hideMark/>
          </w:tcPr>
          <w:p w14:paraId="58A183BC"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0"/>
              </w:rPr>
              <w:t>816</w:t>
            </w:r>
          </w:p>
        </w:tc>
      </w:tr>
      <w:tr w:rsidR="001219B4" w:rsidRPr="00E45C03" w14:paraId="75C2C6AF" w14:textId="77777777" w:rsidTr="001219B4">
        <w:tc>
          <w:tcPr>
            <w:cnfStyle w:val="001000000000" w:firstRow="0" w:lastRow="0" w:firstColumn="1" w:lastColumn="0" w:oddVBand="0" w:evenVBand="0" w:oddHBand="0" w:evenHBand="0" w:firstRowFirstColumn="0" w:firstRowLastColumn="0" w:lastRowFirstColumn="0" w:lastRowLastColumn="0"/>
            <w:tcW w:w="3136" w:type="dxa"/>
            <w:vAlign w:val="center"/>
            <w:hideMark/>
          </w:tcPr>
          <w:p w14:paraId="245AF73F" w14:textId="77777777" w:rsidR="001219B4" w:rsidRDefault="001219B4" w:rsidP="009B3C84">
            <w:r>
              <w:rPr>
                <w:rFonts w:ascii="Times New Roman" w:eastAsia="Times New Roman" w:hAnsi="Times New Roman"/>
                <w:sz w:val="20"/>
              </w:rPr>
              <w:t>Countries</w:t>
            </w:r>
          </w:p>
        </w:tc>
        <w:tc>
          <w:tcPr>
            <w:tcW w:w="3104" w:type="dxa"/>
            <w:vAlign w:val="center"/>
            <w:hideMark/>
          </w:tcPr>
          <w:p w14:paraId="50CBF77D"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0"/>
              </w:rPr>
              <w:t>44</w:t>
            </w:r>
          </w:p>
        </w:tc>
        <w:tc>
          <w:tcPr>
            <w:tcW w:w="3110" w:type="dxa"/>
            <w:vAlign w:val="center"/>
            <w:hideMark/>
          </w:tcPr>
          <w:p w14:paraId="3BE25AD1"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0"/>
              </w:rPr>
              <w:t>44</w:t>
            </w:r>
          </w:p>
        </w:tc>
      </w:tr>
    </w:tbl>
    <w:p w14:paraId="3BACB56D" w14:textId="77777777" w:rsidR="001219B4" w:rsidRDefault="001219B4" w:rsidP="001219B4">
      <w:pPr>
        <w:spacing w:after="120"/>
      </w:pPr>
      <w:r>
        <w:rPr>
          <w:rFonts w:ascii="Times New Roman" w:eastAsia="Times New Roman" w:hAnsi="Times New Roman"/>
          <w:sz w:val="20"/>
        </w:rPr>
        <w:t>Note. The classic Hausman test supports Random Effects when p &gt;= 0.05. Here, p=0.324, so the RE estimate is selected for interpretation.</w:t>
      </w:r>
    </w:p>
    <w:p w14:paraId="4F891D31" w14:textId="77777777" w:rsidR="000B7447" w:rsidRP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The first choice of estimator is the baseline comparison model. If it suggests Fixed Effects, then it was better to focus on intra-country variation: not only in inflation volatility but also in Bank Z-</w:t>
      </w:r>
      <w:r w:rsidRPr="000B7447">
        <w:rPr>
          <w:rFonts w:ascii="Times New Roman" w:hAnsi="Times New Roman" w:cs="Times New Roman"/>
        </w:rPr>
        <w:lastRenderedPageBreak/>
        <w:t xml:space="preserve">score. If the test allows Random </w:t>
      </w:r>
      <w:proofErr w:type="gramStart"/>
      <w:r w:rsidRPr="000B7447">
        <w:rPr>
          <w:rFonts w:ascii="Times New Roman" w:hAnsi="Times New Roman" w:cs="Times New Roman"/>
        </w:rPr>
        <w:t>Effects</w:t>
      </w:r>
      <w:proofErr w:type="gramEnd"/>
      <w:r w:rsidRPr="000B7447">
        <w:rPr>
          <w:rFonts w:ascii="Times New Roman" w:hAnsi="Times New Roman" w:cs="Times New Roman"/>
        </w:rPr>
        <w:t xml:space="preserve"> it can be used for interpretation. The expected sign of </w:t>
      </w:r>
      <w:proofErr w:type="gramStart"/>
      <w:r w:rsidRPr="000B7447">
        <w:rPr>
          <w:rFonts w:ascii="Times New Roman" w:hAnsi="Times New Roman" w:cs="Times New Roman"/>
        </w:rPr>
        <w:t>GARCH(</w:t>
      </w:r>
      <w:proofErr w:type="gramEnd"/>
      <w:r w:rsidRPr="000B7447">
        <w:rPr>
          <w:rFonts w:ascii="Times New Roman" w:hAnsi="Times New Roman" w:cs="Times New Roman"/>
        </w:rPr>
        <w:t>1,1) volatility for both cases is same and is negative for the bank z-score.</w:t>
      </w:r>
    </w:p>
    <w:p w14:paraId="5A31B6F8" w14:textId="77777777" w:rsidR="000B7447" w:rsidRPr="00E45C03" w:rsidRDefault="000B7447" w:rsidP="00E45C03">
      <w:pPr>
        <w:pStyle w:val="Heading2"/>
        <w:rPr>
          <w:rFonts w:ascii="Times New Roman" w:hAnsi="Times New Roman" w:cs="Times New Roman"/>
          <w:b/>
          <w:bCs/>
          <w:sz w:val="28"/>
          <w:szCs w:val="28"/>
        </w:rPr>
      </w:pPr>
      <w:bookmarkStart w:id="87" w:name="_Toc235530915"/>
      <w:r w:rsidRPr="00E45C03">
        <w:rPr>
          <w:rFonts w:ascii="Times New Roman" w:hAnsi="Times New Roman" w:cs="Times New Roman"/>
          <w:b/>
          <w:bCs/>
          <w:sz w:val="28"/>
          <w:szCs w:val="28"/>
        </w:rPr>
        <w:t>4.4 Hausman-test selection and stepwise model interpretation</w:t>
      </w:r>
      <w:bookmarkEnd w:id="87"/>
    </w:p>
    <w:p w14:paraId="40451D96" w14:textId="55AAB65C" w:rsid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 xml:space="preserve">The new empirical design </w:t>
      </w:r>
      <w:proofErr w:type="gramStart"/>
      <w:r w:rsidRPr="000B7447">
        <w:rPr>
          <w:rFonts w:ascii="Times New Roman" w:hAnsi="Times New Roman" w:cs="Times New Roman"/>
        </w:rPr>
        <w:t>rely</w:t>
      </w:r>
      <w:proofErr w:type="gramEnd"/>
      <w:r w:rsidRPr="000B7447">
        <w:rPr>
          <w:rFonts w:ascii="Times New Roman" w:hAnsi="Times New Roman" w:cs="Times New Roman"/>
        </w:rPr>
        <w:t xml:space="preserve"> on the Hausman test. This is because </w:t>
      </w:r>
      <w:r w:rsidR="00567F9E">
        <w:rPr>
          <w:rFonts w:ascii="Times New Roman" w:hAnsi="Times New Roman" w:cs="Times New Roman"/>
        </w:rPr>
        <w:t>we</w:t>
      </w:r>
      <w:r w:rsidRPr="000B7447">
        <w:rPr>
          <w:rFonts w:ascii="Times New Roman" w:hAnsi="Times New Roman" w:cs="Times New Roman"/>
        </w:rPr>
        <w:t xml:space="preserve"> want to determine if the country specific effects that </w:t>
      </w:r>
      <w:r w:rsidR="00567F9E">
        <w:rPr>
          <w:rFonts w:ascii="Times New Roman" w:hAnsi="Times New Roman" w:cs="Times New Roman"/>
        </w:rPr>
        <w:t>we</w:t>
      </w:r>
      <w:r w:rsidRPr="000B7447">
        <w:rPr>
          <w:rFonts w:ascii="Times New Roman" w:hAnsi="Times New Roman" w:cs="Times New Roman"/>
        </w:rPr>
        <w:t xml:space="preserve"> did not observe are correlated with the regressors. Whatever is chosen is relevant since frontier economies vary in their institutional quality, financial depth, monetary credibility, and banking- sector structure. The Hausman test provides a formal rule for the selection of either Fixed Effects or Random Effects for Panel Models 3-6.</w:t>
      </w:r>
    </w:p>
    <w:p w14:paraId="7021B96D" w14:textId="77777777" w:rsidR="008E3A17" w:rsidRPr="008E3A17" w:rsidRDefault="008E3A17" w:rsidP="008E3A17">
      <w:pPr>
        <w:keepNext/>
        <w:spacing w:after="60"/>
        <w:rPr>
          <w:rFonts w:ascii="Times New Roman" w:hAnsi="Times New Roman" w:cs="Times New Roman"/>
          <w:b/>
          <w:bCs/>
        </w:rPr>
      </w:pPr>
      <w:r w:rsidRPr="008E3A17">
        <w:rPr>
          <w:rFonts w:ascii="Times New Roman" w:hAnsi="Times New Roman" w:cs="Times New Roman"/>
          <w:b/>
          <w:bCs/>
        </w:rPr>
        <w:t>Table 4.7. Hausman-test and estimator-selection summary for Panel Models 1-6.</w:t>
      </w:r>
    </w:p>
    <w:tbl>
      <w:tblPr>
        <w:tblStyle w:val="GridTable4-Accent1"/>
        <w:tblW w:w="0" w:type="auto"/>
        <w:tblLook w:val="04A0" w:firstRow="1" w:lastRow="0" w:firstColumn="1" w:lastColumn="0" w:noHBand="0" w:noVBand="1"/>
      </w:tblPr>
      <w:tblGrid>
        <w:gridCol w:w="1516"/>
        <w:gridCol w:w="1592"/>
        <w:gridCol w:w="1545"/>
        <w:gridCol w:w="1556"/>
        <w:gridCol w:w="1613"/>
        <w:gridCol w:w="1528"/>
      </w:tblGrid>
      <w:tr w:rsidR="001219B4" w:rsidRPr="008E3A17" w14:paraId="670C59A5" w14:textId="77777777" w:rsidTr="001219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 w:type="dxa"/>
            <w:vAlign w:val="center"/>
            <w:hideMark/>
          </w:tcPr>
          <w:p w14:paraId="010CEA2E" w14:textId="77777777" w:rsidR="001219B4" w:rsidRDefault="001219B4" w:rsidP="009B3C84">
            <w:pPr>
              <w:jc w:val="center"/>
            </w:pPr>
            <w:r>
              <w:rPr>
                <w:rFonts w:ascii="Times New Roman" w:eastAsia="Times New Roman" w:hAnsi="Times New Roman"/>
                <w:color w:val="FFFFFF"/>
                <w:sz w:val="19"/>
              </w:rPr>
              <w:t>Panel model</w:t>
            </w:r>
          </w:p>
        </w:tc>
        <w:tc>
          <w:tcPr>
            <w:tcW w:w="1592" w:type="dxa"/>
            <w:vAlign w:val="center"/>
            <w:hideMark/>
          </w:tcPr>
          <w:p w14:paraId="67809EE8" w14:textId="77777777" w:rsidR="001219B4" w:rsidRDefault="001219B4"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9"/>
              </w:rPr>
              <w:t>Estimator(s)</w:t>
            </w:r>
          </w:p>
        </w:tc>
        <w:tc>
          <w:tcPr>
            <w:tcW w:w="1545" w:type="dxa"/>
            <w:vAlign w:val="center"/>
            <w:hideMark/>
          </w:tcPr>
          <w:p w14:paraId="4C5D0CF6" w14:textId="77777777" w:rsidR="001219B4" w:rsidRDefault="001219B4"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9"/>
              </w:rPr>
              <w:t>Controls included</w:t>
            </w:r>
          </w:p>
        </w:tc>
        <w:tc>
          <w:tcPr>
            <w:tcW w:w="1556" w:type="dxa"/>
            <w:vAlign w:val="center"/>
            <w:hideMark/>
          </w:tcPr>
          <w:p w14:paraId="28C72724" w14:textId="77777777" w:rsidR="001219B4" w:rsidRDefault="001219B4"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9"/>
              </w:rPr>
              <w:t>Hausman use</w:t>
            </w:r>
          </w:p>
        </w:tc>
        <w:tc>
          <w:tcPr>
            <w:tcW w:w="1613" w:type="dxa"/>
            <w:vAlign w:val="center"/>
            <w:hideMark/>
          </w:tcPr>
          <w:p w14:paraId="7B354786" w14:textId="77777777" w:rsidR="001219B4" w:rsidRDefault="001219B4"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9"/>
              </w:rPr>
              <w:t>Interpretation</w:t>
            </w:r>
          </w:p>
        </w:tc>
        <w:tc>
          <w:tcPr>
            <w:tcW w:w="1528" w:type="dxa"/>
            <w:vAlign w:val="center"/>
            <w:hideMark/>
          </w:tcPr>
          <w:p w14:paraId="4605C967" w14:textId="77777777" w:rsidR="001219B4" w:rsidRDefault="001219B4"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9"/>
              </w:rPr>
              <w:t>Output label</w:t>
            </w:r>
          </w:p>
        </w:tc>
      </w:tr>
      <w:tr w:rsidR="001219B4" w:rsidRPr="008E3A17" w14:paraId="5E67A321" w14:textId="77777777" w:rsidTr="001219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 w:type="dxa"/>
            <w:vAlign w:val="center"/>
            <w:hideMark/>
          </w:tcPr>
          <w:p w14:paraId="5FD7F7FD" w14:textId="77777777" w:rsidR="001219B4" w:rsidRDefault="001219B4" w:rsidP="009B3C84">
            <w:r>
              <w:rPr>
                <w:rFonts w:ascii="Times New Roman" w:eastAsia="Times New Roman" w:hAnsi="Times New Roman"/>
                <w:sz w:val="19"/>
              </w:rPr>
              <w:t>Panel Model 1</w:t>
            </w:r>
          </w:p>
        </w:tc>
        <w:tc>
          <w:tcPr>
            <w:tcW w:w="1592" w:type="dxa"/>
            <w:vAlign w:val="center"/>
            <w:hideMark/>
          </w:tcPr>
          <w:p w14:paraId="7B519812"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Fixed Effects</w:t>
            </w:r>
          </w:p>
        </w:tc>
        <w:tc>
          <w:tcPr>
            <w:tcW w:w="1545" w:type="dxa"/>
            <w:vAlign w:val="center"/>
            <w:hideMark/>
          </w:tcPr>
          <w:p w14:paraId="0443F1B7"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None</w:t>
            </w:r>
          </w:p>
        </w:tc>
        <w:tc>
          <w:tcPr>
            <w:tcW w:w="1556" w:type="dxa"/>
            <w:vAlign w:val="center"/>
            <w:hideMark/>
          </w:tcPr>
          <w:p w14:paraId="3D9CA0AB"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No</w:t>
            </w:r>
          </w:p>
        </w:tc>
        <w:tc>
          <w:tcPr>
            <w:tcW w:w="1613" w:type="dxa"/>
            <w:vAlign w:val="center"/>
            <w:hideMark/>
          </w:tcPr>
          <w:p w14:paraId="3CCC99E3"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Baseline FE: -0.048 (0.059)</w:t>
            </w:r>
          </w:p>
        </w:tc>
        <w:tc>
          <w:tcPr>
            <w:tcW w:w="1528" w:type="dxa"/>
            <w:vAlign w:val="center"/>
            <w:hideMark/>
          </w:tcPr>
          <w:p w14:paraId="1038642C"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PM1</w:t>
            </w:r>
          </w:p>
        </w:tc>
      </w:tr>
      <w:tr w:rsidR="001219B4" w:rsidRPr="008E3A17" w14:paraId="11A5C552" w14:textId="77777777" w:rsidTr="001219B4">
        <w:tc>
          <w:tcPr>
            <w:cnfStyle w:val="001000000000" w:firstRow="0" w:lastRow="0" w:firstColumn="1" w:lastColumn="0" w:oddVBand="0" w:evenVBand="0" w:oddHBand="0" w:evenHBand="0" w:firstRowFirstColumn="0" w:firstRowLastColumn="0" w:lastRowFirstColumn="0" w:lastRowLastColumn="0"/>
            <w:tcW w:w="1516" w:type="dxa"/>
            <w:vAlign w:val="center"/>
            <w:hideMark/>
          </w:tcPr>
          <w:p w14:paraId="48EA1D34" w14:textId="77777777" w:rsidR="001219B4" w:rsidRDefault="001219B4" w:rsidP="009B3C84">
            <w:r>
              <w:rPr>
                <w:rFonts w:ascii="Times New Roman" w:eastAsia="Times New Roman" w:hAnsi="Times New Roman"/>
                <w:sz w:val="19"/>
              </w:rPr>
              <w:t>Panel Model 2</w:t>
            </w:r>
          </w:p>
        </w:tc>
        <w:tc>
          <w:tcPr>
            <w:tcW w:w="1592" w:type="dxa"/>
            <w:vAlign w:val="center"/>
            <w:hideMark/>
          </w:tcPr>
          <w:p w14:paraId="586F232A"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Random Effects</w:t>
            </w:r>
          </w:p>
        </w:tc>
        <w:tc>
          <w:tcPr>
            <w:tcW w:w="1545" w:type="dxa"/>
            <w:vAlign w:val="center"/>
            <w:hideMark/>
          </w:tcPr>
          <w:p w14:paraId="3AA4E2D7"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None</w:t>
            </w:r>
          </w:p>
        </w:tc>
        <w:tc>
          <w:tcPr>
            <w:tcW w:w="1556" w:type="dxa"/>
            <w:vAlign w:val="center"/>
            <w:hideMark/>
          </w:tcPr>
          <w:p w14:paraId="629F311D"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No</w:t>
            </w:r>
          </w:p>
        </w:tc>
        <w:tc>
          <w:tcPr>
            <w:tcW w:w="1613" w:type="dxa"/>
            <w:vAlign w:val="center"/>
            <w:hideMark/>
          </w:tcPr>
          <w:p w14:paraId="102C0BAA"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Baseline RE: -0.056 (0.053)</w:t>
            </w:r>
          </w:p>
        </w:tc>
        <w:tc>
          <w:tcPr>
            <w:tcW w:w="1528" w:type="dxa"/>
            <w:vAlign w:val="center"/>
            <w:hideMark/>
          </w:tcPr>
          <w:p w14:paraId="04C84257"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PM2</w:t>
            </w:r>
          </w:p>
        </w:tc>
      </w:tr>
      <w:tr w:rsidR="001219B4" w:rsidRPr="008E3A17" w14:paraId="7B706E68" w14:textId="77777777" w:rsidTr="001219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 w:type="dxa"/>
            <w:vAlign w:val="center"/>
            <w:hideMark/>
          </w:tcPr>
          <w:p w14:paraId="1F8F99BB" w14:textId="77777777" w:rsidR="001219B4" w:rsidRDefault="001219B4" w:rsidP="009B3C84">
            <w:r>
              <w:rPr>
                <w:rFonts w:ascii="Times New Roman" w:eastAsia="Times New Roman" w:hAnsi="Times New Roman"/>
                <w:sz w:val="19"/>
              </w:rPr>
              <w:t>Panel Model 3</w:t>
            </w:r>
          </w:p>
        </w:tc>
        <w:tc>
          <w:tcPr>
            <w:tcW w:w="1592" w:type="dxa"/>
            <w:vAlign w:val="center"/>
            <w:hideMark/>
          </w:tcPr>
          <w:p w14:paraId="63096496"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FE and RE</w:t>
            </w:r>
          </w:p>
        </w:tc>
        <w:tc>
          <w:tcPr>
            <w:tcW w:w="1545" w:type="dxa"/>
            <w:vAlign w:val="center"/>
            <w:hideMark/>
          </w:tcPr>
          <w:p w14:paraId="7A64BD88"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None</w:t>
            </w:r>
          </w:p>
        </w:tc>
        <w:tc>
          <w:tcPr>
            <w:tcW w:w="1556" w:type="dxa"/>
            <w:vAlign w:val="center"/>
            <w:hideMark/>
          </w:tcPr>
          <w:p w14:paraId="05C811F5"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Yes</w:t>
            </w:r>
          </w:p>
        </w:tc>
        <w:tc>
          <w:tcPr>
            <w:tcW w:w="1613" w:type="dxa"/>
            <w:vAlign w:val="center"/>
            <w:hideMark/>
          </w:tcPr>
          <w:p w14:paraId="676587BE"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Hausman p = 0.324; RE selected</w:t>
            </w:r>
          </w:p>
        </w:tc>
        <w:tc>
          <w:tcPr>
            <w:tcW w:w="1528" w:type="dxa"/>
            <w:vAlign w:val="center"/>
            <w:hideMark/>
          </w:tcPr>
          <w:p w14:paraId="3D157684"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PM3</w:t>
            </w:r>
          </w:p>
        </w:tc>
      </w:tr>
      <w:tr w:rsidR="001219B4" w:rsidRPr="008E3A17" w14:paraId="12FB677A" w14:textId="77777777" w:rsidTr="001219B4">
        <w:tc>
          <w:tcPr>
            <w:cnfStyle w:val="001000000000" w:firstRow="0" w:lastRow="0" w:firstColumn="1" w:lastColumn="0" w:oddVBand="0" w:evenVBand="0" w:oddHBand="0" w:evenHBand="0" w:firstRowFirstColumn="0" w:firstRowLastColumn="0" w:lastRowFirstColumn="0" w:lastRowLastColumn="0"/>
            <w:tcW w:w="1516" w:type="dxa"/>
            <w:vAlign w:val="center"/>
            <w:hideMark/>
          </w:tcPr>
          <w:p w14:paraId="23487E6C" w14:textId="77777777" w:rsidR="001219B4" w:rsidRDefault="001219B4" w:rsidP="009B3C84">
            <w:r>
              <w:rPr>
                <w:rFonts w:ascii="Times New Roman" w:eastAsia="Times New Roman" w:hAnsi="Times New Roman"/>
                <w:sz w:val="19"/>
              </w:rPr>
              <w:t>Panel Model 4</w:t>
            </w:r>
          </w:p>
        </w:tc>
        <w:tc>
          <w:tcPr>
            <w:tcW w:w="1592" w:type="dxa"/>
            <w:vAlign w:val="center"/>
            <w:hideMark/>
          </w:tcPr>
          <w:p w14:paraId="2F26CBC7"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FE and RE</w:t>
            </w:r>
          </w:p>
        </w:tc>
        <w:tc>
          <w:tcPr>
            <w:tcW w:w="1545" w:type="dxa"/>
            <w:vAlign w:val="center"/>
            <w:hideMark/>
          </w:tcPr>
          <w:p w14:paraId="7E646343"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GDP growth</w:t>
            </w:r>
          </w:p>
        </w:tc>
        <w:tc>
          <w:tcPr>
            <w:tcW w:w="1556" w:type="dxa"/>
            <w:vAlign w:val="center"/>
            <w:hideMark/>
          </w:tcPr>
          <w:p w14:paraId="6C40F69A"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Yes</w:t>
            </w:r>
          </w:p>
        </w:tc>
        <w:tc>
          <w:tcPr>
            <w:tcW w:w="1613" w:type="dxa"/>
            <w:vAlign w:val="center"/>
            <w:hideMark/>
          </w:tcPr>
          <w:p w14:paraId="13415621"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Hausman p = 0.296; RE selected</w:t>
            </w:r>
          </w:p>
        </w:tc>
        <w:tc>
          <w:tcPr>
            <w:tcW w:w="1528" w:type="dxa"/>
            <w:vAlign w:val="center"/>
            <w:hideMark/>
          </w:tcPr>
          <w:p w14:paraId="4C91DDEB"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PM4</w:t>
            </w:r>
          </w:p>
        </w:tc>
      </w:tr>
      <w:tr w:rsidR="001219B4" w:rsidRPr="008E3A17" w14:paraId="203BCD3A" w14:textId="77777777" w:rsidTr="001219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 w:type="dxa"/>
            <w:vAlign w:val="center"/>
          </w:tcPr>
          <w:p w14:paraId="51BD6466" w14:textId="77777777" w:rsidR="001219B4" w:rsidRDefault="001219B4" w:rsidP="009B3C84">
            <w:r>
              <w:rPr>
                <w:rFonts w:ascii="Times New Roman" w:eastAsia="Times New Roman" w:hAnsi="Times New Roman"/>
                <w:sz w:val="19"/>
              </w:rPr>
              <w:t>Panel Model 5</w:t>
            </w:r>
          </w:p>
        </w:tc>
        <w:tc>
          <w:tcPr>
            <w:tcW w:w="1592" w:type="dxa"/>
            <w:vAlign w:val="center"/>
          </w:tcPr>
          <w:p w14:paraId="69C175EB"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FE and RE</w:t>
            </w:r>
          </w:p>
        </w:tc>
        <w:tc>
          <w:tcPr>
            <w:tcW w:w="1545" w:type="dxa"/>
            <w:vAlign w:val="center"/>
          </w:tcPr>
          <w:p w14:paraId="3DD5A28C"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Real interest rate</w:t>
            </w:r>
          </w:p>
        </w:tc>
        <w:tc>
          <w:tcPr>
            <w:tcW w:w="1556" w:type="dxa"/>
            <w:vAlign w:val="center"/>
          </w:tcPr>
          <w:p w14:paraId="47C99719"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Yes</w:t>
            </w:r>
          </w:p>
        </w:tc>
        <w:tc>
          <w:tcPr>
            <w:tcW w:w="1613" w:type="dxa"/>
            <w:vAlign w:val="center"/>
          </w:tcPr>
          <w:p w14:paraId="1BB66370"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Hausman p = 0.658; RE selected</w:t>
            </w:r>
          </w:p>
        </w:tc>
        <w:tc>
          <w:tcPr>
            <w:tcW w:w="1528" w:type="dxa"/>
            <w:vAlign w:val="center"/>
          </w:tcPr>
          <w:p w14:paraId="3F1192DC" w14:textId="77777777" w:rsidR="001219B4" w:rsidRDefault="001219B4"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PM5</w:t>
            </w:r>
          </w:p>
        </w:tc>
      </w:tr>
      <w:tr w:rsidR="001219B4" w:rsidRPr="008E3A17" w14:paraId="34029278" w14:textId="77777777" w:rsidTr="001219B4">
        <w:tc>
          <w:tcPr>
            <w:cnfStyle w:val="001000000000" w:firstRow="0" w:lastRow="0" w:firstColumn="1" w:lastColumn="0" w:oddVBand="0" w:evenVBand="0" w:oddHBand="0" w:evenHBand="0" w:firstRowFirstColumn="0" w:firstRowLastColumn="0" w:lastRowFirstColumn="0" w:lastRowLastColumn="0"/>
            <w:tcW w:w="1516" w:type="dxa"/>
            <w:vAlign w:val="center"/>
          </w:tcPr>
          <w:p w14:paraId="313CF29A" w14:textId="77777777" w:rsidR="001219B4" w:rsidRDefault="001219B4" w:rsidP="009B3C84">
            <w:r>
              <w:rPr>
                <w:rFonts w:ascii="Times New Roman" w:eastAsia="Times New Roman" w:hAnsi="Times New Roman"/>
                <w:sz w:val="19"/>
              </w:rPr>
              <w:t>Panel Model 6</w:t>
            </w:r>
          </w:p>
        </w:tc>
        <w:tc>
          <w:tcPr>
            <w:tcW w:w="1592" w:type="dxa"/>
            <w:vAlign w:val="center"/>
          </w:tcPr>
          <w:p w14:paraId="0A33D132"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FE and RE</w:t>
            </w:r>
          </w:p>
        </w:tc>
        <w:tc>
          <w:tcPr>
            <w:tcW w:w="1545" w:type="dxa"/>
            <w:vAlign w:val="center"/>
          </w:tcPr>
          <w:p w14:paraId="00ED1714"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GDP growth + real interest rate</w:t>
            </w:r>
          </w:p>
        </w:tc>
        <w:tc>
          <w:tcPr>
            <w:tcW w:w="1556" w:type="dxa"/>
            <w:vAlign w:val="center"/>
          </w:tcPr>
          <w:p w14:paraId="229AF850"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Yes</w:t>
            </w:r>
          </w:p>
        </w:tc>
        <w:tc>
          <w:tcPr>
            <w:tcW w:w="1613" w:type="dxa"/>
            <w:vAlign w:val="center"/>
          </w:tcPr>
          <w:p w14:paraId="2E34E8AF"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Hausman p = 0.132; RE selected</w:t>
            </w:r>
          </w:p>
        </w:tc>
        <w:tc>
          <w:tcPr>
            <w:tcW w:w="1528" w:type="dxa"/>
            <w:vAlign w:val="center"/>
          </w:tcPr>
          <w:p w14:paraId="3ECF5BD3" w14:textId="77777777" w:rsidR="001219B4" w:rsidRDefault="001219B4"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PM6</w:t>
            </w:r>
          </w:p>
        </w:tc>
      </w:tr>
    </w:tbl>
    <w:p w14:paraId="63886EEF" w14:textId="77777777" w:rsidR="001219B4" w:rsidRDefault="001219B4" w:rsidP="001219B4">
      <w:pPr>
        <w:spacing w:after="120"/>
      </w:pPr>
      <w:r>
        <w:rPr>
          <w:rFonts w:ascii="Times New Roman" w:eastAsia="Times New Roman" w:hAnsi="Times New Roman"/>
          <w:sz w:val="20"/>
        </w:rPr>
        <w:t>Note. Panel Models 1-4 use the widest available sample where possible. Models including the real interest rate use the available country-year observations for that control.</w:t>
      </w:r>
    </w:p>
    <w:p w14:paraId="5686A6DE" w14:textId="77777777" w:rsidR="000B7447" w:rsidRP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Invariably, the result of the estimator selection must be interpreted in conjunction with the sign (direction) of the coefficient and statistical significance. If the Hausman Test is significant it means that Fixed Effects is more reliable as the unobserved country specific characteristics are correlated to the regressors. The Hausman test result, which is not significant, implies that Random Effects is more efficient in estimating.</w:t>
      </w:r>
    </w:p>
    <w:p w14:paraId="06BC7183" w14:textId="77777777" w:rsidR="000B7447" w:rsidRPr="000B7447" w:rsidRDefault="000B7447" w:rsidP="000B7447">
      <w:pPr>
        <w:spacing w:line="360" w:lineRule="auto"/>
        <w:jc w:val="both"/>
        <w:rPr>
          <w:rFonts w:ascii="Times New Roman" w:hAnsi="Times New Roman" w:cs="Times New Roman"/>
        </w:rPr>
      </w:pPr>
    </w:p>
    <w:p w14:paraId="25FB11D1" w14:textId="77777777" w:rsidR="008E3A17" w:rsidRDefault="008E3A17" w:rsidP="000B7447">
      <w:pPr>
        <w:spacing w:line="360" w:lineRule="auto"/>
        <w:jc w:val="both"/>
        <w:rPr>
          <w:rFonts w:ascii="Times New Roman" w:hAnsi="Times New Roman" w:cs="Times New Roman"/>
        </w:rPr>
      </w:pPr>
    </w:p>
    <w:p w14:paraId="6907A03E" w14:textId="77777777" w:rsidR="001219B4" w:rsidRDefault="001219B4" w:rsidP="008E3A17">
      <w:pPr>
        <w:rPr>
          <w:rFonts w:ascii="Times New Roman" w:hAnsi="Times New Roman" w:cs="Times New Roman"/>
          <w:b/>
          <w:bCs/>
        </w:rPr>
      </w:pPr>
    </w:p>
    <w:p w14:paraId="4509D77B" w14:textId="77777777" w:rsidR="001219B4" w:rsidRDefault="001219B4" w:rsidP="008E3A17">
      <w:pPr>
        <w:rPr>
          <w:rFonts w:ascii="Times New Roman" w:hAnsi="Times New Roman" w:cs="Times New Roman"/>
          <w:b/>
          <w:bCs/>
        </w:rPr>
      </w:pPr>
    </w:p>
    <w:p w14:paraId="21BF98CD" w14:textId="1F7E22CD" w:rsidR="008E3A17" w:rsidRPr="008E3A17" w:rsidRDefault="008E3A17" w:rsidP="008E3A17">
      <w:pPr>
        <w:rPr>
          <w:rFonts w:ascii="Times New Roman" w:hAnsi="Times New Roman" w:cs="Times New Roman"/>
          <w:b/>
          <w:bCs/>
          <w:i/>
        </w:rPr>
      </w:pPr>
      <w:r w:rsidRPr="008E3A17">
        <w:rPr>
          <w:rFonts w:ascii="Times New Roman" w:hAnsi="Times New Roman" w:cs="Times New Roman"/>
          <w:b/>
          <w:bCs/>
        </w:rPr>
        <w:lastRenderedPageBreak/>
        <w:t>Table 4.8. Equation map for the six simple panel models.</w:t>
      </w:r>
    </w:p>
    <w:tbl>
      <w:tblPr>
        <w:tblStyle w:val="GridTable4-Accent1"/>
        <w:tblW w:w="0" w:type="auto"/>
        <w:tblLook w:val="04A0" w:firstRow="1" w:lastRow="0" w:firstColumn="1" w:lastColumn="0" w:noHBand="0" w:noVBand="1"/>
      </w:tblPr>
      <w:tblGrid>
        <w:gridCol w:w="1517"/>
        <w:gridCol w:w="1575"/>
        <w:gridCol w:w="1535"/>
        <w:gridCol w:w="1553"/>
        <w:gridCol w:w="1558"/>
        <w:gridCol w:w="1612"/>
      </w:tblGrid>
      <w:tr w:rsidR="00390A4D" w:rsidRPr="008E3A17" w14:paraId="32D96DA0" w14:textId="77777777" w:rsidTr="00390A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7" w:type="dxa"/>
            <w:vAlign w:val="center"/>
            <w:hideMark/>
          </w:tcPr>
          <w:p w14:paraId="63302268" w14:textId="77777777" w:rsidR="00390A4D" w:rsidRDefault="00390A4D" w:rsidP="009B3C84">
            <w:pPr>
              <w:jc w:val="center"/>
            </w:pPr>
            <w:r>
              <w:rPr>
                <w:rFonts w:ascii="Times New Roman" w:eastAsia="Times New Roman" w:hAnsi="Times New Roman"/>
                <w:color w:val="FFFFFF"/>
                <w:sz w:val="19"/>
              </w:rPr>
              <w:t>Panel model</w:t>
            </w:r>
          </w:p>
        </w:tc>
        <w:tc>
          <w:tcPr>
            <w:tcW w:w="1575" w:type="dxa"/>
            <w:vAlign w:val="center"/>
            <w:hideMark/>
          </w:tcPr>
          <w:p w14:paraId="48A4D469" w14:textId="77777777" w:rsid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9"/>
              </w:rPr>
              <w:t>Equation form</w:t>
            </w:r>
          </w:p>
        </w:tc>
        <w:tc>
          <w:tcPr>
            <w:tcW w:w="1535" w:type="dxa"/>
            <w:vAlign w:val="center"/>
            <w:hideMark/>
          </w:tcPr>
          <w:p w14:paraId="767597CF" w14:textId="77777777" w:rsid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9"/>
              </w:rPr>
              <w:t>Control set</w:t>
            </w:r>
          </w:p>
        </w:tc>
        <w:tc>
          <w:tcPr>
            <w:tcW w:w="1553" w:type="dxa"/>
            <w:vAlign w:val="center"/>
            <w:hideMark/>
          </w:tcPr>
          <w:p w14:paraId="184DCDF9" w14:textId="77777777" w:rsid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9"/>
              </w:rPr>
              <w:t>Expected</w:t>
            </w:r>
            <w:r>
              <w:rPr>
                <w:rFonts w:ascii="Times New Roman" w:eastAsia="Times New Roman" w:hAnsi="Times New Roman"/>
                <w:color w:val="FFFFFF"/>
                <w:sz w:val="19"/>
              </w:rPr>
              <w:br/>
              <w:t>GARCH sign</w:t>
            </w:r>
          </w:p>
        </w:tc>
        <w:tc>
          <w:tcPr>
            <w:tcW w:w="1558" w:type="dxa"/>
            <w:vAlign w:val="center"/>
            <w:hideMark/>
          </w:tcPr>
          <w:p w14:paraId="7BE380FA" w14:textId="77777777" w:rsid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9"/>
              </w:rPr>
              <w:t>Preferred estimator rule</w:t>
            </w:r>
          </w:p>
        </w:tc>
        <w:tc>
          <w:tcPr>
            <w:tcW w:w="1612" w:type="dxa"/>
            <w:vAlign w:val="center"/>
            <w:hideMark/>
          </w:tcPr>
          <w:p w14:paraId="61D7E783" w14:textId="77777777" w:rsid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9"/>
              </w:rPr>
              <w:t>Purpose</w:t>
            </w:r>
          </w:p>
        </w:tc>
      </w:tr>
      <w:tr w:rsidR="00390A4D" w:rsidRPr="008E3A17" w14:paraId="058BA8D0" w14:textId="77777777" w:rsidTr="00390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7" w:type="dxa"/>
            <w:vAlign w:val="center"/>
            <w:hideMark/>
          </w:tcPr>
          <w:p w14:paraId="5A4F4F37" w14:textId="77777777" w:rsidR="00390A4D" w:rsidRDefault="00390A4D" w:rsidP="009B3C84">
            <w:r>
              <w:rPr>
                <w:rFonts w:ascii="Times New Roman" w:eastAsia="Times New Roman" w:hAnsi="Times New Roman"/>
                <w:sz w:val="19"/>
              </w:rPr>
              <w:t>Panel Model 1</w:t>
            </w:r>
          </w:p>
        </w:tc>
        <w:tc>
          <w:tcPr>
            <w:tcW w:w="1575" w:type="dxa"/>
            <w:vAlign w:val="center"/>
            <w:hideMark/>
          </w:tcPr>
          <w:p w14:paraId="2F9EE4BF"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proofErr w:type="spellStart"/>
            <w:r>
              <w:rPr>
                <w:rFonts w:ascii="Times New Roman" w:eastAsia="Times New Roman" w:hAnsi="Times New Roman"/>
                <w:sz w:val="19"/>
              </w:rPr>
              <w:t>Z_it</w:t>
            </w:r>
            <w:proofErr w:type="spellEnd"/>
            <w:r>
              <w:rPr>
                <w:rFonts w:ascii="Times New Roman" w:eastAsia="Times New Roman" w:hAnsi="Times New Roman"/>
                <w:sz w:val="19"/>
              </w:rPr>
              <w:t xml:space="preserve"> = </w:t>
            </w:r>
            <w:proofErr w:type="spellStart"/>
            <w:r>
              <w:rPr>
                <w:rFonts w:ascii="Times New Roman" w:eastAsia="Times New Roman" w:hAnsi="Times New Roman"/>
                <w:sz w:val="19"/>
              </w:rPr>
              <w:t>a_i</w:t>
            </w:r>
            <w:proofErr w:type="spellEnd"/>
            <w:r>
              <w:rPr>
                <w:rFonts w:ascii="Times New Roman" w:eastAsia="Times New Roman" w:hAnsi="Times New Roman"/>
                <w:sz w:val="19"/>
              </w:rPr>
              <w:t xml:space="preserve"> + b1 </w:t>
            </w:r>
            <w:proofErr w:type="spellStart"/>
            <w:r>
              <w:rPr>
                <w:rFonts w:ascii="Times New Roman" w:eastAsia="Times New Roman" w:hAnsi="Times New Roman"/>
                <w:sz w:val="19"/>
              </w:rPr>
              <w:t>INFVOL_it</w:t>
            </w:r>
            <w:proofErr w:type="spellEnd"/>
            <w:r>
              <w:rPr>
                <w:rFonts w:ascii="Times New Roman" w:eastAsia="Times New Roman" w:hAnsi="Times New Roman"/>
                <w:sz w:val="19"/>
              </w:rPr>
              <w:t xml:space="preserve"> + </w:t>
            </w:r>
            <w:proofErr w:type="spellStart"/>
            <w:r>
              <w:rPr>
                <w:rFonts w:ascii="Times New Roman" w:eastAsia="Times New Roman" w:hAnsi="Times New Roman"/>
                <w:sz w:val="19"/>
              </w:rPr>
              <w:t>e_it</w:t>
            </w:r>
            <w:proofErr w:type="spellEnd"/>
          </w:p>
        </w:tc>
        <w:tc>
          <w:tcPr>
            <w:tcW w:w="1535" w:type="dxa"/>
            <w:vAlign w:val="center"/>
            <w:hideMark/>
          </w:tcPr>
          <w:p w14:paraId="7DBA3F36"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None</w:t>
            </w:r>
          </w:p>
        </w:tc>
        <w:tc>
          <w:tcPr>
            <w:tcW w:w="1553" w:type="dxa"/>
            <w:vAlign w:val="center"/>
            <w:hideMark/>
          </w:tcPr>
          <w:p w14:paraId="6D17F3EC"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Negative</w:t>
            </w:r>
          </w:p>
        </w:tc>
        <w:tc>
          <w:tcPr>
            <w:tcW w:w="1558" w:type="dxa"/>
            <w:vAlign w:val="center"/>
            <w:hideMark/>
          </w:tcPr>
          <w:p w14:paraId="4AF5A7EF"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Fixed Effects baseline</w:t>
            </w:r>
          </w:p>
        </w:tc>
        <w:tc>
          <w:tcPr>
            <w:tcW w:w="1612" w:type="dxa"/>
            <w:vAlign w:val="center"/>
            <w:hideMark/>
          </w:tcPr>
          <w:p w14:paraId="4D3857C3"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Baseline FE</w:t>
            </w:r>
          </w:p>
        </w:tc>
      </w:tr>
      <w:tr w:rsidR="00390A4D" w:rsidRPr="008E3A17" w14:paraId="0F0336AE" w14:textId="77777777" w:rsidTr="00390A4D">
        <w:tc>
          <w:tcPr>
            <w:cnfStyle w:val="001000000000" w:firstRow="0" w:lastRow="0" w:firstColumn="1" w:lastColumn="0" w:oddVBand="0" w:evenVBand="0" w:oddHBand="0" w:evenHBand="0" w:firstRowFirstColumn="0" w:firstRowLastColumn="0" w:lastRowFirstColumn="0" w:lastRowLastColumn="0"/>
            <w:tcW w:w="1517" w:type="dxa"/>
            <w:vAlign w:val="center"/>
            <w:hideMark/>
          </w:tcPr>
          <w:p w14:paraId="59D7E64A" w14:textId="77777777" w:rsidR="00390A4D" w:rsidRDefault="00390A4D" w:rsidP="009B3C84">
            <w:r>
              <w:rPr>
                <w:rFonts w:ascii="Times New Roman" w:eastAsia="Times New Roman" w:hAnsi="Times New Roman"/>
                <w:sz w:val="19"/>
              </w:rPr>
              <w:t>Panel Model 2</w:t>
            </w:r>
          </w:p>
        </w:tc>
        <w:tc>
          <w:tcPr>
            <w:tcW w:w="1575" w:type="dxa"/>
            <w:vAlign w:val="center"/>
            <w:hideMark/>
          </w:tcPr>
          <w:p w14:paraId="4AAA7D99"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proofErr w:type="spellStart"/>
            <w:r>
              <w:rPr>
                <w:rFonts w:ascii="Times New Roman" w:eastAsia="Times New Roman" w:hAnsi="Times New Roman"/>
                <w:sz w:val="19"/>
              </w:rPr>
              <w:t>Z_it</w:t>
            </w:r>
            <w:proofErr w:type="spellEnd"/>
            <w:r>
              <w:rPr>
                <w:rFonts w:ascii="Times New Roman" w:eastAsia="Times New Roman" w:hAnsi="Times New Roman"/>
                <w:sz w:val="19"/>
              </w:rPr>
              <w:t xml:space="preserve"> = a + b1 </w:t>
            </w:r>
            <w:proofErr w:type="spellStart"/>
            <w:r>
              <w:rPr>
                <w:rFonts w:ascii="Times New Roman" w:eastAsia="Times New Roman" w:hAnsi="Times New Roman"/>
                <w:sz w:val="19"/>
              </w:rPr>
              <w:t>INFVOL_it</w:t>
            </w:r>
            <w:proofErr w:type="spellEnd"/>
            <w:r>
              <w:rPr>
                <w:rFonts w:ascii="Times New Roman" w:eastAsia="Times New Roman" w:hAnsi="Times New Roman"/>
                <w:sz w:val="19"/>
              </w:rPr>
              <w:t xml:space="preserve"> + </w:t>
            </w:r>
            <w:proofErr w:type="spellStart"/>
            <w:r>
              <w:rPr>
                <w:rFonts w:ascii="Times New Roman" w:eastAsia="Times New Roman" w:hAnsi="Times New Roman"/>
                <w:sz w:val="19"/>
              </w:rPr>
              <w:t>u_i</w:t>
            </w:r>
            <w:proofErr w:type="spellEnd"/>
            <w:r>
              <w:rPr>
                <w:rFonts w:ascii="Times New Roman" w:eastAsia="Times New Roman" w:hAnsi="Times New Roman"/>
                <w:sz w:val="19"/>
              </w:rPr>
              <w:t xml:space="preserve"> + </w:t>
            </w:r>
            <w:proofErr w:type="spellStart"/>
            <w:r>
              <w:rPr>
                <w:rFonts w:ascii="Times New Roman" w:eastAsia="Times New Roman" w:hAnsi="Times New Roman"/>
                <w:sz w:val="19"/>
              </w:rPr>
              <w:t>e_it</w:t>
            </w:r>
            <w:proofErr w:type="spellEnd"/>
          </w:p>
        </w:tc>
        <w:tc>
          <w:tcPr>
            <w:tcW w:w="1535" w:type="dxa"/>
            <w:vAlign w:val="center"/>
            <w:hideMark/>
          </w:tcPr>
          <w:p w14:paraId="09A132D3"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None</w:t>
            </w:r>
          </w:p>
        </w:tc>
        <w:tc>
          <w:tcPr>
            <w:tcW w:w="1553" w:type="dxa"/>
            <w:vAlign w:val="center"/>
            <w:hideMark/>
          </w:tcPr>
          <w:p w14:paraId="08276CC6"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Negative</w:t>
            </w:r>
          </w:p>
        </w:tc>
        <w:tc>
          <w:tcPr>
            <w:tcW w:w="1558" w:type="dxa"/>
            <w:vAlign w:val="center"/>
            <w:hideMark/>
          </w:tcPr>
          <w:p w14:paraId="6B848A2B"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Random Effects baseline</w:t>
            </w:r>
          </w:p>
        </w:tc>
        <w:tc>
          <w:tcPr>
            <w:tcW w:w="1612" w:type="dxa"/>
            <w:vAlign w:val="center"/>
            <w:hideMark/>
          </w:tcPr>
          <w:p w14:paraId="56B59432"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Baseline RE</w:t>
            </w:r>
          </w:p>
        </w:tc>
      </w:tr>
      <w:tr w:rsidR="00390A4D" w:rsidRPr="008E3A17" w14:paraId="162800DB" w14:textId="77777777" w:rsidTr="00390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7" w:type="dxa"/>
            <w:vAlign w:val="center"/>
            <w:hideMark/>
          </w:tcPr>
          <w:p w14:paraId="09557600" w14:textId="77777777" w:rsidR="00390A4D" w:rsidRDefault="00390A4D" w:rsidP="009B3C84">
            <w:r>
              <w:rPr>
                <w:rFonts w:ascii="Times New Roman" w:eastAsia="Times New Roman" w:hAnsi="Times New Roman"/>
                <w:sz w:val="19"/>
              </w:rPr>
              <w:t>Panel Model 3</w:t>
            </w:r>
          </w:p>
        </w:tc>
        <w:tc>
          <w:tcPr>
            <w:tcW w:w="1575" w:type="dxa"/>
            <w:vAlign w:val="center"/>
            <w:hideMark/>
          </w:tcPr>
          <w:p w14:paraId="2E9C87BD"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FE and RE versions of baseline</w:t>
            </w:r>
          </w:p>
        </w:tc>
        <w:tc>
          <w:tcPr>
            <w:tcW w:w="1535" w:type="dxa"/>
            <w:vAlign w:val="center"/>
            <w:hideMark/>
          </w:tcPr>
          <w:p w14:paraId="461017CE"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None</w:t>
            </w:r>
          </w:p>
        </w:tc>
        <w:tc>
          <w:tcPr>
            <w:tcW w:w="1553" w:type="dxa"/>
            <w:vAlign w:val="center"/>
            <w:hideMark/>
          </w:tcPr>
          <w:p w14:paraId="726E11E0"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Negative</w:t>
            </w:r>
          </w:p>
        </w:tc>
        <w:tc>
          <w:tcPr>
            <w:tcW w:w="1558" w:type="dxa"/>
            <w:vAlign w:val="center"/>
            <w:hideMark/>
          </w:tcPr>
          <w:p w14:paraId="03B0A8A1"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Hausman test</w:t>
            </w:r>
          </w:p>
        </w:tc>
        <w:tc>
          <w:tcPr>
            <w:tcW w:w="1612" w:type="dxa"/>
            <w:vAlign w:val="center"/>
            <w:hideMark/>
          </w:tcPr>
          <w:p w14:paraId="2B41CB7B"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Estimator comparison</w:t>
            </w:r>
          </w:p>
        </w:tc>
      </w:tr>
      <w:tr w:rsidR="00390A4D" w:rsidRPr="008E3A17" w14:paraId="2618073E" w14:textId="77777777" w:rsidTr="00390A4D">
        <w:tc>
          <w:tcPr>
            <w:cnfStyle w:val="001000000000" w:firstRow="0" w:lastRow="0" w:firstColumn="1" w:lastColumn="0" w:oddVBand="0" w:evenVBand="0" w:oddHBand="0" w:evenHBand="0" w:firstRowFirstColumn="0" w:firstRowLastColumn="0" w:lastRowFirstColumn="0" w:lastRowLastColumn="0"/>
            <w:tcW w:w="1517" w:type="dxa"/>
            <w:vAlign w:val="center"/>
            <w:hideMark/>
          </w:tcPr>
          <w:p w14:paraId="17B59CDD" w14:textId="77777777" w:rsidR="00390A4D" w:rsidRDefault="00390A4D" w:rsidP="009B3C84">
            <w:r>
              <w:rPr>
                <w:rFonts w:ascii="Times New Roman" w:eastAsia="Times New Roman" w:hAnsi="Times New Roman"/>
                <w:sz w:val="19"/>
              </w:rPr>
              <w:t>Panel Model 4</w:t>
            </w:r>
          </w:p>
        </w:tc>
        <w:tc>
          <w:tcPr>
            <w:tcW w:w="1575" w:type="dxa"/>
            <w:vAlign w:val="center"/>
            <w:hideMark/>
          </w:tcPr>
          <w:p w14:paraId="2D4F92D1"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Baseline + GDP growth</w:t>
            </w:r>
          </w:p>
        </w:tc>
        <w:tc>
          <w:tcPr>
            <w:tcW w:w="1535" w:type="dxa"/>
            <w:vAlign w:val="center"/>
            <w:hideMark/>
          </w:tcPr>
          <w:p w14:paraId="60C02F2B"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GDP growth</w:t>
            </w:r>
          </w:p>
        </w:tc>
        <w:tc>
          <w:tcPr>
            <w:tcW w:w="1553" w:type="dxa"/>
            <w:vAlign w:val="center"/>
            <w:hideMark/>
          </w:tcPr>
          <w:p w14:paraId="47DE7D41"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Negative</w:t>
            </w:r>
          </w:p>
        </w:tc>
        <w:tc>
          <w:tcPr>
            <w:tcW w:w="1558" w:type="dxa"/>
            <w:vAlign w:val="center"/>
            <w:hideMark/>
          </w:tcPr>
          <w:p w14:paraId="3D781163"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Hausman test</w:t>
            </w:r>
          </w:p>
        </w:tc>
        <w:tc>
          <w:tcPr>
            <w:tcW w:w="1612" w:type="dxa"/>
            <w:vAlign w:val="center"/>
            <w:hideMark/>
          </w:tcPr>
          <w:p w14:paraId="423FD696"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GDP-controlled model</w:t>
            </w:r>
          </w:p>
        </w:tc>
      </w:tr>
      <w:tr w:rsidR="00390A4D" w:rsidRPr="008E3A17" w14:paraId="3E862A82" w14:textId="77777777" w:rsidTr="00390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7" w:type="dxa"/>
            <w:vAlign w:val="center"/>
          </w:tcPr>
          <w:p w14:paraId="02DAABB2" w14:textId="77777777" w:rsidR="00390A4D" w:rsidRDefault="00390A4D" w:rsidP="009B3C84">
            <w:r>
              <w:rPr>
                <w:rFonts w:ascii="Times New Roman" w:eastAsia="Times New Roman" w:hAnsi="Times New Roman"/>
                <w:sz w:val="19"/>
              </w:rPr>
              <w:t>Panel Model 5</w:t>
            </w:r>
          </w:p>
        </w:tc>
        <w:tc>
          <w:tcPr>
            <w:tcW w:w="1575" w:type="dxa"/>
            <w:vAlign w:val="center"/>
          </w:tcPr>
          <w:p w14:paraId="19F97ACC"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Baseline + real interest rate</w:t>
            </w:r>
          </w:p>
        </w:tc>
        <w:tc>
          <w:tcPr>
            <w:tcW w:w="1535" w:type="dxa"/>
            <w:vAlign w:val="center"/>
          </w:tcPr>
          <w:p w14:paraId="12E8A142"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Real interest rate</w:t>
            </w:r>
          </w:p>
        </w:tc>
        <w:tc>
          <w:tcPr>
            <w:tcW w:w="1553" w:type="dxa"/>
            <w:vAlign w:val="center"/>
          </w:tcPr>
          <w:p w14:paraId="017F0D7D"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Negative</w:t>
            </w:r>
          </w:p>
        </w:tc>
        <w:tc>
          <w:tcPr>
            <w:tcW w:w="1558" w:type="dxa"/>
            <w:vAlign w:val="center"/>
          </w:tcPr>
          <w:p w14:paraId="023523D8"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Hausman test</w:t>
            </w:r>
          </w:p>
        </w:tc>
        <w:tc>
          <w:tcPr>
            <w:tcW w:w="1612" w:type="dxa"/>
            <w:vAlign w:val="center"/>
          </w:tcPr>
          <w:p w14:paraId="4BACC81F"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9"/>
              </w:rPr>
              <w:t>Interest-rate-controlled model</w:t>
            </w:r>
          </w:p>
        </w:tc>
      </w:tr>
      <w:tr w:rsidR="00390A4D" w:rsidRPr="008E3A17" w14:paraId="52F3A0A9" w14:textId="77777777" w:rsidTr="00390A4D">
        <w:tc>
          <w:tcPr>
            <w:cnfStyle w:val="001000000000" w:firstRow="0" w:lastRow="0" w:firstColumn="1" w:lastColumn="0" w:oddVBand="0" w:evenVBand="0" w:oddHBand="0" w:evenHBand="0" w:firstRowFirstColumn="0" w:firstRowLastColumn="0" w:lastRowFirstColumn="0" w:lastRowLastColumn="0"/>
            <w:tcW w:w="1517" w:type="dxa"/>
            <w:vAlign w:val="center"/>
          </w:tcPr>
          <w:p w14:paraId="3C199545" w14:textId="77777777" w:rsidR="00390A4D" w:rsidRDefault="00390A4D" w:rsidP="009B3C84">
            <w:r>
              <w:rPr>
                <w:rFonts w:ascii="Times New Roman" w:eastAsia="Times New Roman" w:hAnsi="Times New Roman"/>
                <w:sz w:val="19"/>
              </w:rPr>
              <w:t>Panel Model 6</w:t>
            </w:r>
          </w:p>
        </w:tc>
        <w:tc>
          <w:tcPr>
            <w:tcW w:w="1575" w:type="dxa"/>
            <w:vAlign w:val="center"/>
          </w:tcPr>
          <w:p w14:paraId="3C803BF4"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Baseline + GDP growth + real interest rate</w:t>
            </w:r>
          </w:p>
        </w:tc>
        <w:tc>
          <w:tcPr>
            <w:tcW w:w="1535" w:type="dxa"/>
            <w:vAlign w:val="center"/>
          </w:tcPr>
          <w:p w14:paraId="1E88C8D9"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GDP growth + real interest rate</w:t>
            </w:r>
          </w:p>
        </w:tc>
        <w:tc>
          <w:tcPr>
            <w:tcW w:w="1553" w:type="dxa"/>
            <w:vAlign w:val="center"/>
          </w:tcPr>
          <w:p w14:paraId="008DF212"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Negative</w:t>
            </w:r>
          </w:p>
        </w:tc>
        <w:tc>
          <w:tcPr>
            <w:tcW w:w="1558" w:type="dxa"/>
            <w:vAlign w:val="center"/>
          </w:tcPr>
          <w:p w14:paraId="608C49B8"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Hausman test</w:t>
            </w:r>
          </w:p>
        </w:tc>
        <w:tc>
          <w:tcPr>
            <w:tcW w:w="1612" w:type="dxa"/>
            <w:vAlign w:val="center"/>
          </w:tcPr>
          <w:p w14:paraId="00F505FE"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9"/>
              </w:rPr>
              <w:t>Full control specification</w:t>
            </w:r>
          </w:p>
        </w:tc>
      </w:tr>
    </w:tbl>
    <w:p w14:paraId="2CCDEE8B" w14:textId="77777777" w:rsidR="00390A4D" w:rsidRDefault="00390A4D" w:rsidP="00390A4D">
      <w:pPr>
        <w:spacing w:after="120"/>
      </w:pPr>
      <w:r>
        <w:rPr>
          <w:rFonts w:ascii="Times New Roman" w:eastAsia="Times New Roman" w:hAnsi="Times New Roman"/>
          <w:sz w:val="20"/>
        </w:rPr>
        <w:t xml:space="preserve">Note. INFVOL denotes the country-specific </w:t>
      </w:r>
      <w:proofErr w:type="gramStart"/>
      <w:r>
        <w:rPr>
          <w:rFonts w:ascii="Times New Roman" w:eastAsia="Times New Roman" w:hAnsi="Times New Roman"/>
          <w:sz w:val="20"/>
        </w:rPr>
        <w:t>GARCH(</w:t>
      </w:r>
      <w:proofErr w:type="gramEnd"/>
      <w:r>
        <w:rPr>
          <w:rFonts w:ascii="Times New Roman" w:eastAsia="Times New Roman" w:hAnsi="Times New Roman"/>
          <w:sz w:val="20"/>
        </w:rPr>
        <w:t>1,1) inflation-volatility measure. No lagged dependent variable is included in any model.</w:t>
      </w:r>
    </w:p>
    <w:p w14:paraId="065B606C" w14:textId="2BE74729" w:rsidR="000B7447" w:rsidRP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 xml:space="preserve">The stepwise structure is helpful for discovering the stability of the inflation-volatility relationship. Adding GDP growth and real interest rate along with all the possible controls, if negative, results remain valid in support of the statement that inflation volatility is one </w:t>
      </w:r>
      <w:proofErr w:type="spellStart"/>
      <w:r w:rsidRPr="000B7447">
        <w:rPr>
          <w:rFonts w:ascii="Times New Roman" w:hAnsi="Times New Roman" w:cs="Times New Roman"/>
        </w:rPr>
        <w:t>macrofinancial</w:t>
      </w:r>
      <w:proofErr w:type="spellEnd"/>
      <w:r w:rsidRPr="000B7447">
        <w:rPr>
          <w:rFonts w:ascii="Times New Roman" w:hAnsi="Times New Roman" w:cs="Times New Roman"/>
        </w:rPr>
        <w:t xml:space="preserve"> risk factor on the contrary to banking stability.</w:t>
      </w:r>
    </w:p>
    <w:p w14:paraId="7A8EBAB1" w14:textId="77777777" w:rsidR="000B7447" w:rsidRPr="000B7447" w:rsidRDefault="000B7447" w:rsidP="000B7447">
      <w:pPr>
        <w:spacing w:line="360" w:lineRule="auto"/>
        <w:jc w:val="both"/>
        <w:rPr>
          <w:rFonts w:ascii="Times New Roman" w:hAnsi="Times New Roman" w:cs="Times New Roman"/>
        </w:rPr>
      </w:pPr>
    </w:p>
    <w:p w14:paraId="509CFFA0" w14:textId="77777777" w:rsidR="000B7447" w:rsidRPr="008E3A17" w:rsidRDefault="000B7447" w:rsidP="008E3A17">
      <w:pPr>
        <w:pStyle w:val="Heading2"/>
        <w:rPr>
          <w:rFonts w:ascii="Times New Roman" w:hAnsi="Times New Roman" w:cs="Times New Roman"/>
          <w:b/>
          <w:bCs/>
          <w:sz w:val="28"/>
          <w:szCs w:val="28"/>
        </w:rPr>
      </w:pPr>
      <w:bookmarkStart w:id="88" w:name="_Toc235530916"/>
      <w:r w:rsidRPr="008E3A17">
        <w:rPr>
          <w:rFonts w:ascii="Times New Roman" w:hAnsi="Times New Roman" w:cs="Times New Roman"/>
          <w:b/>
          <w:bCs/>
          <w:sz w:val="28"/>
          <w:szCs w:val="28"/>
        </w:rPr>
        <w:t>4.5 Robustness and alternative-measure results</w:t>
      </w:r>
      <w:bookmarkEnd w:id="88"/>
    </w:p>
    <w:p w14:paraId="66349354" w14:textId="0FB6E4BC" w:rsidR="000B7447" w:rsidRP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 xml:space="preserve">The robustness tests explore the sensitivity of the results to the selection of the unconditional volatility metric – the baseline </w:t>
      </w:r>
      <w:proofErr w:type="gramStart"/>
      <w:r w:rsidRPr="000B7447">
        <w:rPr>
          <w:rFonts w:ascii="Times New Roman" w:hAnsi="Times New Roman" w:cs="Times New Roman"/>
        </w:rPr>
        <w:t>GARCH(</w:t>
      </w:r>
      <w:proofErr w:type="gramEnd"/>
      <w:r w:rsidRPr="000B7447">
        <w:rPr>
          <w:rFonts w:ascii="Times New Roman" w:hAnsi="Times New Roman" w:cs="Times New Roman"/>
        </w:rPr>
        <w:t xml:space="preserve">1,1) – and the effects of adding controls. Baseline </w:t>
      </w:r>
      <w:proofErr w:type="gramStart"/>
      <w:r w:rsidRPr="000B7447">
        <w:rPr>
          <w:rFonts w:ascii="Times New Roman" w:hAnsi="Times New Roman" w:cs="Times New Roman"/>
        </w:rPr>
        <w:t>GARCH(</w:t>
      </w:r>
      <w:proofErr w:type="gramEnd"/>
      <w:r w:rsidRPr="000B7447">
        <w:rPr>
          <w:rFonts w:ascii="Times New Roman" w:hAnsi="Times New Roman" w:cs="Times New Roman"/>
        </w:rPr>
        <w:t>1,1) model is kept as the primary explanatory variable. The rolling volatility, AR(1)-</w:t>
      </w:r>
      <w:proofErr w:type="gramStart"/>
      <w:r w:rsidRPr="000B7447">
        <w:rPr>
          <w:rFonts w:ascii="Times New Roman" w:hAnsi="Times New Roman" w:cs="Times New Roman"/>
        </w:rPr>
        <w:t>GARCH(</w:t>
      </w:r>
      <w:proofErr w:type="gramEnd"/>
      <w:r w:rsidRPr="000B7447">
        <w:rPr>
          <w:rFonts w:ascii="Times New Roman" w:hAnsi="Times New Roman" w:cs="Times New Roman"/>
        </w:rPr>
        <w:t xml:space="preserve">1,1) and </w:t>
      </w:r>
      <w:proofErr w:type="gramStart"/>
      <w:r w:rsidRPr="000B7447">
        <w:rPr>
          <w:rFonts w:ascii="Times New Roman" w:hAnsi="Times New Roman" w:cs="Times New Roman"/>
        </w:rPr>
        <w:t>EGARCH(</w:t>
      </w:r>
      <w:proofErr w:type="gramEnd"/>
      <w:r w:rsidRPr="000B7447">
        <w:rPr>
          <w:rFonts w:ascii="Times New Roman" w:hAnsi="Times New Roman" w:cs="Times New Roman"/>
        </w:rPr>
        <w:t>1,1) model are not used for the actual results but only for the robustness and sensitivity.</w:t>
      </w:r>
    </w:p>
    <w:p w14:paraId="7DC170E8" w14:textId="27FE5BFA" w:rsidR="008E3A17" w:rsidRPr="008E3A17" w:rsidRDefault="008E3A17" w:rsidP="008E3A17">
      <w:pPr>
        <w:keepNext/>
        <w:spacing w:after="60"/>
        <w:rPr>
          <w:rFonts w:ascii="Times New Roman" w:hAnsi="Times New Roman" w:cs="Times New Roman"/>
          <w:b/>
          <w:bCs/>
        </w:rPr>
      </w:pPr>
      <w:r w:rsidRPr="008E3A17">
        <w:rPr>
          <w:rFonts w:ascii="Times New Roman" w:hAnsi="Times New Roman" w:cs="Times New Roman"/>
          <w:b/>
          <w:bCs/>
        </w:rPr>
        <w:t>Table 4.</w:t>
      </w:r>
      <w:r>
        <w:rPr>
          <w:rFonts w:ascii="Times New Roman" w:hAnsi="Times New Roman" w:cs="Times New Roman"/>
          <w:b/>
          <w:bCs/>
        </w:rPr>
        <w:t>9</w:t>
      </w:r>
      <w:r w:rsidRPr="008E3A17">
        <w:rPr>
          <w:rFonts w:ascii="Times New Roman" w:hAnsi="Times New Roman" w:cs="Times New Roman"/>
          <w:b/>
          <w:bCs/>
        </w:rPr>
        <w:t>. Hausman and estimator-selection sensitivity of the GARCH coefficient.</w:t>
      </w:r>
    </w:p>
    <w:tbl>
      <w:tblPr>
        <w:tblStyle w:val="GridTable4-Accent1"/>
        <w:tblW w:w="0" w:type="auto"/>
        <w:tblLook w:val="04A0" w:firstRow="1" w:lastRow="0" w:firstColumn="1" w:lastColumn="0" w:noHBand="0" w:noVBand="1"/>
      </w:tblPr>
      <w:tblGrid>
        <w:gridCol w:w="1570"/>
        <w:gridCol w:w="1554"/>
        <w:gridCol w:w="1550"/>
        <w:gridCol w:w="1558"/>
        <w:gridCol w:w="1568"/>
        <w:gridCol w:w="1550"/>
      </w:tblGrid>
      <w:tr w:rsidR="00390A4D" w:rsidRPr="008E3A17" w14:paraId="4AFDDBB0" w14:textId="77777777" w:rsidTr="009B3C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6" w:type="dxa"/>
            <w:vAlign w:val="center"/>
            <w:hideMark/>
          </w:tcPr>
          <w:p w14:paraId="28120E51" w14:textId="77777777" w:rsidR="00390A4D" w:rsidRDefault="00390A4D" w:rsidP="009B3C84">
            <w:pPr>
              <w:jc w:val="center"/>
            </w:pPr>
            <w:r>
              <w:rPr>
                <w:rFonts w:ascii="Times New Roman" w:eastAsia="Times New Roman" w:hAnsi="Times New Roman"/>
                <w:color w:val="FFFFFF"/>
                <w:sz w:val="18"/>
              </w:rPr>
              <w:t>Panel model</w:t>
            </w:r>
          </w:p>
        </w:tc>
        <w:tc>
          <w:tcPr>
            <w:tcW w:w="1656" w:type="dxa"/>
            <w:vAlign w:val="center"/>
            <w:hideMark/>
          </w:tcPr>
          <w:p w14:paraId="57BBFEA9" w14:textId="77777777" w:rsid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8"/>
              </w:rPr>
              <w:t>Estimator compared</w:t>
            </w:r>
          </w:p>
        </w:tc>
        <w:tc>
          <w:tcPr>
            <w:tcW w:w="1656" w:type="dxa"/>
            <w:vAlign w:val="center"/>
            <w:hideMark/>
          </w:tcPr>
          <w:p w14:paraId="62256CF0" w14:textId="77777777" w:rsid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8"/>
              </w:rPr>
              <w:t>Control variables</w:t>
            </w:r>
          </w:p>
        </w:tc>
        <w:tc>
          <w:tcPr>
            <w:tcW w:w="1656" w:type="dxa"/>
            <w:vAlign w:val="center"/>
            <w:hideMark/>
          </w:tcPr>
          <w:p w14:paraId="50D12155" w14:textId="77777777" w:rsid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8"/>
              </w:rPr>
              <w:t>GARCH coefficient sign</w:t>
            </w:r>
          </w:p>
        </w:tc>
        <w:tc>
          <w:tcPr>
            <w:tcW w:w="1656" w:type="dxa"/>
            <w:vAlign w:val="center"/>
            <w:hideMark/>
          </w:tcPr>
          <w:p w14:paraId="01F8942C" w14:textId="77777777" w:rsid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8"/>
              </w:rPr>
              <w:t>Hausman p-value</w:t>
            </w:r>
          </w:p>
        </w:tc>
        <w:tc>
          <w:tcPr>
            <w:tcW w:w="1656" w:type="dxa"/>
            <w:vAlign w:val="center"/>
            <w:hideMark/>
          </w:tcPr>
          <w:p w14:paraId="38590ABE" w14:textId="77777777" w:rsid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8"/>
              </w:rPr>
              <w:t>Preferred estimator</w:t>
            </w:r>
          </w:p>
        </w:tc>
      </w:tr>
      <w:tr w:rsidR="00390A4D" w:rsidRPr="008E3A17" w14:paraId="4B713FFE" w14:textId="77777777" w:rsidTr="009B3C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6" w:type="dxa"/>
            <w:vAlign w:val="center"/>
            <w:hideMark/>
          </w:tcPr>
          <w:p w14:paraId="07E1D66B" w14:textId="77777777" w:rsidR="00390A4D" w:rsidRDefault="00390A4D" w:rsidP="009B3C84">
            <w:r>
              <w:rPr>
                <w:rFonts w:ascii="Times New Roman" w:eastAsia="Times New Roman" w:hAnsi="Times New Roman"/>
                <w:sz w:val="18"/>
              </w:rPr>
              <w:t>Panel Model 3</w:t>
            </w:r>
          </w:p>
        </w:tc>
        <w:tc>
          <w:tcPr>
            <w:tcW w:w="1656" w:type="dxa"/>
            <w:vAlign w:val="center"/>
            <w:hideMark/>
          </w:tcPr>
          <w:p w14:paraId="7DEB746D"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FE vs RE</w:t>
            </w:r>
          </w:p>
        </w:tc>
        <w:tc>
          <w:tcPr>
            <w:tcW w:w="1656" w:type="dxa"/>
            <w:vAlign w:val="center"/>
            <w:hideMark/>
          </w:tcPr>
          <w:p w14:paraId="4CDE6438"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None</w:t>
            </w:r>
          </w:p>
        </w:tc>
        <w:tc>
          <w:tcPr>
            <w:tcW w:w="1656" w:type="dxa"/>
            <w:vAlign w:val="center"/>
            <w:hideMark/>
          </w:tcPr>
          <w:p w14:paraId="0AB7A478"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FE -0.048; RE -0.056</w:t>
            </w:r>
          </w:p>
        </w:tc>
        <w:tc>
          <w:tcPr>
            <w:tcW w:w="1656" w:type="dxa"/>
            <w:vAlign w:val="center"/>
            <w:hideMark/>
          </w:tcPr>
          <w:p w14:paraId="422D4731"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0.324</w:t>
            </w:r>
          </w:p>
        </w:tc>
        <w:tc>
          <w:tcPr>
            <w:tcW w:w="1656" w:type="dxa"/>
            <w:vAlign w:val="center"/>
            <w:hideMark/>
          </w:tcPr>
          <w:p w14:paraId="5E10F419"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RE</w:t>
            </w:r>
          </w:p>
        </w:tc>
      </w:tr>
      <w:tr w:rsidR="00390A4D" w:rsidRPr="008E3A17" w14:paraId="4389B29D" w14:textId="77777777" w:rsidTr="009B3C84">
        <w:tc>
          <w:tcPr>
            <w:cnfStyle w:val="001000000000" w:firstRow="0" w:lastRow="0" w:firstColumn="1" w:lastColumn="0" w:oddVBand="0" w:evenVBand="0" w:oddHBand="0" w:evenHBand="0" w:firstRowFirstColumn="0" w:firstRowLastColumn="0" w:lastRowFirstColumn="0" w:lastRowLastColumn="0"/>
            <w:tcW w:w="1656" w:type="dxa"/>
            <w:vAlign w:val="center"/>
            <w:hideMark/>
          </w:tcPr>
          <w:p w14:paraId="52B0D61A" w14:textId="77777777" w:rsidR="00390A4D" w:rsidRDefault="00390A4D" w:rsidP="009B3C84">
            <w:r>
              <w:rPr>
                <w:rFonts w:ascii="Times New Roman" w:eastAsia="Times New Roman" w:hAnsi="Times New Roman"/>
                <w:sz w:val="18"/>
              </w:rPr>
              <w:t>Panel Model 4</w:t>
            </w:r>
          </w:p>
        </w:tc>
        <w:tc>
          <w:tcPr>
            <w:tcW w:w="1656" w:type="dxa"/>
            <w:vAlign w:val="center"/>
            <w:hideMark/>
          </w:tcPr>
          <w:p w14:paraId="651293B0"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FE vs RE</w:t>
            </w:r>
          </w:p>
        </w:tc>
        <w:tc>
          <w:tcPr>
            <w:tcW w:w="1656" w:type="dxa"/>
            <w:vAlign w:val="center"/>
            <w:hideMark/>
          </w:tcPr>
          <w:p w14:paraId="14B8A487"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GDP growth</w:t>
            </w:r>
          </w:p>
        </w:tc>
        <w:tc>
          <w:tcPr>
            <w:tcW w:w="1656" w:type="dxa"/>
            <w:vAlign w:val="center"/>
            <w:hideMark/>
          </w:tcPr>
          <w:p w14:paraId="0A8C7D81"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FE -0.046; RE -0.055</w:t>
            </w:r>
          </w:p>
        </w:tc>
        <w:tc>
          <w:tcPr>
            <w:tcW w:w="1656" w:type="dxa"/>
            <w:vAlign w:val="center"/>
            <w:hideMark/>
          </w:tcPr>
          <w:p w14:paraId="4AB762A7"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0.296</w:t>
            </w:r>
          </w:p>
        </w:tc>
        <w:tc>
          <w:tcPr>
            <w:tcW w:w="1656" w:type="dxa"/>
            <w:vAlign w:val="center"/>
            <w:hideMark/>
          </w:tcPr>
          <w:p w14:paraId="7850819F"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RE</w:t>
            </w:r>
          </w:p>
        </w:tc>
      </w:tr>
      <w:tr w:rsidR="00390A4D" w:rsidRPr="008E3A17" w14:paraId="5AC59298" w14:textId="77777777" w:rsidTr="009B3C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6" w:type="dxa"/>
            <w:vAlign w:val="center"/>
            <w:hideMark/>
          </w:tcPr>
          <w:p w14:paraId="149602A3" w14:textId="77777777" w:rsidR="00390A4D" w:rsidRDefault="00390A4D" w:rsidP="009B3C84">
            <w:r>
              <w:rPr>
                <w:rFonts w:ascii="Times New Roman" w:eastAsia="Times New Roman" w:hAnsi="Times New Roman"/>
                <w:sz w:val="18"/>
              </w:rPr>
              <w:t>Panel Model 5</w:t>
            </w:r>
          </w:p>
        </w:tc>
        <w:tc>
          <w:tcPr>
            <w:tcW w:w="1656" w:type="dxa"/>
            <w:vAlign w:val="center"/>
            <w:hideMark/>
          </w:tcPr>
          <w:p w14:paraId="59EFD345"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FE vs RE</w:t>
            </w:r>
          </w:p>
        </w:tc>
        <w:tc>
          <w:tcPr>
            <w:tcW w:w="1656" w:type="dxa"/>
            <w:vAlign w:val="center"/>
            <w:hideMark/>
          </w:tcPr>
          <w:p w14:paraId="6088F6C6"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Real interest rate</w:t>
            </w:r>
          </w:p>
        </w:tc>
        <w:tc>
          <w:tcPr>
            <w:tcW w:w="1656" w:type="dxa"/>
            <w:vAlign w:val="center"/>
            <w:hideMark/>
          </w:tcPr>
          <w:p w14:paraId="016FFBAD"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FE -0.137; RE -0.143</w:t>
            </w:r>
          </w:p>
        </w:tc>
        <w:tc>
          <w:tcPr>
            <w:tcW w:w="1656" w:type="dxa"/>
            <w:vAlign w:val="center"/>
            <w:hideMark/>
          </w:tcPr>
          <w:p w14:paraId="4016C4FC"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0.658</w:t>
            </w:r>
          </w:p>
        </w:tc>
        <w:tc>
          <w:tcPr>
            <w:tcW w:w="1656" w:type="dxa"/>
            <w:vAlign w:val="center"/>
            <w:hideMark/>
          </w:tcPr>
          <w:p w14:paraId="448FC6AC"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RE</w:t>
            </w:r>
          </w:p>
        </w:tc>
      </w:tr>
      <w:tr w:rsidR="00390A4D" w:rsidRPr="008E3A17" w14:paraId="6E10D7B3" w14:textId="77777777" w:rsidTr="009B3C84">
        <w:tc>
          <w:tcPr>
            <w:cnfStyle w:val="001000000000" w:firstRow="0" w:lastRow="0" w:firstColumn="1" w:lastColumn="0" w:oddVBand="0" w:evenVBand="0" w:oddHBand="0" w:evenHBand="0" w:firstRowFirstColumn="0" w:firstRowLastColumn="0" w:lastRowFirstColumn="0" w:lastRowLastColumn="0"/>
            <w:tcW w:w="1656" w:type="dxa"/>
            <w:vAlign w:val="center"/>
            <w:hideMark/>
          </w:tcPr>
          <w:p w14:paraId="6895B073" w14:textId="77777777" w:rsidR="00390A4D" w:rsidRDefault="00390A4D" w:rsidP="009B3C84">
            <w:r>
              <w:rPr>
                <w:rFonts w:ascii="Times New Roman" w:eastAsia="Times New Roman" w:hAnsi="Times New Roman"/>
                <w:sz w:val="18"/>
              </w:rPr>
              <w:t>Panel Model 6</w:t>
            </w:r>
          </w:p>
        </w:tc>
        <w:tc>
          <w:tcPr>
            <w:tcW w:w="1656" w:type="dxa"/>
            <w:vAlign w:val="center"/>
            <w:hideMark/>
          </w:tcPr>
          <w:p w14:paraId="519F26CF"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FE vs RE</w:t>
            </w:r>
          </w:p>
        </w:tc>
        <w:tc>
          <w:tcPr>
            <w:tcW w:w="1656" w:type="dxa"/>
            <w:vAlign w:val="center"/>
            <w:hideMark/>
          </w:tcPr>
          <w:p w14:paraId="61A0B6C7"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GDP growth + real interest rate</w:t>
            </w:r>
          </w:p>
        </w:tc>
        <w:tc>
          <w:tcPr>
            <w:tcW w:w="1656" w:type="dxa"/>
            <w:vAlign w:val="center"/>
            <w:hideMark/>
          </w:tcPr>
          <w:p w14:paraId="6D90D97D"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FE -0.134; RE -0.140</w:t>
            </w:r>
          </w:p>
        </w:tc>
        <w:tc>
          <w:tcPr>
            <w:tcW w:w="1656" w:type="dxa"/>
            <w:vAlign w:val="center"/>
            <w:hideMark/>
          </w:tcPr>
          <w:p w14:paraId="68F49182"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0.132</w:t>
            </w:r>
          </w:p>
        </w:tc>
        <w:tc>
          <w:tcPr>
            <w:tcW w:w="1656" w:type="dxa"/>
            <w:vAlign w:val="center"/>
            <w:hideMark/>
          </w:tcPr>
          <w:p w14:paraId="097F273C"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RE</w:t>
            </w:r>
          </w:p>
        </w:tc>
      </w:tr>
      <w:tr w:rsidR="00390A4D" w:rsidRPr="008E3A17" w14:paraId="53F5E7BF" w14:textId="77777777" w:rsidTr="009B3C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6" w:type="dxa"/>
            <w:vAlign w:val="center"/>
            <w:hideMark/>
          </w:tcPr>
          <w:p w14:paraId="172FE2FE" w14:textId="77777777" w:rsidR="00390A4D" w:rsidRDefault="00390A4D" w:rsidP="009B3C84">
            <w:r>
              <w:rPr>
                <w:rFonts w:ascii="Times New Roman" w:eastAsia="Times New Roman" w:hAnsi="Times New Roman"/>
                <w:sz w:val="18"/>
              </w:rPr>
              <w:lastRenderedPageBreak/>
              <w:t>Robustness A</w:t>
            </w:r>
          </w:p>
        </w:tc>
        <w:tc>
          <w:tcPr>
            <w:tcW w:w="1656" w:type="dxa"/>
            <w:vAlign w:val="center"/>
            <w:hideMark/>
          </w:tcPr>
          <w:p w14:paraId="2323F295"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 xml:space="preserve">Baseline vs rolling </w:t>
            </w:r>
            <w:proofErr w:type="gramStart"/>
            <w:r>
              <w:rPr>
                <w:rFonts w:ascii="Times New Roman" w:eastAsia="Times New Roman" w:hAnsi="Times New Roman"/>
                <w:sz w:val="18"/>
              </w:rPr>
              <w:t>SD(</w:t>
            </w:r>
            <w:proofErr w:type="gramEnd"/>
            <w:r>
              <w:rPr>
                <w:rFonts w:ascii="Times New Roman" w:eastAsia="Times New Roman" w:hAnsi="Times New Roman"/>
                <w:sz w:val="18"/>
              </w:rPr>
              <w:t>3)</w:t>
            </w:r>
          </w:p>
        </w:tc>
        <w:tc>
          <w:tcPr>
            <w:tcW w:w="1656" w:type="dxa"/>
            <w:vAlign w:val="center"/>
            <w:hideMark/>
          </w:tcPr>
          <w:p w14:paraId="351DFC78"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GDP + RIR</w:t>
            </w:r>
          </w:p>
        </w:tc>
        <w:tc>
          <w:tcPr>
            <w:tcW w:w="1656" w:type="dxa"/>
            <w:vAlign w:val="center"/>
            <w:hideMark/>
          </w:tcPr>
          <w:p w14:paraId="5A6B663A"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Negative in both</w:t>
            </w:r>
          </w:p>
        </w:tc>
        <w:tc>
          <w:tcPr>
            <w:tcW w:w="1656" w:type="dxa"/>
            <w:vAlign w:val="center"/>
            <w:hideMark/>
          </w:tcPr>
          <w:p w14:paraId="653DA8B8"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0.049 (rolling)</w:t>
            </w:r>
          </w:p>
        </w:tc>
        <w:tc>
          <w:tcPr>
            <w:tcW w:w="1656" w:type="dxa"/>
            <w:vAlign w:val="center"/>
            <w:hideMark/>
          </w:tcPr>
          <w:p w14:paraId="097E7908"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FE for rolling model</w:t>
            </w:r>
          </w:p>
        </w:tc>
      </w:tr>
      <w:tr w:rsidR="00390A4D" w:rsidRPr="008E3A17" w14:paraId="63352EF5" w14:textId="77777777" w:rsidTr="009B3C84">
        <w:tc>
          <w:tcPr>
            <w:cnfStyle w:val="001000000000" w:firstRow="0" w:lastRow="0" w:firstColumn="1" w:lastColumn="0" w:oddVBand="0" w:evenVBand="0" w:oddHBand="0" w:evenHBand="0" w:firstRowFirstColumn="0" w:firstRowLastColumn="0" w:lastRowFirstColumn="0" w:lastRowLastColumn="0"/>
            <w:tcW w:w="1656" w:type="dxa"/>
            <w:vAlign w:val="center"/>
            <w:hideMark/>
          </w:tcPr>
          <w:p w14:paraId="1BC85AF0" w14:textId="77777777" w:rsidR="00390A4D" w:rsidRDefault="00390A4D" w:rsidP="009B3C84">
            <w:r>
              <w:rPr>
                <w:rFonts w:ascii="Times New Roman" w:eastAsia="Times New Roman" w:hAnsi="Times New Roman"/>
                <w:sz w:val="18"/>
              </w:rPr>
              <w:t>Robustness B</w:t>
            </w:r>
          </w:p>
        </w:tc>
        <w:tc>
          <w:tcPr>
            <w:tcW w:w="1656" w:type="dxa"/>
            <w:vAlign w:val="center"/>
            <w:hideMark/>
          </w:tcPr>
          <w:p w14:paraId="705566C7"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 xml:space="preserve">Baseline vs </w:t>
            </w:r>
            <w:proofErr w:type="gramStart"/>
            <w:r>
              <w:rPr>
                <w:rFonts w:ascii="Times New Roman" w:eastAsia="Times New Roman" w:hAnsi="Times New Roman"/>
                <w:sz w:val="18"/>
              </w:rPr>
              <w:t>AR(</w:t>
            </w:r>
            <w:proofErr w:type="gramEnd"/>
            <w:r>
              <w:rPr>
                <w:rFonts w:ascii="Times New Roman" w:eastAsia="Times New Roman" w:hAnsi="Times New Roman"/>
                <w:sz w:val="18"/>
              </w:rPr>
              <w:t>1)-GARCH</w:t>
            </w:r>
          </w:p>
        </w:tc>
        <w:tc>
          <w:tcPr>
            <w:tcW w:w="1656" w:type="dxa"/>
            <w:vAlign w:val="center"/>
            <w:hideMark/>
          </w:tcPr>
          <w:p w14:paraId="1754C5F9"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GDP + RIR</w:t>
            </w:r>
          </w:p>
        </w:tc>
        <w:tc>
          <w:tcPr>
            <w:tcW w:w="1656" w:type="dxa"/>
            <w:vAlign w:val="center"/>
            <w:hideMark/>
          </w:tcPr>
          <w:p w14:paraId="2A3BA7AB"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Negative in both</w:t>
            </w:r>
          </w:p>
        </w:tc>
        <w:tc>
          <w:tcPr>
            <w:tcW w:w="1656" w:type="dxa"/>
            <w:vAlign w:val="center"/>
            <w:hideMark/>
          </w:tcPr>
          <w:p w14:paraId="4D9C062A"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0.157 (AR1-GARCH)</w:t>
            </w:r>
          </w:p>
        </w:tc>
        <w:tc>
          <w:tcPr>
            <w:tcW w:w="1656" w:type="dxa"/>
            <w:vAlign w:val="center"/>
            <w:hideMark/>
          </w:tcPr>
          <w:p w14:paraId="75A55830"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RE for AR1-GARCH</w:t>
            </w:r>
          </w:p>
        </w:tc>
      </w:tr>
      <w:tr w:rsidR="00390A4D" w:rsidRPr="008E3A17" w14:paraId="42A8A9B5" w14:textId="77777777" w:rsidTr="009B3C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6" w:type="dxa"/>
            <w:vAlign w:val="center"/>
            <w:hideMark/>
          </w:tcPr>
          <w:p w14:paraId="0A576139" w14:textId="77777777" w:rsidR="00390A4D" w:rsidRDefault="00390A4D" w:rsidP="009B3C84">
            <w:r>
              <w:rPr>
                <w:rFonts w:ascii="Times New Roman" w:eastAsia="Times New Roman" w:hAnsi="Times New Roman"/>
                <w:sz w:val="18"/>
              </w:rPr>
              <w:t>Robustness C</w:t>
            </w:r>
          </w:p>
        </w:tc>
        <w:tc>
          <w:tcPr>
            <w:tcW w:w="1656" w:type="dxa"/>
            <w:vAlign w:val="center"/>
            <w:hideMark/>
          </w:tcPr>
          <w:p w14:paraId="5539709E"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Baseline vs EGARCH</w:t>
            </w:r>
          </w:p>
        </w:tc>
        <w:tc>
          <w:tcPr>
            <w:tcW w:w="1656" w:type="dxa"/>
            <w:vAlign w:val="center"/>
            <w:hideMark/>
          </w:tcPr>
          <w:p w14:paraId="17A23DFC"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GDP + RIR</w:t>
            </w:r>
          </w:p>
        </w:tc>
        <w:tc>
          <w:tcPr>
            <w:tcW w:w="1656" w:type="dxa"/>
            <w:vAlign w:val="center"/>
            <w:hideMark/>
          </w:tcPr>
          <w:p w14:paraId="4630A531"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Negative in both</w:t>
            </w:r>
          </w:p>
        </w:tc>
        <w:tc>
          <w:tcPr>
            <w:tcW w:w="1656" w:type="dxa"/>
            <w:vAlign w:val="center"/>
            <w:hideMark/>
          </w:tcPr>
          <w:p w14:paraId="533E2EED"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0.085 (EGARCH)</w:t>
            </w:r>
          </w:p>
        </w:tc>
        <w:tc>
          <w:tcPr>
            <w:tcW w:w="1656" w:type="dxa"/>
            <w:vAlign w:val="center"/>
            <w:hideMark/>
          </w:tcPr>
          <w:p w14:paraId="139B2A0B"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8"/>
              </w:rPr>
              <w:t>RE for EGARCH</w:t>
            </w:r>
          </w:p>
        </w:tc>
      </w:tr>
      <w:tr w:rsidR="00390A4D" w:rsidRPr="008E3A17" w14:paraId="2CE19CB9" w14:textId="77777777" w:rsidTr="009B3C84">
        <w:tc>
          <w:tcPr>
            <w:cnfStyle w:val="001000000000" w:firstRow="0" w:lastRow="0" w:firstColumn="1" w:lastColumn="0" w:oddVBand="0" w:evenVBand="0" w:oddHBand="0" w:evenHBand="0" w:firstRowFirstColumn="0" w:firstRowLastColumn="0" w:lastRowFirstColumn="0" w:lastRowLastColumn="0"/>
            <w:tcW w:w="1656" w:type="dxa"/>
            <w:vAlign w:val="center"/>
            <w:hideMark/>
          </w:tcPr>
          <w:p w14:paraId="5B836A0E" w14:textId="77777777" w:rsidR="00390A4D" w:rsidRDefault="00390A4D" w:rsidP="009B3C84">
            <w:r>
              <w:rPr>
                <w:rFonts w:ascii="Times New Roman" w:eastAsia="Times New Roman" w:hAnsi="Times New Roman"/>
                <w:sz w:val="18"/>
              </w:rPr>
              <w:t>Decision rule</w:t>
            </w:r>
          </w:p>
        </w:tc>
        <w:tc>
          <w:tcPr>
            <w:tcW w:w="1656" w:type="dxa"/>
            <w:vAlign w:val="center"/>
            <w:hideMark/>
          </w:tcPr>
          <w:p w14:paraId="5B888B1A"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Simple FE/RE only</w:t>
            </w:r>
          </w:p>
        </w:tc>
        <w:tc>
          <w:tcPr>
            <w:tcW w:w="1656" w:type="dxa"/>
            <w:vAlign w:val="center"/>
            <w:hideMark/>
          </w:tcPr>
          <w:p w14:paraId="204D537E"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No lagged dependent variable</w:t>
            </w:r>
          </w:p>
        </w:tc>
        <w:tc>
          <w:tcPr>
            <w:tcW w:w="1656" w:type="dxa"/>
            <w:vAlign w:val="center"/>
            <w:hideMark/>
          </w:tcPr>
          <w:p w14:paraId="5188C397"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Stable negative sign</w:t>
            </w:r>
          </w:p>
        </w:tc>
        <w:tc>
          <w:tcPr>
            <w:tcW w:w="1656" w:type="dxa"/>
            <w:vAlign w:val="center"/>
            <w:hideMark/>
          </w:tcPr>
          <w:p w14:paraId="06C46840"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Hausman test</w:t>
            </w:r>
          </w:p>
        </w:tc>
        <w:tc>
          <w:tcPr>
            <w:tcW w:w="1656" w:type="dxa"/>
            <w:vAlign w:val="center"/>
            <w:hideMark/>
          </w:tcPr>
          <w:p w14:paraId="37E02469"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8"/>
              </w:rPr>
              <w:t>Report preferred FE/RE</w:t>
            </w:r>
          </w:p>
        </w:tc>
      </w:tr>
    </w:tbl>
    <w:p w14:paraId="038EBEA8" w14:textId="6DD9F02E" w:rsidR="008E3A17" w:rsidRPr="008E3A17" w:rsidRDefault="008E3A17" w:rsidP="008E3A17">
      <w:pPr>
        <w:rPr>
          <w:rFonts w:ascii="Times New Roman" w:hAnsi="Times New Roman" w:cs="Times New Roman"/>
          <w:sz w:val="22"/>
          <w:szCs w:val="22"/>
        </w:rPr>
      </w:pPr>
      <w:r w:rsidRPr="008E3A17">
        <w:rPr>
          <w:rFonts w:ascii="Times New Roman" w:hAnsi="Times New Roman" w:cs="Times New Roman"/>
          <w:sz w:val="22"/>
          <w:szCs w:val="22"/>
        </w:rPr>
        <w:t>Note.</w:t>
      </w:r>
      <w:r w:rsidR="00B751B1">
        <w:rPr>
          <w:rFonts w:ascii="Times New Roman" w:hAnsi="Times New Roman" w:cs="Times New Roman"/>
          <w:sz w:val="22"/>
          <w:szCs w:val="22"/>
        </w:rPr>
        <w:t xml:space="preserve"> </w:t>
      </w:r>
      <w:r w:rsidRPr="008E3A17">
        <w:rPr>
          <w:rFonts w:ascii="Times New Roman" w:hAnsi="Times New Roman" w:cs="Times New Roman"/>
          <w:sz w:val="22"/>
          <w:szCs w:val="22"/>
        </w:rPr>
        <w:t xml:space="preserve">It checks whether the preferred estimator and the </w:t>
      </w:r>
      <w:proofErr w:type="gramStart"/>
      <w:r w:rsidRPr="008E3A17">
        <w:rPr>
          <w:rFonts w:ascii="Times New Roman" w:hAnsi="Times New Roman" w:cs="Times New Roman"/>
          <w:sz w:val="22"/>
          <w:szCs w:val="22"/>
        </w:rPr>
        <w:t>GARCH(</w:t>
      </w:r>
      <w:proofErr w:type="gramEnd"/>
      <w:r w:rsidRPr="008E3A17">
        <w:rPr>
          <w:rFonts w:ascii="Times New Roman" w:hAnsi="Times New Roman" w:cs="Times New Roman"/>
          <w:sz w:val="22"/>
          <w:szCs w:val="22"/>
        </w:rPr>
        <w:t>1,1) coefficient interpretation remain stable across FE and RE specifications.</w:t>
      </w:r>
    </w:p>
    <w:p w14:paraId="78C638B5" w14:textId="7CADADA0" w:rsid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 xml:space="preserve">The robustness evidence needs to be considered with care. Most important is whether the coefficient of the </w:t>
      </w:r>
      <w:proofErr w:type="gramStart"/>
      <w:r w:rsidRPr="000B7447">
        <w:rPr>
          <w:rFonts w:ascii="Times New Roman" w:hAnsi="Times New Roman" w:cs="Times New Roman"/>
        </w:rPr>
        <w:t>GARCH(</w:t>
      </w:r>
      <w:proofErr w:type="gramEnd"/>
      <w:r w:rsidRPr="000B7447">
        <w:rPr>
          <w:rFonts w:ascii="Times New Roman" w:hAnsi="Times New Roman" w:cs="Times New Roman"/>
        </w:rPr>
        <w:t xml:space="preserve">1,1) portion maintains its negative sign in the Bank Z models both with varying estimator and with various sets of control variables. If the sign and wide interpretation is not changing, then the baseline </w:t>
      </w:r>
      <w:proofErr w:type="gramStart"/>
      <w:r w:rsidRPr="000B7447">
        <w:rPr>
          <w:rFonts w:ascii="Times New Roman" w:hAnsi="Times New Roman" w:cs="Times New Roman"/>
        </w:rPr>
        <w:t>GARCH(</w:t>
      </w:r>
      <w:proofErr w:type="gramEnd"/>
      <w:r w:rsidRPr="000B7447">
        <w:rPr>
          <w:rFonts w:ascii="Times New Roman" w:hAnsi="Times New Roman" w:cs="Times New Roman"/>
        </w:rPr>
        <w:t>1,1) result is more believable. If the sign is different in different specifications, the conclusion should be 'conditional' and not 'universal'.</w:t>
      </w:r>
    </w:p>
    <w:p w14:paraId="253E4951" w14:textId="77777777" w:rsidR="008E3A17" w:rsidRPr="000B7447" w:rsidRDefault="008E3A17" w:rsidP="000B7447">
      <w:pPr>
        <w:spacing w:line="360" w:lineRule="auto"/>
        <w:jc w:val="both"/>
        <w:rPr>
          <w:rFonts w:ascii="Times New Roman" w:hAnsi="Times New Roman" w:cs="Times New Roman"/>
        </w:rPr>
      </w:pPr>
    </w:p>
    <w:p w14:paraId="677A72DC" w14:textId="2B5041EA" w:rsidR="000B7447" w:rsidRPr="008E3A17" w:rsidRDefault="008E3A17" w:rsidP="008E3A17">
      <w:pPr>
        <w:pStyle w:val="Heading3"/>
        <w:spacing w:line="360" w:lineRule="auto"/>
        <w:rPr>
          <w:rFonts w:ascii="Times New Roman" w:hAnsi="Times New Roman" w:cs="Times New Roman"/>
          <w:b/>
          <w:bCs/>
          <w:sz w:val="24"/>
          <w:szCs w:val="24"/>
        </w:rPr>
      </w:pPr>
      <w:bookmarkStart w:id="89" w:name="_Toc235530917"/>
      <w:r w:rsidRPr="008E3A17">
        <w:rPr>
          <w:rFonts w:ascii="Times New Roman" w:hAnsi="Times New Roman" w:cs="Times New Roman"/>
          <w:b/>
          <w:bCs/>
          <w:sz w:val="24"/>
          <w:szCs w:val="24"/>
        </w:rPr>
        <w:t xml:space="preserve">4.5.1 </w:t>
      </w:r>
      <w:r w:rsidR="000B7447" w:rsidRPr="008E3A17">
        <w:rPr>
          <w:rFonts w:ascii="Times New Roman" w:hAnsi="Times New Roman" w:cs="Times New Roman"/>
          <w:b/>
          <w:bCs/>
          <w:sz w:val="24"/>
          <w:szCs w:val="24"/>
        </w:rPr>
        <w:t>Additional GARCH-family robustness: AR(1)-</w:t>
      </w:r>
      <w:proofErr w:type="gramStart"/>
      <w:r w:rsidR="000B7447" w:rsidRPr="008E3A17">
        <w:rPr>
          <w:rFonts w:ascii="Times New Roman" w:hAnsi="Times New Roman" w:cs="Times New Roman"/>
          <w:b/>
          <w:bCs/>
          <w:sz w:val="24"/>
          <w:szCs w:val="24"/>
        </w:rPr>
        <w:t>GARCH(</w:t>
      </w:r>
      <w:proofErr w:type="gramEnd"/>
      <w:r w:rsidR="000B7447" w:rsidRPr="008E3A17">
        <w:rPr>
          <w:rFonts w:ascii="Times New Roman" w:hAnsi="Times New Roman" w:cs="Times New Roman"/>
          <w:b/>
          <w:bCs/>
          <w:sz w:val="24"/>
          <w:szCs w:val="24"/>
        </w:rPr>
        <w:t xml:space="preserve">1,1) and </w:t>
      </w:r>
      <w:proofErr w:type="gramStart"/>
      <w:r w:rsidR="000B7447" w:rsidRPr="008E3A17">
        <w:rPr>
          <w:rFonts w:ascii="Times New Roman" w:hAnsi="Times New Roman" w:cs="Times New Roman"/>
          <w:b/>
          <w:bCs/>
          <w:sz w:val="24"/>
          <w:szCs w:val="24"/>
        </w:rPr>
        <w:t>EGARCH(</w:t>
      </w:r>
      <w:proofErr w:type="gramEnd"/>
      <w:r w:rsidR="000B7447" w:rsidRPr="008E3A17">
        <w:rPr>
          <w:rFonts w:ascii="Times New Roman" w:hAnsi="Times New Roman" w:cs="Times New Roman"/>
          <w:b/>
          <w:bCs/>
          <w:sz w:val="24"/>
          <w:szCs w:val="24"/>
        </w:rPr>
        <w:t>1,1)</w:t>
      </w:r>
      <w:bookmarkEnd w:id="89"/>
    </w:p>
    <w:p w14:paraId="5F954C8B" w14:textId="77777777" w:rsidR="000B7447" w:rsidRPr="000B7447" w:rsidRDefault="000B7447" w:rsidP="008E3A17">
      <w:pPr>
        <w:spacing w:line="360" w:lineRule="auto"/>
        <w:jc w:val="both"/>
        <w:rPr>
          <w:rFonts w:ascii="Times New Roman" w:hAnsi="Times New Roman" w:cs="Times New Roman"/>
        </w:rPr>
      </w:pPr>
      <w:r w:rsidRPr="000B7447">
        <w:rPr>
          <w:rFonts w:ascii="Times New Roman" w:hAnsi="Times New Roman" w:cs="Times New Roman"/>
        </w:rPr>
        <w:t xml:space="preserve">Since the results on baseline inflation-volatility are solely attributed to the standard </w:t>
      </w:r>
      <w:proofErr w:type="gramStart"/>
      <w:r w:rsidRPr="000B7447">
        <w:rPr>
          <w:rFonts w:ascii="Times New Roman" w:hAnsi="Times New Roman" w:cs="Times New Roman"/>
        </w:rPr>
        <w:t>GARCH(</w:t>
      </w:r>
      <w:proofErr w:type="gramEnd"/>
      <w:r w:rsidRPr="000B7447">
        <w:rPr>
          <w:rFonts w:ascii="Times New Roman" w:hAnsi="Times New Roman" w:cs="Times New Roman"/>
        </w:rPr>
        <w:t>1,1), two further sets of GARCH-family models are estimated: AR(1)-</w:t>
      </w:r>
      <w:proofErr w:type="gramStart"/>
      <w:r w:rsidRPr="000B7447">
        <w:rPr>
          <w:rFonts w:ascii="Times New Roman" w:hAnsi="Times New Roman" w:cs="Times New Roman"/>
        </w:rPr>
        <w:t>GARCH(</w:t>
      </w:r>
      <w:proofErr w:type="gramEnd"/>
      <w:r w:rsidRPr="000B7447">
        <w:rPr>
          <w:rFonts w:ascii="Times New Roman" w:hAnsi="Times New Roman" w:cs="Times New Roman"/>
        </w:rPr>
        <w:t xml:space="preserve">1,1) and </w:t>
      </w:r>
      <w:proofErr w:type="gramStart"/>
      <w:r w:rsidRPr="000B7447">
        <w:rPr>
          <w:rFonts w:ascii="Times New Roman" w:hAnsi="Times New Roman" w:cs="Times New Roman"/>
        </w:rPr>
        <w:t>EGARCH(</w:t>
      </w:r>
      <w:proofErr w:type="gramEnd"/>
      <w:r w:rsidRPr="000B7447">
        <w:rPr>
          <w:rFonts w:ascii="Times New Roman" w:hAnsi="Times New Roman" w:cs="Times New Roman"/>
        </w:rPr>
        <w:t xml:space="preserve">1,1). A model where the </w:t>
      </w:r>
      <w:proofErr w:type="gramStart"/>
      <w:r w:rsidRPr="000B7447">
        <w:rPr>
          <w:rFonts w:ascii="Times New Roman" w:hAnsi="Times New Roman" w:cs="Times New Roman"/>
        </w:rPr>
        <w:t>AR(</w:t>
      </w:r>
      <w:proofErr w:type="gramEnd"/>
      <w:r w:rsidRPr="000B7447">
        <w:rPr>
          <w:rFonts w:ascii="Times New Roman" w:hAnsi="Times New Roman" w:cs="Times New Roman"/>
        </w:rPr>
        <w:t>1) component lets inflation returns to depend on the previous value of inflation before estimating conditional volatility (AR(1)-</w:t>
      </w:r>
      <w:proofErr w:type="gramStart"/>
      <w:r w:rsidRPr="000B7447">
        <w:rPr>
          <w:rFonts w:ascii="Times New Roman" w:hAnsi="Times New Roman" w:cs="Times New Roman"/>
        </w:rPr>
        <w:t>GARCH(</w:t>
      </w:r>
      <w:proofErr w:type="gramEnd"/>
      <w:r w:rsidRPr="000B7447">
        <w:rPr>
          <w:rFonts w:ascii="Times New Roman" w:hAnsi="Times New Roman" w:cs="Times New Roman"/>
        </w:rPr>
        <w:t xml:space="preserve">1,1) model). This is crucial as inflation is known to persist over time. Thus, this model tests whether the </w:t>
      </w:r>
      <w:proofErr w:type="gramStart"/>
      <w:r w:rsidRPr="000B7447">
        <w:rPr>
          <w:rFonts w:ascii="Times New Roman" w:hAnsi="Times New Roman" w:cs="Times New Roman"/>
        </w:rPr>
        <w:t>GARCH(</w:t>
      </w:r>
      <w:proofErr w:type="gramEnd"/>
      <w:r w:rsidRPr="000B7447">
        <w:rPr>
          <w:rFonts w:ascii="Times New Roman" w:hAnsi="Times New Roman" w:cs="Times New Roman"/>
        </w:rPr>
        <w:t>1,1) volatility result from the baseline model still holds when controlling for the persistence of inflation in the mean equation following the guidelines outlined above.</w:t>
      </w:r>
    </w:p>
    <w:p w14:paraId="7DA65C8A" w14:textId="77777777" w:rsidR="000B7447" w:rsidRP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The output of the AR(1)-</w:t>
      </w:r>
      <w:proofErr w:type="gramStart"/>
      <w:r w:rsidRPr="000B7447">
        <w:rPr>
          <w:rFonts w:ascii="Times New Roman" w:hAnsi="Times New Roman" w:cs="Times New Roman"/>
        </w:rPr>
        <w:t>GARCH(</w:t>
      </w:r>
      <w:proofErr w:type="gramEnd"/>
      <w:r w:rsidRPr="000B7447">
        <w:rPr>
          <w:rFonts w:ascii="Times New Roman" w:hAnsi="Times New Roman" w:cs="Times New Roman"/>
        </w:rPr>
        <w:t xml:space="preserve">1,1) results provides strong support for the baseline </w:t>
      </w:r>
      <w:proofErr w:type="gramStart"/>
      <w:r w:rsidRPr="000B7447">
        <w:rPr>
          <w:rFonts w:ascii="Times New Roman" w:hAnsi="Times New Roman" w:cs="Times New Roman"/>
        </w:rPr>
        <w:t>GARCH(</w:t>
      </w:r>
      <w:proofErr w:type="gramEnd"/>
      <w:r w:rsidRPr="000B7447">
        <w:rPr>
          <w:rFonts w:ascii="Times New Roman" w:hAnsi="Times New Roman" w:cs="Times New Roman"/>
        </w:rPr>
        <w:t xml:space="preserve">1,1) output. The average correlation between the baseline GARCH volatility series and the </w:t>
      </w:r>
      <w:proofErr w:type="gramStart"/>
      <w:r w:rsidRPr="000B7447">
        <w:rPr>
          <w:rFonts w:ascii="Times New Roman" w:hAnsi="Times New Roman" w:cs="Times New Roman"/>
        </w:rPr>
        <w:t>AR(</w:t>
      </w:r>
      <w:proofErr w:type="gramEnd"/>
      <w:r w:rsidRPr="000B7447">
        <w:rPr>
          <w:rFonts w:ascii="Times New Roman" w:hAnsi="Times New Roman" w:cs="Times New Roman"/>
        </w:rPr>
        <w:t xml:space="preserve">1)-GARCH volatility series is 0.958, and the median across countries is 0.868. This means that the volatility dynamics of the </w:t>
      </w:r>
      <w:proofErr w:type="gramStart"/>
      <w:r w:rsidRPr="000B7447">
        <w:rPr>
          <w:rFonts w:ascii="Times New Roman" w:hAnsi="Times New Roman" w:cs="Times New Roman"/>
        </w:rPr>
        <w:t>AR(</w:t>
      </w:r>
      <w:proofErr w:type="gramEnd"/>
      <w:r w:rsidRPr="000B7447">
        <w:rPr>
          <w:rFonts w:ascii="Times New Roman" w:hAnsi="Times New Roman" w:cs="Times New Roman"/>
        </w:rPr>
        <w:t xml:space="preserve">1)-GARCH model behave very similarly to those of the volatility series itself (which is </w:t>
      </w:r>
      <w:proofErr w:type="gramStart"/>
      <w:r w:rsidRPr="000B7447">
        <w:rPr>
          <w:rFonts w:ascii="Times New Roman" w:hAnsi="Times New Roman" w:cs="Times New Roman"/>
        </w:rPr>
        <w:t>GARCH(</w:t>
      </w:r>
      <w:proofErr w:type="gramEnd"/>
      <w:r w:rsidRPr="000B7447">
        <w:rPr>
          <w:rFonts w:ascii="Times New Roman" w:hAnsi="Times New Roman" w:cs="Times New Roman"/>
        </w:rPr>
        <w:t xml:space="preserve">1,1)). </w:t>
      </w:r>
      <w:proofErr w:type="gramStart"/>
      <w:r w:rsidRPr="000B7447">
        <w:rPr>
          <w:rFonts w:ascii="Times New Roman" w:hAnsi="Times New Roman" w:cs="Times New Roman"/>
        </w:rPr>
        <w:t>So</w:t>
      </w:r>
      <w:proofErr w:type="gramEnd"/>
      <w:r w:rsidRPr="000B7447">
        <w:rPr>
          <w:rFonts w:ascii="Times New Roman" w:hAnsi="Times New Roman" w:cs="Times New Roman"/>
        </w:rPr>
        <w:t xml:space="preserve"> the simple </w:t>
      </w:r>
      <w:proofErr w:type="gramStart"/>
      <w:r w:rsidRPr="000B7447">
        <w:rPr>
          <w:rFonts w:ascii="Times New Roman" w:hAnsi="Times New Roman" w:cs="Times New Roman"/>
        </w:rPr>
        <w:t>mean</w:t>
      </w:r>
      <w:proofErr w:type="gramEnd"/>
      <w:r w:rsidRPr="000B7447">
        <w:rPr>
          <w:rFonts w:ascii="Times New Roman" w:hAnsi="Times New Roman" w:cs="Times New Roman"/>
        </w:rPr>
        <w:t xml:space="preserve"> is not the only result that drives the baseline </w:t>
      </w:r>
      <w:proofErr w:type="gramStart"/>
      <w:r w:rsidRPr="000B7447">
        <w:rPr>
          <w:rFonts w:ascii="Times New Roman" w:hAnsi="Times New Roman" w:cs="Times New Roman"/>
        </w:rPr>
        <w:t>GARCH(</w:t>
      </w:r>
      <w:proofErr w:type="gramEnd"/>
      <w:r w:rsidRPr="000B7447">
        <w:rPr>
          <w:rFonts w:ascii="Times New Roman" w:hAnsi="Times New Roman" w:cs="Times New Roman"/>
        </w:rPr>
        <w:t>1,1) measure. The volatility structure is remarkably the same, even when assuming a persistent inflation.</w:t>
      </w:r>
    </w:p>
    <w:p w14:paraId="7239177C" w14:textId="77777777" w:rsidR="000B7447" w:rsidRPr="000B7447" w:rsidRDefault="000B7447" w:rsidP="000B7447">
      <w:pPr>
        <w:spacing w:line="360" w:lineRule="auto"/>
        <w:jc w:val="both"/>
        <w:rPr>
          <w:rFonts w:ascii="Times New Roman" w:hAnsi="Times New Roman" w:cs="Times New Roman"/>
        </w:rPr>
      </w:pPr>
      <w:proofErr w:type="gramStart"/>
      <w:r w:rsidRPr="000B7447">
        <w:rPr>
          <w:rFonts w:ascii="Times New Roman" w:hAnsi="Times New Roman" w:cs="Times New Roman"/>
        </w:rPr>
        <w:t>A</w:t>
      </w:r>
      <w:proofErr w:type="gramEnd"/>
      <w:r w:rsidRPr="000B7447">
        <w:rPr>
          <w:rFonts w:ascii="Times New Roman" w:hAnsi="Times New Roman" w:cs="Times New Roman"/>
        </w:rPr>
        <w:t xml:space="preserve"> other but more conservative robustness result comes from the </w:t>
      </w:r>
      <w:proofErr w:type="gramStart"/>
      <w:r w:rsidRPr="000B7447">
        <w:rPr>
          <w:rFonts w:ascii="Times New Roman" w:hAnsi="Times New Roman" w:cs="Times New Roman"/>
        </w:rPr>
        <w:t>EGARCH(</w:t>
      </w:r>
      <w:proofErr w:type="gramEnd"/>
      <w:r w:rsidRPr="000B7447">
        <w:rPr>
          <w:rFonts w:ascii="Times New Roman" w:hAnsi="Times New Roman" w:cs="Times New Roman"/>
        </w:rPr>
        <w:t xml:space="preserve">1,1) model. The EGARCH model differs from the traditional GARCH model by estimating the log of the </w:t>
      </w:r>
      <w:r w:rsidRPr="000B7447">
        <w:rPr>
          <w:rFonts w:ascii="Times New Roman" w:hAnsi="Times New Roman" w:cs="Times New Roman"/>
        </w:rPr>
        <w:lastRenderedPageBreak/>
        <w:t xml:space="preserve">conditional variance, and by treating the positive and negative shocks differently. The baseline GARCH volatility vs EGARCH volatility overall correlation is 0.553. The correlation increases to 0.717 if extreme EGARCH volatility (times it exceeded 100) is removed. This, however, does not imply that EGARCH is less successful than </w:t>
      </w:r>
      <w:proofErr w:type="gramStart"/>
      <w:r w:rsidRPr="000B7447">
        <w:rPr>
          <w:rFonts w:ascii="Times New Roman" w:hAnsi="Times New Roman" w:cs="Times New Roman"/>
        </w:rPr>
        <w:t>AR(</w:t>
      </w:r>
      <w:proofErr w:type="gramEnd"/>
      <w:r w:rsidRPr="000B7447">
        <w:rPr>
          <w:rFonts w:ascii="Times New Roman" w:hAnsi="Times New Roman" w:cs="Times New Roman"/>
        </w:rPr>
        <w:t>1)-GARCH at replicating the baseline GARCH series, although it does suggest that it is less successful at doing so. The weaker correlation is to be expected since EGARCH is more prone to asymmetric and crisis-type shocks.</w:t>
      </w:r>
    </w:p>
    <w:p w14:paraId="1346EBE8" w14:textId="77777777" w:rsidR="000B7447" w:rsidRP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 xml:space="preserve">The EGARCH results also indicate that that asymmetric inflation-volatility </w:t>
      </w:r>
      <w:proofErr w:type="spellStart"/>
      <w:r w:rsidRPr="000B7447">
        <w:rPr>
          <w:rFonts w:ascii="Times New Roman" w:hAnsi="Times New Roman" w:cs="Times New Roman"/>
        </w:rPr>
        <w:t>behaviour</w:t>
      </w:r>
      <w:proofErr w:type="spellEnd"/>
      <w:r w:rsidRPr="000B7447">
        <w:rPr>
          <w:rFonts w:ascii="Times New Roman" w:hAnsi="Times New Roman" w:cs="Times New Roman"/>
        </w:rPr>
        <w:t xml:space="preserve"> is evident in a considerable number of countries. This implies that the dynamics of inflation volatility is not necessarily symmetric in the sample. Inflation rising and declining in some economies could produce different amounts of uncertainty. So EGARCH can be employed to provide an asymmetry test instead of an alternative to the basic model.</w:t>
      </w:r>
    </w:p>
    <w:p w14:paraId="4DF3D431" w14:textId="0F635E16" w:rsidR="008E3A17" w:rsidRPr="008E3A17" w:rsidRDefault="008E3A17" w:rsidP="008E3A17">
      <w:pPr>
        <w:keepNext/>
        <w:spacing w:after="60" w:line="276" w:lineRule="auto"/>
        <w:rPr>
          <w:rFonts w:ascii="Times New Roman" w:hAnsi="Times New Roman" w:cs="Times New Roman"/>
          <w:iCs/>
        </w:rPr>
      </w:pPr>
      <w:r w:rsidRPr="008E3A17">
        <w:rPr>
          <w:rFonts w:ascii="Times New Roman" w:eastAsia="Times New Roman" w:hAnsi="Times New Roman" w:cs="Times New Roman"/>
          <w:b/>
          <w:iCs/>
        </w:rPr>
        <w:t>Table 4.10. Additional GARCH-family robustness comparison.</w:t>
      </w:r>
    </w:p>
    <w:tbl>
      <w:tblPr>
        <w:tblStyle w:val="GridTable4-Accent1"/>
        <w:tblW w:w="0" w:type="auto"/>
        <w:tblLook w:val="04A0" w:firstRow="1" w:lastRow="0" w:firstColumn="1" w:lastColumn="0" w:noHBand="0" w:noVBand="1"/>
      </w:tblPr>
      <w:tblGrid>
        <w:gridCol w:w="1765"/>
        <w:gridCol w:w="2178"/>
        <w:gridCol w:w="2759"/>
        <w:gridCol w:w="2648"/>
      </w:tblGrid>
      <w:tr w:rsidR="008E3A17" w:rsidRPr="008E3A17" w14:paraId="16784333" w14:textId="77777777" w:rsidTr="008E3A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1E204707" w14:textId="77777777" w:rsidR="008E3A17" w:rsidRPr="008E3A17" w:rsidRDefault="008E3A17" w:rsidP="00361008">
            <w:pPr>
              <w:rPr>
                <w:rFonts w:ascii="Times New Roman" w:hAnsi="Times New Roman" w:cs="Times New Roman"/>
                <w:sz w:val="22"/>
                <w:szCs w:val="22"/>
              </w:rPr>
            </w:pPr>
            <w:r w:rsidRPr="008E3A17">
              <w:rPr>
                <w:rFonts w:ascii="Times New Roman" w:eastAsia="Times New Roman" w:hAnsi="Times New Roman" w:cs="Times New Roman"/>
                <w:sz w:val="22"/>
                <w:szCs w:val="22"/>
              </w:rPr>
              <w:t>Model</w:t>
            </w:r>
          </w:p>
        </w:tc>
        <w:tc>
          <w:tcPr>
            <w:tcW w:w="2376" w:type="dxa"/>
          </w:tcPr>
          <w:p w14:paraId="5751883F" w14:textId="77777777" w:rsidR="008E3A17" w:rsidRPr="008E3A17" w:rsidRDefault="008E3A17" w:rsidP="0036100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eastAsia="Times New Roman" w:hAnsi="Times New Roman" w:cs="Times New Roman"/>
                <w:sz w:val="22"/>
                <w:szCs w:val="22"/>
              </w:rPr>
              <w:t>Purpose</w:t>
            </w:r>
          </w:p>
        </w:tc>
        <w:tc>
          <w:tcPr>
            <w:tcW w:w="3096" w:type="dxa"/>
          </w:tcPr>
          <w:p w14:paraId="6DE4B545" w14:textId="77777777" w:rsidR="008E3A17" w:rsidRPr="008E3A17" w:rsidRDefault="008E3A17" w:rsidP="0036100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eastAsia="Times New Roman" w:hAnsi="Times New Roman" w:cs="Times New Roman"/>
                <w:sz w:val="22"/>
                <w:szCs w:val="22"/>
              </w:rPr>
              <w:t>Main diagnostic result</w:t>
            </w:r>
          </w:p>
        </w:tc>
        <w:tc>
          <w:tcPr>
            <w:tcW w:w="2880" w:type="dxa"/>
          </w:tcPr>
          <w:p w14:paraId="7A0B16D8" w14:textId="77777777" w:rsidR="008E3A17" w:rsidRPr="008E3A17" w:rsidRDefault="008E3A17" w:rsidP="0036100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eastAsia="Times New Roman" w:hAnsi="Times New Roman" w:cs="Times New Roman"/>
                <w:sz w:val="22"/>
                <w:szCs w:val="22"/>
              </w:rPr>
              <w:t>Interpretation</w:t>
            </w:r>
          </w:p>
        </w:tc>
      </w:tr>
      <w:tr w:rsidR="008E3A17" w:rsidRPr="008E3A17" w14:paraId="16900B6C" w14:textId="77777777" w:rsidTr="008E3A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1EB6B034" w14:textId="77777777" w:rsidR="008E3A17" w:rsidRPr="008E3A17" w:rsidRDefault="008E3A17" w:rsidP="00361008">
            <w:pPr>
              <w:rPr>
                <w:rFonts w:ascii="Times New Roman" w:hAnsi="Times New Roman" w:cs="Times New Roman"/>
                <w:sz w:val="22"/>
                <w:szCs w:val="22"/>
              </w:rPr>
            </w:pPr>
            <w:r w:rsidRPr="008E3A17">
              <w:rPr>
                <w:rFonts w:ascii="Times New Roman" w:eastAsia="Times New Roman" w:hAnsi="Times New Roman" w:cs="Times New Roman"/>
                <w:sz w:val="22"/>
                <w:szCs w:val="22"/>
              </w:rPr>
              <w:t xml:space="preserve">Baseline </w:t>
            </w:r>
            <w:proofErr w:type="gramStart"/>
            <w:r w:rsidRPr="008E3A17">
              <w:rPr>
                <w:rFonts w:ascii="Times New Roman" w:eastAsia="Times New Roman" w:hAnsi="Times New Roman" w:cs="Times New Roman"/>
                <w:sz w:val="22"/>
                <w:szCs w:val="22"/>
              </w:rPr>
              <w:t>GARCH(</w:t>
            </w:r>
            <w:proofErr w:type="gramEnd"/>
            <w:r w:rsidRPr="008E3A17">
              <w:rPr>
                <w:rFonts w:ascii="Times New Roman" w:eastAsia="Times New Roman" w:hAnsi="Times New Roman" w:cs="Times New Roman"/>
                <w:sz w:val="22"/>
                <w:szCs w:val="22"/>
              </w:rPr>
              <w:t>1,1)</w:t>
            </w:r>
          </w:p>
        </w:tc>
        <w:tc>
          <w:tcPr>
            <w:tcW w:w="2376" w:type="dxa"/>
          </w:tcPr>
          <w:p w14:paraId="619288F7" w14:textId="77777777" w:rsidR="008E3A17" w:rsidRPr="008E3A17" w:rsidRDefault="008E3A17" w:rsidP="003610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E3A17">
              <w:rPr>
                <w:rFonts w:ascii="Times New Roman" w:eastAsia="Times New Roman" w:hAnsi="Times New Roman" w:cs="Times New Roman"/>
                <w:sz w:val="22"/>
                <w:szCs w:val="22"/>
              </w:rPr>
              <w:t>Main inflation-volatility measure</w:t>
            </w:r>
          </w:p>
        </w:tc>
        <w:tc>
          <w:tcPr>
            <w:tcW w:w="3096" w:type="dxa"/>
          </w:tcPr>
          <w:p w14:paraId="4D9D4FE9" w14:textId="77777777" w:rsidR="008E3A17" w:rsidRPr="008E3A17" w:rsidRDefault="008E3A17" w:rsidP="003610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E3A17">
              <w:rPr>
                <w:rFonts w:ascii="Times New Roman" w:eastAsia="Times New Roman" w:hAnsi="Times New Roman" w:cs="Times New Roman"/>
                <w:sz w:val="22"/>
                <w:szCs w:val="22"/>
              </w:rPr>
              <w:t>Reference model</w:t>
            </w:r>
          </w:p>
        </w:tc>
        <w:tc>
          <w:tcPr>
            <w:tcW w:w="2880" w:type="dxa"/>
          </w:tcPr>
          <w:p w14:paraId="270F71DE" w14:textId="77777777" w:rsidR="008E3A17" w:rsidRPr="008E3A17" w:rsidRDefault="008E3A17" w:rsidP="003610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E3A17">
              <w:rPr>
                <w:rFonts w:ascii="Times New Roman" w:eastAsia="Times New Roman" w:hAnsi="Times New Roman" w:cs="Times New Roman"/>
                <w:sz w:val="22"/>
                <w:szCs w:val="22"/>
              </w:rPr>
              <w:t>Used as the primary volatility series.</w:t>
            </w:r>
          </w:p>
        </w:tc>
      </w:tr>
      <w:tr w:rsidR="008E3A17" w:rsidRPr="008E3A17" w14:paraId="61C23EC6" w14:textId="77777777" w:rsidTr="008E3A17">
        <w:tc>
          <w:tcPr>
            <w:cnfStyle w:val="001000000000" w:firstRow="0" w:lastRow="0" w:firstColumn="1" w:lastColumn="0" w:oddVBand="0" w:evenVBand="0" w:oddHBand="0" w:evenHBand="0" w:firstRowFirstColumn="0" w:firstRowLastColumn="0" w:lastRowFirstColumn="0" w:lastRowLastColumn="0"/>
            <w:tcW w:w="1800" w:type="dxa"/>
          </w:tcPr>
          <w:p w14:paraId="2F12E36F" w14:textId="77777777" w:rsidR="008E3A17" w:rsidRPr="008E3A17" w:rsidRDefault="008E3A17" w:rsidP="00361008">
            <w:pPr>
              <w:rPr>
                <w:rFonts w:ascii="Times New Roman" w:hAnsi="Times New Roman" w:cs="Times New Roman"/>
                <w:sz w:val="22"/>
                <w:szCs w:val="22"/>
              </w:rPr>
            </w:pPr>
            <w:r w:rsidRPr="008E3A17">
              <w:rPr>
                <w:rFonts w:ascii="Times New Roman" w:eastAsia="Times New Roman" w:hAnsi="Times New Roman" w:cs="Times New Roman"/>
                <w:sz w:val="22"/>
                <w:szCs w:val="22"/>
              </w:rPr>
              <w:t>AR(1)-</w:t>
            </w:r>
            <w:proofErr w:type="gramStart"/>
            <w:r w:rsidRPr="008E3A17">
              <w:rPr>
                <w:rFonts w:ascii="Times New Roman" w:eastAsia="Times New Roman" w:hAnsi="Times New Roman" w:cs="Times New Roman"/>
                <w:sz w:val="22"/>
                <w:szCs w:val="22"/>
              </w:rPr>
              <w:t>GARCH(</w:t>
            </w:r>
            <w:proofErr w:type="gramEnd"/>
            <w:r w:rsidRPr="008E3A17">
              <w:rPr>
                <w:rFonts w:ascii="Times New Roman" w:eastAsia="Times New Roman" w:hAnsi="Times New Roman" w:cs="Times New Roman"/>
                <w:sz w:val="22"/>
                <w:szCs w:val="22"/>
              </w:rPr>
              <w:t>1,1)</w:t>
            </w:r>
          </w:p>
        </w:tc>
        <w:tc>
          <w:tcPr>
            <w:tcW w:w="2376" w:type="dxa"/>
          </w:tcPr>
          <w:p w14:paraId="02ABF1D2" w14:textId="77777777" w:rsidR="008E3A17" w:rsidRPr="008E3A17" w:rsidRDefault="008E3A17" w:rsidP="003610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eastAsia="Times New Roman" w:hAnsi="Times New Roman" w:cs="Times New Roman"/>
                <w:sz w:val="22"/>
                <w:szCs w:val="22"/>
              </w:rPr>
              <w:t>Controls persistence in inflation returns</w:t>
            </w:r>
          </w:p>
        </w:tc>
        <w:tc>
          <w:tcPr>
            <w:tcW w:w="3096" w:type="dxa"/>
          </w:tcPr>
          <w:p w14:paraId="1968A643" w14:textId="77777777" w:rsidR="008E3A17" w:rsidRPr="008E3A17" w:rsidRDefault="008E3A17" w:rsidP="003610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eastAsia="Times New Roman" w:hAnsi="Times New Roman" w:cs="Times New Roman"/>
                <w:sz w:val="22"/>
                <w:szCs w:val="22"/>
              </w:rPr>
              <w:t>Overall correlation with baseline GARCH = 0.958; median country correlation = 0.868</w:t>
            </w:r>
          </w:p>
        </w:tc>
        <w:tc>
          <w:tcPr>
            <w:tcW w:w="2880" w:type="dxa"/>
          </w:tcPr>
          <w:p w14:paraId="5EBF08D2" w14:textId="77777777" w:rsidR="008E3A17" w:rsidRPr="008E3A17" w:rsidRDefault="008E3A17" w:rsidP="003610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eastAsia="Times New Roman" w:hAnsi="Times New Roman" w:cs="Times New Roman"/>
                <w:sz w:val="22"/>
                <w:szCs w:val="22"/>
              </w:rPr>
              <w:t xml:space="preserve">Strongly supports the baseline </w:t>
            </w:r>
            <w:proofErr w:type="gramStart"/>
            <w:r w:rsidRPr="008E3A17">
              <w:rPr>
                <w:rFonts w:ascii="Times New Roman" w:eastAsia="Times New Roman" w:hAnsi="Times New Roman" w:cs="Times New Roman"/>
                <w:sz w:val="22"/>
                <w:szCs w:val="22"/>
              </w:rPr>
              <w:t>GARCH(</w:t>
            </w:r>
            <w:proofErr w:type="gramEnd"/>
            <w:r w:rsidRPr="008E3A17">
              <w:rPr>
                <w:rFonts w:ascii="Times New Roman" w:eastAsia="Times New Roman" w:hAnsi="Times New Roman" w:cs="Times New Roman"/>
                <w:sz w:val="22"/>
                <w:szCs w:val="22"/>
              </w:rPr>
              <w:t>1,1) result.</w:t>
            </w:r>
          </w:p>
        </w:tc>
      </w:tr>
      <w:tr w:rsidR="008E3A17" w:rsidRPr="008E3A17" w14:paraId="5B549FA5" w14:textId="77777777" w:rsidTr="008E3A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73EF0DA4" w14:textId="77777777" w:rsidR="008E3A17" w:rsidRPr="008E3A17" w:rsidRDefault="008E3A17" w:rsidP="00361008">
            <w:pPr>
              <w:rPr>
                <w:rFonts w:ascii="Times New Roman" w:hAnsi="Times New Roman" w:cs="Times New Roman"/>
                <w:sz w:val="22"/>
                <w:szCs w:val="22"/>
              </w:rPr>
            </w:pPr>
            <w:proofErr w:type="gramStart"/>
            <w:r w:rsidRPr="008E3A17">
              <w:rPr>
                <w:rFonts w:ascii="Times New Roman" w:eastAsia="Times New Roman" w:hAnsi="Times New Roman" w:cs="Times New Roman"/>
                <w:sz w:val="22"/>
                <w:szCs w:val="22"/>
              </w:rPr>
              <w:t>EGARCH(</w:t>
            </w:r>
            <w:proofErr w:type="gramEnd"/>
            <w:r w:rsidRPr="008E3A17">
              <w:rPr>
                <w:rFonts w:ascii="Times New Roman" w:eastAsia="Times New Roman" w:hAnsi="Times New Roman" w:cs="Times New Roman"/>
                <w:sz w:val="22"/>
                <w:szCs w:val="22"/>
              </w:rPr>
              <w:t>1,1)</w:t>
            </w:r>
          </w:p>
        </w:tc>
        <w:tc>
          <w:tcPr>
            <w:tcW w:w="2376" w:type="dxa"/>
          </w:tcPr>
          <w:p w14:paraId="34EB3302" w14:textId="77777777" w:rsidR="008E3A17" w:rsidRPr="008E3A17" w:rsidRDefault="008E3A17" w:rsidP="003610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E3A17">
              <w:rPr>
                <w:rFonts w:ascii="Times New Roman" w:eastAsia="Times New Roman" w:hAnsi="Times New Roman" w:cs="Times New Roman"/>
                <w:sz w:val="22"/>
                <w:szCs w:val="22"/>
              </w:rPr>
              <w:t>Tests asymmetric volatility response</w:t>
            </w:r>
          </w:p>
        </w:tc>
        <w:tc>
          <w:tcPr>
            <w:tcW w:w="3096" w:type="dxa"/>
          </w:tcPr>
          <w:p w14:paraId="3E1092E4" w14:textId="77777777" w:rsidR="008E3A17" w:rsidRPr="008E3A17" w:rsidRDefault="008E3A17" w:rsidP="003610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E3A17">
              <w:rPr>
                <w:rFonts w:ascii="Times New Roman" w:eastAsia="Times New Roman" w:hAnsi="Times New Roman" w:cs="Times New Roman"/>
                <w:sz w:val="22"/>
                <w:szCs w:val="22"/>
              </w:rPr>
              <w:t>Overall correlation with baseline GARCH = 0.553; after excluding extreme spikes above 100, correlation = 0.717</w:t>
            </w:r>
          </w:p>
        </w:tc>
        <w:tc>
          <w:tcPr>
            <w:tcW w:w="2880" w:type="dxa"/>
          </w:tcPr>
          <w:p w14:paraId="1CE01364" w14:textId="77777777" w:rsidR="008E3A17" w:rsidRPr="008E3A17" w:rsidRDefault="008E3A17" w:rsidP="003610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E3A17">
              <w:rPr>
                <w:rFonts w:ascii="Times New Roman" w:eastAsia="Times New Roman" w:hAnsi="Times New Roman" w:cs="Times New Roman"/>
                <w:sz w:val="22"/>
                <w:szCs w:val="22"/>
              </w:rPr>
              <w:t xml:space="preserve">Partially supports the baseline result and shows asymmetric shock </w:t>
            </w:r>
            <w:proofErr w:type="spellStart"/>
            <w:r w:rsidRPr="008E3A17">
              <w:rPr>
                <w:rFonts w:ascii="Times New Roman" w:eastAsia="Times New Roman" w:hAnsi="Times New Roman" w:cs="Times New Roman"/>
                <w:sz w:val="22"/>
                <w:szCs w:val="22"/>
              </w:rPr>
              <w:t>behaviour</w:t>
            </w:r>
            <w:proofErr w:type="spellEnd"/>
            <w:r w:rsidRPr="008E3A17">
              <w:rPr>
                <w:rFonts w:ascii="Times New Roman" w:eastAsia="Times New Roman" w:hAnsi="Times New Roman" w:cs="Times New Roman"/>
                <w:sz w:val="22"/>
                <w:szCs w:val="22"/>
              </w:rPr>
              <w:t>.</w:t>
            </w:r>
          </w:p>
        </w:tc>
      </w:tr>
    </w:tbl>
    <w:p w14:paraId="587D5F3F" w14:textId="77777777" w:rsidR="008E3A17" w:rsidRPr="008E3A17" w:rsidRDefault="008E3A17" w:rsidP="008E3A17">
      <w:pPr>
        <w:spacing w:after="120" w:line="276" w:lineRule="auto"/>
        <w:rPr>
          <w:rFonts w:ascii="Times New Roman" w:hAnsi="Times New Roman" w:cs="Times New Roman"/>
          <w:iCs/>
          <w:sz w:val="22"/>
          <w:szCs w:val="22"/>
        </w:rPr>
      </w:pPr>
      <w:r w:rsidRPr="008E3A17">
        <w:rPr>
          <w:rFonts w:ascii="Times New Roman" w:eastAsia="Times New Roman" w:hAnsi="Times New Roman" w:cs="Times New Roman"/>
          <w:iCs/>
          <w:sz w:val="22"/>
          <w:szCs w:val="22"/>
        </w:rPr>
        <w:t>Note. AR(1)-</w:t>
      </w:r>
      <w:proofErr w:type="gramStart"/>
      <w:r w:rsidRPr="008E3A17">
        <w:rPr>
          <w:rFonts w:ascii="Times New Roman" w:eastAsia="Times New Roman" w:hAnsi="Times New Roman" w:cs="Times New Roman"/>
          <w:iCs/>
          <w:sz w:val="22"/>
          <w:szCs w:val="22"/>
        </w:rPr>
        <w:t>GARCH(</w:t>
      </w:r>
      <w:proofErr w:type="gramEnd"/>
      <w:r w:rsidRPr="008E3A17">
        <w:rPr>
          <w:rFonts w:ascii="Times New Roman" w:eastAsia="Times New Roman" w:hAnsi="Times New Roman" w:cs="Times New Roman"/>
          <w:iCs/>
          <w:sz w:val="22"/>
          <w:szCs w:val="22"/>
        </w:rPr>
        <w:t xml:space="preserve">1,1) adds an autoregressive term in the mean equation, while </w:t>
      </w:r>
      <w:proofErr w:type="gramStart"/>
      <w:r w:rsidRPr="008E3A17">
        <w:rPr>
          <w:rFonts w:ascii="Times New Roman" w:eastAsia="Times New Roman" w:hAnsi="Times New Roman" w:cs="Times New Roman"/>
          <w:iCs/>
          <w:sz w:val="22"/>
          <w:szCs w:val="22"/>
        </w:rPr>
        <w:t>EGARCH(</w:t>
      </w:r>
      <w:proofErr w:type="gramEnd"/>
      <w:r w:rsidRPr="008E3A17">
        <w:rPr>
          <w:rFonts w:ascii="Times New Roman" w:eastAsia="Times New Roman" w:hAnsi="Times New Roman" w:cs="Times New Roman"/>
          <w:iCs/>
          <w:sz w:val="22"/>
          <w:szCs w:val="22"/>
        </w:rPr>
        <w:t xml:space="preserve">1,1) models </w:t>
      </w:r>
      <w:proofErr w:type="gramStart"/>
      <w:r w:rsidRPr="008E3A17">
        <w:rPr>
          <w:rFonts w:ascii="Times New Roman" w:eastAsia="Times New Roman" w:hAnsi="Times New Roman" w:cs="Times New Roman"/>
          <w:iCs/>
          <w:sz w:val="22"/>
          <w:szCs w:val="22"/>
        </w:rPr>
        <w:t>log variance</w:t>
      </w:r>
      <w:proofErr w:type="gramEnd"/>
      <w:r w:rsidRPr="008E3A17">
        <w:rPr>
          <w:rFonts w:ascii="Times New Roman" w:eastAsia="Times New Roman" w:hAnsi="Times New Roman" w:cs="Times New Roman"/>
          <w:iCs/>
          <w:sz w:val="22"/>
          <w:szCs w:val="22"/>
        </w:rPr>
        <w:t xml:space="preserve"> and allows asymmetric shock effects. Therefore, EGARCH is not expected to match the baseline GARCH series exactly. A small number of country-level </w:t>
      </w:r>
      <w:proofErr w:type="gramStart"/>
      <w:r w:rsidRPr="008E3A17">
        <w:rPr>
          <w:rFonts w:ascii="Times New Roman" w:eastAsia="Times New Roman" w:hAnsi="Times New Roman" w:cs="Times New Roman"/>
          <w:iCs/>
          <w:sz w:val="22"/>
          <w:szCs w:val="22"/>
        </w:rPr>
        <w:t>AR(</w:t>
      </w:r>
      <w:proofErr w:type="gramEnd"/>
      <w:r w:rsidRPr="008E3A17">
        <w:rPr>
          <w:rFonts w:ascii="Times New Roman" w:eastAsia="Times New Roman" w:hAnsi="Times New Roman" w:cs="Times New Roman"/>
          <w:iCs/>
          <w:sz w:val="22"/>
          <w:szCs w:val="22"/>
        </w:rPr>
        <w:t>1)-GARCH estimations produced optimizer warnings, so those country-specific results are interpreted cautiously.</w:t>
      </w:r>
    </w:p>
    <w:p w14:paraId="14360AEA" w14:textId="77777777" w:rsidR="008E3A17" w:rsidRDefault="008E3A17" w:rsidP="000B7447">
      <w:pPr>
        <w:spacing w:line="360" w:lineRule="auto"/>
        <w:jc w:val="both"/>
        <w:rPr>
          <w:rFonts w:ascii="Times New Roman" w:hAnsi="Times New Roman" w:cs="Times New Roman"/>
        </w:rPr>
      </w:pPr>
    </w:p>
    <w:p w14:paraId="5BB55156" w14:textId="33D1D71C" w:rsidR="000B7447" w:rsidRP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 xml:space="preserve">All these robustness results collectively suggest using the </w:t>
      </w:r>
      <w:proofErr w:type="gramStart"/>
      <w:r w:rsidRPr="000B7447">
        <w:rPr>
          <w:rFonts w:ascii="Times New Roman" w:hAnsi="Times New Roman" w:cs="Times New Roman"/>
        </w:rPr>
        <w:t>GARCH(</w:t>
      </w:r>
      <w:proofErr w:type="gramEnd"/>
      <w:r w:rsidRPr="000B7447">
        <w:rPr>
          <w:rFonts w:ascii="Times New Roman" w:hAnsi="Times New Roman" w:cs="Times New Roman"/>
        </w:rPr>
        <w:t>1,1) as the primary inflation volatility index. Both models clearly support the overall baseline volatility behavior as found by the AR(1)-</w:t>
      </w:r>
      <w:proofErr w:type="gramStart"/>
      <w:r w:rsidRPr="000B7447">
        <w:rPr>
          <w:rFonts w:ascii="Times New Roman" w:hAnsi="Times New Roman" w:cs="Times New Roman"/>
        </w:rPr>
        <w:t>GARCH(</w:t>
      </w:r>
      <w:proofErr w:type="gramEnd"/>
      <w:r w:rsidRPr="000B7447">
        <w:rPr>
          <w:rFonts w:ascii="Times New Roman" w:hAnsi="Times New Roman" w:cs="Times New Roman"/>
        </w:rPr>
        <w:t xml:space="preserve">1,1) model, and the </w:t>
      </w:r>
      <w:proofErr w:type="gramStart"/>
      <w:r w:rsidRPr="000B7447">
        <w:rPr>
          <w:rFonts w:ascii="Times New Roman" w:hAnsi="Times New Roman" w:cs="Times New Roman"/>
        </w:rPr>
        <w:t>EGARCH(</w:t>
      </w:r>
      <w:proofErr w:type="gramEnd"/>
      <w:r w:rsidRPr="000B7447">
        <w:rPr>
          <w:rFonts w:ascii="Times New Roman" w:hAnsi="Times New Roman" w:cs="Times New Roman"/>
        </w:rPr>
        <w:t>1,1) demonstrates that there are some countries with a volatility regime that is asymmetric and driven by extreme shocks. As such, the main finding is robust, while inflation volatility is not quite the same with all variants of the models.</w:t>
      </w:r>
    </w:p>
    <w:p w14:paraId="12C3B7C0" w14:textId="77777777" w:rsidR="000B7447" w:rsidRPr="008E3A17" w:rsidRDefault="000B7447" w:rsidP="008E3A17">
      <w:pPr>
        <w:pStyle w:val="Heading2"/>
        <w:rPr>
          <w:rFonts w:ascii="Times New Roman" w:hAnsi="Times New Roman" w:cs="Times New Roman"/>
          <w:b/>
          <w:bCs/>
          <w:sz w:val="28"/>
          <w:szCs w:val="28"/>
        </w:rPr>
      </w:pPr>
      <w:bookmarkStart w:id="90" w:name="_Toc235530918"/>
      <w:r w:rsidRPr="008E3A17">
        <w:rPr>
          <w:rFonts w:ascii="Times New Roman" w:hAnsi="Times New Roman" w:cs="Times New Roman"/>
          <w:b/>
          <w:bCs/>
          <w:sz w:val="28"/>
          <w:szCs w:val="28"/>
        </w:rPr>
        <w:lastRenderedPageBreak/>
        <w:t>4.6 Heterogeneity and nonlinearity results</w:t>
      </w:r>
      <w:bookmarkEnd w:id="90"/>
    </w:p>
    <w:p w14:paraId="796D0F0C" w14:textId="77777777" w:rsidR="000B7447" w:rsidRP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The final tests examine whether the inflation-volatility effect differs between lower- and higher-volatility regimes. This is still helpful in the simple panel setup, as the characteristics of the GARCH distribution appear to be very skewed in the descriptive statistics. With country effects and controls, a median-split interaction model can be estimated without having a lagged dependent variable. The aim here is to verify whether there is a different relationship between the GARCH and Z-values for less volatile samples and more volatile samples.</w:t>
      </w:r>
    </w:p>
    <w:p w14:paraId="0C46A9B8" w14:textId="77777777" w:rsidR="008E3A17" w:rsidRPr="008E3A17" w:rsidRDefault="008E3A17" w:rsidP="008E3A17">
      <w:pPr>
        <w:keepNext/>
        <w:spacing w:after="60"/>
        <w:rPr>
          <w:rFonts w:ascii="Times New Roman" w:hAnsi="Times New Roman" w:cs="Times New Roman"/>
          <w:iCs/>
        </w:rPr>
      </w:pPr>
      <w:r w:rsidRPr="008E3A17">
        <w:rPr>
          <w:rFonts w:ascii="Times New Roman" w:hAnsi="Times New Roman" w:cs="Times New Roman"/>
          <w:b/>
          <w:iCs/>
        </w:rPr>
        <w:t>Table 4.11. Threshold interaction estimates by volatility regime.</w:t>
      </w:r>
    </w:p>
    <w:tbl>
      <w:tblPr>
        <w:tblStyle w:val="GridTable4-Accent1"/>
        <w:tblW w:w="0" w:type="auto"/>
        <w:tblLook w:val="04A0" w:firstRow="1" w:lastRow="0" w:firstColumn="1" w:lastColumn="0" w:noHBand="0" w:noVBand="1"/>
      </w:tblPr>
      <w:tblGrid>
        <w:gridCol w:w="1231"/>
        <w:gridCol w:w="1105"/>
        <w:gridCol w:w="983"/>
        <w:gridCol w:w="915"/>
        <w:gridCol w:w="1023"/>
        <w:gridCol w:w="1267"/>
        <w:gridCol w:w="915"/>
        <w:gridCol w:w="1029"/>
        <w:gridCol w:w="882"/>
      </w:tblGrid>
      <w:tr w:rsidR="008E3A17" w:rsidRPr="008E3A17" w14:paraId="17562A90" w14:textId="77777777" w:rsidTr="003610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4" w:type="dxa"/>
            <w:hideMark/>
          </w:tcPr>
          <w:p w14:paraId="0DE9AC86" w14:textId="77777777" w:rsidR="008E3A17" w:rsidRPr="008E3A17" w:rsidRDefault="008E3A17" w:rsidP="00361008">
            <w:pPr>
              <w:spacing w:after="160" w:line="278" w:lineRule="auto"/>
              <w:rPr>
                <w:rFonts w:ascii="Times New Roman" w:hAnsi="Times New Roman" w:cs="Times New Roman"/>
                <w:sz w:val="22"/>
                <w:szCs w:val="22"/>
              </w:rPr>
            </w:pPr>
            <w:r w:rsidRPr="008E3A17">
              <w:rPr>
                <w:rFonts w:ascii="Times New Roman" w:hAnsi="Times New Roman" w:cs="Times New Roman"/>
                <w:sz w:val="22"/>
                <w:szCs w:val="22"/>
              </w:rPr>
              <w:t>Dependent variable</w:t>
            </w:r>
          </w:p>
        </w:tc>
        <w:tc>
          <w:tcPr>
            <w:tcW w:w="1104" w:type="dxa"/>
            <w:hideMark/>
          </w:tcPr>
          <w:p w14:paraId="588C3864" w14:textId="77777777" w:rsidR="008E3A17" w:rsidRPr="008E3A17" w:rsidRDefault="008E3A1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Median threshold</w:t>
            </w:r>
          </w:p>
        </w:tc>
        <w:tc>
          <w:tcPr>
            <w:tcW w:w="1104" w:type="dxa"/>
            <w:hideMark/>
          </w:tcPr>
          <w:p w14:paraId="165C3883" w14:textId="77777777" w:rsidR="008E3A17" w:rsidRPr="008E3A17" w:rsidRDefault="008E3A1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Low-regime slope</w:t>
            </w:r>
          </w:p>
        </w:tc>
        <w:tc>
          <w:tcPr>
            <w:tcW w:w="1104" w:type="dxa"/>
            <w:hideMark/>
          </w:tcPr>
          <w:p w14:paraId="6AF0A772" w14:textId="77777777" w:rsidR="008E3A17" w:rsidRPr="008E3A17" w:rsidRDefault="008E3A1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p-value</w:t>
            </w:r>
          </w:p>
        </w:tc>
        <w:tc>
          <w:tcPr>
            <w:tcW w:w="1104" w:type="dxa"/>
            <w:hideMark/>
          </w:tcPr>
          <w:p w14:paraId="2D54A08C" w14:textId="77777777" w:rsidR="008E3A17" w:rsidRPr="008E3A17" w:rsidRDefault="008E3A1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High-vol dummy</w:t>
            </w:r>
          </w:p>
        </w:tc>
        <w:tc>
          <w:tcPr>
            <w:tcW w:w="1104" w:type="dxa"/>
            <w:hideMark/>
          </w:tcPr>
          <w:p w14:paraId="229FF680" w14:textId="77777777" w:rsidR="008E3A17" w:rsidRPr="008E3A17" w:rsidRDefault="008E3A1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Interaction</w:t>
            </w:r>
          </w:p>
        </w:tc>
        <w:tc>
          <w:tcPr>
            <w:tcW w:w="1104" w:type="dxa"/>
            <w:hideMark/>
          </w:tcPr>
          <w:p w14:paraId="6DC04598" w14:textId="77777777" w:rsidR="008E3A17" w:rsidRPr="008E3A17" w:rsidRDefault="008E3A1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p-value</w:t>
            </w:r>
          </w:p>
        </w:tc>
        <w:tc>
          <w:tcPr>
            <w:tcW w:w="1104" w:type="dxa"/>
            <w:hideMark/>
          </w:tcPr>
          <w:p w14:paraId="043AC1CC" w14:textId="77777777" w:rsidR="008E3A17" w:rsidRPr="008E3A17" w:rsidRDefault="008E3A1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Implied high-regime slope</w:t>
            </w:r>
          </w:p>
        </w:tc>
        <w:tc>
          <w:tcPr>
            <w:tcW w:w="1104" w:type="dxa"/>
            <w:hideMark/>
          </w:tcPr>
          <w:p w14:paraId="5D296009" w14:textId="77777777" w:rsidR="008E3A17" w:rsidRPr="008E3A17" w:rsidRDefault="008E3A17" w:rsidP="00361008">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Obs.</w:t>
            </w:r>
          </w:p>
        </w:tc>
      </w:tr>
      <w:tr w:rsidR="008E3A17" w:rsidRPr="008E3A17" w14:paraId="741D5F9C" w14:textId="77777777" w:rsidTr="00361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4" w:type="dxa"/>
            <w:hideMark/>
          </w:tcPr>
          <w:p w14:paraId="5FABA25D" w14:textId="77777777" w:rsidR="008E3A17" w:rsidRPr="008E3A17" w:rsidRDefault="008E3A17" w:rsidP="00361008">
            <w:pPr>
              <w:spacing w:after="160" w:line="278" w:lineRule="auto"/>
              <w:rPr>
                <w:rFonts w:ascii="Times New Roman" w:hAnsi="Times New Roman" w:cs="Times New Roman"/>
                <w:sz w:val="22"/>
                <w:szCs w:val="22"/>
              </w:rPr>
            </w:pPr>
            <w:r w:rsidRPr="008E3A17">
              <w:rPr>
                <w:rFonts w:ascii="Times New Roman" w:hAnsi="Times New Roman" w:cs="Times New Roman"/>
                <w:sz w:val="22"/>
                <w:szCs w:val="22"/>
              </w:rPr>
              <w:t>Bank Z-score</w:t>
            </w:r>
          </w:p>
        </w:tc>
        <w:tc>
          <w:tcPr>
            <w:tcW w:w="1104" w:type="dxa"/>
            <w:hideMark/>
          </w:tcPr>
          <w:p w14:paraId="5680B1A2" w14:textId="77777777" w:rsidR="008E3A17" w:rsidRPr="008E3A17" w:rsidRDefault="008E3A1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5.730</w:t>
            </w:r>
          </w:p>
        </w:tc>
        <w:tc>
          <w:tcPr>
            <w:tcW w:w="1104" w:type="dxa"/>
            <w:hideMark/>
          </w:tcPr>
          <w:p w14:paraId="222B8A9D" w14:textId="77777777" w:rsidR="008E3A17" w:rsidRPr="008E3A17" w:rsidRDefault="008E3A1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-0.379</w:t>
            </w:r>
          </w:p>
        </w:tc>
        <w:tc>
          <w:tcPr>
            <w:tcW w:w="1104" w:type="dxa"/>
            <w:hideMark/>
          </w:tcPr>
          <w:p w14:paraId="7B717F0D" w14:textId="77777777" w:rsidR="008E3A17" w:rsidRPr="008E3A17" w:rsidRDefault="008E3A1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0.005</w:t>
            </w:r>
          </w:p>
        </w:tc>
        <w:tc>
          <w:tcPr>
            <w:tcW w:w="1104" w:type="dxa"/>
            <w:hideMark/>
          </w:tcPr>
          <w:p w14:paraId="4C2403A4" w14:textId="77777777" w:rsidR="008E3A17" w:rsidRPr="008E3A17" w:rsidRDefault="008E3A1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-1.205</w:t>
            </w:r>
          </w:p>
        </w:tc>
        <w:tc>
          <w:tcPr>
            <w:tcW w:w="1104" w:type="dxa"/>
            <w:hideMark/>
          </w:tcPr>
          <w:p w14:paraId="1CAC9667" w14:textId="77777777" w:rsidR="008E3A17" w:rsidRPr="008E3A17" w:rsidRDefault="008E3A1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0.356</w:t>
            </w:r>
          </w:p>
        </w:tc>
        <w:tc>
          <w:tcPr>
            <w:tcW w:w="1104" w:type="dxa"/>
            <w:hideMark/>
          </w:tcPr>
          <w:p w14:paraId="2412AF82" w14:textId="77777777" w:rsidR="008E3A17" w:rsidRPr="008E3A17" w:rsidRDefault="008E3A1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0.017</w:t>
            </w:r>
          </w:p>
        </w:tc>
        <w:tc>
          <w:tcPr>
            <w:tcW w:w="1104" w:type="dxa"/>
            <w:hideMark/>
          </w:tcPr>
          <w:p w14:paraId="7BE3C9A4" w14:textId="77777777" w:rsidR="008E3A17" w:rsidRPr="008E3A17" w:rsidRDefault="008E3A1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-0.023</w:t>
            </w:r>
          </w:p>
        </w:tc>
        <w:tc>
          <w:tcPr>
            <w:tcW w:w="1104" w:type="dxa"/>
            <w:hideMark/>
          </w:tcPr>
          <w:p w14:paraId="6CBB9A5A" w14:textId="77777777" w:rsidR="008E3A17" w:rsidRPr="008E3A17" w:rsidRDefault="008E3A17" w:rsidP="0036100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293</w:t>
            </w:r>
          </w:p>
        </w:tc>
      </w:tr>
      <w:tr w:rsidR="008E3A17" w:rsidRPr="008E3A17" w14:paraId="2ED7DE32" w14:textId="77777777" w:rsidTr="00361008">
        <w:tc>
          <w:tcPr>
            <w:cnfStyle w:val="001000000000" w:firstRow="0" w:lastRow="0" w:firstColumn="1" w:lastColumn="0" w:oddVBand="0" w:evenVBand="0" w:oddHBand="0" w:evenHBand="0" w:firstRowFirstColumn="0" w:firstRowLastColumn="0" w:lastRowFirstColumn="0" w:lastRowLastColumn="0"/>
            <w:tcW w:w="1104" w:type="dxa"/>
            <w:hideMark/>
          </w:tcPr>
          <w:p w14:paraId="25E9D9B0" w14:textId="77777777" w:rsidR="008E3A17" w:rsidRPr="008E3A17" w:rsidRDefault="008E3A17" w:rsidP="00361008">
            <w:pPr>
              <w:spacing w:after="160" w:line="278" w:lineRule="auto"/>
              <w:rPr>
                <w:rFonts w:ascii="Times New Roman" w:hAnsi="Times New Roman" w:cs="Times New Roman"/>
                <w:sz w:val="22"/>
                <w:szCs w:val="22"/>
              </w:rPr>
            </w:pPr>
            <w:r w:rsidRPr="008E3A17">
              <w:rPr>
                <w:rFonts w:ascii="Times New Roman" w:hAnsi="Times New Roman" w:cs="Times New Roman"/>
                <w:sz w:val="22"/>
                <w:szCs w:val="22"/>
              </w:rPr>
              <w:t>NPL ratio</w:t>
            </w:r>
          </w:p>
        </w:tc>
        <w:tc>
          <w:tcPr>
            <w:tcW w:w="1104" w:type="dxa"/>
            <w:hideMark/>
          </w:tcPr>
          <w:p w14:paraId="1750EBB7" w14:textId="77777777" w:rsidR="008E3A17" w:rsidRPr="008E3A17" w:rsidRDefault="008E3A1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5.730</w:t>
            </w:r>
          </w:p>
        </w:tc>
        <w:tc>
          <w:tcPr>
            <w:tcW w:w="1104" w:type="dxa"/>
            <w:hideMark/>
          </w:tcPr>
          <w:p w14:paraId="166F767E" w14:textId="77777777" w:rsidR="008E3A17" w:rsidRPr="008E3A17" w:rsidRDefault="008E3A1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0.606</w:t>
            </w:r>
          </w:p>
        </w:tc>
        <w:tc>
          <w:tcPr>
            <w:tcW w:w="1104" w:type="dxa"/>
            <w:hideMark/>
          </w:tcPr>
          <w:p w14:paraId="4D217D4A" w14:textId="77777777" w:rsidR="008E3A17" w:rsidRPr="008E3A17" w:rsidRDefault="008E3A1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0.061</w:t>
            </w:r>
          </w:p>
        </w:tc>
        <w:tc>
          <w:tcPr>
            <w:tcW w:w="1104" w:type="dxa"/>
            <w:hideMark/>
          </w:tcPr>
          <w:p w14:paraId="18D05E98" w14:textId="77777777" w:rsidR="008E3A17" w:rsidRPr="008E3A17" w:rsidRDefault="008E3A1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2.784</w:t>
            </w:r>
          </w:p>
        </w:tc>
        <w:tc>
          <w:tcPr>
            <w:tcW w:w="1104" w:type="dxa"/>
            <w:hideMark/>
          </w:tcPr>
          <w:p w14:paraId="0CC9B77A" w14:textId="77777777" w:rsidR="008E3A17" w:rsidRPr="008E3A17" w:rsidRDefault="008E3A1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-0.714</w:t>
            </w:r>
          </w:p>
        </w:tc>
        <w:tc>
          <w:tcPr>
            <w:tcW w:w="1104" w:type="dxa"/>
            <w:hideMark/>
          </w:tcPr>
          <w:p w14:paraId="31907706" w14:textId="77777777" w:rsidR="008E3A17" w:rsidRPr="008E3A17" w:rsidRDefault="008E3A1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0.064</w:t>
            </w:r>
          </w:p>
        </w:tc>
        <w:tc>
          <w:tcPr>
            <w:tcW w:w="1104" w:type="dxa"/>
            <w:hideMark/>
          </w:tcPr>
          <w:p w14:paraId="0E32E166" w14:textId="77777777" w:rsidR="008E3A17" w:rsidRPr="008E3A17" w:rsidRDefault="008E3A1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-0.108</w:t>
            </w:r>
          </w:p>
        </w:tc>
        <w:tc>
          <w:tcPr>
            <w:tcW w:w="1104" w:type="dxa"/>
            <w:hideMark/>
          </w:tcPr>
          <w:p w14:paraId="50FDACB8" w14:textId="77777777" w:rsidR="008E3A17" w:rsidRPr="008E3A17" w:rsidRDefault="008E3A17" w:rsidP="0036100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3A17">
              <w:rPr>
                <w:rFonts w:ascii="Times New Roman" w:hAnsi="Times New Roman" w:cs="Times New Roman"/>
                <w:sz w:val="22"/>
                <w:szCs w:val="22"/>
              </w:rPr>
              <w:t>293</w:t>
            </w:r>
          </w:p>
        </w:tc>
      </w:tr>
    </w:tbl>
    <w:p w14:paraId="2C6D3546" w14:textId="0B67B3B2" w:rsidR="000B7447" w:rsidRDefault="008E3A17" w:rsidP="008E3A17">
      <w:pPr>
        <w:rPr>
          <w:rFonts w:ascii="Times New Roman" w:hAnsi="Times New Roman" w:cs="Times New Roman"/>
          <w:sz w:val="22"/>
          <w:szCs w:val="22"/>
        </w:rPr>
      </w:pPr>
      <w:r w:rsidRPr="008E3A17">
        <w:rPr>
          <w:rFonts w:ascii="Times New Roman" w:hAnsi="Times New Roman" w:cs="Times New Roman"/>
          <w:sz w:val="22"/>
          <w:szCs w:val="22"/>
        </w:rPr>
        <w:t>Note. Models include country effects and relevant controls. The implied high-regime slope equals the low-regime slope plus the interaction coefficient.</w:t>
      </w:r>
    </w:p>
    <w:p w14:paraId="6B14CFB8" w14:textId="77777777" w:rsidR="001E03FB" w:rsidRPr="008E3A17" w:rsidRDefault="001E03FB" w:rsidP="008E3A17">
      <w:pPr>
        <w:rPr>
          <w:rFonts w:ascii="Times New Roman" w:hAnsi="Times New Roman" w:cs="Times New Roman"/>
          <w:sz w:val="22"/>
          <w:szCs w:val="22"/>
        </w:rPr>
      </w:pPr>
    </w:p>
    <w:p w14:paraId="74A17952" w14:textId="77777777" w:rsid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 xml:space="preserve">The main conclusions are fine-tuned by the threshold results. There is a relationship between inflation volatility and banking stability, but not a straight line and not the same relationship across all of the country-years. The negative three-way GARCH-Z relationship is found to be the strongest and cleanest relationship. Therefore, the relationship between NPLs is only weak and conditional, implying that factors of bad loans formation include extra factors like credit discipline, bank supervision, common security enforcement, and the sectoral distribution of loans. Overall, the empirical evidence confirms that inflation volatility is indeed an important banking-stability risk, and when it comes to the considered evidence, the Z-score channel displays greater stability than the NPL channel. </w:t>
      </w:r>
    </w:p>
    <w:p w14:paraId="73C46723" w14:textId="77777777" w:rsidR="001E03FB" w:rsidRPr="00C41234" w:rsidRDefault="001E03FB" w:rsidP="001E03FB">
      <w:r w:rsidRPr="00C41234">
        <w:rPr>
          <w:noProof/>
        </w:rPr>
        <w:lastRenderedPageBreak/>
        <w:drawing>
          <wp:inline distT="0" distB="0" distL="0" distR="0" wp14:anchorId="3A7E7838" wp14:editId="20D6C480">
            <wp:extent cx="5715000" cy="2773680"/>
            <wp:effectExtent l="0" t="0" r="0" b="7620"/>
            <wp:docPr id="4109406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2773680"/>
                    </a:xfrm>
                    <a:prstGeom prst="rect">
                      <a:avLst/>
                    </a:prstGeom>
                    <a:noFill/>
                    <a:ln>
                      <a:noFill/>
                    </a:ln>
                  </pic:spPr>
                </pic:pic>
              </a:graphicData>
            </a:graphic>
          </wp:inline>
        </w:drawing>
      </w:r>
    </w:p>
    <w:p w14:paraId="50B59A2E" w14:textId="49FAE286" w:rsidR="001E03FB" w:rsidRPr="001E03FB" w:rsidRDefault="001E03FB" w:rsidP="001E03FB">
      <w:pPr>
        <w:keepNext/>
        <w:spacing w:after="60"/>
        <w:jc w:val="both"/>
        <w:rPr>
          <w:rFonts w:ascii="Times New Roman" w:hAnsi="Times New Roman" w:cs="Times New Roman"/>
        </w:rPr>
      </w:pPr>
      <w:r w:rsidRPr="001E03FB">
        <w:rPr>
          <w:rFonts w:ascii="Times New Roman" w:hAnsi="Times New Roman" w:cs="Times New Roman"/>
        </w:rPr>
        <w:t>Figure 4.4. Threshold behavior around median GARCH volatility.</w:t>
      </w:r>
    </w:p>
    <w:p w14:paraId="2A3E6885" w14:textId="53780935" w:rsidR="001E03FB" w:rsidRPr="00B751B1" w:rsidRDefault="001E03FB" w:rsidP="00B751B1">
      <w:pPr>
        <w:jc w:val="both"/>
        <w:rPr>
          <w:rFonts w:ascii="Times New Roman" w:hAnsi="Times New Roman" w:cs="Times New Roman"/>
          <w:b/>
          <w:bCs/>
          <w:iCs/>
        </w:rPr>
      </w:pPr>
      <w:r w:rsidRPr="001E03FB">
        <w:rPr>
          <w:rFonts w:ascii="Times New Roman" w:hAnsi="Times New Roman" w:cs="Times New Roman"/>
          <w:iCs/>
        </w:rPr>
        <w:t>Note. The vertical line marks the sample median of GARCH volatility. Fitted lines are descriptive and show how the relationship differs by regime.</w:t>
      </w:r>
    </w:p>
    <w:p w14:paraId="43023748" w14:textId="3D060018" w:rsidR="000B7447" w:rsidRPr="001E03FB" w:rsidRDefault="000B7447" w:rsidP="001E03FB">
      <w:pPr>
        <w:pStyle w:val="Heading2"/>
        <w:rPr>
          <w:rFonts w:ascii="Times New Roman" w:hAnsi="Times New Roman" w:cs="Times New Roman"/>
          <w:b/>
          <w:bCs/>
          <w:sz w:val="28"/>
          <w:szCs w:val="28"/>
        </w:rPr>
      </w:pPr>
      <w:bookmarkStart w:id="91" w:name="_Toc235530919"/>
      <w:r w:rsidRPr="001E03FB">
        <w:rPr>
          <w:rFonts w:ascii="Times New Roman" w:hAnsi="Times New Roman" w:cs="Times New Roman"/>
          <w:b/>
          <w:bCs/>
          <w:sz w:val="28"/>
          <w:szCs w:val="28"/>
        </w:rPr>
        <w:t>4.7 Controlled-variable extension: GDP growth and real interest rate</w:t>
      </w:r>
      <w:bookmarkEnd w:id="91"/>
    </w:p>
    <w:p w14:paraId="470F9927" w14:textId="77777777" w:rsidR="000B7447" w:rsidRP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 xml:space="preserve">This subsection creates and adds the desired control variables to the updated simple panel model. Growth in GDP proxies the macroeconomic business cycle and the real interest rate proxies borrowing-cost and monetary-policy conditions. The controlled calculations are displayed in sequential order so that reader </w:t>
      </w:r>
      <w:proofErr w:type="gramStart"/>
      <w:r w:rsidRPr="000B7447">
        <w:rPr>
          <w:rFonts w:ascii="Times New Roman" w:hAnsi="Times New Roman" w:cs="Times New Roman"/>
        </w:rPr>
        <w:t>is able to</w:t>
      </w:r>
      <w:proofErr w:type="gramEnd"/>
      <w:r w:rsidRPr="000B7447">
        <w:rPr>
          <w:rFonts w:ascii="Times New Roman" w:hAnsi="Times New Roman" w:cs="Times New Roman"/>
        </w:rPr>
        <w:t xml:space="preserve"> observe how the </w:t>
      </w:r>
      <w:proofErr w:type="gramStart"/>
      <w:r w:rsidRPr="000B7447">
        <w:rPr>
          <w:rFonts w:ascii="Times New Roman" w:hAnsi="Times New Roman" w:cs="Times New Roman"/>
        </w:rPr>
        <w:t>GARCH(</w:t>
      </w:r>
      <w:proofErr w:type="gramEnd"/>
      <w:r w:rsidRPr="000B7447">
        <w:rPr>
          <w:rFonts w:ascii="Times New Roman" w:hAnsi="Times New Roman" w:cs="Times New Roman"/>
        </w:rPr>
        <w:t>1,1) inflation-volatility coefficient changes as controls are introduced.</w:t>
      </w:r>
    </w:p>
    <w:p w14:paraId="6EE21ADE" w14:textId="77777777" w:rsidR="001E03FB" w:rsidRPr="001E03FB" w:rsidRDefault="001E03FB" w:rsidP="001E03FB">
      <w:pPr>
        <w:keepNext/>
        <w:spacing w:before="100" w:after="60"/>
        <w:rPr>
          <w:rFonts w:ascii="Times New Roman" w:hAnsi="Times New Roman" w:cs="Times New Roman"/>
        </w:rPr>
      </w:pPr>
      <w:r w:rsidRPr="001E03FB">
        <w:rPr>
          <w:rFonts w:ascii="Times New Roman" w:hAnsi="Times New Roman" w:cs="Times New Roman"/>
          <w:b/>
        </w:rPr>
        <w:t>Table 4.12. Controlled country-year coverage by estimation sample.</w:t>
      </w:r>
    </w:p>
    <w:tbl>
      <w:tblPr>
        <w:tblStyle w:val="GridTable4-Accent1"/>
        <w:tblW w:w="0" w:type="auto"/>
        <w:tblLook w:val="04A0" w:firstRow="1" w:lastRow="0" w:firstColumn="1" w:lastColumn="0" w:noHBand="0" w:noVBand="1"/>
      </w:tblPr>
      <w:tblGrid>
        <w:gridCol w:w="1141"/>
        <w:gridCol w:w="1231"/>
        <w:gridCol w:w="1165"/>
        <w:gridCol w:w="1463"/>
        <w:gridCol w:w="1068"/>
        <w:gridCol w:w="1060"/>
        <w:gridCol w:w="1055"/>
        <w:gridCol w:w="1167"/>
      </w:tblGrid>
      <w:tr w:rsidR="001E03FB" w:rsidRPr="001E03FB" w14:paraId="167CA379" w14:textId="77777777" w:rsidTr="00B751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1" w:type="dxa"/>
          </w:tcPr>
          <w:p w14:paraId="732DBB45" w14:textId="77777777" w:rsidR="001E03FB" w:rsidRPr="001E03FB" w:rsidRDefault="001E03FB" w:rsidP="00361008">
            <w:pPr>
              <w:jc w:val="center"/>
              <w:rPr>
                <w:rFonts w:ascii="Times New Roman" w:hAnsi="Times New Roman" w:cs="Times New Roman"/>
                <w:sz w:val="22"/>
                <w:szCs w:val="22"/>
              </w:rPr>
            </w:pPr>
            <w:r w:rsidRPr="001E03FB">
              <w:rPr>
                <w:rFonts w:ascii="Times New Roman" w:hAnsi="Times New Roman" w:cs="Times New Roman"/>
                <w:sz w:val="22"/>
                <w:szCs w:val="22"/>
              </w:rPr>
              <w:t>Sample</w:t>
            </w:r>
          </w:p>
        </w:tc>
        <w:tc>
          <w:tcPr>
            <w:tcW w:w="1231" w:type="dxa"/>
          </w:tcPr>
          <w:p w14:paraId="3C763363"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Dependent variable support</w:t>
            </w:r>
          </w:p>
        </w:tc>
        <w:tc>
          <w:tcPr>
            <w:tcW w:w="1165" w:type="dxa"/>
          </w:tcPr>
          <w:p w14:paraId="1D9E3768"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Countries</w:t>
            </w:r>
          </w:p>
        </w:tc>
        <w:tc>
          <w:tcPr>
            <w:tcW w:w="1463" w:type="dxa"/>
          </w:tcPr>
          <w:p w14:paraId="59C04D79"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Observations</w:t>
            </w:r>
          </w:p>
        </w:tc>
        <w:tc>
          <w:tcPr>
            <w:tcW w:w="1068" w:type="dxa"/>
          </w:tcPr>
          <w:p w14:paraId="4168F9BE"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Start</w:t>
            </w:r>
          </w:p>
        </w:tc>
        <w:tc>
          <w:tcPr>
            <w:tcW w:w="1060" w:type="dxa"/>
          </w:tcPr>
          <w:p w14:paraId="7341BF3E"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End</w:t>
            </w:r>
          </w:p>
        </w:tc>
        <w:tc>
          <w:tcPr>
            <w:tcW w:w="1055" w:type="dxa"/>
          </w:tcPr>
          <w:p w14:paraId="3C52A9D4"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Avg. T</w:t>
            </w:r>
          </w:p>
        </w:tc>
        <w:tc>
          <w:tcPr>
            <w:tcW w:w="1167" w:type="dxa"/>
          </w:tcPr>
          <w:p w14:paraId="4A4A110B"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Primary use</w:t>
            </w:r>
          </w:p>
        </w:tc>
      </w:tr>
      <w:tr w:rsidR="001E03FB" w:rsidRPr="001E03FB" w14:paraId="644941F1" w14:textId="77777777" w:rsidTr="00B75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1" w:type="dxa"/>
          </w:tcPr>
          <w:p w14:paraId="46980F94" w14:textId="77777777" w:rsidR="001E03FB" w:rsidRPr="001E03FB" w:rsidRDefault="001E03FB" w:rsidP="00361008">
            <w:pPr>
              <w:rPr>
                <w:rFonts w:ascii="Times New Roman" w:hAnsi="Times New Roman" w:cs="Times New Roman"/>
                <w:sz w:val="22"/>
                <w:szCs w:val="22"/>
              </w:rPr>
            </w:pPr>
            <w:r w:rsidRPr="001E03FB">
              <w:rPr>
                <w:rFonts w:ascii="Times New Roman" w:hAnsi="Times New Roman" w:cs="Times New Roman"/>
                <w:sz w:val="22"/>
                <w:szCs w:val="22"/>
              </w:rPr>
              <w:t>GARCH + Bank Z-score + controls</w:t>
            </w:r>
          </w:p>
        </w:tc>
        <w:tc>
          <w:tcPr>
            <w:tcW w:w="1231" w:type="dxa"/>
          </w:tcPr>
          <w:p w14:paraId="529A8A90"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Bank Z-score</w:t>
            </w:r>
          </w:p>
        </w:tc>
        <w:tc>
          <w:tcPr>
            <w:tcW w:w="1165" w:type="dxa"/>
          </w:tcPr>
          <w:p w14:paraId="0DC2A270"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35</w:t>
            </w:r>
          </w:p>
        </w:tc>
        <w:tc>
          <w:tcPr>
            <w:tcW w:w="1463" w:type="dxa"/>
          </w:tcPr>
          <w:p w14:paraId="7EDE5A48"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576</w:t>
            </w:r>
          </w:p>
        </w:tc>
        <w:tc>
          <w:tcPr>
            <w:tcW w:w="1068" w:type="dxa"/>
          </w:tcPr>
          <w:p w14:paraId="333A73D1"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2000</w:t>
            </w:r>
          </w:p>
        </w:tc>
        <w:tc>
          <w:tcPr>
            <w:tcW w:w="1060" w:type="dxa"/>
          </w:tcPr>
          <w:p w14:paraId="6479F5E9"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2021</w:t>
            </w:r>
          </w:p>
        </w:tc>
        <w:tc>
          <w:tcPr>
            <w:tcW w:w="1055" w:type="dxa"/>
          </w:tcPr>
          <w:p w14:paraId="35DBD572"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16.5</w:t>
            </w:r>
          </w:p>
        </w:tc>
        <w:tc>
          <w:tcPr>
            <w:tcW w:w="1167" w:type="dxa"/>
          </w:tcPr>
          <w:p w14:paraId="4D983C2C"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Controlled estimation sample</w:t>
            </w:r>
          </w:p>
        </w:tc>
      </w:tr>
      <w:tr w:rsidR="001E03FB" w:rsidRPr="001E03FB" w14:paraId="5820BADA" w14:textId="77777777" w:rsidTr="00B751B1">
        <w:tc>
          <w:tcPr>
            <w:cnfStyle w:val="001000000000" w:firstRow="0" w:lastRow="0" w:firstColumn="1" w:lastColumn="0" w:oddVBand="0" w:evenVBand="0" w:oddHBand="0" w:evenHBand="0" w:firstRowFirstColumn="0" w:firstRowLastColumn="0" w:lastRowFirstColumn="0" w:lastRowLastColumn="0"/>
            <w:tcW w:w="1141" w:type="dxa"/>
          </w:tcPr>
          <w:p w14:paraId="6973B236" w14:textId="77777777" w:rsidR="001E03FB" w:rsidRPr="001E03FB" w:rsidRDefault="001E03FB" w:rsidP="00361008">
            <w:pPr>
              <w:rPr>
                <w:rFonts w:ascii="Times New Roman" w:hAnsi="Times New Roman" w:cs="Times New Roman"/>
                <w:sz w:val="22"/>
                <w:szCs w:val="22"/>
              </w:rPr>
            </w:pPr>
            <w:r w:rsidRPr="001E03FB">
              <w:rPr>
                <w:rFonts w:ascii="Times New Roman" w:hAnsi="Times New Roman" w:cs="Times New Roman"/>
                <w:sz w:val="22"/>
                <w:szCs w:val="22"/>
              </w:rPr>
              <w:t>GARCH + NPL + controls</w:t>
            </w:r>
          </w:p>
        </w:tc>
        <w:tc>
          <w:tcPr>
            <w:tcW w:w="1231" w:type="dxa"/>
          </w:tcPr>
          <w:p w14:paraId="16889E88"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NPL ratio</w:t>
            </w:r>
          </w:p>
        </w:tc>
        <w:tc>
          <w:tcPr>
            <w:tcW w:w="1165" w:type="dxa"/>
          </w:tcPr>
          <w:p w14:paraId="123683E0"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24</w:t>
            </w:r>
          </w:p>
        </w:tc>
        <w:tc>
          <w:tcPr>
            <w:tcW w:w="1463" w:type="dxa"/>
          </w:tcPr>
          <w:p w14:paraId="506DF241"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307</w:t>
            </w:r>
          </w:p>
        </w:tc>
        <w:tc>
          <w:tcPr>
            <w:tcW w:w="1068" w:type="dxa"/>
          </w:tcPr>
          <w:p w14:paraId="24F38533"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2005</w:t>
            </w:r>
          </w:p>
        </w:tc>
        <w:tc>
          <w:tcPr>
            <w:tcW w:w="1060" w:type="dxa"/>
          </w:tcPr>
          <w:p w14:paraId="2D49CA59"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2023</w:t>
            </w:r>
          </w:p>
        </w:tc>
        <w:tc>
          <w:tcPr>
            <w:tcW w:w="1055" w:type="dxa"/>
          </w:tcPr>
          <w:p w14:paraId="02E4837D"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12.8</w:t>
            </w:r>
          </w:p>
        </w:tc>
        <w:tc>
          <w:tcPr>
            <w:tcW w:w="1167" w:type="dxa"/>
          </w:tcPr>
          <w:p w14:paraId="13950D02"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Controlled estimation sample</w:t>
            </w:r>
          </w:p>
        </w:tc>
      </w:tr>
      <w:tr w:rsidR="001E03FB" w:rsidRPr="001E03FB" w14:paraId="56C329A3" w14:textId="77777777" w:rsidTr="00B75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1" w:type="dxa"/>
          </w:tcPr>
          <w:p w14:paraId="7AAD25B8" w14:textId="77777777" w:rsidR="001E03FB" w:rsidRPr="001E03FB" w:rsidRDefault="001E03FB" w:rsidP="00361008">
            <w:pPr>
              <w:rPr>
                <w:rFonts w:ascii="Times New Roman" w:hAnsi="Times New Roman" w:cs="Times New Roman"/>
                <w:sz w:val="22"/>
                <w:szCs w:val="22"/>
              </w:rPr>
            </w:pPr>
            <w:r w:rsidRPr="001E03FB">
              <w:rPr>
                <w:rFonts w:ascii="Times New Roman" w:hAnsi="Times New Roman" w:cs="Times New Roman"/>
                <w:sz w:val="22"/>
                <w:szCs w:val="22"/>
              </w:rPr>
              <w:t>GARCH + Z-score + NPL + controls</w:t>
            </w:r>
          </w:p>
        </w:tc>
        <w:tc>
          <w:tcPr>
            <w:tcW w:w="1231" w:type="dxa"/>
          </w:tcPr>
          <w:p w14:paraId="5F8CEC98"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Both banking indicators</w:t>
            </w:r>
          </w:p>
        </w:tc>
        <w:tc>
          <w:tcPr>
            <w:tcW w:w="1165" w:type="dxa"/>
          </w:tcPr>
          <w:p w14:paraId="3C5D5AA9"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23</w:t>
            </w:r>
          </w:p>
        </w:tc>
        <w:tc>
          <w:tcPr>
            <w:tcW w:w="1463" w:type="dxa"/>
          </w:tcPr>
          <w:p w14:paraId="646BDE42"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246</w:t>
            </w:r>
          </w:p>
        </w:tc>
        <w:tc>
          <w:tcPr>
            <w:tcW w:w="1068" w:type="dxa"/>
          </w:tcPr>
          <w:p w14:paraId="193A7427"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2005</w:t>
            </w:r>
          </w:p>
        </w:tc>
        <w:tc>
          <w:tcPr>
            <w:tcW w:w="1060" w:type="dxa"/>
          </w:tcPr>
          <w:p w14:paraId="7286BE67"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2021</w:t>
            </w:r>
          </w:p>
        </w:tc>
        <w:tc>
          <w:tcPr>
            <w:tcW w:w="1055" w:type="dxa"/>
          </w:tcPr>
          <w:p w14:paraId="36436523"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10.7</w:t>
            </w:r>
          </w:p>
        </w:tc>
        <w:tc>
          <w:tcPr>
            <w:tcW w:w="1167" w:type="dxa"/>
          </w:tcPr>
          <w:p w14:paraId="528BC2F6"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Controlled estimation sample</w:t>
            </w:r>
          </w:p>
        </w:tc>
      </w:tr>
    </w:tbl>
    <w:p w14:paraId="4BE414D8" w14:textId="77777777" w:rsidR="001E03FB" w:rsidRPr="001E03FB" w:rsidRDefault="001E03FB" w:rsidP="001E03FB">
      <w:pPr>
        <w:spacing w:after="120"/>
        <w:rPr>
          <w:rFonts w:ascii="Times New Roman" w:hAnsi="Times New Roman" w:cs="Times New Roman"/>
          <w:iCs/>
          <w:sz w:val="22"/>
          <w:szCs w:val="22"/>
        </w:rPr>
      </w:pPr>
      <w:r w:rsidRPr="001E03FB">
        <w:rPr>
          <w:rFonts w:ascii="Times New Roman" w:hAnsi="Times New Roman" w:cs="Times New Roman"/>
          <w:iCs/>
          <w:sz w:val="22"/>
          <w:szCs w:val="22"/>
        </w:rPr>
        <w:lastRenderedPageBreak/>
        <w:t>Note. The controlled samples require non-missing GARCH volatility, the relevant banking-stability variable, GDP growth, and real interest rate. Therefore, the number of observations is smaller than the original baseline sample.</w:t>
      </w:r>
    </w:p>
    <w:p w14:paraId="08008A2C" w14:textId="77777777" w:rsidR="001E03FB" w:rsidRPr="001E03FB" w:rsidRDefault="001E03FB" w:rsidP="001E03FB">
      <w:pPr>
        <w:keepNext/>
        <w:spacing w:before="100" w:after="60"/>
        <w:rPr>
          <w:rFonts w:ascii="Times New Roman" w:hAnsi="Times New Roman" w:cs="Times New Roman"/>
        </w:rPr>
      </w:pPr>
      <w:r w:rsidRPr="001E03FB">
        <w:rPr>
          <w:rFonts w:ascii="Times New Roman" w:hAnsi="Times New Roman" w:cs="Times New Roman"/>
          <w:b/>
        </w:rPr>
        <w:t>Table 4.13. Descriptive statistics for the controlled core sample.</w:t>
      </w:r>
    </w:p>
    <w:tbl>
      <w:tblPr>
        <w:tblStyle w:val="GridTable4-Accent1"/>
        <w:tblW w:w="0" w:type="auto"/>
        <w:tblLook w:val="04A0" w:firstRow="1" w:lastRow="0" w:firstColumn="1" w:lastColumn="0" w:noHBand="0" w:noVBand="1"/>
      </w:tblPr>
      <w:tblGrid>
        <w:gridCol w:w="1049"/>
        <w:gridCol w:w="1011"/>
        <w:gridCol w:w="1027"/>
        <w:gridCol w:w="1034"/>
        <w:gridCol w:w="1027"/>
        <w:gridCol w:w="1027"/>
        <w:gridCol w:w="1027"/>
        <w:gridCol w:w="1109"/>
        <w:gridCol w:w="1039"/>
      </w:tblGrid>
      <w:tr w:rsidR="001E03FB" w:rsidRPr="001E03FB" w14:paraId="3539A6BC" w14:textId="77777777" w:rsidTr="003610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0" w:type="dxa"/>
          </w:tcPr>
          <w:p w14:paraId="17C17C73" w14:textId="77777777" w:rsidR="001E03FB" w:rsidRPr="001E03FB" w:rsidRDefault="001E03FB" w:rsidP="00361008">
            <w:pPr>
              <w:jc w:val="center"/>
              <w:rPr>
                <w:rFonts w:ascii="Times New Roman" w:hAnsi="Times New Roman" w:cs="Times New Roman"/>
                <w:sz w:val="22"/>
                <w:szCs w:val="22"/>
              </w:rPr>
            </w:pPr>
            <w:r w:rsidRPr="001E03FB">
              <w:rPr>
                <w:rFonts w:ascii="Times New Roman" w:hAnsi="Times New Roman" w:cs="Times New Roman"/>
                <w:sz w:val="22"/>
                <w:szCs w:val="22"/>
              </w:rPr>
              <w:t>Variable</w:t>
            </w:r>
          </w:p>
        </w:tc>
        <w:tc>
          <w:tcPr>
            <w:tcW w:w="1040" w:type="dxa"/>
          </w:tcPr>
          <w:p w14:paraId="74CFFFAC"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N</w:t>
            </w:r>
          </w:p>
        </w:tc>
        <w:tc>
          <w:tcPr>
            <w:tcW w:w="1040" w:type="dxa"/>
          </w:tcPr>
          <w:p w14:paraId="6A9056A7"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Mean</w:t>
            </w:r>
          </w:p>
        </w:tc>
        <w:tc>
          <w:tcPr>
            <w:tcW w:w="1040" w:type="dxa"/>
          </w:tcPr>
          <w:p w14:paraId="3E593789"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Median</w:t>
            </w:r>
          </w:p>
        </w:tc>
        <w:tc>
          <w:tcPr>
            <w:tcW w:w="1040" w:type="dxa"/>
          </w:tcPr>
          <w:p w14:paraId="7FB447B3"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SD</w:t>
            </w:r>
          </w:p>
        </w:tc>
        <w:tc>
          <w:tcPr>
            <w:tcW w:w="1040" w:type="dxa"/>
          </w:tcPr>
          <w:p w14:paraId="422FA26D"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Min</w:t>
            </w:r>
          </w:p>
        </w:tc>
        <w:tc>
          <w:tcPr>
            <w:tcW w:w="1040" w:type="dxa"/>
          </w:tcPr>
          <w:p w14:paraId="387707F0"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Max</w:t>
            </w:r>
          </w:p>
        </w:tc>
        <w:tc>
          <w:tcPr>
            <w:tcW w:w="1040" w:type="dxa"/>
          </w:tcPr>
          <w:p w14:paraId="497861F2"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Skewness</w:t>
            </w:r>
          </w:p>
        </w:tc>
        <w:tc>
          <w:tcPr>
            <w:tcW w:w="1040" w:type="dxa"/>
          </w:tcPr>
          <w:p w14:paraId="2A526000"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Kurtosis</w:t>
            </w:r>
          </w:p>
        </w:tc>
      </w:tr>
      <w:tr w:rsidR="001E03FB" w:rsidRPr="001E03FB" w14:paraId="14A9FE5E" w14:textId="77777777" w:rsidTr="00361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0" w:type="dxa"/>
          </w:tcPr>
          <w:p w14:paraId="7FBE3FC0" w14:textId="77777777" w:rsidR="001E03FB" w:rsidRPr="001E03FB" w:rsidRDefault="001E03FB" w:rsidP="00361008">
            <w:pPr>
              <w:rPr>
                <w:rFonts w:ascii="Times New Roman" w:hAnsi="Times New Roman" w:cs="Times New Roman"/>
                <w:sz w:val="22"/>
                <w:szCs w:val="22"/>
              </w:rPr>
            </w:pPr>
            <w:r w:rsidRPr="001E03FB">
              <w:rPr>
                <w:rFonts w:ascii="Times New Roman" w:hAnsi="Times New Roman" w:cs="Times New Roman"/>
                <w:sz w:val="22"/>
                <w:szCs w:val="22"/>
              </w:rPr>
              <w:t>GARCH volatility</w:t>
            </w:r>
          </w:p>
        </w:tc>
        <w:tc>
          <w:tcPr>
            <w:tcW w:w="1040" w:type="dxa"/>
          </w:tcPr>
          <w:p w14:paraId="40A0B790"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246</w:t>
            </w:r>
          </w:p>
        </w:tc>
        <w:tc>
          <w:tcPr>
            <w:tcW w:w="1040" w:type="dxa"/>
          </w:tcPr>
          <w:p w14:paraId="70AEF13E"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8.117</w:t>
            </w:r>
          </w:p>
        </w:tc>
        <w:tc>
          <w:tcPr>
            <w:tcW w:w="1040" w:type="dxa"/>
          </w:tcPr>
          <w:p w14:paraId="0269C0E0"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5.763</w:t>
            </w:r>
          </w:p>
        </w:tc>
        <w:tc>
          <w:tcPr>
            <w:tcW w:w="1040" w:type="dxa"/>
          </w:tcPr>
          <w:p w14:paraId="2E1913D6"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7.152</w:t>
            </w:r>
          </w:p>
        </w:tc>
        <w:tc>
          <w:tcPr>
            <w:tcW w:w="1040" w:type="dxa"/>
          </w:tcPr>
          <w:p w14:paraId="131AD702"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2.111</w:t>
            </w:r>
          </w:p>
        </w:tc>
        <w:tc>
          <w:tcPr>
            <w:tcW w:w="1040" w:type="dxa"/>
          </w:tcPr>
          <w:p w14:paraId="07B71F2D"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65.062</w:t>
            </w:r>
          </w:p>
        </w:tc>
        <w:tc>
          <w:tcPr>
            <w:tcW w:w="1040" w:type="dxa"/>
          </w:tcPr>
          <w:p w14:paraId="1733C4B6"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4.001</w:t>
            </w:r>
          </w:p>
        </w:tc>
        <w:tc>
          <w:tcPr>
            <w:tcW w:w="1040" w:type="dxa"/>
          </w:tcPr>
          <w:p w14:paraId="380E38E8"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24.728</w:t>
            </w:r>
          </w:p>
        </w:tc>
      </w:tr>
      <w:tr w:rsidR="001E03FB" w:rsidRPr="001E03FB" w14:paraId="4E70E93A" w14:textId="77777777" w:rsidTr="00361008">
        <w:tc>
          <w:tcPr>
            <w:cnfStyle w:val="001000000000" w:firstRow="0" w:lastRow="0" w:firstColumn="1" w:lastColumn="0" w:oddVBand="0" w:evenVBand="0" w:oddHBand="0" w:evenHBand="0" w:firstRowFirstColumn="0" w:firstRowLastColumn="0" w:lastRowFirstColumn="0" w:lastRowLastColumn="0"/>
            <w:tcW w:w="1040" w:type="dxa"/>
          </w:tcPr>
          <w:p w14:paraId="589006B5" w14:textId="77777777" w:rsidR="001E03FB" w:rsidRPr="001E03FB" w:rsidRDefault="001E03FB" w:rsidP="00361008">
            <w:pPr>
              <w:rPr>
                <w:rFonts w:ascii="Times New Roman" w:hAnsi="Times New Roman" w:cs="Times New Roman"/>
                <w:sz w:val="22"/>
                <w:szCs w:val="22"/>
              </w:rPr>
            </w:pPr>
            <w:r w:rsidRPr="001E03FB">
              <w:rPr>
                <w:rFonts w:ascii="Times New Roman" w:hAnsi="Times New Roman" w:cs="Times New Roman"/>
                <w:sz w:val="22"/>
                <w:szCs w:val="22"/>
              </w:rPr>
              <w:t>Bank Z-score</w:t>
            </w:r>
          </w:p>
        </w:tc>
        <w:tc>
          <w:tcPr>
            <w:tcW w:w="1040" w:type="dxa"/>
          </w:tcPr>
          <w:p w14:paraId="285E2E30"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246</w:t>
            </w:r>
          </w:p>
        </w:tc>
        <w:tc>
          <w:tcPr>
            <w:tcW w:w="1040" w:type="dxa"/>
          </w:tcPr>
          <w:p w14:paraId="401EB883"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16.502</w:t>
            </w:r>
          </w:p>
        </w:tc>
        <w:tc>
          <w:tcPr>
            <w:tcW w:w="1040" w:type="dxa"/>
          </w:tcPr>
          <w:p w14:paraId="75994198"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15.999</w:t>
            </w:r>
          </w:p>
        </w:tc>
        <w:tc>
          <w:tcPr>
            <w:tcW w:w="1040" w:type="dxa"/>
          </w:tcPr>
          <w:p w14:paraId="1376536A"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6.116</w:t>
            </w:r>
          </w:p>
        </w:tc>
        <w:tc>
          <w:tcPr>
            <w:tcW w:w="1040" w:type="dxa"/>
          </w:tcPr>
          <w:p w14:paraId="3D6AD243"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5.233</w:t>
            </w:r>
          </w:p>
        </w:tc>
        <w:tc>
          <w:tcPr>
            <w:tcW w:w="1040" w:type="dxa"/>
          </w:tcPr>
          <w:p w14:paraId="46113C7D"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38.628</w:t>
            </w:r>
          </w:p>
        </w:tc>
        <w:tc>
          <w:tcPr>
            <w:tcW w:w="1040" w:type="dxa"/>
          </w:tcPr>
          <w:p w14:paraId="1E4A73AF"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1.041</w:t>
            </w:r>
          </w:p>
        </w:tc>
        <w:tc>
          <w:tcPr>
            <w:tcW w:w="1040" w:type="dxa"/>
          </w:tcPr>
          <w:p w14:paraId="2944C61C"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2.276</w:t>
            </w:r>
          </w:p>
        </w:tc>
      </w:tr>
      <w:tr w:rsidR="001E03FB" w:rsidRPr="001E03FB" w14:paraId="588B1099" w14:textId="77777777" w:rsidTr="00361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0" w:type="dxa"/>
          </w:tcPr>
          <w:p w14:paraId="5CB033BB" w14:textId="77777777" w:rsidR="001E03FB" w:rsidRPr="001E03FB" w:rsidRDefault="001E03FB" w:rsidP="00361008">
            <w:pPr>
              <w:rPr>
                <w:rFonts w:ascii="Times New Roman" w:hAnsi="Times New Roman" w:cs="Times New Roman"/>
                <w:sz w:val="22"/>
                <w:szCs w:val="22"/>
              </w:rPr>
            </w:pPr>
            <w:r w:rsidRPr="001E03FB">
              <w:rPr>
                <w:rFonts w:ascii="Times New Roman" w:hAnsi="Times New Roman" w:cs="Times New Roman"/>
                <w:sz w:val="22"/>
                <w:szCs w:val="22"/>
              </w:rPr>
              <w:t>NPL ratio</w:t>
            </w:r>
          </w:p>
        </w:tc>
        <w:tc>
          <w:tcPr>
            <w:tcW w:w="1040" w:type="dxa"/>
          </w:tcPr>
          <w:p w14:paraId="6EBD68B8"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246</w:t>
            </w:r>
          </w:p>
        </w:tc>
        <w:tc>
          <w:tcPr>
            <w:tcW w:w="1040" w:type="dxa"/>
          </w:tcPr>
          <w:p w14:paraId="7367483C"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7.545</w:t>
            </w:r>
          </w:p>
        </w:tc>
        <w:tc>
          <w:tcPr>
            <w:tcW w:w="1040" w:type="dxa"/>
          </w:tcPr>
          <w:p w14:paraId="5C4B2D7E"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7.130</w:t>
            </w:r>
          </w:p>
        </w:tc>
        <w:tc>
          <w:tcPr>
            <w:tcW w:w="1040" w:type="dxa"/>
          </w:tcPr>
          <w:p w14:paraId="4B1D12D0"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3.770</w:t>
            </w:r>
          </w:p>
        </w:tc>
        <w:tc>
          <w:tcPr>
            <w:tcW w:w="1040" w:type="dxa"/>
          </w:tcPr>
          <w:p w14:paraId="35679FD0"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1.507</w:t>
            </w:r>
          </w:p>
        </w:tc>
        <w:tc>
          <w:tcPr>
            <w:tcW w:w="1040" w:type="dxa"/>
          </w:tcPr>
          <w:p w14:paraId="636AB7C4"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27.198</w:t>
            </w:r>
          </w:p>
        </w:tc>
        <w:tc>
          <w:tcPr>
            <w:tcW w:w="1040" w:type="dxa"/>
          </w:tcPr>
          <w:p w14:paraId="1018C5CE"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1.265</w:t>
            </w:r>
          </w:p>
        </w:tc>
        <w:tc>
          <w:tcPr>
            <w:tcW w:w="1040" w:type="dxa"/>
          </w:tcPr>
          <w:p w14:paraId="21691D05"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3.413</w:t>
            </w:r>
          </w:p>
        </w:tc>
      </w:tr>
      <w:tr w:rsidR="001E03FB" w:rsidRPr="001E03FB" w14:paraId="04032F57" w14:textId="77777777" w:rsidTr="00361008">
        <w:tc>
          <w:tcPr>
            <w:cnfStyle w:val="001000000000" w:firstRow="0" w:lastRow="0" w:firstColumn="1" w:lastColumn="0" w:oddVBand="0" w:evenVBand="0" w:oddHBand="0" w:evenHBand="0" w:firstRowFirstColumn="0" w:firstRowLastColumn="0" w:lastRowFirstColumn="0" w:lastRowLastColumn="0"/>
            <w:tcW w:w="1040" w:type="dxa"/>
          </w:tcPr>
          <w:p w14:paraId="6A0897DE" w14:textId="77777777" w:rsidR="001E03FB" w:rsidRPr="001E03FB" w:rsidRDefault="001E03FB" w:rsidP="00361008">
            <w:pPr>
              <w:rPr>
                <w:rFonts w:ascii="Times New Roman" w:hAnsi="Times New Roman" w:cs="Times New Roman"/>
                <w:sz w:val="22"/>
                <w:szCs w:val="22"/>
              </w:rPr>
            </w:pPr>
            <w:r w:rsidRPr="001E03FB">
              <w:rPr>
                <w:rFonts w:ascii="Times New Roman" w:hAnsi="Times New Roman" w:cs="Times New Roman"/>
                <w:sz w:val="22"/>
                <w:szCs w:val="22"/>
              </w:rPr>
              <w:t>GDP growth</w:t>
            </w:r>
          </w:p>
        </w:tc>
        <w:tc>
          <w:tcPr>
            <w:tcW w:w="1040" w:type="dxa"/>
          </w:tcPr>
          <w:p w14:paraId="66B71B21"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246</w:t>
            </w:r>
          </w:p>
        </w:tc>
        <w:tc>
          <w:tcPr>
            <w:tcW w:w="1040" w:type="dxa"/>
          </w:tcPr>
          <w:p w14:paraId="1998A804"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4.044</w:t>
            </w:r>
          </w:p>
        </w:tc>
        <w:tc>
          <w:tcPr>
            <w:tcW w:w="1040" w:type="dxa"/>
          </w:tcPr>
          <w:p w14:paraId="107271EE"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4.394</w:t>
            </w:r>
          </w:p>
        </w:tc>
        <w:tc>
          <w:tcPr>
            <w:tcW w:w="1040" w:type="dxa"/>
          </w:tcPr>
          <w:p w14:paraId="11896E16"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4.405</w:t>
            </w:r>
          </w:p>
        </w:tc>
        <w:tc>
          <w:tcPr>
            <w:tcW w:w="1040" w:type="dxa"/>
          </w:tcPr>
          <w:p w14:paraId="6051056D"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-32.909</w:t>
            </w:r>
          </w:p>
        </w:tc>
        <w:tc>
          <w:tcPr>
            <w:tcW w:w="1040" w:type="dxa"/>
          </w:tcPr>
          <w:p w14:paraId="1F4A12B9"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12.118</w:t>
            </w:r>
          </w:p>
        </w:tc>
        <w:tc>
          <w:tcPr>
            <w:tcW w:w="1040" w:type="dxa"/>
          </w:tcPr>
          <w:p w14:paraId="77BCFACD"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-3.265</w:t>
            </w:r>
          </w:p>
        </w:tc>
        <w:tc>
          <w:tcPr>
            <w:tcW w:w="1040" w:type="dxa"/>
          </w:tcPr>
          <w:p w14:paraId="27EE8223"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21.547</w:t>
            </w:r>
          </w:p>
        </w:tc>
      </w:tr>
      <w:tr w:rsidR="001E03FB" w:rsidRPr="001E03FB" w14:paraId="376A6823" w14:textId="77777777" w:rsidTr="00361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0" w:type="dxa"/>
          </w:tcPr>
          <w:p w14:paraId="093BE00B" w14:textId="77777777" w:rsidR="001E03FB" w:rsidRPr="001E03FB" w:rsidRDefault="001E03FB" w:rsidP="00361008">
            <w:pPr>
              <w:rPr>
                <w:rFonts w:ascii="Times New Roman" w:hAnsi="Times New Roman" w:cs="Times New Roman"/>
                <w:sz w:val="22"/>
                <w:szCs w:val="22"/>
              </w:rPr>
            </w:pPr>
            <w:r w:rsidRPr="001E03FB">
              <w:rPr>
                <w:rFonts w:ascii="Times New Roman" w:hAnsi="Times New Roman" w:cs="Times New Roman"/>
                <w:sz w:val="22"/>
                <w:szCs w:val="22"/>
              </w:rPr>
              <w:t>Real interest rate</w:t>
            </w:r>
          </w:p>
        </w:tc>
        <w:tc>
          <w:tcPr>
            <w:tcW w:w="1040" w:type="dxa"/>
          </w:tcPr>
          <w:p w14:paraId="590ECBC1"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246</w:t>
            </w:r>
          </w:p>
        </w:tc>
        <w:tc>
          <w:tcPr>
            <w:tcW w:w="1040" w:type="dxa"/>
          </w:tcPr>
          <w:p w14:paraId="27AB8913"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9.793</w:t>
            </w:r>
          </w:p>
        </w:tc>
        <w:tc>
          <w:tcPr>
            <w:tcW w:w="1040" w:type="dxa"/>
          </w:tcPr>
          <w:p w14:paraId="7AB66F32"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7.002</w:t>
            </w:r>
          </w:p>
        </w:tc>
        <w:tc>
          <w:tcPr>
            <w:tcW w:w="1040" w:type="dxa"/>
          </w:tcPr>
          <w:p w14:paraId="43D4D470"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10.759</w:t>
            </w:r>
          </w:p>
        </w:tc>
        <w:tc>
          <w:tcPr>
            <w:tcW w:w="1040" w:type="dxa"/>
          </w:tcPr>
          <w:p w14:paraId="56E6AF84"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-34.743</w:t>
            </w:r>
          </w:p>
        </w:tc>
        <w:tc>
          <w:tcPr>
            <w:tcW w:w="1040" w:type="dxa"/>
          </w:tcPr>
          <w:p w14:paraId="6AE84B32"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52.437</w:t>
            </w:r>
          </w:p>
        </w:tc>
        <w:tc>
          <w:tcPr>
            <w:tcW w:w="1040" w:type="dxa"/>
          </w:tcPr>
          <w:p w14:paraId="6C999ABF"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1.423</w:t>
            </w:r>
          </w:p>
        </w:tc>
        <w:tc>
          <w:tcPr>
            <w:tcW w:w="1040" w:type="dxa"/>
          </w:tcPr>
          <w:p w14:paraId="5BD28CA4"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4.921</w:t>
            </w:r>
          </w:p>
        </w:tc>
      </w:tr>
    </w:tbl>
    <w:p w14:paraId="0829EA86" w14:textId="77777777" w:rsidR="001E03FB" w:rsidRPr="001E03FB" w:rsidRDefault="001E03FB" w:rsidP="001E03FB">
      <w:pPr>
        <w:spacing w:after="120"/>
        <w:rPr>
          <w:rFonts w:ascii="Times New Roman" w:hAnsi="Times New Roman" w:cs="Times New Roman"/>
          <w:iCs/>
          <w:sz w:val="22"/>
          <w:szCs w:val="22"/>
        </w:rPr>
      </w:pPr>
      <w:r w:rsidRPr="001E03FB">
        <w:rPr>
          <w:rFonts w:ascii="Times New Roman" w:hAnsi="Times New Roman" w:cs="Times New Roman"/>
          <w:iCs/>
          <w:sz w:val="22"/>
          <w:szCs w:val="22"/>
        </w:rPr>
        <w:t>Note. The controlled core sample contains the country-year observations where GARCH volatility, Bank Z-score, NPL ratio, GDP growth, and real interest rate are jointly available.</w:t>
      </w:r>
    </w:p>
    <w:p w14:paraId="4B16C80F" w14:textId="243E18B7" w:rsidR="001E03FB" w:rsidRPr="001E03FB" w:rsidRDefault="001E03FB" w:rsidP="001E03FB">
      <w:pPr>
        <w:keepNext/>
        <w:spacing w:before="100" w:after="60"/>
        <w:rPr>
          <w:rFonts w:ascii="Times New Roman" w:hAnsi="Times New Roman" w:cs="Times New Roman"/>
          <w:sz w:val="22"/>
          <w:szCs w:val="22"/>
        </w:rPr>
      </w:pPr>
      <w:r w:rsidRPr="001E03FB">
        <w:rPr>
          <w:rFonts w:ascii="Times New Roman" w:hAnsi="Times New Roman" w:cs="Times New Roman"/>
          <w:sz w:val="22"/>
          <w:szCs w:val="22"/>
        </w:rPr>
        <w:t>Figure 4.</w:t>
      </w:r>
      <w:r>
        <w:rPr>
          <w:rFonts w:ascii="Times New Roman" w:hAnsi="Times New Roman" w:cs="Times New Roman"/>
          <w:sz w:val="22"/>
          <w:szCs w:val="22"/>
        </w:rPr>
        <w:t>5</w:t>
      </w:r>
      <w:r w:rsidRPr="001E03FB">
        <w:rPr>
          <w:rFonts w:ascii="Times New Roman" w:hAnsi="Times New Roman" w:cs="Times New Roman"/>
          <w:sz w:val="22"/>
          <w:szCs w:val="22"/>
        </w:rPr>
        <w:t>. GDP growth and real interest rate in the controlled core sample.</w:t>
      </w:r>
    </w:p>
    <w:p w14:paraId="4405B5D3" w14:textId="77777777" w:rsidR="001E03FB" w:rsidRPr="001E03FB" w:rsidRDefault="001E03FB" w:rsidP="001E03FB">
      <w:pPr>
        <w:spacing w:after="60"/>
        <w:jc w:val="center"/>
        <w:rPr>
          <w:rFonts w:ascii="Times New Roman" w:hAnsi="Times New Roman" w:cs="Times New Roman"/>
          <w:sz w:val="22"/>
          <w:szCs w:val="22"/>
        </w:rPr>
      </w:pPr>
      <w:r w:rsidRPr="001E03FB">
        <w:rPr>
          <w:rFonts w:ascii="Times New Roman" w:hAnsi="Times New Roman" w:cs="Times New Roman"/>
          <w:noProof/>
          <w:sz w:val="22"/>
          <w:szCs w:val="22"/>
        </w:rPr>
        <w:drawing>
          <wp:inline distT="0" distB="0" distL="0" distR="0" wp14:anchorId="6463BE64" wp14:editId="618BE695">
            <wp:extent cx="5303520" cy="2930616"/>
            <wp:effectExtent l="0" t="0" r="0" b="0"/>
            <wp:docPr id="2012711064" name="Picture 201271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4_8_controls_time_trend.png"/>
                    <pic:cNvPicPr/>
                  </pic:nvPicPr>
                  <pic:blipFill>
                    <a:blip r:embed="rId17"/>
                    <a:stretch>
                      <a:fillRect/>
                    </a:stretch>
                  </pic:blipFill>
                  <pic:spPr>
                    <a:xfrm>
                      <a:off x="0" y="0"/>
                      <a:ext cx="5303520" cy="2930616"/>
                    </a:xfrm>
                    <a:prstGeom prst="rect">
                      <a:avLst/>
                    </a:prstGeom>
                  </pic:spPr>
                </pic:pic>
              </a:graphicData>
            </a:graphic>
          </wp:inline>
        </w:drawing>
      </w:r>
    </w:p>
    <w:p w14:paraId="2A1D3958" w14:textId="77777777" w:rsidR="001E03FB" w:rsidRPr="001E03FB" w:rsidRDefault="001E03FB" w:rsidP="001E03FB">
      <w:pPr>
        <w:spacing w:after="120"/>
        <w:rPr>
          <w:rFonts w:ascii="Times New Roman" w:hAnsi="Times New Roman" w:cs="Times New Roman"/>
          <w:iCs/>
          <w:sz w:val="22"/>
          <w:szCs w:val="22"/>
        </w:rPr>
      </w:pPr>
      <w:r w:rsidRPr="001E03FB">
        <w:rPr>
          <w:rFonts w:ascii="Times New Roman" w:hAnsi="Times New Roman" w:cs="Times New Roman"/>
          <w:iCs/>
          <w:sz w:val="22"/>
          <w:szCs w:val="22"/>
        </w:rPr>
        <w:t>Note. The figure reports annual averages from the controlled core sample. Both control variables are expressed in percent.</w:t>
      </w:r>
    </w:p>
    <w:p w14:paraId="3E2DA8B4" w14:textId="77777777" w:rsidR="001E03FB" w:rsidRPr="001E03FB" w:rsidRDefault="001E03FB" w:rsidP="001E03FB">
      <w:pPr>
        <w:keepNext/>
        <w:spacing w:before="100" w:after="60"/>
        <w:rPr>
          <w:rFonts w:ascii="Times New Roman" w:hAnsi="Times New Roman" w:cs="Times New Roman"/>
        </w:rPr>
      </w:pPr>
      <w:r w:rsidRPr="001E03FB">
        <w:rPr>
          <w:rFonts w:ascii="Times New Roman" w:hAnsi="Times New Roman" w:cs="Times New Roman"/>
          <w:b/>
        </w:rPr>
        <w:t>Table 4.14. Correlation matrix with GDP growth and real interest rate.</w:t>
      </w:r>
    </w:p>
    <w:tbl>
      <w:tblPr>
        <w:tblStyle w:val="GridTable4-Accent1"/>
        <w:tblW w:w="0" w:type="auto"/>
        <w:tblLook w:val="04A0" w:firstRow="1" w:lastRow="0" w:firstColumn="1" w:lastColumn="0" w:noHBand="0" w:noVBand="1"/>
      </w:tblPr>
      <w:tblGrid>
        <w:gridCol w:w="1559"/>
        <w:gridCol w:w="1559"/>
        <w:gridCol w:w="1558"/>
        <w:gridCol w:w="1558"/>
        <w:gridCol w:w="1558"/>
        <w:gridCol w:w="1558"/>
      </w:tblGrid>
      <w:tr w:rsidR="001E03FB" w:rsidRPr="001E03FB" w14:paraId="0AD0F398" w14:textId="77777777" w:rsidTr="003610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78ADE305" w14:textId="77777777" w:rsidR="001E03FB" w:rsidRPr="001E03FB" w:rsidRDefault="001E03FB" w:rsidP="00361008">
            <w:pPr>
              <w:jc w:val="center"/>
              <w:rPr>
                <w:rFonts w:ascii="Times New Roman" w:hAnsi="Times New Roman" w:cs="Times New Roman"/>
                <w:sz w:val="22"/>
                <w:szCs w:val="22"/>
              </w:rPr>
            </w:pPr>
            <w:r w:rsidRPr="001E03FB">
              <w:rPr>
                <w:rFonts w:ascii="Times New Roman" w:hAnsi="Times New Roman" w:cs="Times New Roman"/>
                <w:sz w:val="22"/>
                <w:szCs w:val="22"/>
              </w:rPr>
              <w:t>Variable</w:t>
            </w:r>
          </w:p>
        </w:tc>
        <w:tc>
          <w:tcPr>
            <w:tcW w:w="1560" w:type="dxa"/>
          </w:tcPr>
          <w:p w14:paraId="41EB2AA8"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GARCH volatility</w:t>
            </w:r>
          </w:p>
        </w:tc>
        <w:tc>
          <w:tcPr>
            <w:tcW w:w="1560" w:type="dxa"/>
          </w:tcPr>
          <w:p w14:paraId="75D041F9"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Bank Z-score</w:t>
            </w:r>
          </w:p>
        </w:tc>
        <w:tc>
          <w:tcPr>
            <w:tcW w:w="1560" w:type="dxa"/>
          </w:tcPr>
          <w:p w14:paraId="517FF095"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NPL ratio</w:t>
            </w:r>
          </w:p>
        </w:tc>
        <w:tc>
          <w:tcPr>
            <w:tcW w:w="1560" w:type="dxa"/>
          </w:tcPr>
          <w:p w14:paraId="343D592C"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GDP growth</w:t>
            </w:r>
          </w:p>
        </w:tc>
        <w:tc>
          <w:tcPr>
            <w:tcW w:w="1560" w:type="dxa"/>
          </w:tcPr>
          <w:p w14:paraId="3092CD0B"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Real interest rate</w:t>
            </w:r>
          </w:p>
        </w:tc>
      </w:tr>
      <w:tr w:rsidR="001E03FB" w:rsidRPr="001E03FB" w14:paraId="64955858" w14:textId="77777777" w:rsidTr="00361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D1DC478" w14:textId="77777777" w:rsidR="001E03FB" w:rsidRPr="001E03FB" w:rsidRDefault="001E03FB" w:rsidP="00361008">
            <w:pPr>
              <w:rPr>
                <w:rFonts w:ascii="Times New Roman" w:hAnsi="Times New Roman" w:cs="Times New Roman"/>
                <w:sz w:val="22"/>
                <w:szCs w:val="22"/>
              </w:rPr>
            </w:pPr>
            <w:r w:rsidRPr="001E03FB">
              <w:rPr>
                <w:rFonts w:ascii="Times New Roman" w:hAnsi="Times New Roman" w:cs="Times New Roman"/>
                <w:sz w:val="22"/>
                <w:szCs w:val="22"/>
              </w:rPr>
              <w:t>GARCH volatility</w:t>
            </w:r>
          </w:p>
        </w:tc>
        <w:tc>
          <w:tcPr>
            <w:tcW w:w="1560" w:type="dxa"/>
          </w:tcPr>
          <w:p w14:paraId="4A06F68D"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1.000</w:t>
            </w:r>
          </w:p>
        </w:tc>
        <w:tc>
          <w:tcPr>
            <w:tcW w:w="1560" w:type="dxa"/>
          </w:tcPr>
          <w:p w14:paraId="082D5997"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-0.326</w:t>
            </w:r>
          </w:p>
        </w:tc>
        <w:tc>
          <w:tcPr>
            <w:tcW w:w="1560" w:type="dxa"/>
          </w:tcPr>
          <w:p w14:paraId="4ED2AB94"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-0.046</w:t>
            </w:r>
          </w:p>
        </w:tc>
        <w:tc>
          <w:tcPr>
            <w:tcW w:w="1560" w:type="dxa"/>
          </w:tcPr>
          <w:p w14:paraId="030D2FAD"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0.130</w:t>
            </w:r>
          </w:p>
        </w:tc>
        <w:tc>
          <w:tcPr>
            <w:tcW w:w="1560" w:type="dxa"/>
          </w:tcPr>
          <w:p w14:paraId="2BEAAA55"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0.013</w:t>
            </w:r>
          </w:p>
        </w:tc>
      </w:tr>
      <w:tr w:rsidR="001E03FB" w:rsidRPr="001E03FB" w14:paraId="27254B4E" w14:textId="77777777" w:rsidTr="00361008">
        <w:tc>
          <w:tcPr>
            <w:cnfStyle w:val="001000000000" w:firstRow="0" w:lastRow="0" w:firstColumn="1" w:lastColumn="0" w:oddVBand="0" w:evenVBand="0" w:oddHBand="0" w:evenHBand="0" w:firstRowFirstColumn="0" w:firstRowLastColumn="0" w:lastRowFirstColumn="0" w:lastRowLastColumn="0"/>
            <w:tcW w:w="1560" w:type="dxa"/>
          </w:tcPr>
          <w:p w14:paraId="506B142A" w14:textId="77777777" w:rsidR="001E03FB" w:rsidRPr="001E03FB" w:rsidRDefault="001E03FB" w:rsidP="00361008">
            <w:pPr>
              <w:rPr>
                <w:rFonts w:ascii="Times New Roman" w:hAnsi="Times New Roman" w:cs="Times New Roman"/>
                <w:sz w:val="22"/>
                <w:szCs w:val="22"/>
              </w:rPr>
            </w:pPr>
            <w:r w:rsidRPr="001E03FB">
              <w:rPr>
                <w:rFonts w:ascii="Times New Roman" w:hAnsi="Times New Roman" w:cs="Times New Roman"/>
                <w:sz w:val="22"/>
                <w:szCs w:val="22"/>
              </w:rPr>
              <w:t>Bank Z-score</w:t>
            </w:r>
          </w:p>
        </w:tc>
        <w:tc>
          <w:tcPr>
            <w:tcW w:w="1560" w:type="dxa"/>
          </w:tcPr>
          <w:p w14:paraId="36F17430"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-0.326</w:t>
            </w:r>
          </w:p>
        </w:tc>
        <w:tc>
          <w:tcPr>
            <w:tcW w:w="1560" w:type="dxa"/>
          </w:tcPr>
          <w:p w14:paraId="6803229D"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1.000</w:t>
            </w:r>
          </w:p>
        </w:tc>
        <w:tc>
          <w:tcPr>
            <w:tcW w:w="1560" w:type="dxa"/>
          </w:tcPr>
          <w:p w14:paraId="5B53BE52"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-0.069</w:t>
            </w:r>
          </w:p>
        </w:tc>
        <w:tc>
          <w:tcPr>
            <w:tcW w:w="1560" w:type="dxa"/>
          </w:tcPr>
          <w:p w14:paraId="36B92F19"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0.070</w:t>
            </w:r>
          </w:p>
        </w:tc>
        <w:tc>
          <w:tcPr>
            <w:tcW w:w="1560" w:type="dxa"/>
          </w:tcPr>
          <w:p w14:paraId="7950ADB7"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-0.089</w:t>
            </w:r>
          </w:p>
        </w:tc>
      </w:tr>
      <w:tr w:rsidR="001E03FB" w:rsidRPr="001E03FB" w14:paraId="62C1264B" w14:textId="77777777" w:rsidTr="00361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CC6B2B2" w14:textId="77777777" w:rsidR="001E03FB" w:rsidRPr="001E03FB" w:rsidRDefault="001E03FB" w:rsidP="00361008">
            <w:pPr>
              <w:rPr>
                <w:rFonts w:ascii="Times New Roman" w:hAnsi="Times New Roman" w:cs="Times New Roman"/>
                <w:sz w:val="22"/>
                <w:szCs w:val="22"/>
              </w:rPr>
            </w:pPr>
            <w:r w:rsidRPr="001E03FB">
              <w:rPr>
                <w:rFonts w:ascii="Times New Roman" w:hAnsi="Times New Roman" w:cs="Times New Roman"/>
                <w:sz w:val="22"/>
                <w:szCs w:val="22"/>
              </w:rPr>
              <w:t>NPL ratio</w:t>
            </w:r>
          </w:p>
        </w:tc>
        <w:tc>
          <w:tcPr>
            <w:tcW w:w="1560" w:type="dxa"/>
          </w:tcPr>
          <w:p w14:paraId="4DC23BD1"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-0.046</w:t>
            </w:r>
          </w:p>
        </w:tc>
        <w:tc>
          <w:tcPr>
            <w:tcW w:w="1560" w:type="dxa"/>
          </w:tcPr>
          <w:p w14:paraId="2F7DA302"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-0.069</w:t>
            </w:r>
          </w:p>
        </w:tc>
        <w:tc>
          <w:tcPr>
            <w:tcW w:w="1560" w:type="dxa"/>
          </w:tcPr>
          <w:p w14:paraId="01E354A7"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1.000</w:t>
            </w:r>
          </w:p>
        </w:tc>
        <w:tc>
          <w:tcPr>
            <w:tcW w:w="1560" w:type="dxa"/>
          </w:tcPr>
          <w:p w14:paraId="093344BE"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-0.183</w:t>
            </w:r>
          </w:p>
        </w:tc>
        <w:tc>
          <w:tcPr>
            <w:tcW w:w="1560" w:type="dxa"/>
          </w:tcPr>
          <w:p w14:paraId="0EE0D7BD"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0.114</w:t>
            </w:r>
          </w:p>
        </w:tc>
      </w:tr>
      <w:tr w:rsidR="001E03FB" w:rsidRPr="001E03FB" w14:paraId="268BAECC" w14:textId="77777777" w:rsidTr="00361008">
        <w:tc>
          <w:tcPr>
            <w:cnfStyle w:val="001000000000" w:firstRow="0" w:lastRow="0" w:firstColumn="1" w:lastColumn="0" w:oddVBand="0" w:evenVBand="0" w:oddHBand="0" w:evenHBand="0" w:firstRowFirstColumn="0" w:firstRowLastColumn="0" w:lastRowFirstColumn="0" w:lastRowLastColumn="0"/>
            <w:tcW w:w="1560" w:type="dxa"/>
          </w:tcPr>
          <w:p w14:paraId="26E7087E" w14:textId="77777777" w:rsidR="001E03FB" w:rsidRPr="001E03FB" w:rsidRDefault="001E03FB" w:rsidP="00361008">
            <w:pPr>
              <w:rPr>
                <w:rFonts w:ascii="Times New Roman" w:hAnsi="Times New Roman" w:cs="Times New Roman"/>
                <w:sz w:val="22"/>
                <w:szCs w:val="22"/>
              </w:rPr>
            </w:pPr>
            <w:r w:rsidRPr="001E03FB">
              <w:rPr>
                <w:rFonts w:ascii="Times New Roman" w:hAnsi="Times New Roman" w:cs="Times New Roman"/>
                <w:sz w:val="22"/>
                <w:szCs w:val="22"/>
              </w:rPr>
              <w:lastRenderedPageBreak/>
              <w:t>GDP growth</w:t>
            </w:r>
          </w:p>
        </w:tc>
        <w:tc>
          <w:tcPr>
            <w:tcW w:w="1560" w:type="dxa"/>
          </w:tcPr>
          <w:p w14:paraId="083D8186"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0.130</w:t>
            </w:r>
          </w:p>
        </w:tc>
        <w:tc>
          <w:tcPr>
            <w:tcW w:w="1560" w:type="dxa"/>
          </w:tcPr>
          <w:p w14:paraId="3A9EAA8D"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0.070</w:t>
            </w:r>
          </w:p>
        </w:tc>
        <w:tc>
          <w:tcPr>
            <w:tcW w:w="1560" w:type="dxa"/>
          </w:tcPr>
          <w:p w14:paraId="7401B7E4"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-0.183</w:t>
            </w:r>
          </w:p>
        </w:tc>
        <w:tc>
          <w:tcPr>
            <w:tcW w:w="1560" w:type="dxa"/>
          </w:tcPr>
          <w:p w14:paraId="00F88969"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1.000</w:t>
            </w:r>
          </w:p>
        </w:tc>
        <w:tc>
          <w:tcPr>
            <w:tcW w:w="1560" w:type="dxa"/>
          </w:tcPr>
          <w:p w14:paraId="59BC440E"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-0.082</w:t>
            </w:r>
          </w:p>
        </w:tc>
      </w:tr>
      <w:tr w:rsidR="001E03FB" w:rsidRPr="001E03FB" w14:paraId="603CC667" w14:textId="77777777" w:rsidTr="00361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7BD81A7" w14:textId="77777777" w:rsidR="001E03FB" w:rsidRPr="001E03FB" w:rsidRDefault="001E03FB" w:rsidP="00361008">
            <w:pPr>
              <w:rPr>
                <w:rFonts w:ascii="Times New Roman" w:hAnsi="Times New Roman" w:cs="Times New Roman"/>
                <w:sz w:val="22"/>
                <w:szCs w:val="22"/>
              </w:rPr>
            </w:pPr>
            <w:r w:rsidRPr="001E03FB">
              <w:rPr>
                <w:rFonts w:ascii="Times New Roman" w:hAnsi="Times New Roman" w:cs="Times New Roman"/>
                <w:sz w:val="22"/>
                <w:szCs w:val="22"/>
              </w:rPr>
              <w:t>Real interest rate</w:t>
            </w:r>
          </w:p>
        </w:tc>
        <w:tc>
          <w:tcPr>
            <w:tcW w:w="1560" w:type="dxa"/>
          </w:tcPr>
          <w:p w14:paraId="1C23D0B1"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0.013</w:t>
            </w:r>
          </w:p>
        </w:tc>
        <w:tc>
          <w:tcPr>
            <w:tcW w:w="1560" w:type="dxa"/>
          </w:tcPr>
          <w:p w14:paraId="2509D4CB"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-0.089</w:t>
            </w:r>
          </w:p>
        </w:tc>
        <w:tc>
          <w:tcPr>
            <w:tcW w:w="1560" w:type="dxa"/>
          </w:tcPr>
          <w:p w14:paraId="053535F5"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0.114</w:t>
            </w:r>
          </w:p>
        </w:tc>
        <w:tc>
          <w:tcPr>
            <w:tcW w:w="1560" w:type="dxa"/>
          </w:tcPr>
          <w:p w14:paraId="6563B30C"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-0.082</w:t>
            </w:r>
          </w:p>
        </w:tc>
        <w:tc>
          <w:tcPr>
            <w:tcW w:w="1560" w:type="dxa"/>
          </w:tcPr>
          <w:p w14:paraId="3CD8B24B"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1.000</w:t>
            </w:r>
          </w:p>
        </w:tc>
      </w:tr>
    </w:tbl>
    <w:p w14:paraId="1694517C" w14:textId="77777777" w:rsidR="001E03FB" w:rsidRPr="001E03FB" w:rsidRDefault="001E03FB" w:rsidP="001E03FB">
      <w:pPr>
        <w:spacing w:after="120"/>
        <w:rPr>
          <w:rFonts w:ascii="Times New Roman" w:hAnsi="Times New Roman" w:cs="Times New Roman"/>
          <w:iCs/>
          <w:sz w:val="22"/>
          <w:szCs w:val="22"/>
        </w:rPr>
      </w:pPr>
      <w:r w:rsidRPr="001E03FB">
        <w:rPr>
          <w:rFonts w:ascii="Times New Roman" w:hAnsi="Times New Roman" w:cs="Times New Roman"/>
          <w:iCs/>
          <w:sz w:val="22"/>
          <w:szCs w:val="22"/>
        </w:rPr>
        <w:t>Note. Correlations are Pearson correlations calculated from the controlled core sample.</w:t>
      </w:r>
    </w:p>
    <w:p w14:paraId="5306C362" w14:textId="3E5FA716" w:rsidR="001E03FB" w:rsidRPr="001E03FB" w:rsidRDefault="001E03FB" w:rsidP="001E03FB">
      <w:pPr>
        <w:keepNext/>
        <w:spacing w:before="100" w:after="60"/>
        <w:rPr>
          <w:rFonts w:ascii="Times New Roman" w:hAnsi="Times New Roman" w:cs="Times New Roman"/>
          <w:sz w:val="22"/>
          <w:szCs w:val="22"/>
        </w:rPr>
      </w:pPr>
      <w:r w:rsidRPr="001E03FB">
        <w:rPr>
          <w:rFonts w:ascii="Times New Roman" w:hAnsi="Times New Roman" w:cs="Times New Roman"/>
          <w:sz w:val="22"/>
          <w:szCs w:val="22"/>
        </w:rPr>
        <w:t>Figure 4.</w:t>
      </w:r>
      <w:r>
        <w:rPr>
          <w:rFonts w:ascii="Times New Roman" w:hAnsi="Times New Roman" w:cs="Times New Roman"/>
          <w:sz w:val="22"/>
          <w:szCs w:val="22"/>
        </w:rPr>
        <w:t>6</w:t>
      </w:r>
      <w:r w:rsidRPr="001E03FB">
        <w:rPr>
          <w:rFonts w:ascii="Times New Roman" w:hAnsi="Times New Roman" w:cs="Times New Roman"/>
          <w:sz w:val="22"/>
          <w:szCs w:val="22"/>
        </w:rPr>
        <w:t>. Controlled correlation heatmap.</w:t>
      </w:r>
    </w:p>
    <w:p w14:paraId="45826F6D" w14:textId="77777777" w:rsidR="001E03FB" w:rsidRPr="001E03FB" w:rsidRDefault="001E03FB" w:rsidP="001E03FB">
      <w:pPr>
        <w:spacing w:after="60"/>
        <w:jc w:val="center"/>
        <w:rPr>
          <w:rFonts w:ascii="Times New Roman" w:hAnsi="Times New Roman" w:cs="Times New Roman"/>
          <w:sz w:val="22"/>
          <w:szCs w:val="22"/>
        </w:rPr>
      </w:pPr>
      <w:r w:rsidRPr="001E03FB">
        <w:rPr>
          <w:rFonts w:ascii="Times New Roman" w:hAnsi="Times New Roman" w:cs="Times New Roman"/>
          <w:noProof/>
          <w:sz w:val="22"/>
          <w:szCs w:val="22"/>
        </w:rPr>
        <w:drawing>
          <wp:inline distT="0" distB="0" distL="0" distR="0" wp14:anchorId="4F19BD51" wp14:editId="2980A870">
            <wp:extent cx="5212080" cy="4180892"/>
            <wp:effectExtent l="0" t="0" r="0" b="0"/>
            <wp:docPr id="2012711065" name="Picture 201271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4_9_controlled_correlation_heatmap.png"/>
                    <pic:cNvPicPr/>
                  </pic:nvPicPr>
                  <pic:blipFill>
                    <a:blip r:embed="rId18"/>
                    <a:stretch>
                      <a:fillRect/>
                    </a:stretch>
                  </pic:blipFill>
                  <pic:spPr>
                    <a:xfrm>
                      <a:off x="0" y="0"/>
                      <a:ext cx="5212080" cy="4180892"/>
                    </a:xfrm>
                    <a:prstGeom prst="rect">
                      <a:avLst/>
                    </a:prstGeom>
                  </pic:spPr>
                </pic:pic>
              </a:graphicData>
            </a:graphic>
          </wp:inline>
        </w:drawing>
      </w:r>
    </w:p>
    <w:p w14:paraId="37F986DC" w14:textId="77777777" w:rsidR="001E03FB" w:rsidRPr="001E03FB" w:rsidRDefault="001E03FB" w:rsidP="001E03FB">
      <w:pPr>
        <w:spacing w:after="120"/>
        <w:rPr>
          <w:rFonts w:ascii="Times New Roman" w:hAnsi="Times New Roman" w:cs="Times New Roman"/>
          <w:iCs/>
          <w:sz w:val="22"/>
          <w:szCs w:val="22"/>
        </w:rPr>
      </w:pPr>
      <w:r w:rsidRPr="001E03FB">
        <w:rPr>
          <w:rFonts w:ascii="Times New Roman" w:hAnsi="Times New Roman" w:cs="Times New Roman"/>
          <w:iCs/>
          <w:sz w:val="22"/>
          <w:szCs w:val="22"/>
        </w:rPr>
        <w:t>Note. The heatmap visualizes the correlation structure after adding GDP growth and real interest rate to the core variables.</w:t>
      </w:r>
    </w:p>
    <w:p w14:paraId="7AB76CBA" w14:textId="77777777" w:rsidR="001E03FB" w:rsidRPr="001E03FB" w:rsidRDefault="001E03FB" w:rsidP="001E03FB">
      <w:pPr>
        <w:keepNext/>
        <w:spacing w:before="100" w:after="60"/>
        <w:rPr>
          <w:rFonts w:ascii="Times New Roman" w:hAnsi="Times New Roman" w:cs="Times New Roman"/>
        </w:rPr>
      </w:pPr>
      <w:r w:rsidRPr="001E03FB">
        <w:rPr>
          <w:rFonts w:ascii="Times New Roman" w:hAnsi="Times New Roman" w:cs="Times New Roman"/>
          <w:b/>
        </w:rPr>
        <w:t>Table 4.15. Variance inflation factors for the controlled regressors.</w:t>
      </w:r>
    </w:p>
    <w:tbl>
      <w:tblPr>
        <w:tblStyle w:val="GridTable4-Accent1"/>
        <w:tblW w:w="0" w:type="auto"/>
        <w:tblLook w:val="04A0" w:firstRow="1" w:lastRow="0" w:firstColumn="1" w:lastColumn="0" w:noHBand="0" w:noVBand="1"/>
      </w:tblPr>
      <w:tblGrid>
        <w:gridCol w:w="4675"/>
        <w:gridCol w:w="4675"/>
      </w:tblGrid>
      <w:tr w:rsidR="001E03FB" w:rsidRPr="001E03FB" w14:paraId="43947EE8" w14:textId="77777777" w:rsidTr="003610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69D30E5C" w14:textId="77777777" w:rsidR="001E03FB" w:rsidRPr="001E03FB" w:rsidRDefault="001E03FB" w:rsidP="00361008">
            <w:pPr>
              <w:jc w:val="center"/>
              <w:rPr>
                <w:rFonts w:ascii="Times New Roman" w:hAnsi="Times New Roman" w:cs="Times New Roman"/>
                <w:sz w:val="22"/>
                <w:szCs w:val="22"/>
              </w:rPr>
            </w:pPr>
            <w:r w:rsidRPr="001E03FB">
              <w:rPr>
                <w:rFonts w:ascii="Times New Roman" w:hAnsi="Times New Roman" w:cs="Times New Roman"/>
                <w:sz w:val="22"/>
                <w:szCs w:val="22"/>
              </w:rPr>
              <w:t>Regressor</w:t>
            </w:r>
          </w:p>
        </w:tc>
        <w:tc>
          <w:tcPr>
            <w:tcW w:w="4680" w:type="dxa"/>
          </w:tcPr>
          <w:p w14:paraId="60DAC3C0" w14:textId="77777777" w:rsidR="001E03FB" w:rsidRPr="001E03FB" w:rsidRDefault="001E03FB"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VIF</w:t>
            </w:r>
          </w:p>
        </w:tc>
      </w:tr>
      <w:tr w:rsidR="001E03FB" w:rsidRPr="001E03FB" w14:paraId="65454B0E" w14:textId="77777777" w:rsidTr="00361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32D5622C" w14:textId="77777777" w:rsidR="001E03FB" w:rsidRPr="001E03FB" w:rsidRDefault="001E03FB" w:rsidP="00361008">
            <w:pPr>
              <w:rPr>
                <w:rFonts w:ascii="Times New Roman" w:hAnsi="Times New Roman" w:cs="Times New Roman"/>
                <w:sz w:val="22"/>
                <w:szCs w:val="22"/>
              </w:rPr>
            </w:pPr>
            <w:r w:rsidRPr="001E03FB">
              <w:rPr>
                <w:rFonts w:ascii="Times New Roman" w:hAnsi="Times New Roman" w:cs="Times New Roman"/>
                <w:sz w:val="22"/>
                <w:szCs w:val="22"/>
              </w:rPr>
              <w:t>GARCH volatility</w:t>
            </w:r>
          </w:p>
        </w:tc>
        <w:tc>
          <w:tcPr>
            <w:tcW w:w="4680" w:type="dxa"/>
          </w:tcPr>
          <w:p w14:paraId="3F240E4C"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1.018</w:t>
            </w:r>
          </w:p>
        </w:tc>
      </w:tr>
      <w:tr w:rsidR="001E03FB" w:rsidRPr="001E03FB" w14:paraId="341F9E23" w14:textId="77777777" w:rsidTr="00361008">
        <w:tc>
          <w:tcPr>
            <w:cnfStyle w:val="001000000000" w:firstRow="0" w:lastRow="0" w:firstColumn="1" w:lastColumn="0" w:oddVBand="0" w:evenVBand="0" w:oddHBand="0" w:evenHBand="0" w:firstRowFirstColumn="0" w:firstRowLastColumn="0" w:lastRowFirstColumn="0" w:lastRowLastColumn="0"/>
            <w:tcW w:w="4680" w:type="dxa"/>
          </w:tcPr>
          <w:p w14:paraId="2E5D42EF" w14:textId="77777777" w:rsidR="001E03FB" w:rsidRPr="001E03FB" w:rsidRDefault="001E03FB" w:rsidP="00361008">
            <w:pPr>
              <w:rPr>
                <w:rFonts w:ascii="Times New Roman" w:hAnsi="Times New Roman" w:cs="Times New Roman"/>
                <w:sz w:val="22"/>
                <w:szCs w:val="22"/>
              </w:rPr>
            </w:pPr>
            <w:r w:rsidRPr="001E03FB">
              <w:rPr>
                <w:rFonts w:ascii="Times New Roman" w:hAnsi="Times New Roman" w:cs="Times New Roman"/>
                <w:sz w:val="22"/>
                <w:szCs w:val="22"/>
              </w:rPr>
              <w:t>GDP growth</w:t>
            </w:r>
          </w:p>
        </w:tc>
        <w:tc>
          <w:tcPr>
            <w:tcW w:w="4680" w:type="dxa"/>
          </w:tcPr>
          <w:p w14:paraId="4ADDA56A" w14:textId="77777777" w:rsidR="001E03FB" w:rsidRPr="001E03FB" w:rsidRDefault="001E03FB"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1.024</w:t>
            </w:r>
          </w:p>
        </w:tc>
      </w:tr>
      <w:tr w:rsidR="001E03FB" w:rsidRPr="001E03FB" w14:paraId="09108D2E" w14:textId="77777777" w:rsidTr="00361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3C027B42" w14:textId="77777777" w:rsidR="001E03FB" w:rsidRPr="001E03FB" w:rsidRDefault="001E03FB" w:rsidP="00361008">
            <w:pPr>
              <w:rPr>
                <w:rFonts w:ascii="Times New Roman" w:hAnsi="Times New Roman" w:cs="Times New Roman"/>
                <w:sz w:val="22"/>
                <w:szCs w:val="22"/>
              </w:rPr>
            </w:pPr>
            <w:r w:rsidRPr="001E03FB">
              <w:rPr>
                <w:rFonts w:ascii="Times New Roman" w:hAnsi="Times New Roman" w:cs="Times New Roman"/>
                <w:sz w:val="22"/>
                <w:szCs w:val="22"/>
              </w:rPr>
              <w:t>Real interest rate</w:t>
            </w:r>
          </w:p>
        </w:tc>
        <w:tc>
          <w:tcPr>
            <w:tcW w:w="4680" w:type="dxa"/>
          </w:tcPr>
          <w:p w14:paraId="463F64F3" w14:textId="77777777" w:rsidR="001E03FB" w:rsidRPr="001E03FB" w:rsidRDefault="001E03FB"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E03FB">
              <w:rPr>
                <w:rFonts w:ascii="Times New Roman" w:hAnsi="Times New Roman" w:cs="Times New Roman"/>
                <w:sz w:val="22"/>
                <w:szCs w:val="22"/>
              </w:rPr>
              <w:t>1.007</w:t>
            </w:r>
          </w:p>
        </w:tc>
      </w:tr>
    </w:tbl>
    <w:p w14:paraId="5B04DB73" w14:textId="77777777" w:rsidR="001E03FB" w:rsidRPr="001E03FB" w:rsidRDefault="001E03FB" w:rsidP="001E03FB">
      <w:pPr>
        <w:spacing w:after="120"/>
        <w:rPr>
          <w:rFonts w:ascii="Times New Roman" w:hAnsi="Times New Roman" w:cs="Times New Roman"/>
          <w:iCs/>
          <w:sz w:val="22"/>
          <w:szCs w:val="22"/>
        </w:rPr>
      </w:pPr>
      <w:r w:rsidRPr="001E03FB">
        <w:rPr>
          <w:rFonts w:ascii="Times New Roman" w:hAnsi="Times New Roman" w:cs="Times New Roman"/>
          <w:iCs/>
          <w:sz w:val="22"/>
          <w:szCs w:val="22"/>
        </w:rPr>
        <w:t>Note. VIF values close to 1 indicate that adding GDP growth and real interest rate does not create a serious multicollinearity problem in the controlled specification.</w:t>
      </w:r>
    </w:p>
    <w:p w14:paraId="6C9F1EC3" w14:textId="77777777" w:rsidR="000B7447" w:rsidRP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 xml:space="preserve">The controlled descriptive evidence indicates that the sample are still macro-financially heterogeneous even after conducting addition of GDP growth and real interest rate. Average GARCH volatility is 8.117, the average Bank Z score is 16.502 while the average NPL ratio is 7.545 percent. The controlled correlation matrix reveals the negative association between GARCH </w:t>
      </w:r>
      <w:r w:rsidRPr="000B7447">
        <w:rPr>
          <w:rFonts w:ascii="Times New Roman" w:hAnsi="Times New Roman" w:cs="Times New Roman"/>
        </w:rPr>
        <w:lastRenderedPageBreak/>
        <w:t xml:space="preserve">volatility and the bank Z-score that is still in expected direction (-0.326). A bivariate contemporaneous correlation between the NPL and GARCH volatility reveals a weak relationship (-0.046), implying that, at least at this stage, the stress on credit quality is not as apparent within a simple relation. It is consistent for the NPL ratio to be negatively correlated with GDP growth (-0.183) and positively with real interest rate (0.114) since a higher growth of output reduces repayment stress and a higher real interest rate increases it. </w:t>
      </w:r>
    </w:p>
    <w:p w14:paraId="2F6C171A" w14:textId="77777777" w:rsidR="000B7447" w:rsidRPr="000B7447" w:rsidRDefault="000B7447" w:rsidP="000B7447">
      <w:pPr>
        <w:spacing w:line="360" w:lineRule="auto"/>
        <w:jc w:val="both"/>
        <w:rPr>
          <w:rFonts w:ascii="Times New Roman" w:hAnsi="Times New Roman" w:cs="Times New Roman"/>
        </w:rPr>
      </w:pPr>
    </w:p>
    <w:p w14:paraId="60BF0873" w14:textId="77777777" w:rsidR="000B7447" w:rsidRPr="001E03FB" w:rsidRDefault="000B7447" w:rsidP="001E03FB">
      <w:pPr>
        <w:pStyle w:val="Heading3"/>
        <w:rPr>
          <w:rFonts w:ascii="Times New Roman" w:hAnsi="Times New Roman" w:cs="Times New Roman"/>
          <w:b/>
          <w:bCs/>
          <w:sz w:val="24"/>
          <w:szCs w:val="24"/>
        </w:rPr>
      </w:pPr>
      <w:bookmarkStart w:id="92" w:name="_Toc235530920"/>
      <w:r w:rsidRPr="001E03FB">
        <w:rPr>
          <w:rFonts w:ascii="Times New Roman" w:hAnsi="Times New Roman" w:cs="Times New Roman"/>
          <w:b/>
          <w:bCs/>
          <w:sz w:val="24"/>
          <w:szCs w:val="24"/>
        </w:rPr>
        <w:t>4.7.1 Stepwise controlled simple panel estimates</w:t>
      </w:r>
      <w:bookmarkEnd w:id="92"/>
    </w:p>
    <w:p w14:paraId="6FC35771" w14:textId="77777777" w:rsidR="00133F95" w:rsidRDefault="000B7447" w:rsidP="00133F95">
      <w:pPr>
        <w:spacing w:line="360" w:lineRule="auto"/>
        <w:jc w:val="both"/>
        <w:rPr>
          <w:rFonts w:ascii="Times New Roman" w:hAnsi="Times New Roman" w:cs="Times New Roman"/>
        </w:rPr>
      </w:pPr>
      <w:r w:rsidRPr="000B7447">
        <w:rPr>
          <w:rFonts w:ascii="Times New Roman" w:hAnsi="Times New Roman" w:cs="Times New Roman"/>
        </w:rPr>
        <w:t xml:space="preserve">The six-model structure is used to estimate the controlled panel calculations. Fixed Effects baseline is Panel Model 1. The baseline is the Panel Model 2 of Random effects. Panel Model 3 includes Fixed Effects and Random Effects with and without controls and applies the Hausman test. In Panel Model 4, GDP growth is added. The real interest rate is added in Panel Model 5. Panel Model 6 adds GDP growth, real interest rate, and all the other controls. </w:t>
      </w:r>
    </w:p>
    <w:p w14:paraId="30D7CEB3" w14:textId="7A462340" w:rsidR="00AC5B84" w:rsidRPr="00AC5B84" w:rsidRDefault="00AC5B84" w:rsidP="00133F95">
      <w:pPr>
        <w:spacing w:line="360" w:lineRule="auto"/>
        <w:jc w:val="both"/>
        <w:rPr>
          <w:rFonts w:ascii="Times New Roman" w:hAnsi="Times New Roman" w:cs="Times New Roman"/>
          <w:b/>
          <w:bCs/>
        </w:rPr>
      </w:pPr>
      <w:r w:rsidRPr="00AC5B84">
        <w:rPr>
          <w:rFonts w:ascii="Times New Roman" w:hAnsi="Times New Roman" w:cs="Times New Roman"/>
          <w:b/>
          <w:bCs/>
        </w:rPr>
        <w:t>Table 4.16. Stepwise simple panel estimates: Bank Z-score models.</w:t>
      </w:r>
    </w:p>
    <w:tbl>
      <w:tblPr>
        <w:tblStyle w:val="GridTable4-Accent1"/>
        <w:tblW w:w="0" w:type="auto"/>
        <w:tblLook w:val="04A0" w:firstRow="1" w:lastRow="0" w:firstColumn="1" w:lastColumn="0" w:noHBand="0" w:noVBand="1"/>
      </w:tblPr>
      <w:tblGrid>
        <w:gridCol w:w="1537"/>
        <w:gridCol w:w="1343"/>
        <w:gridCol w:w="1384"/>
        <w:gridCol w:w="1384"/>
        <w:gridCol w:w="1384"/>
        <w:gridCol w:w="1159"/>
        <w:gridCol w:w="1159"/>
      </w:tblGrid>
      <w:tr w:rsidR="00390A4D" w:rsidRPr="00AC5B84" w14:paraId="2CBAF34E" w14:textId="77777777" w:rsidTr="00390A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vAlign w:val="center"/>
          </w:tcPr>
          <w:p w14:paraId="1C8D2352" w14:textId="77777777" w:rsidR="00390A4D" w:rsidRDefault="00390A4D" w:rsidP="009B3C84">
            <w:pPr>
              <w:jc w:val="center"/>
            </w:pPr>
            <w:r>
              <w:rPr>
                <w:rFonts w:ascii="Times New Roman" w:eastAsia="Times New Roman" w:hAnsi="Times New Roman"/>
                <w:color w:val="FFFFFF"/>
                <w:sz w:val="17"/>
              </w:rPr>
              <w:t>Variable /</w:t>
            </w:r>
            <w:r>
              <w:rPr>
                <w:rFonts w:ascii="Times New Roman" w:eastAsia="Times New Roman" w:hAnsi="Times New Roman"/>
                <w:color w:val="FFFFFF"/>
                <w:sz w:val="17"/>
              </w:rPr>
              <w:br/>
              <w:t>diagnostic</w:t>
            </w:r>
          </w:p>
        </w:tc>
        <w:tc>
          <w:tcPr>
            <w:tcW w:w="1343" w:type="dxa"/>
            <w:vAlign w:val="center"/>
          </w:tcPr>
          <w:p w14:paraId="6D90B0E4" w14:textId="77777777" w:rsid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7"/>
              </w:rPr>
              <w:t>Panel</w:t>
            </w:r>
            <w:r>
              <w:rPr>
                <w:rFonts w:ascii="Times New Roman" w:eastAsia="Times New Roman" w:hAnsi="Times New Roman"/>
                <w:color w:val="FFFFFF"/>
                <w:sz w:val="17"/>
              </w:rPr>
              <w:br/>
              <w:t>Model 1</w:t>
            </w:r>
          </w:p>
        </w:tc>
        <w:tc>
          <w:tcPr>
            <w:tcW w:w="1384" w:type="dxa"/>
            <w:vAlign w:val="center"/>
          </w:tcPr>
          <w:p w14:paraId="62DF0C31" w14:textId="77777777" w:rsid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7"/>
              </w:rPr>
              <w:t>Panel</w:t>
            </w:r>
            <w:r>
              <w:rPr>
                <w:rFonts w:ascii="Times New Roman" w:eastAsia="Times New Roman" w:hAnsi="Times New Roman"/>
                <w:color w:val="FFFFFF"/>
                <w:sz w:val="17"/>
              </w:rPr>
              <w:br/>
              <w:t>Model 2</w:t>
            </w:r>
          </w:p>
        </w:tc>
        <w:tc>
          <w:tcPr>
            <w:tcW w:w="1384" w:type="dxa"/>
            <w:vAlign w:val="center"/>
          </w:tcPr>
          <w:p w14:paraId="21E3AD43" w14:textId="77777777" w:rsid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7"/>
              </w:rPr>
              <w:t>Panel</w:t>
            </w:r>
            <w:r>
              <w:rPr>
                <w:rFonts w:ascii="Times New Roman" w:eastAsia="Times New Roman" w:hAnsi="Times New Roman"/>
                <w:color w:val="FFFFFF"/>
                <w:sz w:val="17"/>
              </w:rPr>
              <w:br/>
              <w:t>Model 3</w:t>
            </w:r>
          </w:p>
        </w:tc>
        <w:tc>
          <w:tcPr>
            <w:tcW w:w="1384" w:type="dxa"/>
            <w:vAlign w:val="center"/>
          </w:tcPr>
          <w:p w14:paraId="367AA7AD" w14:textId="77777777" w:rsid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7"/>
              </w:rPr>
              <w:t>Panel</w:t>
            </w:r>
            <w:r>
              <w:rPr>
                <w:rFonts w:ascii="Times New Roman" w:eastAsia="Times New Roman" w:hAnsi="Times New Roman"/>
                <w:color w:val="FFFFFF"/>
                <w:sz w:val="17"/>
              </w:rPr>
              <w:br/>
              <w:t>Model 4</w:t>
            </w:r>
          </w:p>
        </w:tc>
        <w:tc>
          <w:tcPr>
            <w:tcW w:w="1159" w:type="dxa"/>
            <w:vAlign w:val="center"/>
          </w:tcPr>
          <w:p w14:paraId="1A7F6480" w14:textId="77777777" w:rsid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7"/>
              </w:rPr>
              <w:t>Panel</w:t>
            </w:r>
            <w:r>
              <w:rPr>
                <w:rFonts w:ascii="Times New Roman" w:eastAsia="Times New Roman" w:hAnsi="Times New Roman"/>
                <w:color w:val="FFFFFF"/>
                <w:sz w:val="17"/>
              </w:rPr>
              <w:br/>
              <w:t>Model 5</w:t>
            </w:r>
          </w:p>
        </w:tc>
        <w:tc>
          <w:tcPr>
            <w:tcW w:w="1159" w:type="dxa"/>
            <w:vAlign w:val="center"/>
          </w:tcPr>
          <w:p w14:paraId="243F555F" w14:textId="77777777" w:rsid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color w:val="FFFFFF"/>
                <w:sz w:val="17"/>
              </w:rPr>
              <w:t>Panel</w:t>
            </w:r>
            <w:r>
              <w:rPr>
                <w:rFonts w:ascii="Times New Roman" w:eastAsia="Times New Roman" w:hAnsi="Times New Roman"/>
                <w:color w:val="FFFFFF"/>
                <w:sz w:val="17"/>
              </w:rPr>
              <w:br/>
              <w:t>Model 6</w:t>
            </w:r>
          </w:p>
        </w:tc>
      </w:tr>
      <w:tr w:rsidR="00390A4D" w:rsidRPr="00AC5B84" w14:paraId="12BD9729" w14:textId="77777777" w:rsidTr="00390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vAlign w:val="center"/>
          </w:tcPr>
          <w:p w14:paraId="1B14D05A" w14:textId="77777777" w:rsidR="00390A4D" w:rsidRDefault="00390A4D" w:rsidP="009B3C84">
            <w:r>
              <w:rPr>
                <w:rFonts w:ascii="Times New Roman" w:eastAsia="Times New Roman" w:hAnsi="Times New Roman"/>
                <w:sz w:val="17"/>
              </w:rPr>
              <w:t>Estimator</w:t>
            </w:r>
          </w:p>
        </w:tc>
        <w:tc>
          <w:tcPr>
            <w:tcW w:w="1343" w:type="dxa"/>
            <w:vAlign w:val="center"/>
          </w:tcPr>
          <w:p w14:paraId="0889DE72"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FE</w:t>
            </w:r>
          </w:p>
        </w:tc>
        <w:tc>
          <w:tcPr>
            <w:tcW w:w="1384" w:type="dxa"/>
            <w:vAlign w:val="center"/>
          </w:tcPr>
          <w:p w14:paraId="2C277569"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RE</w:t>
            </w:r>
          </w:p>
        </w:tc>
        <w:tc>
          <w:tcPr>
            <w:tcW w:w="1384" w:type="dxa"/>
            <w:vAlign w:val="center"/>
          </w:tcPr>
          <w:p w14:paraId="00D00741"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FE &amp; RE</w:t>
            </w:r>
          </w:p>
        </w:tc>
        <w:tc>
          <w:tcPr>
            <w:tcW w:w="1384" w:type="dxa"/>
            <w:vAlign w:val="center"/>
          </w:tcPr>
          <w:p w14:paraId="47B2EE61"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FE &amp; RE</w:t>
            </w:r>
          </w:p>
        </w:tc>
        <w:tc>
          <w:tcPr>
            <w:tcW w:w="1159" w:type="dxa"/>
            <w:vAlign w:val="center"/>
          </w:tcPr>
          <w:p w14:paraId="366FC7B2"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FE &amp; RE</w:t>
            </w:r>
          </w:p>
        </w:tc>
        <w:tc>
          <w:tcPr>
            <w:tcW w:w="1159" w:type="dxa"/>
            <w:vAlign w:val="center"/>
          </w:tcPr>
          <w:p w14:paraId="794CCF67"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FE &amp; RE</w:t>
            </w:r>
          </w:p>
        </w:tc>
      </w:tr>
      <w:tr w:rsidR="00390A4D" w:rsidRPr="00AC5B84" w14:paraId="09653534" w14:textId="77777777" w:rsidTr="00390A4D">
        <w:tc>
          <w:tcPr>
            <w:cnfStyle w:val="001000000000" w:firstRow="0" w:lastRow="0" w:firstColumn="1" w:lastColumn="0" w:oddVBand="0" w:evenVBand="0" w:oddHBand="0" w:evenHBand="0" w:firstRowFirstColumn="0" w:firstRowLastColumn="0" w:lastRowFirstColumn="0" w:lastRowLastColumn="0"/>
            <w:tcW w:w="1537" w:type="dxa"/>
            <w:vAlign w:val="center"/>
          </w:tcPr>
          <w:p w14:paraId="0E5CB360" w14:textId="77777777" w:rsidR="00390A4D" w:rsidRDefault="00390A4D" w:rsidP="009B3C84">
            <w:proofErr w:type="gramStart"/>
            <w:r>
              <w:rPr>
                <w:rFonts w:ascii="Times New Roman" w:eastAsia="Times New Roman" w:hAnsi="Times New Roman"/>
                <w:sz w:val="17"/>
              </w:rPr>
              <w:t>GARCH(</w:t>
            </w:r>
            <w:proofErr w:type="gramEnd"/>
            <w:r>
              <w:rPr>
                <w:rFonts w:ascii="Times New Roman" w:eastAsia="Times New Roman" w:hAnsi="Times New Roman"/>
                <w:sz w:val="17"/>
              </w:rPr>
              <w:t>1,1)</w:t>
            </w:r>
            <w:r>
              <w:rPr>
                <w:rFonts w:ascii="Times New Roman" w:eastAsia="Times New Roman" w:hAnsi="Times New Roman"/>
                <w:sz w:val="17"/>
              </w:rPr>
              <w:br/>
              <w:t>volatility</w:t>
            </w:r>
          </w:p>
        </w:tc>
        <w:tc>
          <w:tcPr>
            <w:tcW w:w="1343" w:type="dxa"/>
            <w:vAlign w:val="center"/>
          </w:tcPr>
          <w:p w14:paraId="155A1530"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-0.142**</w:t>
            </w:r>
            <w:r>
              <w:rPr>
                <w:rFonts w:ascii="Times New Roman" w:eastAsia="Times New Roman" w:hAnsi="Times New Roman"/>
                <w:sz w:val="17"/>
              </w:rPr>
              <w:br/>
              <w:t>(0.056)</w:t>
            </w:r>
          </w:p>
        </w:tc>
        <w:tc>
          <w:tcPr>
            <w:tcW w:w="1384" w:type="dxa"/>
            <w:vAlign w:val="center"/>
          </w:tcPr>
          <w:p w14:paraId="3BEB8577"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-0.146***</w:t>
            </w:r>
            <w:r>
              <w:rPr>
                <w:rFonts w:ascii="Times New Roman" w:eastAsia="Times New Roman" w:hAnsi="Times New Roman"/>
                <w:sz w:val="17"/>
              </w:rPr>
              <w:br/>
              <w:t>(0.047)</w:t>
            </w:r>
          </w:p>
        </w:tc>
        <w:tc>
          <w:tcPr>
            <w:tcW w:w="1384" w:type="dxa"/>
            <w:vAlign w:val="center"/>
          </w:tcPr>
          <w:p w14:paraId="556BF474"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FE: -0.142**</w:t>
            </w:r>
            <w:r>
              <w:rPr>
                <w:rFonts w:ascii="Times New Roman" w:eastAsia="Times New Roman" w:hAnsi="Times New Roman"/>
                <w:sz w:val="17"/>
              </w:rPr>
              <w:br/>
              <w:t>(0.056)</w:t>
            </w:r>
            <w:r>
              <w:rPr>
                <w:rFonts w:ascii="Times New Roman" w:eastAsia="Times New Roman" w:hAnsi="Times New Roman"/>
                <w:sz w:val="17"/>
              </w:rPr>
              <w:br/>
              <w:t>RE: -0.146***</w:t>
            </w:r>
            <w:r>
              <w:rPr>
                <w:rFonts w:ascii="Times New Roman" w:eastAsia="Times New Roman" w:hAnsi="Times New Roman"/>
                <w:sz w:val="17"/>
              </w:rPr>
              <w:br/>
              <w:t>(0.047)</w:t>
            </w:r>
          </w:p>
        </w:tc>
        <w:tc>
          <w:tcPr>
            <w:tcW w:w="1384" w:type="dxa"/>
            <w:vAlign w:val="center"/>
          </w:tcPr>
          <w:p w14:paraId="298DF842"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FE: -0.138***</w:t>
            </w:r>
            <w:r>
              <w:rPr>
                <w:rFonts w:ascii="Times New Roman" w:eastAsia="Times New Roman" w:hAnsi="Times New Roman"/>
                <w:sz w:val="17"/>
              </w:rPr>
              <w:br/>
              <w:t>(0.053)</w:t>
            </w:r>
            <w:r>
              <w:rPr>
                <w:rFonts w:ascii="Times New Roman" w:eastAsia="Times New Roman" w:hAnsi="Times New Roman"/>
                <w:sz w:val="17"/>
              </w:rPr>
              <w:br/>
              <w:t>RE: -0.143***</w:t>
            </w:r>
            <w:r>
              <w:rPr>
                <w:rFonts w:ascii="Times New Roman" w:eastAsia="Times New Roman" w:hAnsi="Times New Roman"/>
                <w:sz w:val="17"/>
              </w:rPr>
              <w:br/>
              <w:t>(0.044)</w:t>
            </w:r>
          </w:p>
        </w:tc>
        <w:tc>
          <w:tcPr>
            <w:tcW w:w="1159" w:type="dxa"/>
            <w:vAlign w:val="center"/>
          </w:tcPr>
          <w:p w14:paraId="4679C7F4"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FE: -0.137**</w:t>
            </w:r>
            <w:r>
              <w:rPr>
                <w:rFonts w:ascii="Times New Roman" w:eastAsia="Times New Roman" w:hAnsi="Times New Roman"/>
                <w:sz w:val="17"/>
              </w:rPr>
              <w:br/>
              <w:t>(0.055)</w:t>
            </w:r>
            <w:r>
              <w:rPr>
                <w:rFonts w:ascii="Times New Roman" w:eastAsia="Times New Roman" w:hAnsi="Times New Roman"/>
                <w:sz w:val="17"/>
              </w:rPr>
              <w:br/>
              <w:t>RE: -0.143***</w:t>
            </w:r>
            <w:r>
              <w:rPr>
                <w:rFonts w:ascii="Times New Roman" w:eastAsia="Times New Roman" w:hAnsi="Times New Roman"/>
                <w:sz w:val="17"/>
              </w:rPr>
              <w:br/>
              <w:t>(0.046)</w:t>
            </w:r>
          </w:p>
        </w:tc>
        <w:tc>
          <w:tcPr>
            <w:tcW w:w="1159" w:type="dxa"/>
            <w:vAlign w:val="center"/>
          </w:tcPr>
          <w:p w14:paraId="48F8BC86"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FE: -0.134***</w:t>
            </w:r>
            <w:r>
              <w:rPr>
                <w:rFonts w:ascii="Times New Roman" w:eastAsia="Times New Roman" w:hAnsi="Times New Roman"/>
                <w:sz w:val="17"/>
              </w:rPr>
              <w:br/>
              <w:t>(0.051)</w:t>
            </w:r>
            <w:r>
              <w:rPr>
                <w:rFonts w:ascii="Times New Roman" w:eastAsia="Times New Roman" w:hAnsi="Times New Roman"/>
                <w:sz w:val="17"/>
              </w:rPr>
              <w:br/>
              <w:t>RE: -0.140***</w:t>
            </w:r>
            <w:r>
              <w:rPr>
                <w:rFonts w:ascii="Times New Roman" w:eastAsia="Times New Roman" w:hAnsi="Times New Roman"/>
                <w:sz w:val="17"/>
              </w:rPr>
              <w:br/>
              <w:t>(0.042)</w:t>
            </w:r>
          </w:p>
        </w:tc>
      </w:tr>
      <w:tr w:rsidR="00390A4D" w:rsidRPr="00AC5B84" w14:paraId="718E0E6C" w14:textId="77777777" w:rsidTr="00390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vAlign w:val="center"/>
          </w:tcPr>
          <w:p w14:paraId="0AB6BB2D" w14:textId="77777777" w:rsidR="00390A4D" w:rsidRDefault="00390A4D" w:rsidP="009B3C84">
            <w:r>
              <w:rPr>
                <w:rFonts w:ascii="Times New Roman" w:eastAsia="Times New Roman" w:hAnsi="Times New Roman"/>
                <w:sz w:val="17"/>
              </w:rPr>
              <w:t>GDP growth</w:t>
            </w:r>
          </w:p>
        </w:tc>
        <w:tc>
          <w:tcPr>
            <w:tcW w:w="1343" w:type="dxa"/>
            <w:vAlign w:val="center"/>
          </w:tcPr>
          <w:p w14:paraId="1F375211"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w:t>
            </w:r>
          </w:p>
        </w:tc>
        <w:tc>
          <w:tcPr>
            <w:tcW w:w="1384" w:type="dxa"/>
            <w:vAlign w:val="center"/>
          </w:tcPr>
          <w:p w14:paraId="285409CE"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w:t>
            </w:r>
          </w:p>
        </w:tc>
        <w:tc>
          <w:tcPr>
            <w:tcW w:w="1384" w:type="dxa"/>
            <w:vAlign w:val="center"/>
          </w:tcPr>
          <w:p w14:paraId="3B08DD15"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w:t>
            </w:r>
          </w:p>
        </w:tc>
        <w:tc>
          <w:tcPr>
            <w:tcW w:w="1384" w:type="dxa"/>
            <w:vAlign w:val="center"/>
          </w:tcPr>
          <w:p w14:paraId="5E163FC6"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FE: -0.017</w:t>
            </w:r>
            <w:r>
              <w:rPr>
                <w:rFonts w:ascii="Times New Roman" w:eastAsia="Times New Roman" w:hAnsi="Times New Roman"/>
                <w:sz w:val="17"/>
              </w:rPr>
              <w:br/>
              <w:t>(0.024)</w:t>
            </w:r>
            <w:r>
              <w:rPr>
                <w:rFonts w:ascii="Times New Roman" w:eastAsia="Times New Roman" w:hAnsi="Times New Roman"/>
                <w:sz w:val="17"/>
              </w:rPr>
              <w:br/>
              <w:t>RE: -0.018</w:t>
            </w:r>
            <w:r>
              <w:rPr>
                <w:rFonts w:ascii="Times New Roman" w:eastAsia="Times New Roman" w:hAnsi="Times New Roman"/>
                <w:sz w:val="17"/>
              </w:rPr>
              <w:br/>
              <w:t>(0.024)</w:t>
            </w:r>
          </w:p>
        </w:tc>
        <w:tc>
          <w:tcPr>
            <w:tcW w:w="1159" w:type="dxa"/>
            <w:vAlign w:val="center"/>
          </w:tcPr>
          <w:p w14:paraId="16998445"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w:t>
            </w:r>
          </w:p>
        </w:tc>
        <w:tc>
          <w:tcPr>
            <w:tcW w:w="1159" w:type="dxa"/>
            <w:vAlign w:val="center"/>
          </w:tcPr>
          <w:p w14:paraId="1A740FC7"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FE: -0.019</w:t>
            </w:r>
            <w:r>
              <w:rPr>
                <w:rFonts w:ascii="Times New Roman" w:eastAsia="Times New Roman" w:hAnsi="Times New Roman"/>
                <w:sz w:val="17"/>
              </w:rPr>
              <w:br/>
              <w:t>(0.024)</w:t>
            </w:r>
            <w:r>
              <w:rPr>
                <w:rFonts w:ascii="Times New Roman" w:eastAsia="Times New Roman" w:hAnsi="Times New Roman"/>
                <w:sz w:val="17"/>
              </w:rPr>
              <w:br/>
              <w:t>RE: -0.020</w:t>
            </w:r>
            <w:r>
              <w:rPr>
                <w:rFonts w:ascii="Times New Roman" w:eastAsia="Times New Roman" w:hAnsi="Times New Roman"/>
                <w:sz w:val="17"/>
              </w:rPr>
              <w:br/>
              <w:t>(0.024)</w:t>
            </w:r>
          </w:p>
        </w:tc>
      </w:tr>
      <w:tr w:rsidR="00390A4D" w:rsidRPr="00AC5B84" w14:paraId="44AA7F5C" w14:textId="77777777" w:rsidTr="00390A4D">
        <w:tc>
          <w:tcPr>
            <w:cnfStyle w:val="001000000000" w:firstRow="0" w:lastRow="0" w:firstColumn="1" w:lastColumn="0" w:oddVBand="0" w:evenVBand="0" w:oddHBand="0" w:evenHBand="0" w:firstRowFirstColumn="0" w:firstRowLastColumn="0" w:lastRowFirstColumn="0" w:lastRowLastColumn="0"/>
            <w:tcW w:w="1537" w:type="dxa"/>
            <w:vAlign w:val="center"/>
          </w:tcPr>
          <w:p w14:paraId="71CC29DC" w14:textId="77777777" w:rsidR="00390A4D" w:rsidRDefault="00390A4D" w:rsidP="009B3C84">
            <w:r>
              <w:rPr>
                <w:rFonts w:ascii="Times New Roman" w:eastAsia="Times New Roman" w:hAnsi="Times New Roman"/>
                <w:sz w:val="17"/>
              </w:rPr>
              <w:t>Real interest</w:t>
            </w:r>
            <w:r>
              <w:rPr>
                <w:rFonts w:ascii="Times New Roman" w:eastAsia="Times New Roman" w:hAnsi="Times New Roman"/>
                <w:sz w:val="17"/>
              </w:rPr>
              <w:br/>
              <w:t>rate</w:t>
            </w:r>
          </w:p>
        </w:tc>
        <w:tc>
          <w:tcPr>
            <w:tcW w:w="1343" w:type="dxa"/>
            <w:vAlign w:val="center"/>
          </w:tcPr>
          <w:p w14:paraId="406EDB07"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w:t>
            </w:r>
          </w:p>
        </w:tc>
        <w:tc>
          <w:tcPr>
            <w:tcW w:w="1384" w:type="dxa"/>
            <w:vAlign w:val="center"/>
          </w:tcPr>
          <w:p w14:paraId="77D569FD"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w:t>
            </w:r>
          </w:p>
        </w:tc>
        <w:tc>
          <w:tcPr>
            <w:tcW w:w="1384" w:type="dxa"/>
            <w:vAlign w:val="center"/>
          </w:tcPr>
          <w:p w14:paraId="515015EE"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w:t>
            </w:r>
          </w:p>
        </w:tc>
        <w:tc>
          <w:tcPr>
            <w:tcW w:w="1384" w:type="dxa"/>
            <w:vAlign w:val="center"/>
          </w:tcPr>
          <w:p w14:paraId="08663198"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w:t>
            </w:r>
          </w:p>
        </w:tc>
        <w:tc>
          <w:tcPr>
            <w:tcW w:w="1159" w:type="dxa"/>
            <w:vAlign w:val="center"/>
          </w:tcPr>
          <w:p w14:paraId="5389376F"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FE: 0.026</w:t>
            </w:r>
            <w:r>
              <w:rPr>
                <w:rFonts w:ascii="Times New Roman" w:eastAsia="Times New Roman" w:hAnsi="Times New Roman"/>
                <w:sz w:val="17"/>
              </w:rPr>
              <w:br/>
              <w:t>(0.022)</w:t>
            </w:r>
            <w:r>
              <w:rPr>
                <w:rFonts w:ascii="Times New Roman" w:eastAsia="Times New Roman" w:hAnsi="Times New Roman"/>
                <w:sz w:val="17"/>
              </w:rPr>
              <w:br/>
              <w:t>RE: 0.024</w:t>
            </w:r>
            <w:r>
              <w:rPr>
                <w:rFonts w:ascii="Times New Roman" w:eastAsia="Times New Roman" w:hAnsi="Times New Roman"/>
                <w:sz w:val="17"/>
              </w:rPr>
              <w:br/>
              <w:t>(0.021)</w:t>
            </w:r>
          </w:p>
        </w:tc>
        <w:tc>
          <w:tcPr>
            <w:tcW w:w="1159" w:type="dxa"/>
            <w:vAlign w:val="center"/>
          </w:tcPr>
          <w:p w14:paraId="52208566"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FE: 0.027</w:t>
            </w:r>
            <w:r>
              <w:rPr>
                <w:rFonts w:ascii="Times New Roman" w:eastAsia="Times New Roman" w:hAnsi="Times New Roman"/>
                <w:sz w:val="17"/>
              </w:rPr>
              <w:br/>
              <w:t>(0.022)</w:t>
            </w:r>
            <w:r>
              <w:rPr>
                <w:rFonts w:ascii="Times New Roman" w:eastAsia="Times New Roman" w:hAnsi="Times New Roman"/>
                <w:sz w:val="17"/>
              </w:rPr>
              <w:br/>
              <w:t>RE: 0.024</w:t>
            </w:r>
            <w:r>
              <w:rPr>
                <w:rFonts w:ascii="Times New Roman" w:eastAsia="Times New Roman" w:hAnsi="Times New Roman"/>
                <w:sz w:val="17"/>
              </w:rPr>
              <w:br/>
              <w:t>(0.021)</w:t>
            </w:r>
          </w:p>
        </w:tc>
      </w:tr>
      <w:tr w:rsidR="00390A4D" w:rsidRPr="00AC5B84" w14:paraId="0ACA0DE2" w14:textId="77777777" w:rsidTr="00390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vAlign w:val="center"/>
          </w:tcPr>
          <w:p w14:paraId="5BE4B613" w14:textId="77777777" w:rsidR="00390A4D" w:rsidRDefault="00390A4D" w:rsidP="009B3C84">
            <w:r>
              <w:rPr>
                <w:rFonts w:ascii="Times New Roman" w:eastAsia="Times New Roman" w:hAnsi="Times New Roman"/>
                <w:sz w:val="17"/>
              </w:rPr>
              <w:t>Additional controls</w:t>
            </w:r>
          </w:p>
        </w:tc>
        <w:tc>
          <w:tcPr>
            <w:tcW w:w="1343" w:type="dxa"/>
            <w:vAlign w:val="center"/>
          </w:tcPr>
          <w:p w14:paraId="7029E5F2"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None</w:t>
            </w:r>
          </w:p>
        </w:tc>
        <w:tc>
          <w:tcPr>
            <w:tcW w:w="1384" w:type="dxa"/>
            <w:vAlign w:val="center"/>
          </w:tcPr>
          <w:p w14:paraId="12675619"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None</w:t>
            </w:r>
          </w:p>
        </w:tc>
        <w:tc>
          <w:tcPr>
            <w:tcW w:w="1384" w:type="dxa"/>
            <w:vAlign w:val="center"/>
          </w:tcPr>
          <w:p w14:paraId="215EC730"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None</w:t>
            </w:r>
          </w:p>
        </w:tc>
        <w:tc>
          <w:tcPr>
            <w:tcW w:w="1384" w:type="dxa"/>
            <w:vAlign w:val="center"/>
          </w:tcPr>
          <w:p w14:paraId="4C0C4890"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None</w:t>
            </w:r>
          </w:p>
        </w:tc>
        <w:tc>
          <w:tcPr>
            <w:tcW w:w="1159" w:type="dxa"/>
            <w:vAlign w:val="center"/>
          </w:tcPr>
          <w:p w14:paraId="0E48AB23"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None</w:t>
            </w:r>
          </w:p>
        </w:tc>
        <w:tc>
          <w:tcPr>
            <w:tcW w:w="1159" w:type="dxa"/>
            <w:vAlign w:val="center"/>
          </w:tcPr>
          <w:p w14:paraId="14DA03A2"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None</w:t>
            </w:r>
          </w:p>
        </w:tc>
      </w:tr>
      <w:tr w:rsidR="00390A4D" w:rsidRPr="00AC5B84" w14:paraId="07413F8E" w14:textId="77777777" w:rsidTr="00390A4D">
        <w:tc>
          <w:tcPr>
            <w:cnfStyle w:val="001000000000" w:firstRow="0" w:lastRow="0" w:firstColumn="1" w:lastColumn="0" w:oddVBand="0" w:evenVBand="0" w:oddHBand="0" w:evenHBand="0" w:firstRowFirstColumn="0" w:firstRowLastColumn="0" w:lastRowFirstColumn="0" w:lastRowLastColumn="0"/>
            <w:tcW w:w="1537" w:type="dxa"/>
            <w:vAlign w:val="center"/>
          </w:tcPr>
          <w:p w14:paraId="04835B24" w14:textId="77777777" w:rsidR="00390A4D" w:rsidRDefault="00390A4D" w:rsidP="009B3C84">
            <w:r>
              <w:rPr>
                <w:rFonts w:ascii="Times New Roman" w:eastAsia="Times New Roman" w:hAnsi="Times New Roman"/>
                <w:sz w:val="17"/>
              </w:rPr>
              <w:t>Obs.</w:t>
            </w:r>
          </w:p>
        </w:tc>
        <w:tc>
          <w:tcPr>
            <w:tcW w:w="1343" w:type="dxa"/>
            <w:vAlign w:val="center"/>
          </w:tcPr>
          <w:p w14:paraId="3E4C24DB"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576</w:t>
            </w:r>
          </w:p>
        </w:tc>
        <w:tc>
          <w:tcPr>
            <w:tcW w:w="1384" w:type="dxa"/>
            <w:vAlign w:val="center"/>
          </w:tcPr>
          <w:p w14:paraId="0A2EC8EB"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576</w:t>
            </w:r>
          </w:p>
        </w:tc>
        <w:tc>
          <w:tcPr>
            <w:tcW w:w="1384" w:type="dxa"/>
            <w:vAlign w:val="center"/>
          </w:tcPr>
          <w:p w14:paraId="3FDE8D4D"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576</w:t>
            </w:r>
          </w:p>
        </w:tc>
        <w:tc>
          <w:tcPr>
            <w:tcW w:w="1384" w:type="dxa"/>
            <w:vAlign w:val="center"/>
          </w:tcPr>
          <w:p w14:paraId="57DFAA13"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576</w:t>
            </w:r>
          </w:p>
        </w:tc>
        <w:tc>
          <w:tcPr>
            <w:tcW w:w="1159" w:type="dxa"/>
            <w:vAlign w:val="center"/>
          </w:tcPr>
          <w:p w14:paraId="3A8C7258"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576</w:t>
            </w:r>
          </w:p>
        </w:tc>
        <w:tc>
          <w:tcPr>
            <w:tcW w:w="1159" w:type="dxa"/>
            <w:vAlign w:val="center"/>
          </w:tcPr>
          <w:p w14:paraId="390B72D6"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576</w:t>
            </w:r>
          </w:p>
        </w:tc>
      </w:tr>
      <w:tr w:rsidR="00390A4D" w:rsidRPr="00AC5B84" w14:paraId="37DAA97A" w14:textId="77777777" w:rsidTr="00390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vAlign w:val="center"/>
          </w:tcPr>
          <w:p w14:paraId="6D2FECD2" w14:textId="77777777" w:rsidR="00390A4D" w:rsidRDefault="00390A4D" w:rsidP="009B3C84">
            <w:r>
              <w:rPr>
                <w:rFonts w:ascii="Times New Roman" w:eastAsia="Times New Roman" w:hAnsi="Times New Roman"/>
                <w:sz w:val="17"/>
              </w:rPr>
              <w:t>Countries</w:t>
            </w:r>
          </w:p>
        </w:tc>
        <w:tc>
          <w:tcPr>
            <w:tcW w:w="1343" w:type="dxa"/>
            <w:vAlign w:val="center"/>
          </w:tcPr>
          <w:p w14:paraId="629D2401"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35</w:t>
            </w:r>
          </w:p>
        </w:tc>
        <w:tc>
          <w:tcPr>
            <w:tcW w:w="1384" w:type="dxa"/>
            <w:vAlign w:val="center"/>
          </w:tcPr>
          <w:p w14:paraId="417B33F9"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35</w:t>
            </w:r>
          </w:p>
        </w:tc>
        <w:tc>
          <w:tcPr>
            <w:tcW w:w="1384" w:type="dxa"/>
            <w:vAlign w:val="center"/>
          </w:tcPr>
          <w:p w14:paraId="2E85A9BB"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35</w:t>
            </w:r>
          </w:p>
        </w:tc>
        <w:tc>
          <w:tcPr>
            <w:tcW w:w="1384" w:type="dxa"/>
            <w:vAlign w:val="center"/>
          </w:tcPr>
          <w:p w14:paraId="58CD2F58"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35</w:t>
            </w:r>
          </w:p>
        </w:tc>
        <w:tc>
          <w:tcPr>
            <w:tcW w:w="1159" w:type="dxa"/>
            <w:vAlign w:val="center"/>
          </w:tcPr>
          <w:p w14:paraId="529E1697"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35</w:t>
            </w:r>
          </w:p>
        </w:tc>
        <w:tc>
          <w:tcPr>
            <w:tcW w:w="1159" w:type="dxa"/>
            <w:vAlign w:val="center"/>
          </w:tcPr>
          <w:p w14:paraId="15D56D9C"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35</w:t>
            </w:r>
          </w:p>
        </w:tc>
      </w:tr>
      <w:tr w:rsidR="00390A4D" w:rsidRPr="00AC5B84" w14:paraId="39B89499" w14:textId="77777777" w:rsidTr="00390A4D">
        <w:tc>
          <w:tcPr>
            <w:cnfStyle w:val="001000000000" w:firstRow="0" w:lastRow="0" w:firstColumn="1" w:lastColumn="0" w:oddVBand="0" w:evenVBand="0" w:oddHBand="0" w:evenHBand="0" w:firstRowFirstColumn="0" w:firstRowLastColumn="0" w:lastRowFirstColumn="0" w:lastRowLastColumn="0"/>
            <w:tcW w:w="1537" w:type="dxa"/>
            <w:vAlign w:val="center"/>
          </w:tcPr>
          <w:p w14:paraId="5AA482D0" w14:textId="77777777" w:rsidR="00390A4D" w:rsidRDefault="00390A4D" w:rsidP="009B3C84">
            <w:r>
              <w:rPr>
                <w:rFonts w:ascii="Times New Roman" w:eastAsia="Times New Roman" w:hAnsi="Times New Roman"/>
                <w:sz w:val="17"/>
              </w:rPr>
              <w:t>R-squared / fit</w:t>
            </w:r>
          </w:p>
        </w:tc>
        <w:tc>
          <w:tcPr>
            <w:tcW w:w="1343" w:type="dxa"/>
            <w:vAlign w:val="center"/>
          </w:tcPr>
          <w:p w14:paraId="743B4910"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Within: 0.019</w:t>
            </w:r>
          </w:p>
        </w:tc>
        <w:tc>
          <w:tcPr>
            <w:tcW w:w="1384" w:type="dxa"/>
            <w:vAlign w:val="center"/>
          </w:tcPr>
          <w:p w14:paraId="216EF369"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Overall: 0.063</w:t>
            </w:r>
          </w:p>
        </w:tc>
        <w:tc>
          <w:tcPr>
            <w:tcW w:w="1384" w:type="dxa"/>
            <w:vAlign w:val="center"/>
          </w:tcPr>
          <w:p w14:paraId="387CBBB7"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FE 0.019</w:t>
            </w:r>
            <w:r>
              <w:rPr>
                <w:rFonts w:ascii="Times New Roman" w:eastAsia="Times New Roman" w:hAnsi="Times New Roman"/>
                <w:sz w:val="17"/>
              </w:rPr>
              <w:br/>
              <w:t>RE 0.063</w:t>
            </w:r>
          </w:p>
        </w:tc>
        <w:tc>
          <w:tcPr>
            <w:tcW w:w="1384" w:type="dxa"/>
            <w:vAlign w:val="center"/>
          </w:tcPr>
          <w:p w14:paraId="243A3AA4"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FE 0.019</w:t>
            </w:r>
            <w:r>
              <w:rPr>
                <w:rFonts w:ascii="Times New Roman" w:eastAsia="Times New Roman" w:hAnsi="Times New Roman"/>
                <w:sz w:val="17"/>
              </w:rPr>
              <w:br/>
              <w:t>RE 0.065</w:t>
            </w:r>
          </w:p>
        </w:tc>
        <w:tc>
          <w:tcPr>
            <w:tcW w:w="1159" w:type="dxa"/>
            <w:vAlign w:val="center"/>
          </w:tcPr>
          <w:p w14:paraId="68E87347"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FE 0.022</w:t>
            </w:r>
            <w:r>
              <w:rPr>
                <w:rFonts w:ascii="Times New Roman" w:eastAsia="Times New Roman" w:hAnsi="Times New Roman"/>
                <w:sz w:val="17"/>
              </w:rPr>
              <w:br/>
              <w:t>RE 0.057</w:t>
            </w:r>
          </w:p>
        </w:tc>
        <w:tc>
          <w:tcPr>
            <w:tcW w:w="1159" w:type="dxa"/>
            <w:vAlign w:val="center"/>
          </w:tcPr>
          <w:p w14:paraId="389B527F"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FE 0.023</w:t>
            </w:r>
            <w:r>
              <w:rPr>
                <w:rFonts w:ascii="Times New Roman" w:eastAsia="Times New Roman" w:hAnsi="Times New Roman"/>
                <w:sz w:val="17"/>
              </w:rPr>
              <w:br/>
              <w:t>RE 0.059</w:t>
            </w:r>
          </w:p>
        </w:tc>
      </w:tr>
      <w:tr w:rsidR="00390A4D" w:rsidRPr="00AC5B84" w14:paraId="3367CE74" w14:textId="77777777" w:rsidTr="00390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vAlign w:val="center"/>
          </w:tcPr>
          <w:p w14:paraId="79298FD7" w14:textId="77777777" w:rsidR="00390A4D" w:rsidRDefault="00390A4D" w:rsidP="009B3C84">
            <w:r>
              <w:rPr>
                <w:rFonts w:ascii="Times New Roman" w:eastAsia="Times New Roman" w:hAnsi="Times New Roman"/>
                <w:sz w:val="17"/>
              </w:rPr>
              <w:t>Hausman p-</w:t>
            </w:r>
            <w:r>
              <w:rPr>
                <w:rFonts w:ascii="Times New Roman" w:eastAsia="Times New Roman" w:hAnsi="Times New Roman"/>
                <w:sz w:val="17"/>
              </w:rPr>
              <w:br/>
              <w:t>value</w:t>
            </w:r>
          </w:p>
        </w:tc>
        <w:tc>
          <w:tcPr>
            <w:tcW w:w="1343" w:type="dxa"/>
            <w:vAlign w:val="center"/>
          </w:tcPr>
          <w:p w14:paraId="4A801847"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w:t>
            </w:r>
          </w:p>
        </w:tc>
        <w:tc>
          <w:tcPr>
            <w:tcW w:w="1384" w:type="dxa"/>
            <w:vAlign w:val="center"/>
          </w:tcPr>
          <w:p w14:paraId="2F30284C"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w:t>
            </w:r>
          </w:p>
        </w:tc>
        <w:tc>
          <w:tcPr>
            <w:tcW w:w="1384" w:type="dxa"/>
            <w:vAlign w:val="center"/>
          </w:tcPr>
          <w:p w14:paraId="6586B08B"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0.808</w:t>
            </w:r>
          </w:p>
        </w:tc>
        <w:tc>
          <w:tcPr>
            <w:tcW w:w="1384" w:type="dxa"/>
            <w:vAlign w:val="center"/>
          </w:tcPr>
          <w:p w14:paraId="7B2FA287"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0.486</w:t>
            </w:r>
          </w:p>
        </w:tc>
        <w:tc>
          <w:tcPr>
            <w:tcW w:w="1159" w:type="dxa"/>
            <w:vAlign w:val="center"/>
          </w:tcPr>
          <w:p w14:paraId="6D7B13AB"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0.658</w:t>
            </w:r>
          </w:p>
        </w:tc>
        <w:tc>
          <w:tcPr>
            <w:tcW w:w="1159" w:type="dxa"/>
            <w:vAlign w:val="center"/>
          </w:tcPr>
          <w:p w14:paraId="25AE866D" w14:textId="77777777" w:rsidR="00390A4D" w:rsidRDefault="00390A4D" w:rsidP="009B3C84">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17"/>
              </w:rPr>
              <w:t>0.132</w:t>
            </w:r>
          </w:p>
        </w:tc>
      </w:tr>
      <w:tr w:rsidR="00390A4D" w:rsidRPr="00AC5B84" w14:paraId="6890004B" w14:textId="77777777" w:rsidTr="00390A4D">
        <w:tc>
          <w:tcPr>
            <w:cnfStyle w:val="001000000000" w:firstRow="0" w:lastRow="0" w:firstColumn="1" w:lastColumn="0" w:oddVBand="0" w:evenVBand="0" w:oddHBand="0" w:evenHBand="0" w:firstRowFirstColumn="0" w:firstRowLastColumn="0" w:lastRowFirstColumn="0" w:lastRowLastColumn="0"/>
            <w:tcW w:w="1537" w:type="dxa"/>
            <w:vAlign w:val="center"/>
          </w:tcPr>
          <w:p w14:paraId="3067FD3A" w14:textId="77777777" w:rsidR="00390A4D" w:rsidRDefault="00390A4D" w:rsidP="009B3C84">
            <w:r>
              <w:rPr>
                <w:rFonts w:ascii="Times New Roman" w:eastAsia="Times New Roman" w:hAnsi="Times New Roman"/>
                <w:sz w:val="17"/>
              </w:rPr>
              <w:t>Preferred</w:t>
            </w:r>
            <w:r>
              <w:rPr>
                <w:rFonts w:ascii="Times New Roman" w:eastAsia="Times New Roman" w:hAnsi="Times New Roman"/>
                <w:sz w:val="17"/>
              </w:rPr>
              <w:br/>
              <w:t>estimator</w:t>
            </w:r>
          </w:p>
        </w:tc>
        <w:tc>
          <w:tcPr>
            <w:tcW w:w="1343" w:type="dxa"/>
            <w:vAlign w:val="center"/>
          </w:tcPr>
          <w:p w14:paraId="206A5FAE"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FE</w:t>
            </w:r>
          </w:p>
        </w:tc>
        <w:tc>
          <w:tcPr>
            <w:tcW w:w="1384" w:type="dxa"/>
            <w:vAlign w:val="center"/>
          </w:tcPr>
          <w:p w14:paraId="2BE5663C"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RE</w:t>
            </w:r>
          </w:p>
        </w:tc>
        <w:tc>
          <w:tcPr>
            <w:tcW w:w="1384" w:type="dxa"/>
            <w:vAlign w:val="center"/>
          </w:tcPr>
          <w:p w14:paraId="1A8FE557"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RE</w:t>
            </w:r>
          </w:p>
        </w:tc>
        <w:tc>
          <w:tcPr>
            <w:tcW w:w="1384" w:type="dxa"/>
            <w:vAlign w:val="center"/>
          </w:tcPr>
          <w:p w14:paraId="1D5DF068"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RE</w:t>
            </w:r>
          </w:p>
        </w:tc>
        <w:tc>
          <w:tcPr>
            <w:tcW w:w="1159" w:type="dxa"/>
            <w:vAlign w:val="center"/>
          </w:tcPr>
          <w:p w14:paraId="37DC894B"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RE</w:t>
            </w:r>
          </w:p>
        </w:tc>
        <w:tc>
          <w:tcPr>
            <w:tcW w:w="1159" w:type="dxa"/>
            <w:vAlign w:val="center"/>
          </w:tcPr>
          <w:p w14:paraId="228BCEFA" w14:textId="77777777" w:rsidR="00390A4D" w:rsidRDefault="00390A4D" w:rsidP="009B3C84">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17"/>
              </w:rPr>
              <w:t>RE</w:t>
            </w:r>
          </w:p>
        </w:tc>
      </w:tr>
    </w:tbl>
    <w:p w14:paraId="5E3F3ABD" w14:textId="77777777" w:rsidR="00390A4D" w:rsidRDefault="00390A4D" w:rsidP="00390A4D">
      <w:pPr>
        <w:spacing w:after="120"/>
        <w:rPr>
          <w:rFonts w:ascii="Times New Roman" w:eastAsia="Times New Roman" w:hAnsi="Times New Roman"/>
          <w:sz w:val="20"/>
        </w:rPr>
      </w:pPr>
      <w:r>
        <w:rPr>
          <w:rFonts w:ascii="Times New Roman" w:eastAsia="Times New Roman" w:hAnsi="Times New Roman"/>
          <w:sz w:val="20"/>
        </w:rPr>
        <w:t>Note. All Panel Models 1-6 in this controlled table use the same common sample of 576 observations from 35 countries, so coefficient changes across the models are comparable. Standard errors are clustered by country.</w:t>
      </w:r>
    </w:p>
    <w:p w14:paraId="08BA6A2F" w14:textId="77777777" w:rsidR="00390A4D" w:rsidRDefault="00390A4D" w:rsidP="00390A4D">
      <w:pPr>
        <w:spacing w:after="120"/>
        <w:rPr>
          <w:rFonts w:ascii="Times New Roman" w:eastAsia="Times New Roman" w:hAnsi="Times New Roman" w:cs="Times New Roman"/>
          <w:b/>
          <w:bCs/>
          <w:sz w:val="20"/>
        </w:rPr>
      </w:pPr>
    </w:p>
    <w:p w14:paraId="1FF0FD92" w14:textId="3ABD3C2D" w:rsidR="00AC5B84" w:rsidRPr="00390A4D" w:rsidRDefault="00AC5B84" w:rsidP="00390A4D">
      <w:pPr>
        <w:spacing w:after="120"/>
      </w:pPr>
      <w:r w:rsidRPr="00AC5B84">
        <w:rPr>
          <w:rFonts w:ascii="Times New Roman" w:hAnsi="Times New Roman" w:cs="Times New Roman"/>
          <w:b/>
          <w:bCs/>
        </w:rPr>
        <w:lastRenderedPageBreak/>
        <w:t>Table 4.17. Hausman-test selection summary for the controlled panel models.</w:t>
      </w:r>
    </w:p>
    <w:tbl>
      <w:tblPr>
        <w:tblStyle w:val="GridTable4-Accent1"/>
        <w:tblW w:w="0" w:type="auto"/>
        <w:tblLook w:val="04A0" w:firstRow="1" w:lastRow="0" w:firstColumn="1" w:lastColumn="0" w:noHBand="0" w:noVBand="1"/>
      </w:tblPr>
      <w:tblGrid>
        <w:gridCol w:w="1870"/>
        <w:gridCol w:w="1870"/>
        <w:gridCol w:w="1870"/>
        <w:gridCol w:w="1870"/>
        <w:gridCol w:w="1870"/>
      </w:tblGrid>
      <w:tr w:rsidR="00390A4D" w:rsidRPr="00390A4D" w14:paraId="333E2EFE" w14:textId="77777777" w:rsidTr="00390A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vAlign w:val="center"/>
          </w:tcPr>
          <w:p w14:paraId="005ED47F" w14:textId="77777777" w:rsidR="00390A4D" w:rsidRPr="00390A4D" w:rsidRDefault="00390A4D" w:rsidP="009B3C84">
            <w:pPr>
              <w:jc w:val="center"/>
            </w:pPr>
            <w:r w:rsidRPr="00390A4D">
              <w:rPr>
                <w:rFonts w:ascii="Times New Roman" w:eastAsia="Times New Roman" w:hAnsi="Times New Roman"/>
                <w:color w:val="FFFFFF"/>
              </w:rPr>
              <w:t>Panel model</w:t>
            </w:r>
          </w:p>
        </w:tc>
        <w:tc>
          <w:tcPr>
            <w:tcW w:w="1870" w:type="dxa"/>
            <w:vAlign w:val="center"/>
          </w:tcPr>
          <w:p w14:paraId="510AB98B" w14:textId="77777777" w:rsidR="00390A4D" w:rsidRP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sidRPr="00390A4D">
              <w:rPr>
                <w:rFonts w:ascii="Times New Roman" w:eastAsia="Times New Roman" w:hAnsi="Times New Roman"/>
                <w:color w:val="FFFFFF"/>
              </w:rPr>
              <w:t>FE estimated</w:t>
            </w:r>
          </w:p>
        </w:tc>
        <w:tc>
          <w:tcPr>
            <w:tcW w:w="1870" w:type="dxa"/>
            <w:vAlign w:val="center"/>
          </w:tcPr>
          <w:p w14:paraId="237CE630" w14:textId="77777777" w:rsidR="00390A4D" w:rsidRP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sidRPr="00390A4D">
              <w:rPr>
                <w:rFonts w:ascii="Times New Roman" w:eastAsia="Times New Roman" w:hAnsi="Times New Roman"/>
                <w:color w:val="FFFFFF"/>
              </w:rPr>
              <w:t>RE estimated</w:t>
            </w:r>
          </w:p>
        </w:tc>
        <w:tc>
          <w:tcPr>
            <w:tcW w:w="1870" w:type="dxa"/>
            <w:vAlign w:val="center"/>
          </w:tcPr>
          <w:p w14:paraId="09977564" w14:textId="77777777" w:rsidR="00390A4D" w:rsidRP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sidRPr="00390A4D">
              <w:rPr>
                <w:rFonts w:ascii="Times New Roman" w:eastAsia="Times New Roman" w:hAnsi="Times New Roman"/>
                <w:color w:val="FFFFFF"/>
              </w:rPr>
              <w:t>Hausman p-</w:t>
            </w:r>
            <w:r w:rsidRPr="00390A4D">
              <w:rPr>
                <w:rFonts w:ascii="Times New Roman" w:eastAsia="Times New Roman" w:hAnsi="Times New Roman"/>
                <w:color w:val="FFFFFF"/>
              </w:rPr>
              <w:br/>
              <w:t>value</w:t>
            </w:r>
          </w:p>
        </w:tc>
        <w:tc>
          <w:tcPr>
            <w:tcW w:w="1870" w:type="dxa"/>
            <w:vAlign w:val="center"/>
          </w:tcPr>
          <w:p w14:paraId="127F286A" w14:textId="77777777" w:rsidR="00390A4D" w:rsidRPr="00390A4D" w:rsidRDefault="00390A4D" w:rsidP="009B3C84">
            <w:pPr>
              <w:jc w:val="center"/>
              <w:cnfStyle w:val="100000000000" w:firstRow="1" w:lastRow="0" w:firstColumn="0" w:lastColumn="0" w:oddVBand="0" w:evenVBand="0" w:oddHBand="0" w:evenHBand="0" w:firstRowFirstColumn="0" w:firstRowLastColumn="0" w:lastRowFirstColumn="0" w:lastRowLastColumn="0"/>
            </w:pPr>
            <w:r w:rsidRPr="00390A4D">
              <w:rPr>
                <w:rFonts w:ascii="Times New Roman" w:eastAsia="Times New Roman" w:hAnsi="Times New Roman"/>
                <w:color w:val="FFFFFF"/>
              </w:rPr>
              <w:t>Decision</w:t>
            </w:r>
          </w:p>
        </w:tc>
      </w:tr>
      <w:tr w:rsidR="00390A4D" w:rsidRPr="00390A4D" w14:paraId="2E4AE522" w14:textId="77777777" w:rsidTr="00390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vAlign w:val="center"/>
          </w:tcPr>
          <w:p w14:paraId="739DA0DC" w14:textId="77777777" w:rsidR="00390A4D" w:rsidRPr="00390A4D" w:rsidRDefault="00390A4D" w:rsidP="009B3C84">
            <w:r w:rsidRPr="00390A4D">
              <w:rPr>
                <w:rFonts w:ascii="Times New Roman" w:eastAsia="Times New Roman" w:hAnsi="Times New Roman"/>
              </w:rPr>
              <w:t>Panel Model 1</w:t>
            </w:r>
          </w:p>
        </w:tc>
        <w:tc>
          <w:tcPr>
            <w:tcW w:w="1870" w:type="dxa"/>
            <w:vAlign w:val="center"/>
          </w:tcPr>
          <w:p w14:paraId="013108EB"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pPr>
            <w:r w:rsidRPr="00390A4D">
              <w:rPr>
                <w:rFonts w:ascii="Times New Roman" w:eastAsia="Times New Roman" w:hAnsi="Times New Roman"/>
              </w:rPr>
              <w:t>Yes</w:t>
            </w:r>
          </w:p>
        </w:tc>
        <w:tc>
          <w:tcPr>
            <w:tcW w:w="1870" w:type="dxa"/>
            <w:vAlign w:val="center"/>
          </w:tcPr>
          <w:p w14:paraId="512FCF8D"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pPr>
            <w:r w:rsidRPr="00390A4D">
              <w:rPr>
                <w:rFonts w:ascii="Times New Roman" w:eastAsia="Times New Roman" w:hAnsi="Times New Roman"/>
              </w:rPr>
              <w:t>No</w:t>
            </w:r>
          </w:p>
        </w:tc>
        <w:tc>
          <w:tcPr>
            <w:tcW w:w="1870" w:type="dxa"/>
            <w:vAlign w:val="center"/>
          </w:tcPr>
          <w:p w14:paraId="323A2632"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pPr>
            <w:r w:rsidRPr="00390A4D">
              <w:rPr>
                <w:rFonts w:ascii="Times New Roman" w:eastAsia="Times New Roman" w:hAnsi="Times New Roman"/>
              </w:rPr>
              <w:t>—</w:t>
            </w:r>
          </w:p>
        </w:tc>
        <w:tc>
          <w:tcPr>
            <w:tcW w:w="1870" w:type="dxa"/>
            <w:vAlign w:val="center"/>
          </w:tcPr>
          <w:p w14:paraId="7BD82686"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pPr>
            <w:r w:rsidRPr="00390A4D">
              <w:rPr>
                <w:rFonts w:ascii="Times New Roman" w:eastAsia="Times New Roman" w:hAnsi="Times New Roman"/>
              </w:rPr>
              <w:t>FE baseline</w:t>
            </w:r>
          </w:p>
        </w:tc>
      </w:tr>
      <w:tr w:rsidR="00390A4D" w:rsidRPr="00390A4D" w14:paraId="35B997DB" w14:textId="77777777" w:rsidTr="00390A4D">
        <w:tc>
          <w:tcPr>
            <w:cnfStyle w:val="001000000000" w:firstRow="0" w:lastRow="0" w:firstColumn="1" w:lastColumn="0" w:oddVBand="0" w:evenVBand="0" w:oddHBand="0" w:evenHBand="0" w:firstRowFirstColumn="0" w:firstRowLastColumn="0" w:lastRowFirstColumn="0" w:lastRowLastColumn="0"/>
            <w:tcW w:w="1870" w:type="dxa"/>
            <w:vAlign w:val="center"/>
          </w:tcPr>
          <w:p w14:paraId="0A4505F9" w14:textId="77777777" w:rsidR="00390A4D" w:rsidRPr="00390A4D" w:rsidRDefault="00390A4D" w:rsidP="009B3C84">
            <w:r w:rsidRPr="00390A4D">
              <w:rPr>
                <w:rFonts w:ascii="Times New Roman" w:eastAsia="Times New Roman" w:hAnsi="Times New Roman"/>
              </w:rPr>
              <w:t>Panel Model 2</w:t>
            </w:r>
          </w:p>
        </w:tc>
        <w:tc>
          <w:tcPr>
            <w:tcW w:w="1870" w:type="dxa"/>
            <w:vAlign w:val="center"/>
          </w:tcPr>
          <w:p w14:paraId="1502D2EA"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pPr>
            <w:r w:rsidRPr="00390A4D">
              <w:rPr>
                <w:rFonts w:ascii="Times New Roman" w:eastAsia="Times New Roman" w:hAnsi="Times New Roman"/>
              </w:rPr>
              <w:t>No</w:t>
            </w:r>
          </w:p>
        </w:tc>
        <w:tc>
          <w:tcPr>
            <w:tcW w:w="1870" w:type="dxa"/>
            <w:vAlign w:val="center"/>
          </w:tcPr>
          <w:p w14:paraId="286209FD"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pPr>
            <w:r w:rsidRPr="00390A4D">
              <w:rPr>
                <w:rFonts w:ascii="Times New Roman" w:eastAsia="Times New Roman" w:hAnsi="Times New Roman"/>
              </w:rPr>
              <w:t>Yes</w:t>
            </w:r>
          </w:p>
        </w:tc>
        <w:tc>
          <w:tcPr>
            <w:tcW w:w="1870" w:type="dxa"/>
            <w:vAlign w:val="center"/>
          </w:tcPr>
          <w:p w14:paraId="5426047A"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pPr>
            <w:r w:rsidRPr="00390A4D">
              <w:rPr>
                <w:rFonts w:ascii="Times New Roman" w:eastAsia="Times New Roman" w:hAnsi="Times New Roman"/>
              </w:rPr>
              <w:t>—</w:t>
            </w:r>
          </w:p>
        </w:tc>
        <w:tc>
          <w:tcPr>
            <w:tcW w:w="1870" w:type="dxa"/>
            <w:vAlign w:val="center"/>
          </w:tcPr>
          <w:p w14:paraId="5186A6CB"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pPr>
            <w:r w:rsidRPr="00390A4D">
              <w:rPr>
                <w:rFonts w:ascii="Times New Roman" w:eastAsia="Times New Roman" w:hAnsi="Times New Roman"/>
              </w:rPr>
              <w:t>RE baseline</w:t>
            </w:r>
          </w:p>
        </w:tc>
      </w:tr>
      <w:tr w:rsidR="00390A4D" w:rsidRPr="00390A4D" w14:paraId="4F691AC6" w14:textId="77777777" w:rsidTr="00390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vAlign w:val="center"/>
          </w:tcPr>
          <w:p w14:paraId="2C038BCB" w14:textId="77777777" w:rsidR="00390A4D" w:rsidRPr="00390A4D" w:rsidRDefault="00390A4D" w:rsidP="009B3C84">
            <w:r w:rsidRPr="00390A4D">
              <w:rPr>
                <w:rFonts w:ascii="Times New Roman" w:eastAsia="Times New Roman" w:hAnsi="Times New Roman"/>
              </w:rPr>
              <w:t>Panel Model 3</w:t>
            </w:r>
          </w:p>
        </w:tc>
        <w:tc>
          <w:tcPr>
            <w:tcW w:w="1870" w:type="dxa"/>
            <w:vAlign w:val="center"/>
          </w:tcPr>
          <w:p w14:paraId="1F16BF6B"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pPr>
            <w:r w:rsidRPr="00390A4D">
              <w:rPr>
                <w:rFonts w:ascii="Times New Roman" w:eastAsia="Times New Roman" w:hAnsi="Times New Roman"/>
              </w:rPr>
              <w:t>Yes</w:t>
            </w:r>
          </w:p>
        </w:tc>
        <w:tc>
          <w:tcPr>
            <w:tcW w:w="1870" w:type="dxa"/>
            <w:vAlign w:val="center"/>
          </w:tcPr>
          <w:p w14:paraId="46BA2916"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pPr>
            <w:r w:rsidRPr="00390A4D">
              <w:rPr>
                <w:rFonts w:ascii="Times New Roman" w:eastAsia="Times New Roman" w:hAnsi="Times New Roman"/>
              </w:rPr>
              <w:t>Yes</w:t>
            </w:r>
          </w:p>
        </w:tc>
        <w:tc>
          <w:tcPr>
            <w:tcW w:w="1870" w:type="dxa"/>
            <w:vAlign w:val="center"/>
          </w:tcPr>
          <w:p w14:paraId="6EC71A30"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pPr>
            <w:r w:rsidRPr="00390A4D">
              <w:rPr>
                <w:rFonts w:ascii="Times New Roman" w:eastAsia="Times New Roman" w:hAnsi="Times New Roman"/>
              </w:rPr>
              <w:t>0.808</w:t>
            </w:r>
          </w:p>
        </w:tc>
        <w:tc>
          <w:tcPr>
            <w:tcW w:w="1870" w:type="dxa"/>
            <w:vAlign w:val="center"/>
          </w:tcPr>
          <w:p w14:paraId="6744A489"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pPr>
            <w:r w:rsidRPr="00390A4D">
              <w:rPr>
                <w:rFonts w:ascii="Times New Roman" w:eastAsia="Times New Roman" w:hAnsi="Times New Roman"/>
              </w:rPr>
              <w:t>RE preferred</w:t>
            </w:r>
          </w:p>
        </w:tc>
      </w:tr>
      <w:tr w:rsidR="00390A4D" w:rsidRPr="00390A4D" w14:paraId="16E21118" w14:textId="77777777" w:rsidTr="00390A4D">
        <w:tc>
          <w:tcPr>
            <w:cnfStyle w:val="001000000000" w:firstRow="0" w:lastRow="0" w:firstColumn="1" w:lastColumn="0" w:oddVBand="0" w:evenVBand="0" w:oddHBand="0" w:evenHBand="0" w:firstRowFirstColumn="0" w:firstRowLastColumn="0" w:lastRowFirstColumn="0" w:lastRowLastColumn="0"/>
            <w:tcW w:w="1870" w:type="dxa"/>
            <w:vAlign w:val="center"/>
          </w:tcPr>
          <w:p w14:paraId="0E34F334" w14:textId="77777777" w:rsidR="00390A4D" w:rsidRPr="00390A4D" w:rsidRDefault="00390A4D" w:rsidP="009B3C84">
            <w:r w:rsidRPr="00390A4D">
              <w:rPr>
                <w:rFonts w:ascii="Times New Roman" w:eastAsia="Times New Roman" w:hAnsi="Times New Roman"/>
              </w:rPr>
              <w:t>Panel Model 4</w:t>
            </w:r>
          </w:p>
        </w:tc>
        <w:tc>
          <w:tcPr>
            <w:tcW w:w="1870" w:type="dxa"/>
            <w:vAlign w:val="center"/>
          </w:tcPr>
          <w:p w14:paraId="2062BA21"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pPr>
            <w:r w:rsidRPr="00390A4D">
              <w:rPr>
                <w:rFonts w:ascii="Times New Roman" w:eastAsia="Times New Roman" w:hAnsi="Times New Roman"/>
              </w:rPr>
              <w:t>Yes</w:t>
            </w:r>
          </w:p>
        </w:tc>
        <w:tc>
          <w:tcPr>
            <w:tcW w:w="1870" w:type="dxa"/>
            <w:vAlign w:val="center"/>
          </w:tcPr>
          <w:p w14:paraId="068B4C39"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pPr>
            <w:r w:rsidRPr="00390A4D">
              <w:rPr>
                <w:rFonts w:ascii="Times New Roman" w:eastAsia="Times New Roman" w:hAnsi="Times New Roman"/>
              </w:rPr>
              <w:t>Yes</w:t>
            </w:r>
          </w:p>
        </w:tc>
        <w:tc>
          <w:tcPr>
            <w:tcW w:w="1870" w:type="dxa"/>
            <w:vAlign w:val="center"/>
          </w:tcPr>
          <w:p w14:paraId="28F7DE15"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pPr>
            <w:r w:rsidRPr="00390A4D">
              <w:rPr>
                <w:rFonts w:ascii="Times New Roman" w:eastAsia="Times New Roman" w:hAnsi="Times New Roman"/>
              </w:rPr>
              <w:t>0.486</w:t>
            </w:r>
          </w:p>
        </w:tc>
        <w:tc>
          <w:tcPr>
            <w:tcW w:w="1870" w:type="dxa"/>
            <w:vAlign w:val="center"/>
          </w:tcPr>
          <w:p w14:paraId="480F8805"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pPr>
            <w:r w:rsidRPr="00390A4D">
              <w:rPr>
                <w:rFonts w:ascii="Times New Roman" w:eastAsia="Times New Roman" w:hAnsi="Times New Roman"/>
              </w:rPr>
              <w:t>RE preferred</w:t>
            </w:r>
          </w:p>
        </w:tc>
      </w:tr>
      <w:tr w:rsidR="00390A4D" w:rsidRPr="00390A4D" w14:paraId="5384A1AC" w14:textId="77777777" w:rsidTr="00390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vAlign w:val="center"/>
          </w:tcPr>
          <w:p w14:paraId="79B6810F" w14:textId="77777777" w:rsidR="00390A4D" w:rsidRPr="00390A4D" w:rsidRDefault="00390A4D" w:rsidP="009B3C84">
            <w:r w:rsidRPr="00390A4D">
              <w:rPr>
                <w:rFonts w:ascii="Times New Roman" w:eastAsia="Times New Roman" w:hAnsi="Times New Roman"/>
              </w:rPr>
              <w:t>Panel Model 5</w:t>
            </w:r>
          </w:p>
        </w:tc>
        <w:tc>
          <w:tcPr>
            <w:tcW w:w="1870" w:type="dxa"/>
            <w:vAlign w:val="center"/>
          </w:tcPr>
          <w:p w14:paraId="69821741"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pPr>
            <w:r w:rsidRPr="00390A4D">
              <w:rPr>
                <w:rFonts w:ascii="Times New Roman" w:eastAsia="Times New Roman" w:hAnsi="Times New Roman"/>
              </w:rPr>
              <w:t>Yes</w:t>
            </w:r>
          </w:p>
        </w:tc>
        <w:tc>
          <w:tcPr>
            <w:tcW w:w="1870" w:type="dxa"/>
            <w:vAlign w:val="center"/>
          </w:tcPr>
          <w:p w14:paraId="3EC30DBA"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pPr>
            <w:r w:rsidRPr="00390A4D">
              <w:rPr>
                <w:rFonts w:ascii="Times New Roman" w:eastAsia="Times New Roman" w:hAnsi="Times New Roman"/>
              </w:rPr>
              <w:t>Yes</w:t>
            </w:r>
          </w:p>
        </w:tc>
        <w:tc>
          <w:tcPr>
            <w:tcW w:w="1870" w:type="dxa"/>
            <w:vAlign w:val="center"/>
          </w:tcPr>
          <w:p w14:paraId="5BF26EBD"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pPr>
            <w:r w:rsidRPr="00390A4D">
              <w:rPr>
                <w:rFonts w:ascii="Times New Roman" w:eastAsia="Times New Roman" w:hAnsi="Times New Roman"/>
              </w:rPr>
              <w:t>0.658</w:t>
            </w:r>
          </w:p>
        </w:tc>
        <w:tc>
          <w:tcPr>
            <w:tcW w:w="1870" w:type="dxa"/>
            <w:vAlign w:val="center"/>
          </w:tcPr>
          <w:p w14:paraId="7E8F1E26"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pPr>
            <w:r w:rsidRPr="00390A4D">
              <w:rPr>
                <w:rFonts w:ascii="Times New Roman" w:eastAsia="Times New Roman" w:hAnsi="Times New Roman"/>
              </w:rPr>
              <w:t>RE preferred</w:t>
            </w:r>
          </w:p>
        </w:tc>
      </w:tr>
      <w:tr w:rsidR="00390A4D" w:rsidRPr="00390A4D" w14:paraId="25C6545E" w14:textId="77777777" w:rsidTr="00390A4D">
        <w:tc>
          <w:tcPr>
            <w:cnfStyle w:val="001000000000" w:firstRow="0" w:lastRow="0" w:firstColumn="1" w:lastColumn="0" w:oddVBand="0" w:evenVBand="0" w:oddHBand="0" w:evenHBand="0" w:firstRowFirstColumn="0" w:firstRowLastColumn="0" w:lastRowFirstColumn="0" w:lastRowLastColumn="0"/>
            <w:tcW w:w="1870" w:type="dxa"/>
            <w:vAlign w:val="center"/>
          </w:tcPr>
          <w:p w14:paraId="223B25B8" w14:textId="77777777" w:rsidR="00390A4D" w:rsidRPr="00390A4D" w:rsidRDefault="00390A4D" w:rsidP="009B3C84">
            <w:r w:rsidRPr="00390A4D">
              <w:rPr>
                <w:rFonts w:ascii="Times New Roman" w:eastAsia="Times New Roman" w:hAnsi="Times New Roman"/>
              </w:rPr>
              <w:t>Panel Model 6</w:t>
            </w:r>
          </w:p>
        </w:tc>
        <w:tc>
          <w:tcPr>
            <w:tcW w:w="1870" w:type="dxa"/>
            <w:vAlign w:val="center"/>
          </w:tcPr>
          <w:p w14:paraId="5222BC57"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pPr>
            <w:r w:rsidRPr="00390A4D">
              <w:rPr>
                <w:rFonts w:ascii="Times New Roman" w:eastAsia="Times New Roman" w:hAnsi="Times New Roman"/>
              </w:rPr>
              <w:t>Yes</w:t>
            </w:r>
          </w:p>
        </w:tc>
        <w:tc>
          <w:tcPr>
            <w:tcW w:w="1870" w:type="dxa"/>
            <w:vAlign w:val="center"/>
          </w:tcPr>
          <w:p w14:paraId="19A02DCC"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pPr>
            <w:r w:rsidRPr="00390A4D">
              <w:rPr>
                <w:rFonts w:ascii="Times New Roman" w:eastAsia="Times New Roman" w:hAnsi="Times New Roman"/>
              </w:rPr>
              <w:t>Yes</w:t>
            </w:r>
          </w:p>
        </w:tc>
        <w:tc>
          <w:tcPr>
            <w:tcW w:w="1870" w:type="dxa"/>
            <w:vAlign w:val="center"/>
          </w:tcPr>
          <w:p w14:paraId="3109BCEF"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pPr>
            <w:r w:rsidRPr="00390A4D">
              <w:rPr>
                <w:rFonts w:ascii="Times New Roman" w:eastAsia="Times New Roman" w:hAnsi="Times New Roman"/>
              </w:rPr>
              <w:t>0.132</w:t>
            </w:r>
          </w:p>
        </w:tc>
        <w:tc>
          <w:tcPr>
            <w:tcW w:w="1870" w:type="dxa"/>
            <w:vAlign w:val="center"/>
          </w:tcPr>
          <w:p w14:paraId="5DA1DDC9"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pPr>
            <w:r w:rsidRPr="00390A4D">
              <w:rPr>
                <w:rFonts w:ascii="Times New Roman" w:eastAsia="Times New Roman" w:hAnsi="Times New Roman"/>
              </w:rPr>
              <w:t>RE preferred</w:t>
            </w:r>
          </w:p>
        </w:tc>
      </w:tr>
      <w:tr w:rsidR="00390A4D" w:rsidRPr="00390A4D" w14:paraId="3A039CE2" w14:textId="77777777" w:rsidTr="00390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vAlign w:val="center"/>
          </w:tcPr>
          <w:p w14:paraId="449F66A6" w14:textId="77777777" w:rsidR="00390A4D" w:rsidRPr="00390A4D" w:rsidRDefault="00390A4D" w:rsidP="009B3C84">
            <w:r w:rsidRPr="00390A4D">
              <w:rPr>
                <w:rFonts w:ascii="Times New Roman" w:eastAsia="Times New Roman" w:hAnsi="Times New Roman"/>
              </w:rPr>
              <w:t>Reporting rule</w:t>
            </w:r>
          </w:p>
        </w:tc>
        <w:tc>
          <w:tcPr>
            <w:tcW w:w="1870" w:type="dxa"/>
            <w:vAlign w:val="center"/>
          </w:tcPr>
          <w:p w14:paraId="3231D99A"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pPr>
            <w:r w:rsidRPr="00390A4D">
              <w:rPr>
                <w:rFonts w:ascii="Times New Roman" w:eastAsia="Times New Roman" w:hAnsi="Times New Roman"/>
              </w:rPr>
              <w:t>Report both</w:t>
            </w:r>
          </w:p>
        </w:tc>
        <w:tc>
          <w:tcPr>
            <w:tcW w:w="1870" w:type="dxa"/>
            <w:vAlign w:val="center"/>
          </w:tcPr>
          <w:p w14:paraId="3D75C6FB"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pPr>
            <w:r w:rsidRPr="00390A4D">
              <w:rPr>
                <w:rFonts w:ascii="Times New Roman" w:eastAsia="Times New Roman" w:hAnsi="Times New Roman"/>
              </w:rPr>
              <w:t>Interpret RE</w:t>
            </w:r>
          </w:p>
        </w:tc>
        <w:tc>
          <w:tcPr>
            <w:tcW w:w="1870" w:type="dxa"/>
            <w:vAlign w:val="center"/>
          </w:tcPr>
          <w:p w14:paraId="6A5F6372"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pPr>
            <w:r w:rsidRPr="00390A4D">
              <w:rPr>
                <w:rFonts w:ascii="Times New Roman" w:eastAsia="Times New Roman" w:hAnsi="Times New Roman"/>
              </w:rPr>
              <w:t>p &gt;= 0.05</w:t>
            </w:r>
          </w:p>
        </w:tc>
        <w:tc>
          <w:tcPr>
            <w:tcW w:w="1870" w:type="dxa"/>
            <w:vAlign w:val="center"/>
          </w:tcPr>
          <w:p w14:paraId="68770B91"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pPr>
            <w:r w:rsidRPr="00390A4D">
              <w:rPr>
                <w:rFonts w:ascii="Times New Roman" w:eastAsia="Times New Roman" w:hAnsi="Times New Roman"/>
              </w:rPr>
              <w:t>Use FE/RE results only</w:t>
            </w:r>
          </w:p>
        </w:tc>
      </w:tr>
    </w:tbl>
    <w:p w14:paraId="3C252C29" w14:textId="77777777" w:rsidR="00390A4D" w:rsidRDefault="00390A4D" w:rsidP="00390A4D">
      <w:pPr>
        <w:spacing w:after="120"/>
      </w:pPr>
      <w:r>
        <w:rPr>
          <w:rFonts w:ascii="Times New Roman" w:eastAsia="Times New Roman" w:hAnsi="Times New Roman"/>
          <w:sz w:val="20"/>
        </w:rPr>
        <w:t>Note. The p-values reported in this table are classic Hausman-test p-values. Every controlled specification selects RE at the 5% level.</w:t>
      </w:r>
    </w:p>
    <w:p w14:paraId="27501DA1" w14:textId="5FCF71B2" w:rsidR="00AC5B84" w:rsidRPr="00AC5B84" w:rsidRDefault="00AC5B84" w:rsidP="00AC5B84">
      <w:pPr>
        <w:keepNext/>
        <w:spacing w:before="100" w:after="60"/>
        <w:rPr>
          <w:rFonts w:ascii="Times New Roman" w:hAnsi="Times New Roman" w:cs="Times New Roman"/>
          <w:sz w:val="22"/>
          <w:szCs w:val="22"/>
        </w:rPr>
      </w:pPr>
      <w:r w:rsidRPr="00AC5B84">
        <w:rPr>
          <w:rFonts w:ascii="Times New Roman" w:hAnsi="Times New Roman" w:cs="Times New Roman"/>
          <w:sz w:val="22"/>
          <w:szCs w:val="22"/>
        </w:rPr>
        <w:t>Figure 4.</w:t>
      </w:r>
      <w:r>
        <w:rPr>
          <w:rFonts w:ascii="Times New Roman" w:hAnsi="Times New Roman" w:cs="Times New Roman"/>
          <w:sz w:val="22"/>
          <w:szCs w:val="22"/>
        </w:rPr>
        <w:t>7</w:t>
      </w:r>
      <w:r w:rsidRPr="00AC5B84">
        <w:rPr>
          <w:rFonts w:ascii="Times New Roman" w:hAnsi="Times New Roman" w:cs="Times New Roman"/>
          <w:sz w:val="22"/>
          <w:szCs w:val="22"/>
        </w:rPr>
        <w:t>. GDP growth and real interest rate effects in the controlled core sample.</w:t>
      </w:r>
    </w:p>
    <w:p w14:paraId="478D5EB0" w14:textId="77777777" w:rsidR="00AC5B84" w:rsidRPr="00AC5B84" w:rsidRDefault="00AC5B84" w:rsidP="00AC5B84">
      <w:pPr>
        <w:spacing w:after="60"/>
        <w:jc w:val="center"/>
        <w:rPr>
          <w:rFonts w:ascii="Times New Roman" w:hAnsi="Times New Roman" w:cs="Times New Roman"/>
          <w:sz w:val="22"/>
          <w:szCs w:val="22"/>
        </w:rPr>
      </w:pPr>
      <w:r w:rsidRPr="00AC5B84">
        <w:rPr>
          <w:rFonts w:ascii="Times New Roman" w:hAnsi="Times New Roman" w:cs="Times New Roman"/>
          <w:noProof/>
          <w:sz w:val="22"/>
          <w:szCs w:val="22"/>
        </w:rPr>
        <w:drawing>
          <wp:inline distT="0" distB="0" distL="0" distR="0" wp14:anchorId="7911694A" wp14:editId="2C013917">
            <wp:extent cx="5303520" cy="2930616"/>
            <wp:effectExtent l="0" t="0" r="0" b="0"/>
            <wp:docPr id="2012711067" name="Picture 201271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4_11_control_coefficients_model4.png"/>
                    <pic:cNvPicPr/>
                  </pic:nvPicPr>
                  <pic:blipFill>
                    <a:blip r:embed="rId19"/>
                    <a:stretch>
                      <a:fillRect/>
                    </a:stretch>
                  </pic:blipFill>
                  <pic:spPr>
                    <a:xfrm>
                      <a:off x="0" y="0"/>
                      <a:ext cx="5303520" cy="2930616"/>
                    </a:xfrm>
                    <a:prstGeom prst="rect">
                      <a:avLst/>
                    </a:prstGeom>
                  </pic:spPr>
                </pic:pic>
              </a:graphicData>
            </a:graphic>
          </wp:inline>
        </w:drawing>
      </w:r>
    </w:p>
    <w:p w14:paraId="15765E6E" w14:textId="77777777" w:rsidR="00AC5B84" w:rsidRPr="00AC5B84" w:rsidRDefault="00AC5B84" w:rsidP="00AC5B84">
      <w:pPr>
        <w:spacing w:after="120"/>
        <w:rPr>
          <w:rFonts w:ascii="Times New Roman" w:hAnsi="Times New Roman" w:cs="Times New Roman"/>
          <w:sz w:val="22"/>
          <w:szCs w:val="22"/>
        </w:rPr>
      </w:pPr>
      <w:r w:rsidRPr="00AC5B84">
        <w:rPr>
          <w:rFonts w:ascii="Times New Roman" w:hAnsi="Times New Roman" w:cs="Times New Roman"/>
          <w:sz w:val="22"/>
          <w:szCs w:val="22"/>
        </w:rPr>
        <w:t>Note. GDP growth is introduced in Panel Model 4 and Panel Model 6. The real interest rate is introduced in Panel Model 5 and Panel Model 6.</w:t>
      </w:r>
    </w:p>
    <w:p w14:paraId="6648A336" w14:textId="77777777" w:rsidR="000B7447" w:rsidRPr="000B7447" w:rsidRDefault="000B7447" w:rsidP="000B7447">
      <w:pPr>
        <w:spacing w:line="360" w:lineRule="auto"/>
        <w:jc w:val="both"/>
        <w:rPr>
          <w:rFonts w:ascii="Times New Roman" w:hAnsi="Times New Roman" w:cs="Times New Roman"/>
        </w:rPr>
      </w:pPr>
    </w:p>
    <w:p w14:paraId="1C03E97A" w14:textId="77777777" w:rsidR="000B7447" w:rsidRP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 xml:space="preserve">For the controlled Bank Z-score models, focus on the sign, magnitude and significance of the </w:t>
      </w:r>
      <w:proofErr w:type="gramStart"/>
      <w:r w:rsidRPr="000B7447">
        <w:rPr>
          <w:rFonts w:ascii="Times New Roman" w:hAnsi="Times New Roman" w:cs="Times New Roman"/>
        </w:rPr>
        <w:t>GARCH(</w:t>
      </w:r>
      <w:proofErr w:type="gramEnd"/>
      <w:r w:rsidRPr="000B7447">
        <w:rPr>
          <w:rFonts w:ascii="Times New Roman" w:hAnsi="Times New Roman" w:cs="Times New Roman"/>
        </w:rPr>
        <w:t xml:space="preserve">1,1) volatility coefficient as indicated across the different Panel Models (namely panels 1-6). Once GDP growth and the real interest rate are added to the coefficient, if it still turns out to be negative, the result can be used to argue that the inflation volatility has an independent association with less banking stability. The forecast effect of GDP growth is positive because when GDP growth is higher, borrower capacity and bank resilience tend to be higher. However, the real </w:t>
      </w:r>
      <w:r w:rsidRPr="000B7447">
        <w:rPr>
          <w:rFonts w:ascii="Times New Roman" w:hAnsi="Times New Roman" w:cs="Times New Roman"/>
        </w:rPr>
        <w:lastRenderedPageBreak/>
        <w:t>interest-rate coefficient can either be positive or negative depending on whether an increase in real interest rates boosts bank returns or the stress on repayment.</w:t>
      </w:r>
    </w:p>
    <w:p w14:paraId="5D20B2DA" w14:textId="6885CB09" w:rsidR="000B7447" w:rsidRP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t xml:space="preserve">Due to the change in empirical model used, which centers around Bank Z-Score, </w:t>
      </w:r>
      <w:proofErr w:type="gramStart"/>
      <w:r w:rsidRPr="000B7447">
        <w:rPr>
          <w:rFonts w:ascii="Times New Roman" w:hAnsi="Times New Roman" w:cs="Times New Roman"/>
        </w:rPr>
        <w:t>the</w:t>
      </w:r>
      <w:r w:rsidR="00B751B1">
        <w:rPr>
          <w:rFonts w:ascii="Times New Roman" w:hAnsi="Times New Roman" w:cs="Times New Roman"/>
        </w:rPr>
        <w:t xml:space="preserve"> </w:t>
      </w:r>
      <w:r w:rsidRPr="000B7447">
        <w:rPr>
          <w:rFonts w:ascii="Times New Roman" w:hAnsi="Times New Roman" w:cs="Times New Roman"/>
        </w:rPr>
        <w:t xml:space="preserve"> interpretations</w:t>
      </w:r>
      <w:proofErr w:type="gramEnd"/>
      <w:r w:rsidRPr="000B7447">
        <w:rPr>
          <w:rFonts w:ascii="Times New Roman" w:hAnsi="Times New Roman" w:cs="Times New Roman"/>
        </w:rPr>
        <w:t xml:space="preserve"> specific to NPLs are no longer provided in the main text of the regression analysis. Despite eliminating NPL evidence in the literature review and background, the decision of the controlled panel interpretation should be made according to the Bank z-score model.</w:t>
      </w:r>
    </w:p>
    <w:p w14:paraId="118EB54C" w14:textId="77777777" w:rsidR="00AC5B84" w:rsidRPr="00AC5B84" w:rsidRDefault="00AC5B84" w:rsidP="00AC5B84">
      <w:pPr>
        <w:pStyle w:val="Heading3"/>
        <w:rPr>
          <w:rFonts w:ascii="Times New Roman" w:hAnsi="Times New Roman" w:cs="Times New Roman"/>
          <w:b/>
          <w:bCs/>
          <w:sz w:val="24"/>
          <w:szCs w:val="24"/>
        </w:rPr>
      </w:pPr>
      <w:bookmarkStart w:id="93" w:name="_Toc235530921"/>
      <w:r w:rsidRPr="00AC5B84">
        <w:rPr>
          <w:rFonts w:ascii="Times New Roman" w:hAnsi="Times New Roman" w:cs="Times New Roman"/>
          <w:b/>
          <w:bCs/>
          <w:sz w:val="24"/>
          <w:szCs w:val="24"/>
        </w:rPr>
        <w:t>4.7.2 Controlled robustness and threshold checks</w:t>
      </w:r>
      <w:bookmarkEnd w:id="93"/>
    </w:p>
    <w:p w14:paraId="2ACDEABE" w14:textId="4C65B74D" w:rsidR="00AC5B84" w:rsidRPr="00AC5B84" w:rsidRDefault="00AC5B84" w:rsidP="00AC5B84">
      <w:pPr>
        <w:keepNext/>
        <w:spacing w:before="100" w:after="60"/>
        <w:rPr>
          <w:rFonts w:ascii="Times New Roman" w:hAnsi="Times New Roman" w:cs="Times New Roman"/>
          <w:b/>
          <w:bCs/>
        </w:rPr>
      </w:pPr>
      <w:r w:rsidRPr="00AC5B84">
        <w:rPr>
          <w:rFonts w:ascii="Times New Roman" w:hAnsi="Times New Roman" w:cs="Times New Roman"/>
          <w:b/>
          <w:bCs/>
        </w:rPr>
        <w:t>Table 4.18. Controlled simple-panel robustness checks.</w:t>
      </w:r>
    </w:p>
    <w:tbl>
      <w:tblPr>
        <w:tblStyle w:val="GridTable4-Accent1"/>
        <w:tblW w:w="0" w:type="auto"/>
        <w:tblLook w:val="04A0" w:firstRow="1" w:lastRow="0" w:firstColumn="1" w:lastColumn="0" w:noHBand="0" w:noVBand="1"/>
      </w:tblPr>
      <w:tblGrid>
        <w:gridCol w:w="1478"/>
        <w:gridCol w:w="896"/>
        <w:gridCol w:w="1019"/>
        <w:gridCol w:w="1164"/>
        <w:gridCol w:w="1025"/>
        <w:gridCol w:w="1535"/>
        <w:gridCol w:w="1093"/>
        <w:gridCol w:w="1140"/>
      </w:tblGrid>
      <w:tr w:rsidR="00390A4D" w:rsidRPr="00390A4D" w14:paraId="7087563B" w14:textId="77777777" w:rsidTr="00390A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8" w:type="dxa"/>
            <w:vAlign w:val="center"/>
          </w:tcPr>
          <w:p w14:paraId="00C0A571" w14:textId="77777777" w:rsidR="00390A4D" w:rsidRPr="00390A4D" w:rsidRDefault="00390A4D" w:rsidP="009B3C84">
            <w:pPr>
              <w:jc w:val="center"/>
              <w:rPr>
                <w:sz w:val="20"/>
                <w:szCs w:val="20"/>
              </w:rPr>
            </w:pPr>
            <w:r w:rsidRPr="00390A4D">
              <w:rPr>
                <w:rFonts w:ascii="Times New Roman" w:eastAsia="Times New Roman" w:hAnsi="Times New Roman"/>
                <w:color w:val="FFFFFF"/>
                <w:sz w:val="20"/>
                <w:szCs w:val="20"/>
              </w:rPr>
              <w:t>Robustness</w:t>
            </w:r>
            <w:r w:rsidRPr="00390A4D">
              <w:rPr>
                <w:rFonts w:ascii="Times New Roman" w:eastAsia="Times New Roman" w:hAnsi="Times New Roman"/>
                <w:color w:val="FFFFFF"/>
                <w:sz w:val="20"/>
                <w:szCs w:val="20"/>
              </w:rPr>
              <w:br/>
              <w:t>check</w:t>
            </w:r>
          </w:p>
        </w:tc>
        <w:tc>
          <w:tcPr>
            <w:tcW w:w="896" w:type="dxa"/>
            <w:vAlign w:val="center"/>
          </w:tcPr>
          <w:p w14:paraId="7997A2F5" w14:textId="77777777" w:rsidR="00390A4D" w:rsidRPr="00390A4D" w:rsidRDefault="00390A4D" w:rsidP="009B3C84">
            <w:pPr>
              <w:jc w:val="center"/>
              <w:cnfStyle w:val="100000000000" w:firstRow="1"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color w:val="FFFFFF"/>
                <w:sz w:val="20"/>
                <w:szCs w:val="20"/>
              </w:rPr>
              <w:t>Model</w:t>
            </w:r>
            <w:r w:rsidRPr="00390A4D">
              <w:rPr>
                <w:rFonts w:ascii="Times New Roman" w:eastAsia="Times New Roman" w:hAnsi="Times New Roman"/>
                <w:color w:val="FFFFFF"/>
                <w:sz w:val="20"/>
                <w:szCs w:val="20"/>
              </w:rPr>
              <w:br/>
              <w:t>basis</w:t>
            </w:r>
          </w:p>
        </w:tc>
        <w:tc>
          <w:tcPr>
            <w:tcW w:w="1019" w:type="dxa"/>
            <w:vAlign w:val="center"/>
          </w:tcPr>
          <w:p w14:paraId="49539913" w14:textId="77777777" w:rsidR="00390A4D" w:rsidRPr="00390A4D" w:rsidRDefault="00390A4D" w:rsidP="009B3C84">
            <w:pPr>
              <w:jc w:val="center"/>
              <w:cnfStyle w:val="100000000000" w:firstRow="1"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color w:val="FFFFFF"/>
                <w:sz w:val="20"/>
                <w:szCs w:val="20"/>
              </w:rPr>
              <w:t>Controls</w:t>
            </w:r>
          </w:p>
        </w:tc>
        <w:tc>
          <w:tcPr>
            <w:tcW w:w="1164" w:type="dxa"/>
            <w:vAlign w:val="center"/>
          </w:tcPr>
          <w:p w14:paraId="27244DE3" w14:textId="77777777" w:rsidR="00390A4D" w:rsidRPr="00390A4D" w:rsidRDefault="00390A4D" w:rsidP="009B3C84">
            <w:pPr>
              <w:jc w:val="center"/>
              <w:cnfStyle w:val="100000000000" w:firstRow="1"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color w:val="FFFFFF"/>
                <w:sz w:val="20"/>
                <w:szCs w:val="20"/>
              </w:rPr>
              <w:t>Expected</w:t>
            </w:r>
            <w:r w:rsidRPr="00390A4D">
              <w:rPr>
                <w:rFonts w:ascii="Times New Roman" w:eastAsia="Times New Roman" w:hAnsi="Times New Roman"/>
                <w:color w:val="FFFFFF"/>
                <w:sz w:val="20"/>
                <w:szCs w:val="20"/>
              </w:rPr>
              <w:br/>
              <w:t>reading</w:t>
            </w:r>
          </w:p>
        </w:tc>
        <w:tc>
          <w:tcPr>
            <w:tcW w:w="1025" w:type="dxa"/>
            <w:vAlign w:val="center"/>
          </w:tcPr>
          <w:p w14:paraId="36CCCB17" w14:textId="77777777" w:rsidR="00390A4D" w:rsidRPr="00390A4D" w:rsidRDefault="00390A4D" w:rsidP="009B3C84">
            <w:pPr>
              <w:jc w:val="center"/>
              <w:cnfStyle w:val="100000000000" w:firstRow="1"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color w:val="FFFFFF"/>
                <w:sz w:val="20"/>
                <w:szCs w:val="20"/>
              </w:rPr>
              <w:t>Report item</w:t>
            </w:r>
          </w:p>
        </w:tc>
        <w:tc>
          <w:tcPr>
            <w:tcW w:w="1535" w:type="dxa"/>
            <w:vAlign w:val="center"/>
          </w:tcPr>
          <w:p w14:paraId="69981216" w14:textId="77777777" w:rsidR="00390A4D" w:rsidRPr="00390A4D" w:rsidRDefault="00390A4D" w:rsidP="009B3C84">
            <w:pPr>
              <w:jc w:val="center"/>
              <w:cnfStyle w:val="100000000000" w:firstRow="1"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color w:val="FFFFFF"/>
                <w:sz w:val="20"/>
                <w:szCs w:val="20"/>
              </w:rPr>
              <w:t>Main</w:t>
            </w:r>
            <w:r w:rsidRPr="00390A4D">
              <w:rPr>
                <w:rFonts w:ascii="Times New Roman" w:eastAsia="Times New Roman" w:hAnsi="Times New Roman"/>
                <w:color w:val="FFFFFF"/>
                <w:sz w:val="20"/>
                <w:szCs w:val="20"/>
              </w:rPr>
              <w:br/>
              <w:t>decision</w:t>
            </w:r>
          </w:p>
        </w:tc>
        <w:tc>
          <w:tcPr>
            <w:tcW w:w="1093" w:type="dxa"/>
            <w:vAlign w:val="center"/>
          </w:tcPr>
          <w:p w14:paraId="09FAC2F1" w14:textId="77777777" w:rsidR="00390A4D" w:rsidRPr="00390A4D" w:rsidRDefault="00390A4D" w:rsidP="009B3C84">
            <w:pPr>
              <w:jc w:val="center"/>
              <w:cnfStyle w:val="100000000000" w:firstRow="1"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color w:val="FFFFFF"/>
                <w:sz w:val="20"/>
                <w:szCs w:val="20"/>
              </w:rPr>
              <w:t>Comment</w:t>
            </w:r>
          </w:p>
        </w:tc>
        <w:tc>
          <w:tcPr>
            <w:tcW w:w="1140" w:type="dxa"/>
            <w:vAlign w:val="center"/>
          </w:tcPr>
          <w:p w14:paraId="74154F12" w14:textId="77777777" w:rsidR="00390A4D" w:rsidRPr="00390A4D" w:rsidRDefault="00390A4D" w:rsidP="009B3C84">
            <w:pPr>
              <w:jc w:val="center"/>
              <w:cnfStyle w:val="100000000000" w:firstRow="1"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color w:val="FFFFFF"/>
                <w:sz w:val="20"/>
                <w:szCs w:val="20"/>
              </w:rPr>
              <w:t>Status</w:t>
            </w:r>
          </w:p>
        </w:tc>
      </w:tr>
      <w:tr w:rsidR="00390A4D" w:rsidRPr="00390A4D" w14:paraId="4CA8E8B4" w14:textId="77777777" w:rsidTr="00390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8" w:type="dxa"/>
            <w:vAlign w:val="center"/>
          </w:tcPr>
          <w:p w14:paraId="1303F678" w14:textId="77777777" w:rsidR="00390A4D" w:rsidRPr="00390A4D" w:rsidRDefault="00390A4D" w:rsidP="009B3C84">
            <w:pPr>
              <w:rPr>
                <w:sz w:val="20"/>
                <w:szCs w:val="20"/>
              </w:rPr>
            </w:pPr>
            <w:r w:rsidRPr="00390A4D">
              <w:rPr>
                <w:rFonts w:ascii="Times New Roman" w:eastAsia="Times New Roman" w:hAnsi="Times New Roman"/>
                <w:sz w:val="20"/>
                <w:szCs w:val="20"/>
              </w:rPr>
              <w:t>Baseline</w:t>
            </w:r>
            <w:r w:rsidRPr="00390A4D">
              <w:rPr>
                <w:rFonts w:ascii="Times New Roman" w:eastAsia="Times New Roman" w:hAnsi="Times New Roman"/>
                <w:sz w:val="20"/>
                <w:szCs w:val="20"/>
              </w:rPr>
              <w:br/>
            </w:r>
            <w:proofErr w:type="gramStart"/>
            <w:r w:rsidRPr="00390A4D">
              <w:rPr>
                <w:rFonts w:ascii="Times New Roman" w:eastAsia="Times New Roman" w:hAnsi="Times New Roman"/>
                <w:sz w:val="20"/>
                <w:szCs w:val="20"/>
              </w:rPr>
              <w:t>GARCH(</w:t>
            </w:r>
            <w:proofErr w:type="gramEnd"/>
            <w:r w:rsidRPr="00390A4D">
              <w:rPr>
                <w:rFonts w:ascii="Times New Roman" w:eastAsia="Times New Roman" w:hAnsi="Times New Roman"/>
                <w:sz w:val="20"/>
                <w:szCs w:val="20"/>
              </w:rPr>
              <w:t>1,1)</w:t>
            </w:r>
          </w:p>
        </w:tc>
        <w:tc>
          <w:tcPr>
            <w:tcW w:w="896" w:type="dxa"/>
            <w:vAlign w:val="center"/>
          </w:tcPr>
          <w:p w14:paraId="1A1315C4"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0"/>
                <w:szCs w:val="20"/>
              </w:rPr>
            </w:pPr>
            <w:r w:rsidRPr="00390A4D">
              <w:rPr>
                <w:rFonts w:ascii="Times New Roman" w:eastAsia="Times New Roman" w:hAnsi="Times New Roman"/>
                <w:sz w:val="20"/>
                <w:szCs w:val="20"/>
              </w:rPr>
              <w:t>Simple</w:t>
            </w:r>
            <w:r w:rsidRPr="00390A4D">
              <w:rPr>
                <w:rFonts w:ascii="Times New Roman" w:eastAsia="Times New Roman" w:hAnsi="Times New Roman"/>
                <w:sz w:val="20"/>
                <w:szCs w:val="20"/>
              </w:rPr>
              <w:br/>
              <w:t>FE/RE</w:t>
            </w:r>
          </w:p>
        </w:tc>
        <w:tc>
          <w:tcPr>
            <w:tcW w:w="1019" w:type="dxa"/>
            <w:vAlign w:val="center"/>
          </w:tcPr>
          <w:p w14:paraId="6936AE35"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0"/>
                <w:szCs w:val="20"/>
              </w:rPr>
            </w:pPr>
            <w:r w:rsidRPr="00390A4D">
              <w:rPr>
                <w:rFonts w:ascii="Times New Roman" w:eastAsia="Times New Roman" w:hAnsi="Times New Roman"/>
                <w:sz w:val="20"/>
                <w:szCs w:val="20"/>
              </w:rPr>
              <w:t>GDP +</w:t>
            </w:r>
            <w:r w:rsidRPr="00390A4D">
              <w:rPr>
                <w:rFonts w:ascii="Times New Roman" w:eastAsia="Times New Roman" w:hAnsi="Times New Roman"/>
                <w:sz w:val="20"/>
                <w:szCs w:val="20"/>
              </w:rPr>
              <w:br/>
              <w:t>RIR</w:t>
            </w:r>
          </w:p>
        </w:tc>
        <w:tc>
          <w:tcPr>
            <w:tcW w:w="1164" w:type="dxa"/>
            <w:vAlign w:val="center"/>
          </w:tcPr>
          <w:p w14:paraId="71C61552"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0"/>
                <w:szCs w:val="20"/>
              </w:rPr>
            </w:pPr>
            <w:r w:rsidRPr="00390A4D">
              <w:rPr>
                <w:rFonts w:ascii="Times New Roman" w:eastAsia="Times New Roman" w:hAnsi="Times New Roman"/>
                <w:sz w:val="20"/>
                <w:szCs w:val="20"/>
              </w:rPr>
              <w:t>Primary</w:t>
            </w:r>
            <w:r w:rsidRPr="00390A4D">
              <w:rPr>
                <w:rFonts w:ascii="Times New Roman" w:eastAsia="Times New Roman" w:hAnsi="Times New Roman"/>
                <w:sz w:val="20"/>
                <w:szCs w:val="20"/>
              </w:rPr>
              <w:br/>
              <w:t>result</w:t>
            </w:r>
          </w:p>
        </w:tc>
        <w:tc>
          <w:tcPr>
            <w:tcW w:w="1025" w:type="dxa"/>
            <w:vAlign w:val="center"/>
          </w:tcPr>
          <w:p w14:paraId="572CE479"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0"/>
                <w:szCs w:val="20"/>
              </w:rPr>
            </w:pPr>
            <w:r w:rsidRPr="00390A4D">
              <w:rPr>
                <w:rFonts w:ascii="Times New Roman" w:eastAsia="Times New Roman" w:hAnsi="Times New Roman"/>
                <w:sz w:val="20"/>
                <w:szCs w:val="20"/>
              </w:rPr>
              <w:t>RE: -0.140***</w:t>
            </w:r>
            <w:r w:rsidRPr="00390A4D">
              <w:rPr>
                <w:rFonts w:ascii="Times New Roman" w:eastAsia="Times New Roman" w:hAnsi="Times New Roman"/>
                <w:sz w:val="20"/>
                <w:szCs w:val="20"/>
              </w:rPr>
              <w:br/>
              <w:t>(0.042); p=0.001</w:t>
            </w:r>
          </w:p>
        </w:tc>
        <w:tc>
          <w:tcPr>
            <w:tcW w:w="1535" w:type="dxa"/>
            <w:vAlign w:val="center"/>
          </w:tcPr>
          <w:p w14:paraId="7045CF32"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0"/>
                <w:szCs w:val="20"/>
              </w:rPr>
            </w:pPr>
            <w:r w:rsidRPr="00390A4D">
              <w:rPr>
                <w:rFonts w:ascii="Times New Roman" w:eastAsia="Times New Roman" w:hAnsi="Times New Roman"/>
                <w:sz w:val="20"/>
                <w:szCs w:val="20"/>
              </w:rPr>
              <w:t>RE</w:t>
            </w:r>
            <w:r w:rsidRPr="00390A4D">
              <w:rPr>
                <w:rFonts w:ascii="Times New Roman" w:eastAsia="Times New Roman" w:hAnsi="Times New Roman"/>
                <w:sz w:val="20"/>
                <w:szCs w:val="20"/>
              </w:rPr>
              <w:br/>
              <w:t>Hausman=0.132</w:t>
            </w:r>
          </w:p>
        </w:tc>
        <w:tc>
          <w:tcPr>
            <w:tcW w:w="1093" w:type="dxa"/>
            <w:vAlign w:val="center"/>
          </w:tcPr>
          <w:p w14:paraId="412A97D1"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0"/>
                <w:szCs w:val="20"/>
              </w:rPr>
            </w:pPr>
            <w:r w:rsidRPr="00390A4D">
              <w:rPr>
                <w:rFonts w:ascii="Times New Roman" w:eastAsia="Times New Roman" w:hAnsi="Times New Roman"/>
                <w:sz w:val="20"/>
                <w:szCs w:val="20"/>
              </w:rPr>
              <w:t>Baseline retained</w:t>
            </w:r>
          </w:p>
        </w:tc>
        <w:tc>
          <w:tcPr>
            <w:tcW w:w="1140" w:type="dxa"/>
            <w:vAlign w:val="center"/>
          </w:tcPr>
          <w:p w14:paraId="1A0F0113"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0"/>
                <w:szCs w:val="20"/>
              </w:rPr>
            </w:pPr>
            <w:r w:rsidRPr="00390A4D">
              <w:rPr>
                <w:rFonts w:ascii="Times New Roman" w:eastAsia="Times New Roman" w:hAnsi="Times New Roman"/>
                <w:sz w:val="20"/>
                <w:szCs w:val="20"/>
              </w:rPr>
              <w:t>Main</w:t>
            </w:r>
          </w:p>
        </w:tc>
      </w:tr>
      <w:tr w:rsidR="00390A4D" w:rsidRPr="00390A4D" w14:paraId="4D5AB0C3" w14:textId="77777777" w:rsidTr="00390A4D">
        <w:tc>
          <w:tcPr>
            <w:cnfStyle w:val="001000000000" w:firstRow="0" w:lastRow="0" w:firstColumn="1" w:lastColumn="0" w:oddVBand="0" w:evenVBand="0" w:oddHBand="0" w:evenHBand="0" w:firstRowFirstColumn="0" w:firstRowLastColumn="0" w:lastRowFirstColumn="0" w:lastRowLastColumn="0"/>
            <w:tcW w:w="1478" w:type="dxa"/>
            <w:vAlign w:val="center"/>
          </w:tcPr>
          <w:p w14:paraId="06F42114" w14:textId="77777777" w:rsidR="00390A4D" w:rsidRPr="00390A4D" w:rsidRDefault="00390A4D" w:rsidP="009B3C84">
            <w:pPr>
              <w:rPr>
                <w:sz w:val="20"/>
                <w:szCs w:val="20"/>
              </w:rPr>
            </w:pPr>
            <w:r w:rsidRPr="00390A4D">
              <w:rPr>
                <w:rFonts w:ascii="Times New Roman" w:eastAsia="Times New Roman" w:hAnsi="Times New Roman"/>
                <w:sz w:val="20"/>
                <w:szCs w:val="20"/>
              </w:rPr>
              <w:t xml:space="preserve">Rolling </w:t>
            </w:r>
            <w:proofErr w:type="gramStart"/>
            <w:r w:rsidRPr="00390A4D">
              <w:rPr>
                <w:rFonts w:ascii="Times New Roman" w:eastAsia="Times New Roman" w:hAnsi="Times New Roman"/>
                <w:sz w:val="20"/>
                <w:szCs w:val="20"/>
              </w:rPr>
              <w:t>SD(</w:t>
            </w:r>
            <w:proofErr w:type="gramEnd"/>
            <w:r w:rsidRPr="00390A4D">
              <w:rPr>
                <w:rFonts w:ascii="Times New Roman" w:eastAsia="Times New Roman" w:hAnsi="Times New Roman"/>
                <w:sz w:val="20"/>
                <w:szCs w:val="20"/>
              </w:rPr>
              <w:t>3)</w:t>
            </w:r>
            <w:r w:rsidRPr="00390A4D">
              <w:rPr>
                <w:rFonts w:ascii="Times New Roman" w:eastAsia="Times New Roman" w:hAnsi="Times New Roman"/>
                <w:sz w:val="20"/>
                <w:szCs w:val="20"/>
              </w:rPr>
              <w:br/>
              <w:t>of inflation returns</w:t>
            </w:r>
          </w:p>
        </w:tc>
        <w:tc>
          <w:tcPr>
            <w:tcW w:w="896" w:type="dxa"/>
            <w:vAlign w:val="center"/>
          </w:tcPr>
          <w:p w14:paraId="5EA5AE04"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sz w:val="20"/>
                <w:szCs w:val="20"/>
              </w:rPr>
              <w:t>Simple</w:t>
            </w:r>
            <w:r w:rsidRPr="00390A4D">
              <w:rPr>
                <w:rFonts w:ascii="Times New Roman" w:eastAsia="Times New Roman" w:hAnsi="Times New Roman"/>
                <w:sz w:val="20"/>
                <w:szCs w:val="20"/>
              </w:rPr>
              <w:br/>
              <w:t>FE/RE</w:t>
            </w:r>
          </w:p>
        </w:tc>
        <w:tc>
          <w:tcPr>
            <w:tcW w:w="1019" w:type="dxa"/>
            <w:vAlign w:val="center"/>
          </w:tcPr>
          <w:p w14:paraId="1511C0AC"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sz w:val="20"/>
                <w:szCs w:val="20"/>
              </w:rPr>
              <w:t>GDP +</w:t>
            </w:r>
            <w:r w:rsidRPr="00390A4D">
              <w:rPr>
                <w:rFonts w:ascii="Times New Roman" w:eastAsia="Times New Roman" w:hAnsi="Times New Roman"/>
                <w:sz w:val="20"/>
                <w:szCs w:val="20"/>
              </w:rPr>
              <w:br/>
              <w:t>RIR</w:t>
            </w:r>
          </w:p>
        </w:tc>
        <w:tc>
          <w:tcPr>
            <w:tcW w:w="1164" w:type="dxa"/>
            <w:vAlign w:val="center"/>
          </w:tcPr>
          <w:p w14:paraId="65194B91"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sz w:val="20"/>
                <w:szCs w:val="20"/>
              </w:rPr>
              <w:t>Sensitivity</w:t>
            </w:r>
            <w:r w:rsidRPr="00390A4D">
              <w:rPr>
                <w:rFonts w:ascii="Times New Roman" w:eastAsia="Times New Roman" w:hAnsi="Times New Roman"/>
                <w:sz w:val="20"/>
                <w:szCs w:val="20"/>
              </w:rPr>
              <w:br/>
              <w:t>only</w:t>
            </w:r>
          </w:p>
        </w:tc>
        <w:tc>
          <w:tcPr>
            <w:tcW w:w="1025" w:type="dxa"/>
            <w:vAlign w:val="center"/>
          </w:tcPr>
          <w:p w14:paraId="1674E5A6"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sz w:val="20"/>
                <w:szCs w:val="20"/>
              </w:rPr>
              <w:t>FE: -0.033</w:t>
            </w:r>
            <w:r w:rsidRPr="00390A4D">
              <w:rPr>
                <w:rFonts w:ascii="Times New Roman" w:eastAsia="Times New Roman" w:hAnsi="Times New Roman"/>
                <w:sz w:val="20"/>
                <w:szCs w:val="20"/>
              </w:rPr>
              <w:br/>
              <w:t>(0.036); p=0.354</w:t>
            </w:r>
          </w:p>
        </w:tc>
        <w:tc>
          <w:tcPr>
            <w:tcW w:w="1535" w:type="dxa"/>
            <w:vAlign w:val="center"/>
          </w:tcPr>
          <w:p w14:paraId="1D9AE155"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sz w:val="20"/>
                <w:szCs w:val="20"/>
              </w:rPr>
              <w:t>FE</w:t>
            </w:r>
            <w:r w:rsidRPr="00390A4D">
              <w:rPr>
                <w:rFonts w:ascii="Times New Roman" w:eastAsia="Times New Roman" w:hAnsi="Times New Roman"/>
                <w:sz w:val="20"/>
                <w:szCs w:val="20"/>
              </w:rPr>
              <w:br/>
              <w:t>Hausman=0.049</w:t>
            </w:r>
          </w:p>
        </w:tc>
        <w:tc>
          <w:tcPr>
            <w:tcW w:w="1093" w:type="dxa"/>
            <w:vAlign w:val="center"/>
          </w:tcPr>
          <w:p w14:paraId="59C32D0E"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sz w:val="20"/>
                <w:szCs w:val="20"/>
              </w:rPr>
              <w:t>Negative but not significant</w:t>
            </w:r>
          </w:p>
        </w:tc>
        <w:tc>
          <w:tcPr>
            <w:tcW w:w="1140" w:type="dxa"/>
            <w:vAlign w:val="center"/>
          </w:tcPr>
          <w:p w14:paraId="2FA44E40"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sz w:val="20"/>
                <w:szCs w:val="20"/>
              </w:rPr>
              <w:t>Robustness</w:t>
            </w:r>
          </w:p>
        </w:tc>
      </w:tr>
      <w:tr w:rsidR="00390A4D" w:rsidRPr="00390A4D" w14:paraId="1A0DECFA" w14:textId="77777777" w:rsidTr="00390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8" w:type="dxa"/>
            <w:vAlign w:val="center"/>
          </w:tcPr>
          <w:p w14:paraId="2B3BF591" w14:textId="77777777" w:rsidR="00390A4D" w:rsidRPr="00390A4D" w:rsidRDefault="00390A4D" w:rsidP="009B3C84">
            <w:pPr>
              <w:rPr>
                <w:sz w:val="20"/>
                <w:szCs w:val="20"/>
              </w:rPr>
            </w:pPr>
            <w:r w:rsidRPr="00390A4D">
              <w:rPr>
                <w:rFonts w:ascii="Times New Roman" w:eastAsia="Times New Roman" w:hAnsi="Times New Roman"/>
                <w:sz w:val="20"/>
                <w:szCs w:val="20"/>
              </w:rPr>
              <w:t>AR(1)-</w:t>
            </w:r>
            <w:r w:rsidRPr="00390A4D">
              <w:rPr>
                <w:rFonts w:ascii="Times New Roman" w:eastAsia="Times New Roman" w:hAnsi="Times New Roman"/>
                <w:sz w:val="20"/>
                <w:szCs w:val="20"/>
              </w:rPr>
              <w:br/>
            </w:r>
            <w:proofErr w:type="gramStart"/>
            <w:r w:rsidRPr="00390A4D">
              <w:rPr>
                <w:rFonts w:ascii="Times New Roman" w:eastAsia="Times New Roman" w:hAnsi="Times New Roman"/>
                <w:sz w:val="20"/>
                <w:szCs w:val="20"/>
              </w:rPr>
              <w:t>GARCH(</w:t>
            </w:r>
            <w:proofErr w:type="gramEnd"/>
            <w:r w:rsidRPr="00390A4D">
              <w:rPr>
                <w:rFonts w:ascii="Times New Roman" w:eastAsia="Times New Roman" w:hAnsi="Times New Roman"/>
                <w:sz w:val="20"/>
                <w:szCs w:val="20"/>
              </w:rPr>
              <w:t>1,1)</w:t>
            </w:r>
          </w:p>
        </w:tc>
        <w:tc>
          <w:tcPr>
            <w:tcW w:w="896" w:type="dxa"/>
            <w:vAlign w:val="center"/>
          </w:tcPr>
          <w:p w14:paraId="36489584"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0"/>
                <w:szCs w:val="20"/>
              </w:rPr>
            </w:pPr>
            <w:r w:rsidRPr="00390A4D">
              <w:rPr>
                <w:rFonts w:ascii="Times New Roman" w:eastAsia="Times New Roman" w:hAnsi="Times New Roman"/>
                <w:sz w:val="20"/>
                <w:szCs w:val="20"/>
              </w:rPr>
              <w:t>Simple</w:t>
            </w:r>
            <w:r w:rsidRPr="00390A4D">
              <w:rPr>
                <w:rFonts w:ascii="Times New Roman" w:eastAsia="Times New Roman" w:hAnsi="Times New Roman"/>
                <w:sz w:val="20"/>
                <w:szCs w:val="20"/>
              </w:rPr>
              <w:br/>
              <w:t>FE/RE</w:t>
            </w:r>
          </w:p>
        </w:tc>
        <w:tc>
          <w:tcPr>
            <w:tcW w:w="1019" w:type="dxa"/>
            <w:vAlign w:val="center"/>
          </w:tcPr>
          <w:p w14:paraId="199CBAA1"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0"/>
                <w:szCs w:val="20"/>
              </w:rPr>
            </w:pPr>
            <w:r w:rsidRPr="00390A4D">
              <w:rPr>
                <w:rFonts w:ascii="Times New Roman" w:eastAsia="Times New Roman" w:hAnsi="Times New Roman"/>
                <w:sz w:val="20"/>
                <w:szCs w:val="20"/>
              </w:rPr>
              <w:t>GDP +</w:t>
            </w:r>
            <w:r w:rsidRPr="00390A4D">
              <w:rPr>
                <w:rFonts w:ascii="Times New Roman" w:eastAsia="Times New Roman" w:hAnsi="Times New Roman"/>
                <w:sz w:val="20"/>
                <w:szCs w:val="20"/>
              </w:rPr>
              <w:br/>
              <w:t>RIR</w:t>
            </w:r>
          </w:p>
        </w:tc>
        <w:tc>
          <w:tcPr>
            <w:tcW w:w="1164" w:type="dxa"/>
            <w:vAlign w:val="center"/>
          </w:tcPr>
          <w:p w14:paraId="2CB06584"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0"/>
                <w:szCs w:val="20"/>
              </w:rPr>
            </w:pPr>
            <w:r w:rsidRPr="00390A4D">
              <w:rPr>
                <w:rFonts w:ascii="Times New Roman" w:eastAsia="Times New Roman" w:hAnsi="Times New Roman"/>
                <w:sz w:val="20"/>
                <w:szCs w:val="20"/>
              </w:rPr>
              <w:t>Persistence</w:t>
            </w:r>
            <w:r w:rsidRPr="00390A4D">
              <w:rPr>
                <w:rFonts w:ascii="Times New Roman" w:eastAsia="Times New Roman" w:hAnsi="Times New Roman"/>
                <w:sz w:val="20"/>
                <w:szCs w:val="20"/>
              </w:rPr>
              <w:br/>
              <w:t>check</w:t>
            </w:r>
          </w:p>
        </w:tc>
        <w:tc>
          <w:tcPr>
            <w:tcW w:w="1025" w:type="dxa"/>
            <w:vAlign w:val="center"/>
          </w:tcPr>
          <w:p w14:paraId="0633472F"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0"/>
                <w:szCs w:val="20"/>
              </w:rPr>
            </w:pPr>
            <w:r w:rsidRPr="00390A4D">
              <w:rPr>
                <w:rFonts w:ascii="Times New Roman" w:eastAsia="Times New Roman" w:hAnsi="Times New Roman"/>
                <w:sz w:val="20"/>
                <w:szCs w:val="20"/>
              </w:rPr>
              <w:t>RE: -0.254***</w:t>
            </w:r>
            <w:r w:rsidRPr="00390A4D">
              <w:rPr>
                <w:rFonts w:ascii="Times New Roman" w:eastAsia="Times New Roman" w:hAnsi="Times New Roman"/>
                <w:sz w:val="20"/>
                <w:szCs w:val="20"/>
              </w:rPr>
              <w:br/>
              <w:t>(0.030); p&lt;0.001</w:t>
            </w:r>
          </w:p>
        </w:tc>
        <w:tc>
          <w:tcPr>
            <w:tcW w:w="1535" w:type="dxa"/>
            <w:vAlign w:val="center"/>
          </w:tcPr>
          <w:p w14:paraId="783E7B76"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0"/>
                <w:szCs w:val="20"/>
              </w:rPr>
            </w:pPr>
            <w:r w:rsidRPr="00390A4D">
              <w:rPr>
                <w:rFonts w:ascii="Times New Roman" w:eastAsia="Times New Roman" w:hAnsi="Times New Roman"/>
                <w:sz w:val="20"/>
                <w:szCs w:val="20"/>
              </w:rPr>
              <w:t>RE</w:t>
            </w:r>
            <w:r w:rsidRPr="00390A4D">
              <w:rPr>
                <w:rFonts w:ascii="Times New Roman" w:eastAsia="Times New Roman" w:hAnsi="Times New Roman"/>
                <w:sz w:val="20"/>
                <w:szCs w:val="20"/>
              </w:rPr>
              <w:br/>
              <w:t>Hausman=0.157</w:t>
            </w:r>
          </w:p>
        </w:tc>
        <w:tc>
          <w:tcPr>
            <w:tcW w:w="1093" w:type="dxa"/>
            <w:vAlign w:val="center"/>
          </w:tcPr>
          <w:p w14:paraId="10135036"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0"/>
                <w:szCs w:val="20"/>
              </w:rPr>
            </w:pPr>
            <w:r w:rsidRPr="00390A4D">
              <w:rPr>
                <w:rFonts w:ascii="Times New Roman" w:eastAsia="Times New Roman" w:hAnsi="Times New Roman"/>
                <w:sz w:val="20"/>
                <w:szCs w:val="20"/>
              </w:rPr>
              <w:t>Same negative sign</w:t>
            </w:r>
          </w:p>
        </w:tc>
        <w:tc>
          <w:tcPr>
            <w:tcW w:w="1140" w:type="dxa"/>
            <w:vAlign w:val="center"/>
          </w:tcPr>
          <w:p w14:paraId="4FF8E249"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0"/>
                <w:szCs w:val="20"/>
              </w:rPr>
            </w:pPr>
            <w:r w:rsidRPr="00390A4D">
              <w:rPr>
                <w:rFonts w:ascii="Times New Roman" w:eastAsia="Times New Roman" w:hAnsi="Times New Roman"/>
                <w:sz w:val="20"/>
                <w:szCs w:val="20"/>
              </w:rPr>
              <w:t>Robustness</w:t>
            </w:r>
          </w:p>
        </w:tc>
      </w:tr>
      <w:tr w:rsidR="00390A4D" w:rsidRPr="00390A4D" w14:paraId="532E5045" w14:textId="77777777" w:rsidTr="00390A4D">
        <w:tc>
          <w:tcPr>
            <w:cnfStyle w:val="001000000000" w:firstRow="0" w:lastRow="0" w:firstColumn="1" w:lastColumn="0" w:oddVBand="0" w:evenVBand="0" w:oddHBand="0" w:evenHBand="0" w:firstRowFirstColumn="0" w:firstRowLastColumn="0" w:lastRowFirstColumn="0" w:lastRowLastColumn="0"/>
            <w:tcW w:w="1478" w:type="dxa"/>
            <w:vAlign w:val="center"/>
          </w:tcPr>
          <w:p w14:paraId="23490039" w14:textId="77777777" w:rsidR="00390A4D" w:rsidRPr="00390A4D" w:rsidRDefault="00390A4D" w:rsidP="009B3C84">
            <w:pPr>
              <w:rPr>
                <w:sz w:val="20"/>
                <w:szCs w:val="20"/>
              </w:rPr>
            </w:pPr>
            <w:proofErr w:type="gramStart"/>
            <w:r w:rsidRPr="00390A4D">
              <w:rPr>
                <w:rFonts w:ascii="Times New Roman" w:eastAsia="Times New Roman" w:hAnsi="Times New Roman"/>
                <w:sz w:val="20"/>
                <w:szCs w:val="20"/>
              </w:rPr>
              <w:t>EGARCH(</w:t>
            </w:r>
            <w:proofErr w:type="gramEnd"/>
            <w:r w:rsidRPr="00390A4D">
              <w:rPr>
                <w:rFonts w:ascii="Times New Roman" w:eastAsia="Times New Roman" w:hAnsi="Times New Roman"/>
                <w:sz w:val="20"/>
                <w:szCs w:val="20"/>
              </w:rPr>
              <w:t>1,1)</w:t>
            </w:r>
          </w:p>
        </w:tc>
        <w:tc>
          <w:tcPr>
            <w:tcW w:w="896" w:type="dxa"/>
            <w:vAlign w:val="center"/>
          </w:tcPr>
          <w:p w14:paraId="429A5689"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sz w:val="20"/>
                <w:szCs w:val="20"/>
              </w:rPr>
              <w:t>Simple</w:t>
            </w:r>
            <w:r w:rsidRPr="00390A4D">
              <w:rPr>
                <w:rFonts w:ascii="Times New Roman" w:eastAsia="Times New Roman" w:hAnsi="Times New Roman"/>
                <w:sz w:val="20"/>
                <w:szCs w:val="20"/>
              </w:rPr>
              <w:br/>
              <w:t>FE/RE</w:t>
            </w:r>
          </w:p>
        </w:tc>
        <w:tc>
          <w:tcPr>
            <w:tcW w:w="1019" w:type="dxa"/>
            <w:vAlign w:val="center"/>
          </w:tcPr>
          <w:p w14:paraId="35F698B7"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sz w:val="20"/>
                <w:szCs w:val="20"/>
              </w:rPr>
              <w:t>GDP +</w:t>
            </w:r>
            <w:r w:rsidRPr="00390A4D">
              <w:rPr>
                <w:rFonts w:ascii="Times New Roman" w:eastAsia="Times New Roman" w:hAnsi="Times New Roman"/>
                <w:sz w:val="20"/>
                <w:szCs w:val="20"/>
              </w:rPr>
              <w:br/>
              <w:t>RIR</w:t>
            </w:r>
          </w:p>
        </w:tc>
        <w:tc>
          <w:tcPr>
            <w:tcW w:w="1164" w:type="dxa"/>
            <w:vAlign w:val="center"/>
          </w:tcPr>
          <w:p w14:paraId="504D813E"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sz w:val="20"/>
                <w:szCs w:val="20"/>
              </w:rPr>
              <w:t>Asymmetry</w:t>
            </w:r>
            <w:r w:rsidRPr="00390A4D">
              <w:rPr>
                <w:rFonts w:ascii="Times New Roman" w:eastAsia="Times New Roman" w:hAnsi="Times New Roman"/>
                <w:sz w:val="20"/>
                <w:szCs w:val="20"/>
              </w:rPr>
              <w:br/>
              <w:t>check</w:t>
            </w:r>
          </w:p>
        </w:tc>
        <w:tc>
          <w:tcPr>
            <w:tcW w:w="1025" w:type="dxa"/>
            <w:vAlign w:val="center"/>
          </w:tcPr>
          <w:p w14:paraId="4863FC6B"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sz w:val="20"/>
                <w:szCs w:val="20"/>
              </w:rPr>
              <w:t>RE: -0.003***</w:t>
            </w:r>
            <w:r w:rsidRPr="00390A4D">
              <w:rPr>
                <w:rFonts w:ascii="Times New Roman" w:eastAsia="Times New Roman" w:hAnsi="Times New Roman"/>
                <w:sz w:val="20"/>
                <w:szCs w:val="20"/>
              </w:rPr>
              <w:br/>
              <w:t>(0.0004); p&lt;0.001</w:t>
            </w:r>
          </w:p>
        </w:tc>
        <w:tc>
          <w:tcPr>
            <w:tcW w:w="1535" w:type="dxa"/>
            <w:vAlign w:val="center"/>
          </w:tcPr>
          <w:p w14:paraId="3ED766FE"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sz w:val="20"/>
                <w:szCs w:val="20"/>
              </w:rPr>
              <w:t>RE</w:t>
            </w:r>
            <w:r w:rsidRPr="00390A4D">
              <w:rPr>
                <w:rFonts w:ascii="Times New Roman" w:eastAsia="Times New Roman" w:hAnsi="Times New Roman"/>
                <w:sz w:val="20"/>
                <w:szCs w:val="20"/>
              </w:rPr>
              <w:br/>
              <w:t>Hausman=0.085</w:t>
            </w:r>
          </w:p>
        </w:tc>
        <w:tc>
          <w:tcPr>
            <w:tcW w:w="1093" w:type="dxa"/>
            <w:vAlign w:val="center"/>
          </w:tcPr>
          <w:p w14:paraId="6896FB1C"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sz w:val="20"/>
                <w:szCs w:val="20"/>
              </w:rPr>
              <w:t>Same sign; scale differs</w:t>
            </w:r>
          </w:p>
        </w:tc>
        <w:tc>
          <w:tcPr>
            <w:tcW w:w="1140" w:type="dxa"/>
            <w:vAlign w:val="center"/>
          </w:tcPr>
          <w:p w14:paraId="032C3D0A"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0"/>
                <w:szCs w:val="20"/>
              </w:rPr>
            </w:pPr>
            <w:r w:rsidRPr="00390A4D">
              <w:rPr>
                <w:rFonts w:ascii="Times New Roman" w:eastAsia="Times New Roman" w:hAnsi="Times New Roman"/>
                <w:sz w:val="20"/>
                <w:szCs w:val="20"/>
              </w:rPr>
              <w:t>Robustness</w:t>
            </w:r>
          </w:p>
        </w:tc>
      </w:tr>
    </w:tbl>
    <w:p w14:paraId="0BCD3FB5" w14:textId="77777777" w:rsidR="00390A4D" w:rsidRDefault="00390A4D" w:rsidP="00390A4D">
      <w:pPr>
        <w:spacing w:after="120"/>
      </w:pPr>
      <w:r>
        <w:rPr>
          <w:rFonts w:ascii="Times New Roman" w:eastAsia="Times New Roman" w:hAnsi="Times New Roman"/>
          <w:sz w:val="20"/>
        </w:rPr>
        <w:t>Note. Each robustness model uses GDP growth and real interest rate as controls. The rolling proxy is the 3-year rolling standard deviation of annual inflation returns, not a rolling standard deviation of GARCH volatility.</w:t>
      </w:r>
    </w:p>
    <w:p w14:paraId="006B9510" w14:textId="77777777" w:rsidR="00AC5B84" w:rsidRPr="00AC5B84" w:rsidRDefault="00AC5B84" w:rsidP="00AC5B84">
      <w:pPr>
        <w:keepNext/>
        <w:spacing w:before="100" w:after="60"/>
        <w:rPr>
          <w:rFonts w:ascii="Times New Roman" w:hAnsi="Times New Roman" w:cs="Times New Roman"/>
        </w:rPr>
      </w:pPr>
      <w:r w:rsidRPr="00AC5B84">
        <w:rPr>
          <w:rFonts w:ascii="Times New Roman" w:hAnsi="Times New Roman" w:cs="Times New Roman"/>
          <w:b/>
        </w:rPr>
        <w:t>Table 4.19. Alternative volatility-measure robustness with controls.</w:t>
      </w:r>
    </w:p>
    <w:tbl>
      <w:tblPr>
        <w:tblStyle w:val="GridTable4-Accent1"/>
        <w:tblW w:w="0" w:type="auto"/>
        <w:tblLook w:val="04A0" w:firstRow="1" w:lastRow="0" w:firstColumn="1" w:lastColumn="0" w:noHBand="0" w:noVBand="1"/>
      </w:tblPr>
      <w:tblGrid>
        <w:gridCol w:w="1558"/>
        <w:gridCol w:w="1560"/>
        <w:gridCol w:w="1557"/>
        <w:gridCol w:w="1559"/>
        <w:gridCol w:w="1559"/>
        <w:gridCol w:w="1557"/>
      </w:tblGrid>
      <w:tr w:rsidR="00390A4D" w:rsidRPr="00390A4D" w14:paraId="4B0740A5" w14:textId="77777777" w:rsidTr="00390A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vAlign w:val="center"/>
          </w:tcPr>
          <w:p w14:paraId="75A72E12" w14:textId="77777777" w:rsidR="00390A4D" w:rsidRPr="00390A4D" w:rsidRDefault="00390A4D" w:rsidP="009B3C84">
            <w:pPr>
              <w:jc w:val="center"/>
              <w:rPr>
                <w:sz w:val="22"/>
                <w:szCs w:val="22"/>
              </w:rPr>
            </w:pPr>
            <w:r w:rsidRPr="00390A4D">
              <w:rPr>
                <w:rFonts w:ascii="Times New Roman" w:eastAsia="Times New Roman" w:hAnsi="Times New Roman"/>
                <w:color w:val="FFFFFF"/>
                <w:sz w:val="22"/>
                <w:szCs w:val="22"/>
              </w:rPr>
              <w:t>Dependent</w:t>
            </w:r>
            <w:r w:rsidRPr="00390A4D">
              <w:rPr>
                <w:rFonts w:ascii="Times New Roman" w:eastAsia="Times New Roman" w:hAnsi="Times New Roman"/>
                <w:color w:val="FFFFFF"/>
                <w:sz w:val="22"/>
                <w:szCs w:val="22"/>
              </w:rPr>
              <w:br/>
              <w:t>variable</w:t>
            </w:r>
          </w:p>
        </w:tc>
        <w:tc>
          <w:tcPr>
            <w:tcW w:w="1560" w:type="dxa"/>
            <w:vAlign w:val="center"/>
          </w:tcPr>
          <w:p w14:paraId="299F6871" w14:textId="77777777" w:rsidR="00390A4D" w:rsidRPr="00390A4D" w:rsidRDefault="00390A4D" w:rsidP="009B3C84">
            <w:pPr>
              <w:jc w:val="center"/>
              <w:cnfStyle w:val="100000000000" w:firstRow="1" w:lastRow="0" w:firstColumn="0" w:lastColumn="0" w:oddVBand="0" w:evenVBand="0" w:oddHBand="0" w:evenHBand="0" w:firstRowFirstColumn="0" w:firstRowLastColumn="0" w:lastRowFirstColumn="0" w:lastRowLastColumn="0"/>
              <w:rPr>
                <w:sz w:val="22"/>
                <w:szCs w:val="22"/>
              </w:rPr>
            </w:pPr>
            <w:r w:rsidRPr="00390A4D">
              <w:rPr>
                <w:rFonts w:ascii="Times New Roman" w:eastAsia="Times New Roman" w:hAnsi="Times New Roman"/>
                <w:color w:val="FFFFFF"/>
                <w:sz w:val="22"/>
                <w:szCs w:val="22"/>
              </w:rPr>
              <w:t>Specification</w:t>
            </w:r>
          </w:p>
        </w:tc>
        <w:tc>
          <w:tcPr>
            <w:tcW w:w="1557" w:type="dxa"/>
            <w:vAlign w:val="center"/>
          </w:tcPr>
          <w:p w14:paraId="63769349" w14:textId="77777777" w:rsidR="00390A4D" w:rsidRPr="00390A4D" w:rsidRDefault="00390A4D" w:rsidP="009B3C84">
            <w:pPr>
              <w:jc w:val="center"/>
              <w:cnfStyle w:val="100000000000" w:firstRow="1" w:lastRow="0" w:firstColumn="0" w:lastColumn="0" w:oddVBand="0" w:evenVBand="0" w:oddHBand="0" w:evenHBand="0" w:firstRowFirstColumn="0" w:firstRowLastColumn="0" w:lastRowFirstColumn="0" w:lastRowLastColumn="0"/>
              <w:rPr>
                <w:sz w:val="22"/>
                <w:szCs w:val="22"/>
              </w:rPr>
            </w:pPr>
            <w:r w:rsidRPr="00390A4D">
              <w:rPr>
                <w:rFonts w:ascii="Times New Roman" w:eastAsia="Times New Roman" w:hAnsi="Times New Roman"/>
                <w:color w:val="FFFFFF"/>
                <w:sz w:val="22"/>
                <w:szCs w:val="22"/>
              </w:rPr>
              <w:t>Obs.</w:t>
            </w:r>
          </w:p>
        </w:tc>
        <w:tc>
          <w:tcPr>
            <w:tcW w:w="1559" w:type="dxa"/>
            <w:vAlign w:val="center"/>
          </w:tcPr>
          <w:p w14:paraId="56FD485C" w14:textId="77777777" w:rsidR="00390A4D" w:rsidRPr="00390A4D" w:rsidRDefault="00390A4D" w:rsidP="009B3C84">
            <w:pPr>
              <w:jc w:val="center"/>
              <w:cnfStyle w:val="100000000000" w:firstRow="1" w:lastRow="0" w:firstColumn="0" w:lastColumn="0" w:oddVBand="0" w:evenVBand="0" w:oddHBand="0" w:evenHBand="0" w:firstRowFirstColumn="0" w:firstRowLastColumn="0" w:lastRowFirstColumn="0" w:lastRowLastColumn="0"/>
              <w:rPr>
                <w:sz w:val="22"/>
                <w:szCs w:val="22"/>
              </w:rPr>
            </w:pPr>
            <w:r w:rsidRPr="00390A4D">
              <w:rPr>
                <w:rFonts w:ascii="Times New Roman" w:eastAsia="Times New Roman" w:hAnsi="Times New Roman"/>
                <w:color w:val="FFFFFF"/>
                <w:sz w:val="22"/>
                <w:szCs w:val="22"/>
              </w:rPr>
              <w:t>Countries</w:t>
            </w:r>
          </w:p>
        </w:tc>
        <w:tc>
          <w:tcPr>
            <w:tcW w:w="1559" w:type="dxa"/>
            <w:vAlign w:val="center"/>
          </w:tcPr>
          <w:p w14:paraId="4DCDE064" w14:textId="77777777" w:rsidR="00390A4D" w:rsidRPr="00390A4D" w:rsidRDefault="00390A4D" w:rsidP="009B3C84">
            <w:pPr>
              <w:jc w:val="center"/>
              <w:cnfStyle w:val="100000000000" w:firstRow="1" w:lastRow="0" w:firstColumn="0" w:lastColumn="0" w:oddVBand="0" w:evenVBand="0" w:oddHBand="0" w:evenHBand="0" w:firstRowFirstColumn="0" w:firstRowLastColumn="0" w:lastRowFirstColumn="0" w:lastRowLastColumn="0"/>
              <w:rPr>
                <w:sz w:val="22"/>
                <w:szCs w:val="22"/>
              </w:rPr>
            </w:pPr>
            <w:r w:rsidRPr="00390A4D">
              <w:rPr>
                <w:rFonts w:ascii="Times New Roman" w:eastAsia="Times New Roman" w:hAnsi="Times New Roman"/>
                <w:color w:val="FFFFFF"/>
                <w:sz w:val="22"/>
                <w:szCs w:val="22"/>
              </w:rPr>
              <w:t>Volatility</w:t>
            </w:r>
            <w:r w:rsidRPr="00390A4D">
              <w:rPr>
                <w:rFonts w:ascii="Times New Roman" w:eastAsia="Times New Roman" w:hAnsi="Times New Roman"/>
                <w:color w:val="FFFFFF"/>
                <w:sz w:val="22"/>
                <w:szCs w:val="22"/>
              </w:rPr>
              <w:br/>
              <w:t>coefficient</w:t>
            </w:r>
          </w:p>
        </w:tc>
        <w:tc>
          <w:tcPr>
            <w:tcW w:w="1557" w:type="dxa"/>
            <w:vAlign w:val="center"/>
          </w:tcPr>
          <w:p w14:paraId="6E26368A" w14:textId="77777777" w:rsidR="00390A4D" w:rsidRPr="00390A4D" w:rsidRDefault="00390A4D" w:rsidP="009B3C84">
            <w:pPr>
              <w:jc w:val="center"/>
              <w:cnfStyle w:val="100000000000" w:firstRow="1" w:lastRow="0" w:firstColumn="0" w:lastColumn="0" w:oddVBand="0" w:evenVBand="0" w:oddHBand="0" w:evenHBand="0" w:firstRowFirstColumn="0" w:firstRowLastColumn="0" w:lastRowFirstColumn="0" w:lastRowLastColumn="0"/>
              <w:rPr>
                <w:sz w:val="22"/>
                <w:szCs w:val="22"/>
              </w:rPr>
            </w:pPr>
            <w:r w:rsidRPr="00390A4D">
              <w:rPr>
                <w:rFonts w:ascii="Times New Roman" w:eastAsia="Times New Roman" w:hAnsi="Times New Roman"/>
                <w:color w:val="FFFFFF"/>
                <w:sz w:val="22"/>
                <w:szCs w:val="22"/>
              </w:rPr>
              <w:t>p-value</w:t>
            </w:r>
          </w:p>
        </w:tc>
      </w:tr>
      <w:tr w:rsidR="00390A4D" w:rsidRPr="00390A4D" w14:paraId="7DE10958" w14:textId="77777777" w:rsidTr="00390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vAlign w:val="center"/>
          </w:tcPr>
          <w:p w14:paraId="7047E529" w14:textId="77777777" w:rsidR="00390A4D" w:rsidRPr="00390A4D" w:rsidRDefault="00390A4D" w:rsidP="009B3C84">
            <w:pPr>
              <w:rPr>
                <w:sz w:val="22"/>
                <w:szCs w:val="22"/>
              </w:rPr>
            </w:pPr>
            <w:r w:rsidRPr="00390A4D">
              <w:rPr>
                <w:rFonts w:ascii="Times New Roman" w:eastAsia="Times New Roman" w:hAnsi="Times New Roman"/>
                <w:sz w:val="22"/>
                <w:szCs w:val="22"/>
              </w:rPr>
              <w:t>Bank Z-score</w:t>
            </w:r>
          </w:p>
        </w:tc>
        <w:tc>
          <w:tcPr>
            <w:tcW w:w="1560" w:type="dxa"/>
            <w:vAlign w:val="center"/>
          </w:tcPr>
          <w:p w14:paraId="112F5354"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2"/>
                <w:szCs w:val="22"/>
              </w:rPr>
            </w:pPr>
            <w:r w:rsidRPr="00390A4D">
              <w:rPr>
                <w:rFonts w:ascii="Times New Roman" w:eastAsia="Times New Roman" w:hAnsi="Times New Roman"/>
                <w:sz w:val="22"/>
                <w:szCs w:val="22"/>
              </w:rPr>
              <w:t>Baseline GARCH (RE)</w:t>
            </w:r>
          </w:p>
        </w:tc>
        <w:tc>
          <w:tcPr>
            <w:tcW w:w="1557" w:type="dxa"/>
            <w:vAlign w:val="center"/>
          </w:tcPr>
          <w:p w14:paraId="5F9C73B0"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2"/>
                <w:szCs w:val="22"/>
              </w:rPr>
            </w:pPr>
            <w:r w:rsidRPr="00390A4D">
              <w:rPr>
                <w:rFonts w:ascii="Times New Roman" w:eastAsia="Times New Roman" w:hAnsi="Times New Roman"/>
                <w:sz w:val="22"/>
                <w:szCs w:val="22"/>
              </w:rPr>
              <w:t>576</w:t>
            </w:r>
          </w:p>
        </w:tc>
        <w:tc>
          <w:tcPr>
            <w:tcW w:w="1559" w:type="dxa"/>
            <w:vAlign w:val="center"/>
          </w:tcPr>
          <w:p w14:paraId="100F0D4B"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2"/>
                <w:szCs w:val="22"/>
              </w:rPr>
            </w:pPr>
            <w:r w:rsidRPr="00390A4D">
              <w:rPr>
                <w:rFonts w:ascii="Times New Roman" w:eastAsia="Times New Roman" w:hAnsi="Times New Roman"/>
                <w:sz w:val="22"/>
                <w:szCs w:val="22"/>
              </w:rPr>
              <w:t>35</w:t>
            </w:r>
          </w:p>
        </w:tc>
        <w:tc>
          <w:tcPr>
            <w:tcW w:w="1559" w:type="dxa"/>
            <w:vAlign w:val="center"/>
          </w:tcPr>
          <w:p w14:paraId="2C7DAE5E"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2"/>
                <w:szCs w:val="22"/>
              </w:rPr>
            </w:pPr>
            <w:r w:rsidRPr="00390A4D">
              <w:rPr>
                <w:rFonts w:ascii="Times New Roman" w:eastAsia="Times New Roman" w:hAnsi="Times New Roman"/>
                <w:sz w:val="22"/>
                <w:szCs w:val="22"/>
              </w:rPr>
              <w:t>-0.140***</w:t>
            </w:r>
          </w:p>
        </w:tc>
        <w:tc>
          <w:tcPr>
            <w:tcW w:w="1557" w:type="dxa"/>
            <w:vAlign w:val="center"/>
          </w:tcPr>
          <w:p w14:paraId="6C9727DC"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2"/>
                <w:szCs w:val="22"/>
              </w:rPr>
            </w:pPr>
            <w:r w:rsidRPr="00390A4D">
              <w:rPr>
                <w:rFonts w:ascii="Times New Roman" w:eastAsia="Times New Roman" w:hAnsi="Times New Roman"/>
                <w:sz w:val="22"/>
                <w:szCs w:val="22"/>
              </w:rPr>
              <w:t>0.001</w:t>
            </w:r>
          </w:p>
        </w:tc>
      </w:tr>
      <w:tr w:rsidR="00390A4D" w:rsidRPr="00390A4D" w14:paraId="3DA9949F" w14:textId="77777777" w:rsidTr="00390A4D">
        <w:tc>
          <w:tcPr>
            <w:cnfStyle w:val="001000000000" w:firstRow="0" w:lastRow="0" w:firstColumn="1" w:lastColumn="0" w:oddVBand="0" w:evenVBand="0" w:oddHBand="0" w:evenHBand="0" w:firstRowFirstColumn="0" w:firstRowLastColumn="0" w:lastRowFirstColumn="0" w:lastRowLastColumn="0"/>
            <w:tcW w:w="1558" w:type="dxa"/>
            <w:vAlign w:val="center"/>
          </w:tcPr>
          <w:p w14:paraId="3D3080DC" w14:textId="77777777" w:rsidR="00390A4D" w:rsidRPr="00390A4D" w:rsidRDefault="00390A4D" w:rsidP="009B3C84">
            <w:pPr>
              <w:rPr>
                <w:sz w:val="22"/>
                <w:szCs w:val="22"/>
              </w:rPr>
            </w:pPr>
            <w:r w:rsidRPr="00390A4D">
              <w:rPr>
                <w:rFonts w:ascii="Times New Roman" w:eastAsia="Times New Roman" w:hAnsi="Times New Roman"/>
                <w:sz w:val="22"/>
                <w:szCs w:val="22"/>
              </w:rPr>
              <w:t>Bank Z-score</w:t>
            </w:r>
          </w:p>
        </w:tc>
        <w:tc>
          <w:tcPr>
            <w:tcW w:w="1560" w:type="dxa"/>
            <w:vAlign w:val="center"/>
          </w:tcPr>
          <w:p w14:paraId="08CC568F"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2"/>
                <w:szCs w:val="22"/>
              </w:rPr>
            </w:pPr>
            <w:r w:rsidRPr="00390A4D">
              <w:rPr>
                <w:rFonts w:ascii="Times New Roman" w:eastAsia="Times New Roman" w:hAnsi="Times New Roman"/>
                <w:sz w:val="22"/>
                <w:szCs w:val="22"/>
              </w:rPr>
              <w:t xml:space="preserve">Rolling </w:t>
            </w:r>
            <w:proofErr w:type="gramStart"/>
            <w:r w:rsidRPr="00390A4D">
              <w:rPr>
                <w:rFonts w:ascii="Times New Roman" w:eastAsia="Times New Roman" w:hAnsi="Times New Roman"/>
                <w:sz w:val="22"/>
                <w:szCs w:val="22"/>
              </w:rPr>
              <w:t>SD(</w:t>
            </w:r>
            <w:proofErr w:type="gramEnd"/>
            <w:r w:rsidRPr="00390A4D">
              <w:rPr>
                <w:rFonts w:ascii="Times New Roman" w:eastAsia="Times New Roman" w:hAnsi="Times New Roman"/>
                <w:sz w:val="22"/>
                <w:szCs w:val="22"/>
              </w:rPr>
              <w:t>3) of inflation returns (FE)</w:t>
            </w:r>
          </w:p>
        </w:tc>
        <w:tc>
          <w:tcPr>
            <w:tcW w:w="1557" w:type="dxa"/>
            <w:vAlign w:val="center"/>
          </w:tcPr>
          <w:p w14:paraId="22216F3D"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2"/>
                <w:szCs w:val="22"/>
              </w:rPr>
            </w:pPr>
            <w:r w:rsidRPr="00390A4D">
              <w:rPr>
                <w:rFonts w:ascii="Times New Roman" w:eastAsia="Times New Roman" w:hAnsi="Times New Roman"/>
                <w:sz w:val="22"/>
                <w:szCs w:val="22"/>
              </w:rPr>
              <w:t>541</w:t>
            </w:r>
          </w:p>
        </w:tc>
        <w:tc>
          <w:tcPr>
            <w:tcW w:w="1559" w:type="dxa"/>
            <w:vAlign w:val="center"/>
          </w:tcPr>
          <w:p w14:paraId="77B52EFB"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2"/>
                <w:szCs w:val="22"/>
              </w:rPr>
            </w:pPr>
            <w:r w:rsidRPr="00390A4D">
              <w:rPr>
                <w:rFonts w:ascii="Times New Roman" w:eastAsia="Times New Roman" w:hAnsi="Times New Roman"/>
                <w:sz w:val="22"/>
                <w:szCs w:val="22"/>
              </w:rPr>
              <w:t>35</w:t>
            </w:r>
          </w:p>
        </w:tc>
        <w:tc>
          <w:tcPr>
            <w:tcW w:w="1559" w:type="dxa"/>
            <w:vAlign w:val="center"/>
          </w:tcPr>
          <w:p w14:paraId="7CD83962"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2"/>
                <w:szCs w:val="22"/>
              </w:rPr>
            </w:pPr>
            <w:r w:rsidRPr="00390A4D">
              <w:rPr>
                <w:rFonts w:ascii="Times New Roman" w:eastAsia="Times New Roman" w:hAnsi="Times New Roman"/>
                <w:sz w:val="22"/>
                <w:szCs w:val="22"/>
              </w:rPr>
              <w:t>-0.033</w:t>
            </w:r>
          </w:p>
        </w:tc>
        <w:tc>
          <w:tcPr>
            <w:tcW w:w="1557" w:type="dxa"/>
            <w:vAlign w:val="center"/>
          </w:tcPr>
          <w:p w14:paraId="0E1E5B84"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2"/>
                <w:szCs w:val="22"/>
              </w:rPr>
            </w:pPr>
            <w:r w:rsidRPr="00390A4D">
              <w:rPr>
                <w:rFonts w:ascii="Times New Roman" w:eastAsia="Times New Roman" w:hAnsi="Times New Roman"/>
                <w:sz w:val="22"/>
                <w:szCs w:val="22"/>
              </w:rPr>
              <w:t>0.354</w:t>
            </w:r>
          </w:p>
        </w:tc>
      </w:tr>
      <w:tr w:rsidR="00390A4D" w:rsidRPr="00390A4D" w14:paraId="5E2AC203" w14:textId="77777777" w:rsidTr="00390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vAlign w:val="center"/>
          </w:tcPr>
          <w:p w14:paraId="2DB75E0C" w14:textId="77777777" w:rsidR="00390A4D" w:rsidRPr="00390A4D" w:rsidRDefault="00390A4D" w:rsidP="009B3C84">
            <w:pPr>
              <w:rPr>
                <w:sz w:val="22"/>
                <w:szCs w:val="22"/>
              </w:rPr>
            </w:pPr>
            <w:r w:rsidRPr="00390A4D">
              <w:rPr>
                <w:rFonts w:ascii="Times New Roman" w:eastAsia="Times New Roman" w:hAnsi="Times New Roman"/>
                <w:sz w:val="22"/>
                <w:szCs w:val="22"/>
              </w:rPr>
              <w:t>NPL ratio</w:t>
            </w:r>
          </w:p>
        </w:tc>
        <w:tc>
          <w:tcPr>
            <w:tcW w:w="1560" w:type="dxa"/>
            <w:vAlign w:val="center"/>
          </w:tcPr>
          <w:p w14:paraId="6E9FB45E"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2"/>
                <w:szCs w:val="22"/>
              </w:rPr>
            </w:pPr>
            <w:r w:rsidRPr="00390A4D">
              <w:rPr>
                <w:rFonts w:ascii="Times New Roman" w:eastAsia="Times New Roman" w:hAnsi="Times New Roman"/>
                <w:sz w:val="22"/>
                <w:szCs w:val="22"/>
              </w:rPr>
              <w:t>Baseline GARCH (RE)</w:t>
            </w:r>
          </w:p>
        </w:tc>
        <w:tc>
          <w:tcPr>
            <w:tcW w:w="1557" w:type="dxa"/>
            <w:vAlign w:val="center"/>
          </w:tcPr>
          <w:p w14:paraId="7FD77B52"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2"/>
                <w:szCs w:val="22"/>
              </w:rPr>
            </w:pPr>
            <w:r w:rsidRPr="00390A4D">
              <w:rPr>
                <w:rFonts w:ascii="Times New Roman" w:eastAsia="Times New Roman" w:hAnsi="Times New Roman"/>
                <w:sz w:val="22"/>
                <w:szCs w:val="22"/>
              </w:rPr>
              <w:t>307</w:t>
            </w:r>
          </w:p>
        </w:tc>
        <w:tc>
          <w:tcPr>
            <w:tcW w:w="1559" w:type="dxa"/>
            <w:vAlign w:val="center"/>
          </w:tcPr>
          <w:p w14:paraId="08A2FEB1"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2"/>
                <w:szCs w:val="22"/>
              </w:rPr>
            </w:pPr>
            <w:r w:rsidRPr="00390A4D">
              <w:rPr>
                <w:rFonts w:ascii="Times New Roman" w:eastAsia="Times New Roman" w:hAnsi="Times New Roman"/>
                <w:sz w:val="22"/>
                <w:szCs w:val="22"/>
              </w:rPr>
              <w:t>24</w:t>
            </w:r>
          </w:p>
        </w:tc>
        <w:tc>
          <w:tcPr>
            <w:tcW w:w="1559" w:type="dxa"/>
            <w:vAlign w:val="center"/>
          </w:tcPr>
          <w:p w14:paraId="70117030"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2"/>
                <w:szCs w:val="22"/>
              </w:rPr>
            </w:pPr>
            <w:r w:rsidRPr="00390A4D">
              <w:rPr>
                <w:rFonts w:ascii="Times New Roman" w:eastAsia="Times New Roman" w:hAnsi="Times New Roman"/>
                <w:sz w:val="22"/>
                <w:szCs w:val="22"/>
              </w:rPr>
              <w:t>-0.090</w:t>
            </w:r>
          </w:p>
        </w:tc>
        <w:tc>
          <w:tcPr>
            <w:tcW w:w="1557" w:type="dxa"/>
            <w:vAlign w:val="center"/>
          </w:tcPr>
          <w:p w14:paraId="6809E1DD" w14:textId="77777777" w:rsidR="00390A4D" w:rsidRPr="00390A4D" w:rsidRDefault="00390A4D" w:rsidP="009B3C84">
            <w:pPr>
              <w:cnfStyle w:val="000000100000" w:firstRow="0" w:lastRow="0" w:firstColumn="0" w:lastColumn="0" w:oddVBand="0" w:evenVBand="0" w:oddHBand="1" w:evenHBand="0" w:firstRowFirstColumn="0" w:firstRowLastColumn="0" w:lastRowFirstColumn="0" w:lastRowLastColumn="0"/>
              <w:rPr>
                <w:sz w:val="22"/>
                <w:szCs w:val="22"/>
              </w:rPr>
            </w:pPr>
            <w:r w:rsidRPr="00390A4D">
              <w:rPr>
                <w:rFonts w:ascii="Times New Roman" w:eastAsia="Times New Roman" w:hAnsi="Times New Roman"/>
                <w:sz w:val="22"/>
                <w:szCs w:val="22"/>
              </w:rPr>
              <w:t>0.186</w:t>
            </w:r>
          </w:p>
        </w:tc>
      </w:tr>
      <w:tr w:rsidR="00390A4D" w:rsidRPr="00390A4D" w14:paraId="5FDE17CE" w14:textId="77777777" w:rsidTr="00390A4D">
        <w:tc>
          <w:tcPr>
            <w:cnfStyle w:val="001000000000" w:firstRow="0" w:lastRow="0" w:firstColumn="1" w:lastColumn="0" w:oddVBand="0" w:evenVBand="0" w:oddHBand="0" w:evenHBand="0" w:firstRowFirstColumn="0" w:firstRowLastColumn="0" w:lastRowFirstColumn="0" w:lastRowLastColumn="0"/>
            <w:tcW w:w="1558" w:type="dxa"/>
            <w:vAlign w:val="center"/>
          </w:tcPr>
          <w:p w14:paraId="2961C80E" w14:textId="77777777" w:rsidR="00390A4D" w:rsidRPr="00390A4D" w:rsidRDefault="00390A4D" w:rsidP="009B3C84">
            <w:pPr>
              <w:rPr>
                <w:sz w:val="22"/>
                <w:szCs w:val="22"/>
              </w:rPr>
            </w:pPr>
            <w:r w:rsidRPr="00390A4D">
              <w:rPr>
                <w:rFonts w:ascii="Times New Roman" w:eastAsia="Times New Roman" w:hAnsi="Times New Roman"/>
                <w:sz w:val="22"/>
                <w:szCs w:val="22"/>
              </w:rPr>
              <w:t>NPL ratio</w:t>
            </w:r>
          </w:p>
        </w:tc>
        <w:tc>
          <w:tcPr>
            <w:tcW w:w="1560" w:type="dxa"/>
            <w:vAlign w:val="center"/>
          </w:tcPr>
          <w:p w14:paraId="27448832"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2"/>
                <w:szCs w:val="22"/>
              </w:rPr>
            </w:pPr>
            <w:r w:rsidRPr="00390A4D">
              <w:rPr>
                <w:rFonts w:ascii="Times New Roman" w:eastAsia="Times New Roman" w:hAnsi="Times New Roman"/>
                <w:sz w:val="22"/>
                <w:szCs w:val="22"/>
              </w:rPr>
              <w:t xml:space="preserve">Rolling </w:t>
            </w:r>
            <w:proofErr w:type="gramStart"/>
            <w:r w:rsidRPr="00390A4D">
              <w:rPr>
                <w:rFonts w:ascii="Times New Roman" w:eastAsia="Times New Roman" w:hAnsi="Times New Roman"/>
                <w:sz w:val="22"/>
                <w:szCs w:val="22"/>
              </w:rPr>
              <w:t>SD(</w:t>
            </w:r>
            <w:proofErr w:type="gramEnd"/>
            <w:r w:rsidRPr="00390A4D">
              <w:rPr>
                <w:rFonts w:ascii="Times New Roman" w:eastAsia="Times New Roman" w:hAnsi="Times New Roman"/>
                <w:sz w:val="22"/>
                <w:szCs w:val="22"/>
              </w:rPr>
              <w:t>3) of inflation returns (RE)</w:t>
            </w:r>
          </w:p>
        </w:tc>
        <w:tc>
          <w:tcPr>
            <w:tcW w:w="1557" w:type="dxa"/>
            <w:vAlign w:val="center"/>
          </w:tcPr>
          <w:p w14:paraId="0B29A81B"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2"/>
                <w:szCs w:val="22"/>
              </w:rPr>
            </w:pPr>
            <w:r w:rsidRPr="00390A4D">
              <w:rPr>
                <w:rFonts w:ascii="Times New Roman" w:eastAsia="Times New Roman" w:hAnsi="Times New Roman"/>
                <w:sz w:val="22"/>
                <w:szCs w:val="22"/>
              </w:rPr>
              <w:t>307</w:t>
            </w:r>
          </w:p>
        </w:tc>
        <w:tc>
          <w:tcPr>
            <w:tcW w:w="1559" w:type="dxa"/>
            <w:vAlign w:val="center"/>
          </w:tcPr>
          <w:p w14:paraId="5822C14A"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2"/>
                <w:szCs w:val="22"/>
              </w:rPr>
            </w:pPr>
            <w:r w:rsidRPr="00390A4D">
              <w:rPr>
                <w:rFonts w:ascii="Times New Roman" w:eastAsia="Times New Roman" w:hAnsi="Times New Roman"/>
                <w:sz w:val="22"/>
                <w:szCs w:val="22"/>
              </w:rPr>
              <w:t>24</w:t>
            </w:r>
          </w:p>
        </w:tc>
        <w:tc>
          <w:tcPr>
            <w:tcW w:w="1559" w:type="dxa"/>
            <w:vAlign w:val="center"/>
          </w:tcPr>
          <w:p w14:paraId="485E178A"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2"/>
                <w:szCs w:val="22"/>
              </w:rPr>
            </w:pPr>
            <w:r w:rsidRPr="00390A4D">
              <w:rPr>
                <w:rFonts w:ascii="Times New Roman" w:eastAsia="Times New Roman" w:hAnsi="Times New Roman"/>
                <w:sz w:val="22"/>
                <w:szCs w:val="22"/>
              </w:rPr>
              <w:t>-0.117*</w:t>
            </w:r>
          </w:p>
        </w:tc>
        <w:tc>
          <w:tcPr>
            <w:tcW w:w="1557" w:type="dxa"/>
            <w:vAlign w:val="center"/>
          </w:tcPr>
          <w:p w14:paraId="5CB9D2F0" w14:textId="77777777" w:rsidR="00390A4D" w:rsidRPr="00390A4D" w:rsidRDefault="00390A4D" w:rsidP="009B3C84">
            <w:pPr>
              <w:cnfStyle w:val="000000000000" w:firstRow="0" w:lastRow="0" w:firstColumn="0" w:lastColumn="0" w:oddVBand="0" w:evenVBand="0" w:oddHBand="0" w:evenHBand="0" w:firstRowFirstColumn="0" w:firstRowLastColumn="0" w:lastRowFirstColumn="0" w:lastRowLastColumn="0"/>
              <w:rPr>
                <w:sz w:val="22"/>
                <w:szCs w:val="22"/>
              </w:rPr>
            </w:pPr>
            <w:r w:rsidRPr="00390A4D">
              <w:rPr>
                <w:rFonts w:ascii="Times New Roman" w:eastAsia="Times New Roman" w:hAnsi="Times New Roman"/>
                <w:sz w:val="22"/>
                <w:szCs w:val="22"/>
              </w:rPr>
              <w:t>0.052</w:t>
            </w:r>
          </w:p>
        </w:tc>
      </w:tr>
    </w:tbl>
    <w:p w14:paraId="4E5AA0CD" w14:textId="77777777" w:rsidR="00390A4D" w:rsidRDefault="00390A4D" w:rsidP="00390A4D">
      <w:pPr>
        <w:spacing w:after="120"/>
        <w:rPr>
          <w:rFonts w:ascii="Times New Roman" w:eastAsia="Times New Roman" w:hAnsi="Times New Roman"/>
          <w:sz w:val="20"/>
        </w:rPr>
      </w:pPr>
      <w:r>
        <w:rPr>
          <w:rFonts w:ascii="Times New Roman" w:eastAsia="Times New Roman" w:hAnsi="Times New Roman"/>
          <w:sz w:val="20"/>
        </w:rPr>
        <w:t>Note. Table 4.19 reports the coefficient from the estimator selected by the Hausman test in each row. The NPL results are supplementary; the main simple FE/RE analysis uses Bank Z-score as the dependent variable.</w:t>
      </w:r>
    </w:p>
    <w:p w14:paraId="42363253" w14:textId="77777777" w:rsidR="00390A4D" w:rsidRDefault="00390A4D" w:rsidP="00390A4D">
      <w:pPr>
        <w:spacing w:after="120"/>
        <w:rPr>
          <w:rFonts w:ascii="Times New Roman" w:eastAsia="Times New Roman" w:hAnsi="Times New Roman"/>
          <w:sz w:val="20"/>
        </w:rPr>
      </w:pPr>
    </w:p>
    <w:p w14:paraId="526EFE8C" w14:textId="05D7C892" w:rsidR="00AC5B84" w:rsidRPr="00390A4D" w:rsidRDefault="00AC5B84" w:rsidP="00390A4D">
      <w:pPr>
        <w:spacing w:after="120"/>
      </w:pPr>
      <w:r w:rsidRPr="00AC5B84">
        <w:rPr>
          <w:rFonts w:ascii="Times New Roman" w:hAnsi="Times New Roman" w:cs="Times New Roman"/>
          <w:sz w:val="20"/>
          <w:szCs w:val="20"/>
        </w:rPr>
        <w:lastRenderedPageBreak/>
        <w:t>Figure 4.</w:t>
      </w:r>
      <w:r>
        <w:rPr>
          <w:rFonts w:ascii="Times New Roman" w:hAnsi="Times New Roman" w:cs="Times New Roman"/>
          <w:sz w:val="20"/>
          <w:szCs w:val="20"/>
        </w:rPr>
        <w:t>8</w:t>
      </w:r>
      <w:r w:rsidRPr="00AC5B84">
        <w:rPr>
          <w:rFonts w:ascii="Times New Roman" w:hAnsi="Times New Roman" w:cs="Times New Roman"/>
          <w:sz w:val="20"/>
          <w:szCs w:val="20"/>
        </w:rPr>
        <w:t>. Alternative volatility-proxy coefficients with controls.</w:t>
      </w:r>
    </w:p>
    <w:p w14:paraId="0728117C" w14:textId="77777777" w:rsidR="00AC5B84" w:rsidRPr="00AC5B84" w:rsidRDefault="00AC5B84" w:rsidP="00AC5B84">
      <w:pPr>
        <w:spacing w:after="60"/>
        <w:jc w:val="center"/>
        <w:rPr>
          <w:rFonts w:ascii="Times New Roman" w:hAnsi="Times New Roman" w:cs="Times New Roman"/>
          <w:sz w:val="20"/>
          <w:szCs w:val="20"/>
        </w:rPr>
      </w:pPr>
      <w:r w:rsidRPr="00AC5B84">
        <w:rPr>
          <w:rFonts w:ascii="Times New Roman" w:hAnsi="Times New Roman" w:cs="Times New Roman"/>
          <w:noProof/>
          <w:sz w:val="20"/>
          <w:szCs w:val="20"/>
        </w:rPr>
        <w:drawing>
          <wp:inline distT="0" distB="0" distL="0" distR="0" wp14:anchorId="5C3B32FC" wp14:editId="661FE5E1">
            <wp:extent cx="5303520" cy="2849064"/>
            <wp:effectExtent l="0" t="0" r="0" b="0"/>
            <wp:docPr id="2012711068" name="Picture 201271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4_12_robustness_controlled.png"/>
                    <pic:cNvPicPr/>
                  </pic:nvPicPr>
                  <pic:blipFill>
                    <a:blip r:embed="rId20"/>
                    <a:stretch>
                      <a:fillRect/>
                    </a:stretch>
                  </pic:blipFill>
                  <pic:spPr>
                    <a:xfrm>
                      <a:off x="0" y="0"/>
                      <a:ext cx="5303520" cy="2849064"/>
                    </a:xfrm>
                    <a:prstGeom prst="rect">
                      <a:avLst/>
                    </a:prstGeom>
                  </pic:spPr>
                </pic:pic>
              </a:graphicData>
            </a:graphic>
          </wp:inline>
        </w:drawing>
      </w:r>
    </w:p>
    <w:p w14:paraId="2733869C" w14:textId="77777777" w:rsidR="00AC5B84" w:rsidRPr="00AC5B84" w:rsidRDefault="00AC5B84" w:rsidP="00AC5B84">
      <w:pPr>
        <w:spacing w:after="120"/>
        <w:rPr>
          <w:rFonts w:ascii="Times New Roman" w:hAnsi="Times New Roman" w:cs="Times New Roman"/>
          <w:iCs/>
          <w:sz w:val="20"/>
          <w:szCs w:val="20"/>
        </w:rPr>
      </w:pPr>
      <w:r w:rsidRPr="00AC5B84">
        <w:rPr>
          <w:rFonts w:ascii="Times New Roman" w:hAnsi="Times New Roman" w:cs="Times New Roman"/>
          <w:iCs/>
          <w:sz w:val="20"/>
          <w:szCs w:val="20"/>
        </w:rPr>
        <w:t>Note. The figure compares the baseline GARCH coefficient with the coefficient obtained from a rolling volatility proxy after adding GDP growth and real interest rate.</w:t>
      </w:r>
    </w:p>
    <w:p w14:paraId="7EBFC9DD" w14:textId="77777777" w:rsidR="00AC5B84" w:rsidRPr="00AC5B84" w:rsidRDefault="00AC5B84" w:rsidP="00AC5B84">
      <w:pPr>
        <w:keepNext/>
        <w:spacing w:before="100" w:after="60"/>
        <w:rPr>
          <w:rFonts w:ascii="Times New Roman" w:hAnsi="Times New Roman" w:cs="Times New Roman"/>
        </w:rPr>
      </w:pPr>
      <w:r w:rsidRPr="00AC5B84">
        <w:rPr>
          <w:rFonts w:ascii="Times New Roman" w:hAnsi="Times New Roman" w:cs="Times New Roman"/>
          <w:b/>
        </w:rPr>
        <w:t>Table 4.20. Controlled threshold interaction estimates by volatility regime.</w:t>
      </w:r>
    </w:p>
    <w:tbl>
      <w:tblPr>
        <w:tblStyle w:val="GridTable4-Accent1"/>
        <w:tblW w:w="0" w:type="auto"/>
        <w:tblLook w:val="04A0" w:firstRow="1" w:lastRow="0" w:firstColumn="1" w:lastColumn="0" w:noHBand="0" w:noVBand="1"/>
      </w:tblPr>
      <w:tblGrid>
        <w:gridCol w:w="1053"/>
        <w:gridCol w:w="950"/>
        <w:gridCol w:w="747"/>
        <w:gridCol w:w="630"/>
        <w:gridCol w:w="812"/>
        <w:gridCol w:w="1084"/>
        <w:gridCol w:w="1064"/>
        <w:gridCol w:w="822"/>
        <w:gridCol w:w="630"/>
        <w:gridCol w:w="575"/>
        <w:gridCol w:w="983"/>
      </w:tblGrid>
      <w:tr w:rsidR="00AC5B84" w:rsidRPr="00AC5B84" w14:paraId="0A2B5092" w14:textId="77777777" w:rsidTr="003610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EB01029" w14:textId="77777777" w:rsidR="00AC5B84" w:rsidRPr="00AC5B84" w:rsidRDefault="00AC5B84" w:rsidP="00361008">
            <w:pPr>
              <w:jc w:val="center"/>
              <w:rPr>
                <w:rFonts w:ascii="Times New Roman" w:hAnsi="Times New Roman" w:cs="Times New Roman"/>
                <w:sz w:val="20"/>
                <w:szCs w:val="20"/>
              </w:rPr>
            </w:pPr>
            <w:r w:rsidRPr="00AC5B84">
              <w:rPr>
                <w:rFonts w:ascii="Times New Roman" w:hAnsi="Times New Roman" w:cs="Times New Roman"/>
                <w:sz w:val="20"/>
                <w:szCs w:val="20"/>
              </w:rPr>
              <w:t>Dependent variable</w:t>
            </w:r>
          </w:p>
        </w:tc>
        <w:tc>
          <w:tcPr>
            <w:tcW w:w="851" w:type="dxa"/>
          </w:tcPr>
          <w:p w14:paraId="6368A585" w14:textId="77777777" w:rsidR="00AC5B84" w:rsidRPr="00AC5B84" w:rsidRDefault="00AC5B84"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Median threshold</w:t>
            </w:r>
          </w:p>
        </w:tc>
        <w:tc>
          <w:tcPr>
            <w:tcW w:w="851" w:type="dxa"/>
          </w:tcPr>
          <w:p w14:paraId="40A2DB19" w14:textId="77777777" w:rsidR="00AC5B84" w:rsidRPr="00AC5B84" w:rsidRDefault="00AC5B84"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Low-regime slope</w:t>
            </w:r>
          </w:p>
        </w:tc>
        <w:tc>
          <w:tcPr>
            <w:tcW w:w="851" w:type="dxa"/>
          </w:tcPr>
          <w:p w14:paraId="42BC2A9E" w14:textId="77777777" w:rsidR="00AC5B84" w:rsidRPr="00AC5B84" w:rsidRDefault="00AC5B84"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p-value low</w:t>
            </w:r>
          </w:p>
        </w:tc>
        <w:tc>
          <w:tcPr>
            <w:tcW w:w="851" w:type="dxa"/>
          </w:tcPr>
          <w:p w14:paraId="47BBD5C0" w14:textId="77777777" w:rsidR="00AC5B84" w:rsidRPr="00AC5B84" w:rsidRDefault="00AC5B84"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High-vol dummy</w:t>
            </w:r>
          </w:p>
        </w:tc>
        <w:tc>
          <w:tcPr>
            <w:tcW w:w="851" w:type="dxa"/>
          </w:tcPr>
          <w:p w14:paraId="0C04053D" w14:textId="77777777" w:rsidR="00AC5B84" w:rsidRPr="00AC5B84" w:rsidRDefault="00AC5B84"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Interaction</w:t>
            </w:r>
          </w:p>
        </w:tc>
        <w:tc>
          <w:tcPr>
            <w:tcW w:w="851" w:type="dxa"/>
          </w:tcPr>
          <w:p w14:paraId="1149AA83" w14:textId="77777777" w:rsidR="00AC5B84" w:rsidRPr="00AC5B84" w:rsidRDefault="00AC5B84"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p-value interaction</w:t>
            </w:r>
          </w:p>
        </w:tc>
        <w:tc>
          <w:tcPr>
            <w:tcW w:w="851" w:type="dxa"/>
          </w:tcPr>
          <w:p w14:paraId="521F23A7" w14:textId="77777777" w:rsidR="00AC5B84" w:rsidRPr="00AC5B84" w:rsidRDefault="00AC5B84"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Implied high-regime slope</w:t>
            </w:r>
          </w:p>
        </w:tc>
        <w:tc>
          <w:tcPr>
            <w:tcW w:w="851" w:type="dxa"/>
          </w:tcPr>
          <w:p w14:paraId="0FA7A320" w14:textId="77777777" w:rsidR="00AC5B84" w:rsidRPr="00AC5B84" w:rsidRDefault="00AC5B84"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p-value high</w:t>
            </w:r>
          </w:p>
        </w:tc>
        <w:tc>
          <w:tcPr>
            <w:tcW w:w="851" w:type="dxa"/>
          </w:tcPr>
          <w:p w14:paraId="2D29B3DB" w14:textId="77777777" w:rsidR="00AC5B84" w:rsidRPr="00AC5B84" w:rsidRDefault="00AC5B84"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Obs.</w:t>
            </w:r>
          </w:p>
        </w:tc>
        <w:tc>
          <w:tcPr>
            <w:tcW w:w="851" w:type="dxa"/>
          </w:tcPr>
          <w:p w14:paraId="33E598FF" w14:textId="77777777" w:rsidR="00AC5B84" w:rsidRPr="00AC5B84" w:rsidRDefault="00AC5B84" w:rsidP="0036100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Countries</w:t>
            </w:r>
          </w:p>
        </w:tc>
      </w:tr>
      <w:tr w:rsidR="00AC5B84" w:rsidRPr="00AC5B84" w14:paraId="4F32F74E" w14:textId="77777777" w:rsidTr="00361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ABEB407" w14:textId="77777777" w:rsidR="00AC5B84" w:rsidRPr="00AC5B84" w:rsidRDefault="00AC5B84" w:rsidP="00361008">
            <w:pPr>
              <w:rPr>
                <w:rFonts w:ascii="Times New Roman" w:hAnsi="Times New Roman" w:cs="Times New Roman"/>
                <w:sz w:val="20"/>
                <w:szCs w:val="20"/>
              </w:rPr>
            </w:pPr>
            <w:r w:rsidRPr="00AC5B84">
              <w:rPr>
                <w:rFonts w:ascii="Times New Roman" w:hAnsi="Times New Roman" w:cs="Times New Roman"/>
                <w:sz w:val="20"/>
                <w:szCs w:val="20"/>
              </w:rPr>
              <w:t>Bank Z-score</w:t>
            </w:r>
          </w:p>
        </w:tc>
        <w:tc>
          <w:tcPr>
            <w:tcW w:w="851" w:type="dxa"/>
          </w:tcPr>
          <w:p w14:paraId="410D32DB" w14:textId="77777777" w:rsidR="00AC5B84" w:rsidRPr="00AC5B84" w:rsidRDefault="00AC5B84"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5.473</w:t>
            </w:r>
          </w:p>
        </w:tc>
        <w:tc>
          <w:tcPr>
            <w:tcW w:w="851" w:type="dxa"/>
          </w:tcPr>
          <w:p w14:paraId="3264CBE2" w14:textId="77777777" w:rsidR="00AC5B84" w:rsidRPr="00AC5B84" w:rsidRDefault="00AC5B84"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-0.118</w:t>
            </w:r>
          </w:p>
        </w:tc>
        <w:tc>
          <w:tcPr>
            <w:tcW w:w="851" w:type="dxa"/>
          </w:tcPr>
          <w:p w14:paraId="5FEE6C26" w14:textId="77777777" w:rsidR="00AC5B84" w:rsidRPr="00AC5B84" w:rsidRDefault="00AC5B84"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0.608</w:t>
            </w:r>
          </w:p>
        </w:tc>
        <w:tc>
          <w:tcPr>
            <w:tcW w:w="851" w:type="dxa"/>
          </w:tcPr>
          <w:p w14:paraId="58B7DFD8" w14:textId="77777777" w:rsidR="00AC5B84" w:rsidRPr="00AC5B84" w:rsidRDefault="00AC5B84"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-1.178</w:t>
            </w:r>
          </w:p>
        </w:tc>
        <w:tc>
          <w:tcPr>
            <w:tcW w:w="851" w:type="dxa"/>
          </w:tcPr>
          <w:p w14:paraId="21134CD8" w14:textId="77777777" w:rsidR="00AC5B84" w:rsidRPr="00AC5B84" w:rsidRDefault="00AC5B84"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0.146</w:t>
            </w:r>
          </w:p>
        </w:tc>
        <w:tc>
          <w:tcPr>
            <w:tcW w:w="851" w:type="dxa"/>
          </w:tcPr>
          <w:p w14:paraId="7C77B91B" w14:textId="77777777" w:rsidR="00AC5B84" w:rsidRPr="00AC5B84" w:rsidRDefault="00AC5B84"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0.506</w:t>
            </w:r>
          </w:p>
        </w:tc>
        <w:tc>
          <w:tcPr>
            <w:tcW w:w="851" w:type="dxa"/>
          </w:tcPr>
          <w:p w14:paraId="18053B52" w14:textId="77777777" w:rsidR="00AC5B84" w:rsidRPr="00AC5B84" w:rsidRDefault="00AC5B84"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0.029</w:t>
            </w:r>
          </w:p>
        </w:tc>
        <w:tc>
          <w:tcPr>
            <w:tcW w:w="851" w:type="dxa"/>
          </w:tcPr>
          <w:p w14:paraId="1BC16BAB" w14:textId="77777777" w:rsidR="00AC5B84" w:rsidRPr="00AC5B84" w:rsidRDefault="00AC5B84"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0.239</w:t>
            </w:r>
          </w:p>
        </w:tc>
        <w:tc>
          <w:tcPr>
            <w:tcW w:w="851" w:type="dxa"/>
          </w:tcPr>
          <w:p w14:paraId="664C3F68" w14:textId="77777777" w:rsidR="00AC5B84" w:rsidRPr="00AC5B84" w:rsidRDefault="00AC5B84"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543</w:t>
            </w:r>
          </w:p>
        </w:tc>
        <w:tc>
          <w:tcPr>
            <w:tcW w:w="851" w:type="dxa"/>
          </w:tcPr>
          <w:p w14:paraId="16297324" w14:textId="77777777" w:rsidR="00AC5B84" w:rsidRPr="00AC5B84" w:rsidRDefault="00AC5B84" w:rsidP="003610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35</w:t>
            </w:r>
          </w:p>
        </w:tc>
      </w:tr>
      <w:tr w:rsidR="00AC5B84" w:rsidRPr="00AC5B84" w14:paraId="2E3F6A9C" w14:textId="77777777" w:rsidTr="00361008">
        <w:tc>
          <w:tcPr>
            <w:cnfStyle w:val="001000000000" w:firstRow="0" w:lastRow="0" w:firstColumn="1" w:lastColumn="0" w:oddVBand="0" w:evenVBand="0" w:oddHBand="0" w:evenHBand="0" w:firstRowFirstColumn="0" w:firstRowLastColumn="0" w:lastRowFirstColumn="0" w:lastRowLastColumn="0"/>
            <w:tcW w:w="851" w:type="dxa"/>
          </w:tcPr>
          <w:p w14:paraId="71465342" w14:textId="77777777" w:rsidR="00AC5B84" w:rsidRPr="00AC5B84" w:rsidRDefault="00AC5B84" w:rsidP="00361008">
            <w:pPr>
              <w:rPr>
                <w:rFonts w:ascii="Times New Roman" w:hAnsi="Times New Roman" w:cs="Times New Roman"/>
                <w:sz w:val="20"/>
                <w:szCs w:val="20"/>
              </w:rPr>
            </w:pPr>
            <w:r w:rsidRPr="00AC5B84">
              <w:rPr>
                <w:rFonts w:ascii="Times New Roman" w:hAnsi="Times New Roman" w:cs="Times New Roman"/>
                <w:sz w:val="20"/>
                <w:szCs w:val="20"/>
              </w:rPr>
              <w:t>NPL ratio</w:t>
            </w:r>
          </w:p>
        </w:tc>
        <w:tc>
          <w:tcPr>
            <w:tcW w:w="851" w:type="dxa"/>
          </w:tcPr>
          <w:p w14:paraId="31F508B5" w14:textId="77777777" w:rsidR="00AC5B84" w:rsidRPr="00AC5B84" w:rsidRDefault="00AC5B84"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5.474</w:t>
            </w:r>
          </w:p>
        </w:tc>
        <w:tc>
          <w:tcPr>
            <w:tcW w:w="851" w:type="dxa"/>
          </w:tcPr>
          <w:p w14:paraId="205BD9CD" w14:textId="77777777" w:rsidR="00AC5B84" w:rsidRPr="00AC5B84" w:rsidRDefault="00AC5B84"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0.569</w:t>
            </w:r>
          </w:p>
        </w:tc>
        <w:tc>
          <w:tcPr>
            <w:tcW w:w="851" w:type="dxa"/>
          </w:tcPr>
          <w:p w14:paraId="7EBF6356" w14:textId="77777777" w:rsidR="00AC5B84" w:rsidRPr="00AC5B84" w:rsidRDefault="00AC5B84"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0.352</w:t>
            </w:r>
          </w:p>
        </w:tc>
        <w:tc>
          <w:tcPr>
            <w:tcW w:w="851" w:type="dxa"/>
          </w:tcPr>
          <w:p w14:paraId="0F52E098" w14:textId="77777777" w:rsidR="00AC5B84" w:rsidRPr="00AC5B84" w:rsidRDefault="00AC5B84"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3.661</w:t>
            </w:r>
          </w:p>
        </w:tc>
        <w:tc>
          <w:tcPr>
            <w:tcW w:w="851" w:type="dxa"/>
          </w:tcPr>
          <w:p w14:paraId="797ECE8E" w14:textId="77777777" w:rsidR="00AC5B84" w:rsidRPr="00AC5B84" w:rsidRDefault="00AC5B84"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-0.758</w:t>
            </w:r>
          </w:p>
        </w:tc>
        <w:tc>
          <w:tcPr>
            <w:tcW w:w="851" w:type="dxa"/>
          </w:tcPr>
          <w:p w14:paraId="10C7054A" w14:textId="77777777" w:rsidR="00AC5B84" w:rsidRPr="00AC5B84" w:rsidRDefault="00AC5B84"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0.247</w:t>
            </w:r>
          </w:p>
        </w:tc>
        <w:tc>
          <w:tcPr>
            <w:tcW w:w="851" w:type="dxa"/>
          </w:tcPr>
          <w:p w14:paraId="3E22AA58" w14:textId="77777777" w:rsidR="00AC5B84" w:rsidRPr="00AC5B84" w:rsidRDefault="00AC5B84"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-0.190</w:t>
            </w:r>
          </w:p>
        </w:tc>
        <w:tc>
          <w:tcPr>
            <w:tcW w:w="851" w:type="dxa"/>
          </w:tcPr>
          <w:p w14:paraId="52EDD03A" w14:textId="77777777" w:rsidR="00AC5B84" w:rsidRPr="00AC5B84" w:rsidRDefault="00AC5B84"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0.362</w:t>
            </w:r>
          </w:p>
        </w:tc>
        <w:tc>
          <w:tcPr>
            <w:tcW w:w="851" w:type="dxa"/>
          </w:tcPr>
          <w:p w14:paraId="085A2E3F" w14:textId="77777777" w:rsidR="00AC5B84" w:rsidRPr="00AC5B84" w:rsidRDefault="00AC5B84"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281</w:t>
            </w:r>
          </w:p>
        </w:tc>
        <w:tc>
          <w:tcPr>
            <w:tcW w:w="851" w:type="dxa"/>
          </w:tcPr>
          <w:p w14:paraId="06ACCCF4" w14:textId="77777777" w:rsidR="00AC5B84" w:rsidRPr="00AC5B84" w:rsidRDefault="00AC5B84" w:rsidP="003610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5B84">
              <w:rPr>
                <w:rFonts w:ascii="Times New Roman" w:hAnsi="Times New Roman" w:cs="Times New Roman"/>
                <w:sz w:val="20"/>
                <w:szCs w:val="20"/>
              </w:rPr>
              <w:t>24</w:t>
            </w:r>
          </w:p>
        </w:tc>
      </w:tr>
    </w:tbl>
    <w:p w14:paraId="51E99E77" w14:textId="77777777" w:rsidR="00AC5B84" w:rsidRPr="00AC5B84" w:rsidRDefault="00AC5B84" w:rsidP="00AC5B84">
      <w:pPr>
        <w:spacing w:after="120"/>
        <w:rPr>
          <w:rFonts w:ascii="Times New Roman" w:hAnsi="Times New Roman" w:cs="Times New Roman"/>
          <w:sz w:val="20"/>
          <w:szCs w:val="20"/>
        </w:rPr>
      </w:pPr>
      <w:r w:rsidRPr="00AC5B84">
        <w:rPr>
          <w:rFonts w:ascii="Times New Roman" w:hAnsi="Times New Roman" w:cs="Times New Roman"/>
          <w:sz w:val="20"/>
          <w:szCs w:val="20"/>
        </w:rPr>
        <w:t>Note. The high-regime slope equals the low-regime GARCH slope plus the interaction coefficient. Models include GDP growth, real interest rate, country effects, and no lagged dependent variable.</w:t>
      </w:r>
    </w:p>
    <w:p w14:paraId="0A711320" w14:textId="2EAFDF34" w:rsidR="00AC5B84" w:rsidRPr="00AC5B84" w:rsidRDefault="00AC5B84" w:rsidP="00AC5B84">
      <w:pPr>
        <w:keepNext/>
        <w:spacing w:before="100" w:after="60"/>
        <w:rPr>
          <w:rFonts w:ascii="Times New Roman" w:hAnsi="Times New Roman" w:cs="Times New Roman"/>
          <w:sz w:val="20"/>
          <w:szCs w:val="20"/>
        </w:rPr>
      </w:pPr>
      <w:r w:rsidRPr="00AC5B84">
        <w:rPr>
          <w:rFonts w:ascii="Times New Roman" w:hAnsi="Times New Roman" w:cs="Times New Roman"/>
          <w:sz w:val="20"/>
          <w:szCs w:val="20"/>
        </w:rPr>
        <w:lastRenderedPageBreak/>
        <w:t>Figure 4.</w:t>
      </w:r>
      <w:r>
        <w:rPr>
          <w:rFonts w:ascii="Times New Roman" w:hAnsi="Times New Roman" w:cs="Times New Roman"/>
          <w:sz w:val="20"/>
          <w:szCs w:val="20"/>
        </w:rPr>
        <w:t>9</w:t>
      </w:r>
      <w:r w:rsidRPr="00AC5B84">
        <w:rPr>
          <w:rFonts w:ascii="Times New Roman" w:hAnsi="Times New Roman" w:cs="Times New Roman"/>
          <w:sz w:val="20"/>
          <w:szCs w:val="20"/>
        </w:rPr>
        <w:t>. Controlled threshold behavior around median GARCH volatility: Bank Z-score.</w:t>
      </w:r>
    </w:p>
    <w:p w14:paraId="2EF76893" w14:textId="77777777" w:rsidR="00AC5B84" w:rsidRPr="00AC5B84" w:rsidRDefault="00AC5B84" w:rsidP="00AC5B84">
      <w:pPr>
        <w:spacing w:after="60"/>
        <w:jc w:val="center"/>
        <w:rPr>
          <w:rFonts w:ascii="Times New Roman" w:hAnsi="Times New Roman" w:cs="Times New Roman"/>
          <w:sz w:val="20"/>
          <w:szCs w:val="20"/>
        </w:rPr>
      </w:pPr>
      <w:r w:rsidRPr="00AC5B84">
        <w:rPr>
          <w:rFonts w:ascii="Times New Roman" w:hAnsi="Times New Roman" w:cs="Times New Roman"/>
          <w:noProof/>
          <w:sz w:val="20"/>
          <w:szCs w:val="20"/>
        </w:rPr>
        <w:drawing>
          <wp:inline distT="0" distB="0" distL="0" distR="0" wp14:anchorId="70C2DE00" wp14:editId="7ECB8A1A">
            <wp:extent cx="5303520" cy="3023604"/>
            <wp:effectExtent l="0" t="0" r="0" b="0"/>
            <wp:docPr id="2012711069" name="Picture 201271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4_13_threshold_zscore.png"/>
                    <pic:cNvPicPr/>
                  </pic:nvPicPr>
                  <pic:blipFill>
                    <a:blip r:embed="rId21"/>
                    <a:stretch>
                      <a:fillRect/>
                    </a:stretch>
                  </pic:blipFill>
                  <pic:spPr>
                    <a:xfrm>
                      <a:off x="0" y="0"/>
                      <a:ext cx="5303520" cy="3023604"/>
                    </a:xfrm>
                    <a:prstGeom prst="rect">
                      <a:avLst/>
                    </a:prstGeom>
                  </pic:spPr>
                </pic:pic>
              </a:graphicData>
            </a:graphic>
          </wp:inline>
        </w:drawing>
      </w:r>
    </w:p>
    <w:p w14:paraId="6473A0D9" w14:textId="77777777" w:rsidR="00AC5B84" w:rsidRPr="00AC5B84" w:rsidRDefault="00AC5B84" w:rsidP="00AC5B84">
      <w:pPr>
        <w:spacing w:after="120"/>
        <w:rPr>
          <w:rFonts w:ascii="Times New Roman" w:hAnsi="Times New Roman" w:cs="Times New Roman"/>
          <w:iCs/>
          <w:sz w:val="20"/>
          <w:szCs w:val="20"/>
        </w:rPr>
      </w:pPr>
      <w:r w:rsidRPr="00AC5B84">
        <w:rPr>
          <w:rFonts w:ascii="Times New Roman" w:hAnsi="Times New Roman" w:cs="Times New Roman"/>
          <w:iCs/>
          <w:sz w:val="20"/>
          <w:szCs w:val="20"/>
        </w:rPr>
        <w:t>Note. The vertical dashed line marks the median GARCH-volatility threshold in the controlled Z-score sample. Fitted lines are descriptive.</w:t>
      </w:r>
    </w:p>
    <w:p w14:paraId="42EE8FAE" w14:textId="60947B4E" w:rsidR="00AC5B84" w:rsidRPr="00AC5B84" w:rsidRDefault="00AC5B84" w:rsidP="00AC5B84">
      <w:pPr>
        <w:keepNext/>
        <w:spacing w:before="100" w:after="60"/>
        <w:rPr>
          <w:rFonts w:ascii="Times New Roman" w:hAnsi="Times New Roman" w:cs="Times New Roman"/>
          <w:sz w:val="20"/>
          <w:szCs w:val="20"/>
        </w:rPr>
      </w:pPr>
      <w:r w:rsidRPr="00AC5B84">
        <w:rPr>
          <w:rFonts w:ascii="Times New Roman" w:hAnsi="Times New Roman" w:cs="Times New Roman"/>
          <w:sz w:val="20"/>
          <w:szCs w:val="20"/>
        </w:rPr>
        <w:t>Figure 4.1</w:t>
      </w:r>
      <w:r>
        <w:rPr>
          <w:rFonts w:ascii="Times New Roman" w:hAnsi="Times New Roman" w:cs="Times New Roman"/>
          <w:sz w:val="20"/>
          <w:szCs w:val="20"/>
        </w:rPr>
        <w:t>0</w:t>
      </w:r>
      <w:r w:rsidRPr="00AC5B84">
        <w:rPr>
          <w:rFonts w:ascii="Times New Roman" w:hAnsi="Times New Roman" w:cs="Times New Roman"/>
          <w:sz w:val="20"/>
          <w:szCs w:val="20"/>
        </w:rPr>
        <w:t>. Controlled threshold behavior around median GARCH volatility: NPL ratio.</w:t>
      </w:r>
    </w:p>
    <w:p w14:paraId="550AE0CC" w14:textId="77777777" w:rsidR="00AC5B84" w:rsidRPr="00AC5B84" w:rsidRDefault="00AC5B84" w:rsidP="00AC5B84">
      <w:pPr>
        <w:spacing w:after="60"/>
        <w:jc w:val="center"/>
        <w:rPr>
          <w:rFonts w:ascii="Times New Roman" w:hAnsi="Times New Roman" w:cs="Times New Roman"/>
          <w:sz w:val="20"/>
          <w:szCs w:val="20"/>
        </w:rPr>
      </w:pPr>
      <w:r w:rsidRPr="00AC5B84">
        <w:rPr>
          <w:rFonts w:ascii="Times New Roman" w:hAnsi="Times New Roman" w:cs="Times New Roman"/>
          <w:noProof/>
          <w:sz w:val="20"/>
          <w:szCs w:val="20"/>
        </w:rPr>
        <w:drawing>
          <wp:inline distT="0" distB="0" distL="0" distR="0" wp14:anchorId="617DFB0F" wp14:editId="391552C7">
            <wp:extent cx="5303520" cy="3020512"/>
            <wp:effectExtent l="0" t="0" r="0" b="0"/>
            <wp:docPr id="2012711070" name="Picture 201271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4_13_threshold_npl.png"/>
                    <pic:cNvPicPr/>
                  </pic:nvPicPr>
                  <pic:blipFill>
                    <a:blip r:embed="rId22"/>
                    <a:stretch>
                      <a:fillRect/>
                    </a:stretch>
                  </pic:blipFill>
                  <pic:spPr>
                    <a:xfrm>
                      <a:off x="0" y="0"/>
                      <a:ext cx="5303520" cy="3020512"/>
                    </a:xfrm>
                    <a:prstGeom prst="rect">
                      <a:avLst/>
                    </a:prstGeom>
                  </pic:spPr>
                </pic:pic>
              </a:graphicData>
            </a:graphic>
          </wp:inline>
        </w:drawing>
      </w:r>
    </w:p>
    <w:p w14:paraId="1D5EE31B" w14:textId="77777777" w:rsidR="00AC5B84" w:rsidRPr="00AC5B84" w:rsidRDefault="00AC5B84" w:rsidP="00AC5B84">
      <w:pPr>
        <w:spacing w:after="120"/>
        <w:rPr>
          <w:rFonts w:ascii="Times New Roman" w:hAnsi="Times New Roman" w:cs="Times New Roman"/>
          <w:iCs/>
          <w:sz w:val="20"/>
          <w:szCs w:val="20"/>
        </w:rPr>
      </w:pPr>
      <w:r w:rsidRPr="00AC5B84">
        <w:rPr>
          <w:rFonts w:ascii="Times New Roman" w:hAnsi="Times New Roman" w:cs="Times New Roman"/>
          <w:iCs/>
          <w:sz w:val="20"/>
          <w:szCs w:val="20"/>
        </w:rPr>
        <w:t>Note. The vertical dashed line marks the median GARCH-volatility threshold in the controlled NPL sample. Fitted lines are descriptive.</w:t>
      </w:r>
    </w:p>
    <w:p w14:paraId="4A7A449D" w14:textId="77777777" w:rsidR="000B7447" w:rsidRPr="000B7447" w:rsidRDefault="000B7447" w:rsidP="000B7447">
      <w:pPr>
        <w:spacing w:line="360" w:lineRule="auto"/>
        <w:jc w:val="both"/>
        <w:rPr>
          <w:rFonts w:ascii="Times New Roman" w:hAnsi="Times New Roman" w:cs="Times New Roman"/>
        </w:rPr>
      </w:pPr>
    </w:p>
    <w:p w14:paraId="52C5C386" w14:textId="77777777" w:rsidR="00AC5B84" w:rsidRDefault="00AC5B84" w:rsidP="000B7447">
      <w:pPr>
        <w:spacing w:line="360" w:lineRule="auto"/>
        <w:jc w:val="both"/>
        <w:rPr>
          <w:rFonts w:ascii="Times New Roman" w:hAnsi="Times New Roman" w:cs="Times New Roman"/>
        </w:rPr>
      </w:pPr>
    </w:p>
    <w:p w14:paraId="5B3E93C0" w14:textId="3B4B4C95" w:rsidR="000B7447" w:rsidRDefault="000B7447" w:rsidP="000B7447">
      <w:pPr>
        <w:spacing w:line="360" w:lineRule="auto"/>
        <w:jc w:val="both"/>
        <w:rPr>
          <w:rFonts w:ascii="Times New Roman" w:hAnsi="Times New Roman" w:cs="Times New Roman"/>
        </w:rPr>
      </w:pPr>
      <w:r w:rsidRPr="000B7447">
        <w:rPr>
          <w:rFonts w:ascii="Times New Roman" w:hAnsi="Times New Roman" w:cs="Times New Roman"/>
        </w:rPr>
        <w:lastRenderedPageBreak/>
        <w:t xml:space="preserve">Cautious interpretation because of the controlled robustness checks. The dependent volatility measure remains the baseline </w:t>
      </w:r>
      <w:proofErr w:type="gramStart"/>
      <w:r w:rsidRPr="000B7447">
        <w:rPr>
          <w:rFonts w:ascii="Times New Roman" w:hAnsi="Times New Roman" w:cs="Times New Roman"/>
        </w:rPr>
        <w:t>GARCH(</w:t>
      </w:r>
      <w:proofErr w:type="gramEnd"/>
      <w:r w:rsidRPr="000B7447">
        <w:rPr>
          <w:rFonts w:ascii="Times New Roman" w:hAnsi="Times New Roman" w:cs="Times New Roman"/>
        </w:rPr>
        <w:t>1,1) process and sensitivity is tested using alternative measures of volatility and threshold interactions. The closer the inflation-volatility coefficient is to 1 in both partitions (Fixed Effects and Random Effects), the stronger the result. If it changes following the inclusion of controls", conclusion should be conditional on the macroeconomic environment.</w:t>
      </w:r>
    </w:p>
    <w:p w14:paraId="2A1F940E" w14:textId="77777777" w:rsidR="00AC5B84" w:rsidRDefault="00AC5B84" w:rsidP="00AC5B84">
      <w:pPr>
        <w:rPr>
          <w:rFonts w:ascii="Times New Roman" w:hAnsi="Times New Roman" w:cs="Times New Roman"/>
        </w:rPr>
      </w:pPr>
    </w:p>
    <w:p w14:paraId="722726FB" w14:textId="77777777" w:rsidR="00AC5B84" w:rsidRDefault="00AC5B84" w:rsidP="00AC5B84">
      <w:pPr>
        <w:rPr>
          <w:rFonts w:ascii="Times New Roman" w:hAnsi="Times New Roman" w:cs="Times New Roman"/>
        </w:rPr>
      </w:pPr>
    </w:p>
    <w:p w14:paraId="4804C063" w14:textId="77777777" w:rsidR="000329B1" w:rsidRDefault="000329B1" w:rsidP="00AC5B84">
      <w:pPr>
        <w:rPr>
          <w:rFonts w:ascii="Times New Roman" w:hAnsi="Times New Roman" w:cs="Times New Roman"/>
        </w:rPr>
      </w:pPr>
    </w:p>
    <w:p w14:paraId="7D99BAAE" w14:textId="677DAB75" w:rsidR="000329B1" w:rsidRPr="000329B1" w:rsidRDefault="000329B1" w:rsidP="000329B1">
      <w:pPr>
        <w:pStyle w:val="Heading1"/>
        <w:jc w:val="center"/>
        <w:rPr>
          <w:rFonts w:ascii="Times New Roman" w:hAnsi="Times New Roman" w:cs="Times New Roman"/>
          <w:b/>
          <w:bCs/>
          <w:sz w:val="32"/>
          <w:szCs w:val="32"/>
        </w:rPr>
      </w:pPr>
      <w:bookmarkStart w:id="94" w:name="_Toc235530922"/>
      <w:r w:rsidRPr="000329B1">
        <w:rPr>
          <w:rFonts w:ascii="Times New Roman" w:hAnsi="Times New Roman" w:cs="Times New Roman"/>
          <w:b/>
          <w:bCs/>
          <w:sz w:val="32"/>
          <w:szCs w:val="32"/>
        </w:rPr>
        <w:t>CHAPTER 5: DISCUSSION</w:t>
      </w:r>
      <w:bookmarkEnd w:id="94"/>
    </w:p>
    <w:p w14:paraId="6A5DAF86" w14:textId="77777777" w:rsidR="000329B1" w:rsidRDefault="000329B1" w:rsidP="00AC5B84">
      <w:pPr>
        <w:rPr>
          <w:rFonts w:ascii="Times New Roman" w:hAnsi="Times New Roman" w:cs="Times New Roman"/>
        </w:rPr>
      </w:pPr>
    </w:p>
    <w:p w14:paraId="1B823AE6" w14:textId="77777777" w:rsidR="000329B1" w:rsidRPr="000329B1" w:rsidRDefault="000329B1" w:rsidP="000329B1">
      <w:pPr>
        <w:pStyle w:val="Heading2"/>
        <w:rPr>
          <w:rFonts w:ascii="Times New Roman" w:hAnsi="Times New Roman" w:cs="Times New Roman"/>
          <w:b/>
          <w:bCs/>
          <w:sz w:val="28"/>
          <w:szCs w:val="28"/>
        </w:rPr>
      </w:pPr>
      <w:bookmarkStart w:id="95" w:name="_Toc235530923"/>
      <w:r w:rsidRPr="000329B1">
        <w:rPr>
          <w:rFonts w:ascii="Times New Roman" w:hAnsi="Times New Roman" w:cs="Times New Roman"/>
          <w:b/>
          <w:bCs/>
          <w:sz w:val="28"/>
          <w:szCs w:val="28"/>
        </w:rPr>
        <w:t>5.1 Interpreting the main findings through theory</w:t>
      </w:r>
      <w:bookmarkEnd w:id="95"/>
    </w:p>
    <w:p w14:paraId="6E1A5408" w14:textId="53C55515"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 xml:space="preserve">The results indicate that inflation volatility is connected with banking stability in frontier economies. Evidence of the strongest empirical relationship exists between </w:t>
      </w:r>
      <w:proofErr w:type="gramStart"/>
      <w:r w:rsidRPr="000329B1">
        <w:rPr>
          <w:rFonts w:ascii="Times New Roman" w:hAnsi="Times New Roman" w:cs="Times New Roman"/>
        </w:rPr>
        <w:t>GARCH(</w:t>
      </w:r>
      <w:proofErr w:type="gramEnd"/>
      <w:r w:rsidRPr="000329B1">
        <w:rPr>
          <w:rFonts w:ascii="Times New Roman" w:hAnsi="Times New Roman" w:cs="Times New Roman"/>
        </w:rPr>
        <w:t xml:space="preserve">1,1) inflation volatility and the bank Z-score, which is a negative relationship. In the newly considered simple panel framework this relationship is assessed via Fixed Effects and Random Effects models. The coefficient cannot be interpreted as causal evidence in all specifications, but the theoretical negative sign of the coefficient has a meaning because this Z score is a </w:t>
      </w:r>
      <w:proofErr w:type="gramStart"/>
      <w:r w:rsidRPr="000329B1">
        <w:rPr>
          <w:rFonts w:ascii="Times New Roman" w:hAnsi="Times New Roman" w:cs="Times New Roman"/>
        </w:rPr>
        <w:t>solvency oriented</w:t>
      </w:r>
      <w:proofErr w:type="gramEnd"/>
      <w:r w:rsidRPr="000329B1">
        <w:rPr>
          <w:rFonts w:ascii="Times New Roman" w:hAnsi="Times New Roman" w:cs="Times New Roman"/>
        </w:rPr>
        <w:t xml:space="preserve"> measure, incorporating both profitability, capitalization and earnings volatility measures.</w:t>
      </w:r>
    </w:p>
    <w:p w14:paraId="0316A5E1"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 xml:space="preserve">This pattern is very much in line with the uncertainty channel. Volatilities of conditional inflation uncertainty are measured via </w:t>
      </w:r>
      <w:proofErr w:type="gramStart"/>
      <w:r w:rsidRPr="000329B1">
        <w:rPr>
          <w:rFonts w:ascii="Times New Roman" w:hAnsi="Times New Roman" w:cs="Times New Roman"/>
        </w:rPr>
        <w:t>GARCH(</w:t>
      </w:r>
      <w:proofErr w:type="gramEnd"/>
      <w:r w:rsidRPr="000329B1">
        <w:rPr>
          <w:rFonts w:ascii="Times New Roman" w:hAnsi="Times New Roman" w:cs="Times New Roman"/>
        </w:rPr>
        <w:t xml:space="preserve">1,1) processes: conditional inflation uncertainty is not only a statement on whether inflation is high, it also reflects whether the inflation process is unstable and, therefore, unpredictable. In the </w:t>
      </w:r>
      <w:proofErr w:type="spellStart"/>
      <w:r w:rsidRPr="000329B1">
        <w:rPr>
          <w:rFonts w:ascii="Times New Roman" w:hAnsi="Times New Roman" w:cs="Times New Roman"/>
        </w:rPr>
        <w:t>asymmetricinformation</w:t>
      </w:r>
      <w:proofErr w:type="spellEnd"/>
      <w:r w:rsidRPr="000329B1">
        <w:rPr>
          <w:rFonts w:ascii="Times New Roman" w:hAnsi="Times New Roman" w:cs="Times New Roman"/>
        </w:rPr>
        <w:t xml:space="preserve"> model, volatile inflation creates a high barrier to bank assessment and pricing of borrower quality, to determining actual rather than simply temporary real repayment ability, and to differentiating between </w:t>
      </w:r>
      <w:proofErr w:type="spellStart"/>
      <w:r w:rsidRPr="000329B1">
        <w:rPr>
          <w:rFonts w:ascii="Times New Roman" w:hAnsi="Times New Roman" w:cs="Times New Roman"/>
        </w:rPr>
        <w:t>bor</w:t>
      </w:r>
      <w:proofErr w:type="spellEnd"/>
      <w:r w:rsidRPr="000329B1">
        <w:rPr>
          <w:rFonts w:ascii="Times New Roman" w:hAnsi="Times New Roman" w:cs="Times New Roman"/>
        </w:rPr>
        <w:t xml:space="preserve">-rower default and liquidity stress. As uncertainty increases banks may choose to increase risk premiums, shorten the length of loan terms, consider creditworthiness, and opt for safer investments. In the short term, these responses mitigate bank losses, but also can lead to poorer quality intermediation and less stable earnings. The negative Z score relationship should thus be interpreted in the light of inflation </w:t>
      </w:r>
      <w:r w:rsidRPr="000329B1">
        <w:rPr>
          <w:rFonts w:ascii="Times New Roman" w:hAnsi="Times New Roman" w:cs="Times New Roman"/>
        </w:rPr>
        <w:lastRenderedPageBreak/>
        <w:t>uncertainty lowering the resilience of banking systems, through an increase in the variance of returns, and a difficulty in pricing risks.</w:t>
      </w:r>
    </w:p>
    <w:p w14:paraId="16E65CAB"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 xml:space="preserve">The </w:t>
      </w:r>
      <w:proofErr w:type="gramStart"/>
      <w:r w:rsidRPr="000329B1">
        <w:rPr>
          <w:rFonts w:ascii="Times New Roman" w:hAnsi="Times New Roman" w:cs="Times New Roman"/>
        </w:rPr>
        <w:t>so called</w:t>
      </w:r>
      <w:proofErr w:type="gramEnd"/>
      <w:r w:rsidRPr="000329B1">
        <w:rPr>
          <w:rFonts w:ascii="Times New Roman" w:hAnsi="Times New Roman" w:cs="Times New Roman"/>
        </w:rPr>
        <w:t xml:space="preserve"> </w:t>
      </w:r>
      <w:proofErr w:type="gramStart"/>
      <w:r w:rsidRPr="000329B1">
        <w:rPr>
          <w:rFonts w:ascii="Times New Roman" w:hAnsi="Times New Roman" w:cs="Times New Roman"/>
        </w:rPr>
        <w:t>balance-sheet</w:t>
      </w:r>
      <w:proofErr w:type="gramEnd"/>
      <w:r w:rsidRPr="000329B1">
        <w:rPr>
          <w:rFonts w:ascii="Times New Roman" w:hAnsi="Times New Roman" w:cs="Times New Roman"/>
        </w:rPr>
        <w:t xml:space="preserve"> channel is also well supported. The Z score directly relates with the balance-sheet capacity of the banking system as it shows the distance of returns from the default level and measures the capital buffers. As inflation rates fluctuate, so do borrower cash flows, collateral amounts are less certain, and banks find it harder to match the actual value of assets with liabilities. Although the impact of that effect may not be immediately noticeable in higher levels of NPLs, it can nonetheless affect the quality of expected earnings and raise perceived solvency risk. That is why the negative sign of the GARCH-Z score is consistent with a balance-sheet interpretation: Any decrease in inflation volatility reduces the buffer used by banks to absorb shocks.</w:t>
      </w:r>
    </w:p>
    <w:p w14:paraId="1E7DBAE2"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Staying within the context of the simple panel model, the repayment-capacity channel is still theoretically relevant, but is not the predominant regression result. The main one, an empirical interpretation, thus should be based on Bank Z-score. Changes in interest-rate conditions, input costs and unstable real incomes due to volatile inflation can still lower repayment capacity, but the effect feeling the most impact of this project lies in the solvency/resilience channel, captured by the Z-score.</w:t>
      </w:r>
    </w:p>
    <w:p w14:paraId="58772167"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The real-return channel is the least directly supported explanation of the link between the two. In the logic of the Fisher-effect, unforeseen inflation may cause the real return on bank assets and liabilities to be misaligned particularly if bank loans are written in nominal terms. In principle, this effect has everything to do with the present work, however, inflating the volatility of inflation does not straightforwardly lead to worsening bad-loan formation. Rather, the findings indicate a more general macro-financial process whereby the increased uncertainty regarding prices, profits, borrower quality and the strength of the balance sheets, induced by the inflation volatility, triggers the NPL response, which in turn is regulated by institutional-credit market-specific conditions. To conclude, the evidence is most supportive of the uncertainty and balance-sheet channels, somewhat supportive of the repayment-capacity channel and perhaps less supportive of the real-return channel.</w:t>
      </w:r>
    </w:p>
    <w:p w14:paraId="6D495A2F"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 xml:space="preserve">This interpretation sheds light on the reason why there is a difference between raw correlations and panel estimates. A correlation analysis is of course only able to identify co-movement at a </w:t>
      </w:r>
      <w:r w:rsidRPr="000329B1">
        <w:rPr>
          <w:rFonts w:ascii="Times New Roman" w:hAnsi="Times New Roman" w:cs="Times New Roman"/>
        </w:rPr>
        <w:lastRenderedPageBreak/>
        <w:t>specific point in time, while Fixed Effects and Random Effects models try to capture the panel structure, and country-level heterogeneity. The Z-score will react in a general manner as it incorporates profitability, capitalization, and earnings danger. The empirical pattern thus lends itself to a staged view of the transmission, where increased uncertainty from inflation volatility affects the resilience of the solvency of the banks and/or exhibits a later stage in the credit-quality indicators, depending on country conditions.</w:t>
      </w:r>
    </w:p>
    <w:p w14:paraId="3215C140"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This interpretation is corroborated by the supplementary robustness checks that use the GARCH-family. The AR(1)-</w:t>
      </w:r>
      <w:proofErr w:type="gramStart"/>
      <w:r w:rsidRPr="000329B1">
        <w:rPr>
          <w:rFonts w:ascii="Times New Roman" w:hAnsi="Times New Roman" w:cs="Times New Roman"/>
        </w:rPr>
        <w:t>GARCH(</w:t>
      </w:r>
      <w:proofErr w:type="gramEnd"/>
      <w:r w:rsidRPr="000329B1">
        <w:rPr>
          <w:rFonts w:ascii="Times New Roman" w:hAnsi="Times New Roman" w:cs="Times New Roman"/>
        </w:rPr>
        <w:t xml:space="preserve">1,1) model gives volatility patterns that are very similar to those in the baseline </w:t>
      </w:r>
      <w:proofErr w:type="gramStart"/>
      <w:r w:rsidRPr="000329B1">
        <w:rPr>
          <w:rFonts w:ascii="Times New Roman" w:hAnsi="Times New Roman" w:cs="Times New Roman"/>
        </w:rPr>
        <w:t>GARCH(</w:t>
      </w:r>
      <w:proofErr w:type="gramEnd"/>
      <w:r w:rsidRPr="000329B1">
        <w:rPr>
          <w:rFonts w:ascii="Times New Roman" w:hAnsi="Times New Roman" w:cs="Times New Roman"/>
        </w:rPr>
        <w:t xml:space="preserve">1,1) series, with an overall correlation of 0.958 and a median country-level correlation of 0.868. This implies that its overall finding cannot be attributed exclusively to the use of a simple mean inflation specification. Volatility Pattern is quite similar after introducing this element in the inflation equation: inflation depends on itself in the past. However, the </w:t>
      </w:r>
      <w:proofErr w:type="gramStart"/>
      <w:r w:rsidRPr="000329B1">
        <w:rPr>
          <w:rFonts w:ascii="Times New Roman" w:hAnsi="Times New Roman" w:cs="Times New Roman"/>
        </w:rPr>
        <w:t>EGARCH(</w:t>
      </w:r>
      <w:proofErr w:type="gramEnd"/>
      <w:r w:rsidRPr="000329B1">
        <w:rPr>
          <w:rFonts w:ascii="Times New Roman" w:hAnsi="Times New Roman" w:cs="Times New Roman"/>
        </w:rPr>
        <w:t xml:space="preserve">1,1) is also compatible with the inflation volatility, and it is more responsive to asymmetric and extreme shocks. It does not correlate as well as the baseline </w:t>
      </w:r>
      <w:proofErr w:type="gramStart"/>
      <w:r w:rsidRPr="000329B1">
        <w:rPr>
          <w:rFonts w:ascii="Times New Roman" w:hAnsi="Times New Roman" w:cs="Times New Roman"/>
        </w:rPr>
        <w:t>GARCH(</w:t>
      </w:r>
      <w:proofErr w:type="gramEnd"/>
      <w:r w:rsidRPr="000329B1">
        <w:rPr>
          <w:rFonts w:ascii="Times New Roman" w:hAnsi="Times New Roman" w:cs="Times New Roman"/>
        </w:rPr>
        <w:t xml:space="preserve">1,1) volatility series but it does better once the EGARCH spikes of </w:t>
      </w:r>
      <w:proofErr w:type="spellStart"/>
      <w:r w:rsidRPr="000329B1">
        <w:rPr>
          <w:rFonts w:ascii="Times New Roman" w:hAnsi="Times New Roman" w:cs="Times New Roman"/>
        </w:rPr>
        <w:t>extrimes</w:t>
      </w:r>
      <w:proofErr w:type="spellEnd"/>
      <w:r w:rsidRPr="000329B1">
        <w:rPr>
          <w:rFonts w:ascii="Times New Roman" w:hAnsi="Times New Roman" w:cs="Times New Roman"/>
        </w:rPr>
        <w:t xml:space="preserve"> are omitted. Hence, the robustness evidence provides further support for the use of the inflation volatility as a risk factor in the macro-financial framework, and it demonstrates that the results on volatility behavior are not all the same across the various model specifications.</w:t>
      </w:r>
    </w:p>
    <w:p w14:paraId="07A3779D" w14:textId="77777777" w:rsidR="000329B1" w:rsidRPr="000329B1" w:rsidRDefault="000329B1" w:rsidP="000329B1">
      <w:pPr>
        <w:spacing w:line="360" w:lineRule="auto"/>
        <w:jc w:val="both"/>
        <w:rPr>
          <w:rFonts w:ascii="Times New Roman" w:hAnsi="Times New Roman" w:cs="Times New Roman"/>
        </w:rPr>
      </w:pPr>
    </w:p>
    <w:p w14:paraId="253080D4" w14:textId="77777777" w:rsidR="000329B1" w:rsidRPr="000329B1" w:rsidRDefault="000329B1" w:rsidP="000329B1">
      <w:pPr>
        <w:spacing w:line="360" w:lineRule="auto"/>
        <w:jc w:val="both"/>
        <w:rPr>
          <w:rFonts w:ascii="Times New Roman" w:hAnsi="Times New Roman" w:cs="Times New Roman"/>
        </w:rPr>
      </w:pPr>
    </w:p>
    <w:p w14:paraId="50CB00BC" w14:textId="77777777" w:rsidR="000329B1" w:rsidRPr="000329B1" w:rsidRDefault="000329B1" w:rsidP="000329B1">
      <w:pPr>
        <w:pStyle w:val="Heading2"/>
        <w:rPr>
          <w:rFonts w:ascii="Times New Roman" w:hAnsi="Times New Roman" w:cs="Times New Roman"/>
          <w:b/>
          <w:bCs/>
          <w:sz w:val="28"/>
          <w:szCs w:val="28"/>
        </w:rPr>
      </w:pPr>
      <w:bookmarkStart w:id="96" w:name="_Toc235530924"/>
      <w:r w:rsidRPr="000329B1">
        <w:rPr>
          <w:rFonts w:ascii="Times New Roman" w:hAnsi="Times New Roman" w:cs="Times New Roman"/>
          <w:b/>
          <w:bCs/>
          <w:sz w:val="28"/>
          <w:szCs w:val="28"/>
        </w:rPr>
        <w:t>5.2 Why the frontier-economy context matters</w:t>
      </w:r>
      <w:bookmarkEnd w:id="96"/>
    </w:p>
    <w:p w14:paraId="16E7FD39"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The key themes of the results relate to the frontier-economy context. In more developed and more institutionally advanced financial systems, financial problems are likely to be more diversified, banks are likely to possess better structured risk management systems, access to capital markets is likely to be more fluid, inflation expectations will likely be more reliable and supervisory frameworks are likely to be more developed. These all make it less difficult to absorb inflation shocks without them giving rise to banking stability issues. Fewer are found in the frontier economies. Thus, a similar level of inflation volatility could mean a greater financial stability worry with banks and borrowers having shallower reserves of safety.</w:t>
      </w:r>
    </w:p>
    <w:p w14:paraId="5CEA2DC6"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lastRenderedPageBreak/>
        <w:t>An important one is greater lack of policy credibility. Inflation shocks will not be regarded as transitory shocks where central banks lack credibility or are fiscally dominated. The confidence in returning to a stable path on inflation could be reduced for both borrowers and lenders, leading to more robust revisions to participatory expectations. This adds to the uncertainty premium on credit markets. Furthermore, it is partly the reason why the Z-score channel is more evident than the NPL channel, as banks might have more pessimistic expectations about future earnings, a more conservative risk lending stance and even more assumptive of possible solvency risks, even before formally classifying a loan as non-performing.</w:t>
      </w:r>
    </w:p>
    <w:p w14:paraId="1EEAFC5E"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Second is the shallowness of financial markets. Frontier banking systems are bank-dominated, and corporate bond markets, and local-currency long-term funding instruments, are limited. This is significant for inflation volatility as it becomes more difficult to hedge this in thin markets. Sophisticated transfer, diversification and pricing of inflation risk is difficult for banks. The risk is left in the core banking book, instead. This increases the security of the findings on the balance-sheet. Macroeconomic instability quickly turns into banking instability when the financial system is reliant on banks.</w:t>
      </w:r>
    </w:p>
    <w:p w14:paraId="37E06A28"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 xml:space="preserve">Thirdly, the exchange-rate pass-through is typically higher in frontier markets. Many of the countries in the sample are also net importers of fuels, food, capital goods or intermediate goods. This allows currency </w:t>
      </w:r>
      <w:proofErr w:type="spellStart"/>
      <w:r w:rsidRPr="000329B1">
        <w:rPr>
          <w:rFonts w:ascii="Times New Roman" w:hAnsi="Times New Roman" w:cs="Times New Roman"/>
        </w:rPr>
        <w:t>depreciaiton</w:t>
      </w:r>
      <w:proofErr w:type="spellEnd"/>
      <w:r w:rsidRPr="000329B1">
        <w:rPr>
          <w:rFonts w:ascii="Times New Roman" w:hAnsi="Times New Roman" w:cs="Times New Roman"/>
        </w:rPr>
        <w:t xml:space="preserve"> to quickly translate to domestic prices and adding to the inflation volatility, which in turn is connected with external-sector stress. This impacts the cash flows and repayment capacities of companies that have some inputs or liabilities from abroad. For banks it increases the doubt on borrowers as well as the value of security. </w:t>
      </w:r>
      <w:proofErr w:type="gramStart"/>
      <w:r w:rsidRPr="000329B1">
        <w:rPr>
          <w:rFonts w:ascii="Times New Roman" w:hAnsi="Times New Roman" w:cs="Times New Roman"/>
        </w:rPr>
        <w:t>Thus</w:t>
      </w:r>
      <w:proofErr w:type="gramEnd"/>
      <w:r w:rsidRPr="000329B1">
        <w:rPr>
          <w:rFonts w:ascii="Times New Roman" w:hAnsi="Times New Roman" w:cs="Times New Roman"/>
        </w:rPr>
        <w:t xml:space="preserve"> it's not only consumer prices the channel is constrained by; it's a broader macro-financial vulnerability.</w:t>
      </w:r>
    </w:p>
    <w:p w14:paraId="4B01BF48" w14:textId="542F52C1"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Last but not least, frontier economies typically have less buffer potential. Liquid strength, financial resilience of borrowers, and supervisory technology and systems tend to be shallower than in more developed systems, as do capital buffers and legal recovery arrangements. This can help account for some of the differences in the findings. Inflation volatility does not impact an equal effect across all country-years as its effect varies depending on the buffers. Volatility can play a significant role in destabilizing where buffers are thin. If policy is more credible, banking supervision and capital is sound, the same volatility may be soaked up endogenously, without an ongoing response in terms of NPLs.</w:t>
      </w:r>
    </w:p>
    <w:p w14:paraId="1D14196E" w14:textId="77777777" w:rsidR="000329B1" w:rsidRPr="000329B1" w:rsidRDefault="000329B1" w:rsidP="000329B1">
      <w:pPr>
        <w:pStyle w:val="Heading2"/>
        <w:rPr>
          <w:rFonts w:ascii="Times New Roman" w:hAnsi="Times New Roman" w:cs="Times New Roman"/>
          <w:b/>
          <w:bCs/>
          <w:sz w:val="28"/>
          <w:szCs w:val="28"/>
        </w:rPr>
      </w:pPr>
      <w:bookmarkStart w:id="97" w:name="_Toc235530925"/>
      <w:r w:rsidRPr="000329B1">
        <w:rPr>
          <w:rFonts w:ascii="Times New Roman" w:hAnsi="Times New Roman" w:cs="Times New Roman"/>
          <w:b/>
          <w:bCs/>
          <w:sz w:val="28"/>
          <w:szCs w:val="28"/>
        </w:rPr>
        <w:lastRenderedPageBreak/>
        <w:t>5.3 Comparison with prior empirical literature</w:t>
      </w:r>
      <w:bookmarkEnd w:id="97"/>
    </w:p>
    <w:p w14:paraId="2720567F"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The results largely contribute to the existing literature of the inflation uncertainty as a financial-stability risk. The prevailing empirical literature on inflation risk, bank stability and credit quality suggests that monetary instability affects bank viability as it exposes them to credit risk, renders contracts nominal less useful, and impedes monetary-policy transmission. This general opinion agrees with the present results that the volatility measure based on the GARCH model is negatively associated with the Bank Z-score in the main connected sample.</w:t>
      </w:r>
    </w:p>
    <w:p w14:paraId="1EA30F32" w14:textId="3656D639"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Meanwhile, the findings show that the impact varies considerably on the banking-stability measure used, and provide a more nuanced reading of previous findings. Research based only on NPLs could yield inconclusive findings as the definition of non-performing loans is influenced by criteria for loan recognition, supervisory enforcement, loan restructuring, and the nature of the credit market. This study also discovers that the NPL connection is weaker and more heterogeneous than Z score connection. Hence, there is no straightforward conclusion that can be drawn that inflation volatility causes an automatic and instant effect on NPLs in all frontier economies. It indicates, however, that there is a more general, stability effect of inflation volatility, which is more sensitively measured by a solvency-oriented measure.</w:t>
      </w:r>
    </w:p>
    <w:p w14:paraId="708AA875" w14:textId="65A3F1E1"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 xml:space="preserve">The results are also consistent with macroprudential vulnerability studies which highlight the need for the interaction between macroeconomic shocks and institutional buffers in order to be financially stable. Contributions of the revised paper are the </w:t>
      </w:r>
      <w:proofErr w:type="gramStart"/>
      <w:r w:rsidRPr="000329B1">
        <w:rPr>
          <w:rFonts w:ascii="Times New Roman" w:hAnsi="Times New Roman" w:cs="Times New Roman"/>
        </w:rPr>
        <w:t>GARCH(</w:t>
      </w:r>
      <w:proofErr w:type="gramEnd"/>
      <w:r w:rsidRPr="000329B1">
        <w:rPr>
          <w:rFonts w:ascii="Times New Roman" w:hAnsi="Times New Roman" w:cs="Times New Roman"/>
        </w:rPr>
        <w:t xml:space="preserve">1,1) based measure of volatility, a simple panel approach for the Bank Z-score, and the selection of fixed effects or random </w:t>
      </w:r>
      <w:proofErr w:type="gramStart"/>
      <w:r w:rsidRPr="000329B1">
        <w:rPr>
          <w:rFonts w:ascii="Times New Roman" w:hAnsi="Times New Roman" w:cs="Times New Roman"/>
        </w:rPr>
        <w:t>effects estimator</w:t>
      </w:r>
      <w:proofErr w:type="gramEnd"/>
      <w:r w:rsidRPr="000329B1">
        <w:rPr>
          <w:rFonts w:ascii="Times New Roman" w:hAnsi="Times New Roman" w:cs="Times New Roman"/>
        </w:rPr>
        <w:t xml:space="preserve"> based on the Hausman test.</w:t>
      </w:r>
    </w:p>
    <w:p w14:paraId="126D92A8" w14:textId="77777777" w:rsidR="000329B1" w:rsidRPr="000329B1" w:rsidRDefault="000329B1" w:rsidP="000329B1">
      <w:pPr>
        <w:spacing w:line="360" w:lineRule="auto"/>
        <w:jc w:val="both"/>
        <w:rPr>
          <w:rFonts w:ascii="Times New Roman" w:hAnsi="Times New Roman" w:cs="Times New Roman"/>
        </w:rPr>
      </w:pPr>
    </w:p>
    <w:p w14:paraId="1A495ED6" w14:textId="77777777" w:rsidR="000329B1" w:rsidRDefault="000329B1" w:rsidP="000329B1">
      <w:pPr>
        <w:spacing w:line="360" w:lineRule="auto"/>
        <w:jc w:val="both"/>
        <w:rPr>
          <w:rFonts w:ascii="Times New Roman" w:hAnsi="Times New Roman" w:cs="Times New Roman"/>
        </w:rPr>
      </w:pPr>
    </w:p>
    <w:p w14:paraId="64E56D03" w14:textId="7BD0F4B9" w:rsidR="000329B1" w:rsidRPr="000329B1" w:rsidRDefault="000329B1" w:rsidP="000329B1">
      <w:pPr>
        <w:pStyle w:val="Heading2"/>
        <w:rPr>
          <w:rFonts w:ascii="Times New Roman" w:hAnsi="Times New Roman" w:cs="Times New Roman"/>
          <w:b/>
          <w:bCs/>
          <w:sz w:val="28"/>
          <w:szCs w:val="28"/>
        </w:rPr>
      </w:pPr>
      <w:bookmarkStart w:id="98" w:name="_Toc235530926"/>
      <w:r w:rsidRPr="000329B1">
        <w:rPr>
          <w:rFonts w:ascii="Times New Roman" w:hAnsi="Times New Roman" w:cs="Times New Roman"/>
          <w:b/>
          <w:bCs/>
          <w:sz w:val="28"/>
          <w:szCs w:val="28"/>
        </w:rPr>
        <w:t>5.4 Extended country-level and policy-context interpretation</w:t>
      </w:r>
      <w:bookmarkEnd w:id="98"/>
    </w:p>
    <w:p w14:paraId="5094064C"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 xml:space="preserve">The country-specific interpretation should be aimed towards a description of heterogeneity instead of a description of a uniform effect. It is a panel that includes African and South Asian frontier economies that have various monetary histories, exchange-rate arrangements, banking structures, supervisory capacity, and composition of credit markets. The descriptive results indicate that observations are more likely to have higher average inflation volatility in Africa, NPL ratios in </w:t>
      </w:r>
      <w:r w:rsidRPr="000329B1">
        <w:rPr>
          <w:rFonts w:ascii="Times New Roman" w:hAnsi="Times New Roman" w:cs="Times New Roman"/>
        </w:rPr>
        <w:lastRenderedPageBreak/>
        <w:t>Africa and higher average Z-scores in South Asia. This pattern implies the same inflation-volatility shock can have varied responses with local banking structures. It also claims to enable regional or country-level rather than pooled interpretations.</w:t>
      </w:r>
    </w:p>
    <w:p w14:paraId="59C27543"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The policy issue is not only the level of inflation, but also the instability of the inflation process, especially those countries that have higher average inflation volatility. Moderate inflation may sometimes be acceptable in a country, if it is generally anticipated and incorporated in contracts. The more volatile form of inflation is more harmful because it undermines the anchoring of plans, it makes it more difficult to competitively price loans, and it decreases the trust accorded to the monetary anchor. In this environment, a negative Z-score response can be quite realistic, since the earnings and risk environment for banks is more uncertain even prior to the formal loan-quality indicators becoming poorer.</w:t>
      </w:r>
    </w:p>
    <w:p w14:paraId="14197B83"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The lower and mixed NPL figures shouldn't be interpreted to mean that asset quality is unimportant. Instead, they suggest that NPLs are institutional mediated. While the same level of inflation volatility would probably generate a similar NPL response across two countries, loan restructuring policies, the speed of the collateral recovery policy, bank classification practices, the presence of state-owned banks, and the presence of exposed banking sectors like agriculture, trade, construction or small industries could result in different measured NPL responses across the two countries. That is why it is necessary to go beyond "pooled coefficients" to the interpretation of a policy. Supervisors should inquire as to which groups of borrowers are most vulnerable to inflation volatility and the speed at which the impact of this volatility emerges in bank reports.</w:t>
      </w:r>
    </w:p>
    <w:p w14:paraId="30A400D8"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The findings of the threshold support this policy opinion. Volatility of inflation seems to affect the situation differently during lower and higher vol. periods. During lower-volatilities, banks may be able to adjust via pricing, setting aside, and balance-sheet management. During episodes of greater volatility, these instruments might be less useful due to a more rapid change in borrower activities and borrower attitudes. So, it is advisable that policymakers do not wait till NPLs become visible. Large increases in the GARCH measure of inflation volatility should be considered as an early-warning indicator for strengthening bank-sector supervision.</w:t>
      </w:r>
    </w:p>
    <w:p w14:paraId="757781EC" w14:textId="77777777" w:rsidR="000329B1" w:rsidRDefault="000329B1" w:rsidP="000329B1">
      <w:pPr>
        <w:spacing w:line="360" w:lineRule="auto"/>
        <w:jc w:val="both"/>
        <w:rPr>
          <w:rFonts w:ascii="Times New Roman" w:hAnsi="Times New Roman" w:cs="Times New Roman"/>
        </w:rPr>
      </w:pPr>
    </w:p>
    <w:p w14:paraId="04A1FB1C" w14:textId="6AE4E6E6" w:rsidR="000329B1" w:rsidRPr="000329B1" w:rsidRDefault="000329B1" w:rsidP="000329B1">
      <w:pPr>
        <w:pStyle w:val="Heading1"/>
        <w:jc w:val="center"/>
        <w:rPr>
          <w:rFonts w:ascii="Times New Roman" w:hAnsi="Times New Roman" w:cs="Times New Roman"/>
          <w:b/>
          <w:bCs/>
          <w:sz w:val="32"/>
          <w:szCs w:val="32"/>
        </w:rPr>
      </w:pPr>
      <w:bookmarkStart w:id="99" w:name="_Toc235530927"/>
      <w:r w:rsidRPr="000329B1">
        <w:rPr>
          <w:rFonts w:ascii="Times New Roman" w:hAnsi="Times New Roman" w:cs="Times New Roman"/>
          <w:b/>
          <w:bCs/>
          <w:sz w:val="32"/>
          <w:szCs w:val="32"/>
        </w:rPr>
        <w:lastRenderedPageBreak/>
        <w:t>CHAPTER 6: CONCLUSION</w:t>
      </w:r>
      <w:bookmarkEnd w:id="99"/>
    </w:p>
    <w:p w14:paraId="7375EDEE" w14:textId="77777777" w:rsidR="000329B1" w:rsidRPr="000329B1" w:rsidRDefault="000329B1" w:rsidP="000329B1">
      <w:pPr>
        <w:spacing w:line="360" w:lineRule="auto"/>
        <w:jc w:val="both"/>
        <w:rPr>
          <w:rFonts w:ascii="Times New Roman" w:hAnsi="Times New Roman" w:cs="Times New Roman"/>
        </w:rPr>
      </w:pPr>
    </w:p>
    <w:p w14:paraId="04C01F38" w14:textId="77777777" w:rsidR="000329B1" w:rsidRPr="000329B1" w:rsidRDefault="000329B1" w:rsidP="000329B1">
      <w:pPr>
        <w:pStyle w:val="Heading2"/>
        <w:rPr>
          <w:rFonts w:ascii="Times New Roman" w:hAnsi="Times New Roman" w:cs="Times New Roman"/>
          <w:b/>
          <w:bCs/>
          <w:sz w:val="28"/>
          <w:szCs w:val="28"/>
        </w:rPr>
      </w:pPr>
      <w:bookmarkStart w:id="100" w:name="_Toc235530928"/>
      <w:r w:rsidRPr="000329B1">
        <w:rPr>
          <w:rFonts w:ascii="Times New Roman" w:hAnsi="Times New Roman" w:cs="Times New Roman"/>
          <w:b/>
          <w:bCs/>
          <w:sz w:val="28"/>
          <w:szCs w:val="28"/>
        </w:rPr>
        <w:t>6.1 Conclusion</w:t>
      </w:r>
      <w:bookmarkEnd w:id="100"/>
    </w:p>
    <w:p w14:paraId="597A4AC9"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 xml:space="preserve">This paper sought to find out if inflation volatility from a </w:t>
      </w:r>
      <w:proofErr w:type="gramStart"/>
      <w:r w:rsidRPr="000329B1">
        <w:rPr>
          <w:rFonts w:ascii="Times New Roman" w:hAnsi="Times New Roman" w:cs="Times New Roman"/>
        </w:rPr>
        <w:t>GARCH(</w:t>
      </w:r>
      <w:proofErr w:type="gramEnd"/>
      <w:r w:rsidRPr="000329B1">
        <w:rPr>
          <w:rFonts w:ascii="Times New Roman" w:hAnsi="Times New Roman" w:cs="Times New Roman"/>
        </w:rPr>
        <w:t>1,1) model is related to banking-sector stability based on the Bank Z-score, in frontier economies. A simple answer to the research question in this study is that in the simple panel context, inflation volatility is relevant to banking stability. The most obvious message is that there is a negative correlation between Bank Z-score and conditional inflation volatility: A higher level of conditional inflation volatility is linked to a narrower distance from insolvency and less resilience of the banking system.</w:t>
      </w:r>
    </w:p>
    <w:p w14:paraId="4393D7A3" w14:textId="1122C3E3"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The new empirical approach is</w:t>
      </w:r>
      <w:r w:rsidR="00133F95">
        <w:rPr>
          <w:rFonts w:ascii="Times New Roman" w:hAnsi="Times New Roman" w:cs="Times New Roman"/>
        </w:rPr>
        <w:t xml:space="preserve"> </w:t>
      </w:r>
      <w:r w:rsidRPr="000329B1">
        <w:rPr>
          <w:rFonts w:ascii="Times New Roman" w:hAnsi="Times New Roman" w:cs="Times New Roman"/>
        </w:rPr>
        <w:t xml:space="preserve">based on Fixed Effects and Random Effects panel models, the results of which are then compared through the Hausman test to determine which of the two models shall serve as the basis for interpreting the results. This facilitates the project in being simpler, clearer, while keeping </w:t>
      </w:r>
      <w:proofErr w:type="gramStart"/>
      <w:r w:rsidRPr="000329B1">
        <w:rPr>
          <w:rFonts w:ascii="Times New Roman" w:hAnsi="Times New Roman" w:cs="Times New Roman"/>
        </w:rPr>
        <w:t>GARCH(</w:t>
      </w:r>
      <w:proofErr w:type="gramEnd"/>
      <w:r w:rsidRPr="000329B1">
        <w:rPr>
          <w:rFonts w:ascii="Times New Roman" w:hAnsi="Times New Roman" w:cs="Times New Roman"/>
        </w:rPr>
        <w:t>1,1) as benchmark estimate of inflation volatility.</w:t>
      </w:r>
    </w:p>
    <w:p w14:paraId="19C46128"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The overall takeaway from the study is a macro-financial interpretation: volatile inflation undermines banking stability mostly by making the levels of uncertainty and banking balance-sheet resilience that influence banks more and more interesting. Evidence is most evident for the broad solvency-stability channel and a bit more conditional for the asset-quality channel. The message is loud and clear: volatility of inflation in frontier economies is not only macro-economically relevant, but also a banking-stability issue.</w:t>
      </w:r>
    </w:p>
    <w:p w14:paraId="1DD00650"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Accordingly, its ending should be precisely expressed. The research does not imply that just volatility in inflation is a complete account of fragility and does not imply that NPLs necessarily go up immediately following a volatility shock. Instead, it demonstrates that volatility in inflation is a pertinent macro-financial risk factor, which negatively impacts the stability climate in which banks operate. This is a more viable and defensible conclusion than a single-channel conclusion since it agrees with the somewhat "mixed but theoretically coherent" evidence in the two banking indicators.</w:t>
      </w:r>
    </w:p>
    <w:p w14:paraId="508EE92D"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The robustness findings derived from AR(1)-</w:t>
      </w:r>
      <w:proofErr w:type="gramStart"/>
      <w:r w:rsidRPr="000329B1">
        <w:rPr>
          <w:rFonts w:ascii="Times New Roman" w:hAnsi="Times New Roman" w:cs="Times New Roman"/>
        </w:rPr>
        <w:t>GARCH(</w:t>
      </w:r>
      <w:proofErr w:type="gramEnd"/>
      <w:r w:rsidRPr="000329B1">
        <w:rPr>
          <w:rFonts w:ascii="Times New Roman" w:hAnsi="Times New Roman" w:cs="Times New Roman"/>
        </w:rPr>
        <w:t xml:space="preserve">1,1) and </w:t>
      </w:r>
      <w:proofErr w:type="gramStart"/>
      <w:r w:rsidRPr="000329B1">
        <w:rPr>
          <w:rFonts w:ascii="Times New Roman" w:hAnsi="Times New Roman" w:cs="Times New Roman"/>
        </w:rPr>
        <w:t>EGARCH(</w:t>
      </w:r>
      <w:proofErr w:type="gramEnd"/>
      <w:r w:rsidRPr="000329B1">
        <w:rPr>
          <w:rFonts w:ascii="Times New Roman" w:hAnsi="Times New Roman" w:cs="Times New Roman"/>
        </w:rPr>
        <w:t xml:space="preserve">1,1) also demonstrate that the standard </w:t>
      </w:r>
      <w:proofErr w:type="gramStart"/>
      <w:r w:rsidRPr="000329B1">
        <w:rPr>
          <w:rFonts w:ascii="Times New Roman" w:hAnsi="Times New Roman" w:cs="Times New Roman"/>
        </w:rPr>
        <w:t>GARCH(</w:t>
      </w:r>
      <w:proofErr w:type="gramEnd"/>
      <w:r w:rsidRPr="000329B1">
        <w:rPr>
          <w:rFonts w:ascii="Times New Roman" w:hAnsi="Times New Roman" w:cs="Times New Roman"/>
        </w:rPr>
        <w:t xml:space="preserve">1,1) volatility measure is overall quite reliable. </w:t>
      </w:r>
      <w:proofErr w:type="gramStart"/>
      <w:r w:rsidRPr="000329B1">
        <w:rPr>
          <w:rFonts w:ascii="Times New Roman" w:hAnsi="Times New Roman" w:cs="Times New Roman"/>
        </w:rPr>
        <w:t>AR(</w:t>
      </w:r>
      <w:proofErr w:type="gramEnd"/>
      <w:r w:rsidRPr="000329B1">
        <w:rPr>
          <w:rFonts w:ascii="Times New Roman" w:hAnsi="Times New Roman" w:cs="Times New Roman"/>
        </w:rPr>
        <w:t xml:space="preserve">1)-GARCH aligns well with the underlying volatility evolution once inflation persistence is </w:t>
      </w:r>
      <w:proofErr w:type="gramStart"/>
      <w:r w:rsidRPr="000329B1">
        <w:rPr>
          <w:rFonts w:ascii="Times New Roman" w:hAnsi="Times New Roman" w:cs="Times New Roman"/>
        </w:rPr>
        <w:t>taken into account</w:t>
      </w:r>
      <w:proofErr w:type="gramEnd"/>
      <w:r w:rsidRPr="000329B1">
        <w:rPr>
          <w:rFonts w:ascii="Times New Roman" w:hAnsi="Times New Roman" w:cs="Times New Roman"/>
        </w:rPr>
        <w:t xml:space="preserve">, and </w:t>
      </w:r>
      <w:r w:rsidRPr="000329B1">
        <w:rPr>
          <w:rFonts w:ascii="Times New Roman" w:hAnsi="Times New Roman" w:cs="Times New Roman"/>
        </w:rPr>
        <w:lastRenderedPageBreak/>
        <w:t xml:space="preserve">EGARCH yields further evidence on the asymmetric inflation-volatility dynamics of some countries. For this reason, the study continues to use </w:t>
      </w:r>
      <w:proofErr w:type="gramStart"/>
      <w:r w:rsidRPr="000329B1">
        <w:rPr>
          <w:rFonts w:ascii="Times New Roman" w:hAnsi="Times New Roman" w:cs="Times New Roman"/>
        </w:rPr>
        <w:t>GARCH(</w:t>
      </w:r>
      <w:proofErr w:type="gramEnd"/>
      <w:r w:rsidRPr="000329B1">
        <w:rPr>
          <w:rFonts w:ascii="Times New Roman" w:hAnsi="Times New Roman" w:cs="Times New Roman"/>
        </w:rPr>
        <w:t>1,1) for the measure of the primary volatility and AR(1)-</w:t>
      </w:r>
      <w:proofErr w:type="gramStart"/>
      <w:r w:rsidRPr="000329B1">
        <w:rPr>
          <w:rFonts w:ascii="Times New Roman" w:hAnsi="Times New Roman" w:cs="Times New Roman"/>
        </w:rPr>
        <w:t>GARCH(</w:t>
      </w:r>
      <w:proofErr w:type="gramEnd"/>
      <w:r w:rsidRPr="000329B1">
        <w:rPr>
          <w:rFonts w:ascii="Times New Roman" w:hAnsi="Times New Roman" w:cs="Times New Roman"/>
        </w:rPr>
        <w:t xml:space="preserve">1,1) as a best robustness confirmation, while using </w:t>
      </w:r>
      <w:proofErr w:type="gramStart"/>
      <w:r w:rsidRPr="000329B1">
        <w:rPr>
          <w:rFonts w:ascii="Times New Roman" w:hAnsi="Times New Roman" w:cs="Times New Roman"/>
        </w:rPr>
        <w:t>EGARCH(</w:t>
      </w:r>
      <w:proofErr w:type="gramEnd"/>
      <w:r w:rsidRPr="000329B1">
        <w:rPr>
          <w:rFonts w:ascii="Times New Roman" w:hAnsi="Times New Roman" w:cs="Times New Roman"/>
        </w:rPr>
        <w:t>1,1) as an asymmetry check.</w:t>
      </w:r>
    </w:p>
    <w:p w14:paraId="15945371" w14:textId="77777777" w:rsidR="000329B1" w:rsidRPr="000329B1" w:rsidRDefault="000329B1" w:rsidP="000329B1">
      <w:pPr>
        <w:spacing w:line="360" w:lineRule="auto"/>
        <w:jc w:val="both"/>
        <w:rPr>
          <w:rFonts w:ascii="Times New Roman" w:hAnsi="Times New Roman" w:cs="Times New Roman"/>
        </w:rPr>
      </w:pPr>
    </w:p>
    <w:p w14:paraId="3EE5E117" w14:textId="77777777" w:rsidR="000329B1" w:rsidRPr="000329B1" w:rsidRDefault="000329B1" w:rsidP="000329B1">
      <w:pPr>
        <w:pStyle w:val="Heading2"/>
        <w:rPr>
          <w:rFonts w:ascii="Times New Roman" w:hAnsi="Times New Roman" w:cs="Times New Roman"/>
          <w:b/>
          <w:bCs/>
          <w:sz w:val="28"/>
          <w:szCs w:val="28"/>
        </w:rPr>
      </w:pPr>
      <w:bookmarkStart w:id="101" w:name="_Toc235530929"/>
      <w:r w:rsidRPr="000329B1">
        <w:rPr>
          <w:rFonts w:ascii="Times New Roman" w:hAnsi="Times New Roman" w:cs="Times New Roman"/>
          <w:b/>
          <w:bCs/>
          <w:sz w:val="28"/>
          <w:szCs w:val="28"/>
        </w:rPr>
        <w:t>6.2 Policy implications</w:t>
      </w:r>
      <w:bookmarkEnd w:id="101"/>
    </w:p>
    <w:p w14:paraId="13F8F9EA"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First policy implication: central banks should pay attention to the volatility of inflation, beyond its level. Typically, conventional policy discussions focus on the extent to which inflation is above or below a target. There is evidence that instability of inflation is also crucial, as it influences bank risk, borrower behavior and the trustworthiness of financial contracts. A stable inflation process can contribute to banking stability even under moderate inflation. Banking resilience can be influenced negatively by an unstable inflation process even before a clear deterioration of the credit can be seen.</w:t>
      </w:r>
    </w:p>
    <w:p w14:paraId="51982F38"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 xml:space="preserve">Second, there is a need to increase the co-ordination between monetary policy and financial-stability policy. Inflation volatility and its impact on the Bank Z-SCORE are correlated; this means that price instability makes a difference for solvency buffers and systemic risk. Central bankers should thus consider using inflation </w:t>
      </w:r>
      <w:proofErr w:type="spellStart"/>
      <w:r w:rsidRPr="000329B1">
        <w:rPr>
          <w:rFonts w:ascii="Times New Roman" w:hAnsi="Times New Roman" w:cs="Times New Roman"/>
        </w:rPr>
        <w:t>stabilisation</w:t>
      </w:r>
      <w:proofErr w:type="spellEnd"/>
      <w:r w:rsidRPr="000329B1">
        <w:rPr>
          <w:rFonts w:ascii="Times New Roman" w:hAnsi="Times New Roman" w:cs="Times New Roman"/>
        </w:rPr>
        <w:t xml:space="preserve"> as a financial-</w:t>
      </w:r>
      <w:proofErr w:type="spellStart"/>
      <w:r w:rsidRPr="000329B1">
        <w:rPr>
          <w:rFonts w:ascii="Times New Roman" w:hAnsi="Times New Roman" w:cs="Times New Roman"/>
        </w:rPr>
        <w:t>stabilisation</w:t>
      </w:r>
      <w:proofErr w:type="spellEnd"/>
      <w:r w:rsidRPr="000329B1">
        <w:rPr>
          <w:rFonts w:ascii="Times New Roman" w:hAnsi="Times New Roman" w:cs="Times New Roman"/>
        </w:rPr>
        <w:t xml:space="preserve"> instrument. Reduced uncertainty and improved bank resilience can be supported by reducing fiscal dominance, stronger expectations management and credible policy rules which facilitate clear communication.</w:t>
      </w:r>
    </w:p>
    <w:p w14:paraId="56584D6F"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Third, one indicator of banking regulators must be the inflation-volatility indicators as early-warning signals. If volatility in such circumstances increases, supervisors should consider all deters and provisions under increased pressure with regard to loan portfolios, the adequacy of the provisions and sectoral exposures, and stress-test assumptions. This is particularly critical considering the potential delays in NPL response and the potential of NPLs being hidden as a result of restructuring and classification. It is therefore not too soon to wait for reported NPLs to increase. By tracking inflation-volatility, regulators can pick up pressure before it gets to the point of an asset-quality issue.</w:t>
      </w:r>
    </w:p>
    <w:p w14:paraId="149F9037"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 xml:space="preserve">Fourth, the priorities of macroprudential policy should be </w:t>
      </w:r>
      <w:proofErr w:type="gramStart"/>
      <w:r w:rsidRPr="000329B1">
        <w:rPr>
          <w:rFonts w:ascii="Times New Roman" w:hAnsi="Times New Roman" w:cs="Times New Roman"/>
        </w:rPr>
        <w:t>shock</w:t>
      </w:r>
      <w:proofErr w:type="gramEnd"/>
      <w:r w:rsidRPr="000329B1">
        <w:rPr>
          <w:rFonts w:ascii="Times New Roman" w:hAnsi="Times New Roman" w:cs="Times New Roman"/>
        </w:rPr>
        <w:t xml:space="preserve"> absorption. Sturdier capital buffers, liquidity requirements, forward-looking provisioning and borrower-level risk assessments </w:t>
      </w:r>
      <w:r w:rsidRPr="000329B1">
        <w:rPr>
          <w:rFonts w:ascii="Times New Roman" w:hAnsi="Times New Roman" w:cs="Times New Roman"/>
        </w:rPr>
        <w:lastRenderedPageBreak/>
        <w:t xml:space="preserve">can dampen the amount of inflation volatility associates with bank fragility. Policy tools should focus on the most real-income-insecurity affected and import-cost/shock constrained sectors, and those most vulnerable to interest-rate pressure. These buffers are not just desirable in frontier </w:t>
      </w:r>
      <w:proofErr w:type="gramStart"/>
      <w:r w:rsidRPr="000329B1">
        <w:rPr>
          <w:rFonts w:ascii="Times New Roman" w:hAnsi="Times New Roman" w:cs="Times New Roman"/>
        </w:rPr>
        <w:t>economies,</w:t>
      </w:r>
      <w:proofErr w:type="gramEnd"/>
      <w:r w:rsidRPr="000329B1">
        <w:rPr>
          <w:rFonts w:ascii="Times New Roman" w:hAnsi="Times New Roman" w:cs="Times New Roman"/>
        </w:rPr>
        <w:t xml:space="preserve"> they're essential protective measures in markets that have limited depth and policy credibility is low against macro-financial instability.</w:t>
      </w:r>
    </w:p>
    <w:p w14:paraId="486C4F3E"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Fifth, it's crucial that the policy response clearly differentiate between solvency risk and asset-quality risk. Results indicate that there are better relationships between Z score and inflation volatility compared with NPLs. It is important, however, for regulators not to overlook the significance of NPL ratios when evaluating banking stress that arises from inflation. It is possible that a banking system can appear fairly sound in terms of bad loans, but its solvency cushion and the stability of its earnings are already eroding. Supervisory Dashboards to include NPLs and Z-type indicators of stability, capital, profitability and liquidity, loan growth quality, and sectoral exposures.</w:t>
      </w:r>
    </w:p>
    <w:p w14:paraId="6EA48F01" w14:textId="77777777" w:rsidR="000329B1" w:rsidRDefault="000329B1" w:rsidP="000329B1">
      <w:pPr>
        <w:pStyle w:val="Heading2"/>
        <w:rPr>
          <w:rFonts w:ascii="Times New Roman" w:hAnsi="Times New Roman" w:cs="Times New Roman"/>
          <w:b/>
          <w:bCs/>
          <w:sz w:val="28"/>
          <w:szCs w:val="28"/>
        </w:rPr>
      </w:pPr>
    </w:p>
    <w:p w14:paraId="21B69045" w14:textId="5772EABF" w:rsidR="000329B1" w:rsidRPr="000329B1" w:rsidRDefault="000329B1" w:rsidP="000329B1">
      <w:pPr>
        <w:pStyle w:val="Heading2"/>
        <w:rPr>
          <w:rFonts w:ascii="Times New Roman" w:hAnsi="Times New Roman" w:cs="Times New Roman"/>
          <w:b/>
          <w:bCs/>
          <w:sz w:val="28"/>
          <w:szCs w:val="28"/>
        </w:rPr>
      </w:pPr>
      <w:bookmarkStart w:id="102" w:name="_Toc235530930"/>
      <w:r w:rsidRPr="000329B1">
        <w:rPr>
          <w:rFonts w:ascii="Times New Roman" w:hAnsi="Times New Roman" w:cs="Times New Roman"/>
          <w:b/>
          <w:bCs/>
          <w:sz w:val="28"/>
          <w:szCs w:val="28"/>
        </w:rPr>
        <w:t>6.3 Contributions to literature and practice</w:t>
      </w:r>
      <w:bookmarkEnd w:id="102"/>
    </w:p>
    <w:p w14:paraId="73C97DFB"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 xml:space="preserve">There are therefore three points of academic contribution in the study. It moves the focus from inflation, per se, to inflation volatility, for one. This distinction matters as the banking sector not only reacts to the level of high inflation, </w:t>
      </w:r>
      <w:proofErr w:type="gramStart"/>
      <w:r w:rsidRPr="000329B1">
        <w:rPr>
          <w:rFonts w:ascii="Times New Roman" w:hAnsi="Times New Roman" w:cs="Times New Roman"/>
        </w:rPr>
        <w:t>it</w:t>
      </w:r>
      <w:proofErr w:type="gramEnd"/>
      <w:r w:rsidRPr="000329B1">
        <w:rPr>
          <w:rFonts w:ascii="Times New Roman" w:hAnsi="Times New Roman" w:cs="Times New Roman"/>
        </w:rPr>
        <w:t xml:space="preserve"> also reacts to the volatility of inflation. This study measures conditional uncertainty, which is more important for bank risk management, by employing a GARCH (1, 1) based measure.</w:t>
      </w:r>
    </w:p>
    <w:p w14:paraId="13F30680"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 xml:space="preserve">Second, the study makes a contribution that it adopts Bank Z-score as the primary banking-stability measure in a straightforward simple panel approach. The Z-score reflects general solvency risk whereas NPL discussion puts the issue into perspective and therefore has value as background information in the literature. The revised model is easier to defend and explain as the outcome is </w:t>
      </w:r>
      <w:proofErr w:type="gramStart"/>
      <w:r w:rsidRPr="000329B1">
        <w:rPr>
          <w:rFonts w:ascii="Times New Roman" w:hAnsi="Times New Roman" w:cs="Times New Roman"/>
        </w:rPr>
        <w:t>more narrow</w:t>
      </w:r>
      <w:proofErr w:type="gramEnd"/>
      <w:r w:rsidRPr="000329B1">
        <w:rPr>
          <w:rFonts w:ascii="Times New Roman" w:hAnsi="Times New Roman" w:cs="Times New Roman"/>
        </w:rPr>
        <w:t>.</w:t>
      </w:r>
    </w:p>
    <w:p w14:paraId="6D4D258D"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 xml:space="preserve">Thirdly, the study is useful in terms of practicality in the case of frontier-economy supervision. The results can be transformed into an applied monitoring system to view inflation volatility as a macro-financial early-warning indicator. Now to the practical side for central banks and regulators: </w:t>
      </w:r>
      <w:r w:rsidRPr="000329B1">
        <w:rPr>
          <w:rFonts w:ascii="Times New Roman" w:hAnsi="Times New Roman" w:cs="Times New Roman"/>
        </w:rPr>
        <w:lastRenderedPageBreak/>
        <w:t>banks must now be viewed as a domain of macroprudential policy in addition to inflation stabilization and bank supervision, three dimensions of policy previously thought of as distinct.</w:t>
      </w:r>
    </w:p>
    <w:p w14:paraId="43A6963F"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The practical contribution is also methodological. The project demonstrates how the evidence-based insights for policy dialogue can be defensibly derived from publicly available macro-financial data that can be organized into a connected country-year panel. This is helpful for frontier economies which may lack or have less access to proprietary supervisory data. Even if estimates are conservative, the framework provides policy makers with a strategy for structuring evidence on the subject of inflation volatility, banking resilience.</w:t>
      </w:r>
    </w:p>
    <w:p w14:paraId="68DECAD2" w14:textId="77777777" w:rsidR="000329B1" w:rsidRPr="000329B1" w:rsidRDefault="000329B1" w:rsidP="000329B1">
      <w:pPr>
        <w:spacing w:line="360" w:lineRule="auto"/>
        <w:jc w:val="both"/>
        <w:rPr>
          <w:rFonts w:ascii="Times New Roman" w:hAnsi="Times New Roman" w:cs="Times New Roman"/>
        </w:rPr>
      </w:pPr>
    </w:p>
    <w:p w14:paraId="1B6B0DDB" w14:textId="77777777" w:rsidR="000329B1" w:rsidRPr="000329B1" w:rsidRDefault="000329B1" w:rsidP="000329B1">
      <w:pPr>
        <w:pStyle w:val="Heading2"/>
        <w:rPr>
          <w:rFonts w:ascii="Times New Roman" w:hAnsi="Times New Roman" w:cs="Times New Roman"/>
          <w:b/>
          <w:bCs/>
          <w:sz w:val="28"/>
          <w:szCs w:val="28"/>
        </w:rPr>
      </w:pPr>
      <w:bookmarkStart w:id="103" w:name="_Toc235530931"/>
      <w:r w:rsidRPr="000329B1">
        <w:rPr>
          <w:rFonts w:ascii="Times New Roman" w:hAnsi="Times New Roman" w:cs="Times New Roman"/>
          <w:b/>
          <w:bCs/>
          <w:sz w:val="28"/>
          <w:szCs w:val="28"/>
        </w:rPr>
        <w:t>6.4 Limitations and future research</w:t>
      </w:r>
      <w:bookmarkEnd w:id="103"/>
    </w:p>
    <w:p w14:paraId="74FF3CE8"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There are a number of limitations in the study. First, the analysis is based on the country-year data available in public databases, and varies from indicator to indicator. The three-way panel gives valuable connected evidence but, some countries and years are missing. This restricts the capacity to make highly causal country-specific judgements. Second, the Bank Z-score and NPL ratio are both informative, but partial measures of banking stability. The Z-score gauges the whole solvency risk, and NPLs cover the realized asset-quality stress however they are not comprehensive measures of liquidity risk, market risk, governance risk or further, an increasing proportion of hidden restructuring in loans.</w:t>
      </w:r>
    </w:p>
    <w:p w14:paraId="7ED092E1" w14:textId="77777777"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Third, the country variation is still important. Inflation volatility effects might be more nuanced depending on differences in monetary credibility, exposure to the exchange rate, quality of supervision, of the legal framework and of the owners of the bank. Future investigation ought to include extra data (as fresh data from the GFDD and the WDI will be available over time), and additional institutional and macroprudential data (when possible); moreover, panels of bank-level data should be tested. The second extension would split the sectoral loan portfolios in order to find out if inflation volatility has different impacts on household, corporate, agricultural, trade or construction loans.</w:t>
      </w:r>
    </w:p>
    <w:p w14:paraId="229FB2A8" w14:textId="41F271DB" w:rsidR="000329B1" w:rsidRPr="000329B1" w:rsidRDefault="000329B1" w:rsidP="000329B1">
      <w:pPr>
        <w:spacing w:line="360" w:lineRule="auto"/>
        <w:jc w:val="both"/>
        <w:rPr>
          <w:rFonts w:ascii="Times New Roman" w:hAnsi="Times New Roman" w:cs="Times New Roman"/>
        </w:rPr>
      </w:pPr>
      <w:r w:rsidRPr="000329B1">
        <w:rPr>
          <w:rFonts w:ascii="Times New Roman" w:hAnsi="Times New Roman" w:cs="Times New Roman"/>
        </w:rPr>
        <w:t xml:space="preserve">Another restriction is that more complicated GARCH family specifications capture the impact of extreme inflation observations better. This is particularly important with </w:t>
      </w:r>
      <w:proofErr w:type="gramStart"/>
      <w:r w:rsidRPr="000329B1">
        <w:rPr>
          <w:rFonts w:ascii="Times New Roman" w:hAnsi="Times New Roman" w:cs="Times New Roman"/>
        </w:rPr>
        <w:t>EGARCH(</w:t>
      </w:r>
      <w:proofErr w:type="gramEnd"/>
      <w:r w:rsidRPr="000329B1">
        <w:rPr>
          <w:rFonts w:ascii="Times New Roman" w:hAnsi="Times New Roman" w:cs="Times New Roman"/>
        </w:rPr>
        <w:t xml:space="preserve">1,1) for countries with volatile shocks as it allows dynamics of the log-variance to detect asymmetric </w:t>
      </w:r>
      <w:r w:rsidRPr="000329B1">
        <w:rPr>
          <w:rFonts w:ascii="Times New Roman" w:hAnsi="Times New Roman" w:cs="Times New Roman"/>
        </w:rPr>
        <w:lastRenderedPageBreak/>
        <w:t xml:space="preserve">shocks. Thus, </w:t>
      </w:r>
      <w:proofErr w:type="gramStart"/>
      <w:r w:rsidRPr="000329B1">
        <w:rPr>
          <w:rFonts w:ascii="Times New Roman" w:hAnsi="Times New Roman" w:cs="Times New Roman"/>
        </w:rPr>
        <w:t>EGARCH(</w:t>
      </w:r>
      <w:proofErr w:type="gramEnd"/>
      <w:r w:rsidRPr="000329B1">
        <w:rPr>
          <w:rFonts w:ascii="Times New Roman" w:hAnsi="Times New Roman" w:cs="Times New Roman"/>
        </w:rPr>
        <w:t xml:space="preserve">1,1) is considered a type of robustness and asymmetry test rather than an alternative to the conventional </w:t>
      </w:r>
      <w:proofErr w:type="gramStart"/>
      <w:r w:rsidRPr="000329B1">
        <w:rPr>
          <w:rFonts w:ascii="Times New Roman" w:hAnsi="Times New Roman" w:cs="Times New Roman"/>
        </w:rPr>
        <w:t>GARCH(</w:t>
      </w:r>
      <w:proofErr w:type="gramEnd"/>
      <w:r w:rsidRPr="000329B1">
        <w:rPr>
          <w:rFonts w:ascii="Times New Roman" w:hAnsi="Times New Roman" w:cs="Times New Roman"/>
        </w:rPr>
        <w:t>1,1). One research potential involves the use of other error distributions, longer time series at the country level and country-specific model selection, which might lead to more precise measurements of the volatility of inflation.</w:t>
      </w:r>
    </w:p>
    <w:p w14:paraId="6395A6AE" w14:textId="18E962F2" w:rsidR="00846308" w:rsidRDefault="00846308">
      <w:pPr>
        <w:rPr>
          <w:rFonts w:ascii="Times New Roman" w:hAnsi="Times New Roman" w:cs="Times New Roman"/>
        </w:rPr>
      </w:pPr>
      <w:r>
        <w:rPr>
          <w:rFonts w:ascii="Times New Roman" w:hAnsi="Times New Roman" w:cs="Times New Roman"/>
        </w:rPr>
        <w:br w:type="page"/>
      </w:r>
    </w:p>
    <w:p w14:paraId="4C858BEB" w14:textId="72CD0864" w:rsidR="000329B1" w:rsidRDefault="00846308" w:rsidP="00846308">
      <w:pPr>
        <w:pStyle w:val="Heading1"/>
        <w:jc w:val="center"/>
        <w:rPr>
          <w:rFonts w:ascii="Times New Roman" w:hAnsi="Times New Roman" w:cs="Times New Roman"/>
          <w:b/>
          <w:bCs/>
          <w:sz w:val="32"/>
          <w:szCs w:val="32"/>
        </w:rPr>
      </w:pPr>
      <w:bookmarkStart w:id="104" w:name="_Toc235530932"/>
      <w:r w:rsidRPr="00846308">
        <w:rPr>
          <w:rFonts w:ascii="Times New Roman" w:hAnsi="Times New Roman" w:cs="Times New Roman"/>
          <w:b/>
          <w:bCs/>
          <w:sz w:val="32"/>
          <w:szCs w:val="32"/>
        </w:rPr>
        <w:lastRenderedPageBreak/>
        <w:t>Reference</w:t>
      </w:r>
      <w:r w:rsidR="00356A15">
        <w:rPr>
          <w:rFonts w:ascii="Times New Roman" w:hAnsi="Times New Roman" w:cs="Times New Roman"/>
          <w:b/>
          <w:bCs/>
          <w:sz w:val="32"/>
          <w:szCs w:val="32"/>
        </w:rPr>
        <w:t>s</w:t>
      </w:r>
      <w:bookmarkEnd w:id="104"/>
    </w:p>
    <w:p w14:paraId="449402CC" w14:textId="3190CB77" w:rsidR="00846308" w:rsidRPr="00846308" w:rsidRDefault="0027463B" w:rsidP="0027463B">
      <w:pPr>
        <w:spacing w:line="240" w:lineRule="auto"/>
      </w:pPr>
      <w:r w:rsidRPr="0027463B">
        <w:t>https://data360.worldbank.org/en/search</w:t>
      </w:r>
    </w:p>
    <w:p w14:paraId="5A4B5E14" w14:textId="02722766" w:rsidR="0027463B" w:rsidRDefault="0027463B" w:rsidP="0027463B">
      <w:pPr>
        <w:pStyle w:val="Bibliography"/>
        <w:spacing w:line="240" w:lineRule="auto"/>
      </w:pPr>
      <w:r w:rsidRPr="0027463B">
        <w:t>https://data.imf.org/en</w:t>
      </w:r>
    </w:p>
    <w:p w14:paraId="281CBEAF" w14:textId="1A94D210" w:rsidR="00846308" w:rsidRPr="00846308" w:rsidRDefault="00846308" w:rsidP="003C0D26">
      <w:pPr>
        <w:pStyle w:val="Bibliography"/>
        <w:spacing w:line="240" w:lineRule="auto"/>
        <w:jc w:val="both"/>
        <w:rPr>
          <w:rFonts w:ascii="Times New Roman" w:hAnsi="Times New Roman" w:cs="Times New Roman"/>
        </w:rPr>
      </w:pPr>
      <w:r>
        <w:fldChar w:fldCharType="begin"/>
      </w:r>
      <w:r>
        <w:instrText xml:space="preserve"> ADDIN ZOTERO_BIBL {"uncited":[],"omitted":[],"custom":[]} CSL_BIBLIOGRAPHY </w:instrText>
      </w:r>
      <w:r>
        <w:fldChar w:fldCharType="separate"/>
      </w:r>
      <w:r w:rsidRPr="00846308">
        <w:rPr>
          <w:rFonts w:ascii="Times New Roman" w:hAnsi="Times New Roman" w:cs="Times New Roman"/>
        </w:rPr>
        <w:t xml:space="preserve">Ababio, J. O., </w:t>
      </w:r>
      <w:r w:rsidRPr="00846308">
        <w:rPr>
          <w:rFonts w:ascii="Times New Roman" w:hAnsi="Times New Roman" w:cs="Times New Roman"/>
          <w:sz w:val="20"/>
          <w:szCs w:val="20"/>
        </w:rPr>
        <w:t>Attah</w:t>
      </w:r>
      <w:r w:rsidRPr="00846308">
        <w:rPr>
          <w:rFonts w:ascii="Times New Roman" w:hAnsi="Times New Roman" w:cs="Times New Roman"/>
        </w:rPr>
        <w:t xml:space="preserve">‐Botchwey, E., Osei‐Assibey, E., &amp; Barnor, C. (2020). Financial Inclusion and Human Development in Frontier Countries. </w:t>
      </w:r>
      <w:r w:rsidRPr="00846308">
        <w:rPr>
          <w:rFonts w:ascii="Times New Roman" w:hAnsi="Times New Roman" w:cs="Times New Roman"/>
          <w:i/>
          <w:iCs/>
        </w:rPr>
        <w:t>International Journal of Finance &amp; Economics</w:t>
      </w:r>
      <w:r w:rsidRPr="00846308">
        <w:rPr>
          <w:rFonts w:ascii="Times New Roman" w:hAnsi="Times New Roman" w:cs="Times New Roman"/>
        </w:rPr>
        <w:t xml:space="preserve">, </w:t>
      </w:r>
      <w:r w:rsidRPr="00846308">
        <w:rPr>
          <w:rFonts w:ascii="Times New Roman" w:hAnsi="Times New Roman" w:cs="Times New Roman"/>
          <w:i/>
          <w:iCs/>
        </w:rPr>
        <w:t>26</w:t>
      </w:r>
      <w:r w:rsidRPr="00846308">
        <w:rPr>
          <w:rFonts w:ascii="Times New Roman" w:hAnsi="Times New Roman" w:cs="Times New Roman"/>
        </w:rPr>
        <w:t>(1), 42–59. https://doi.org/10.1002/ijfe.1775</w:t>
      </w:r>
    </w:p>
    <w:p w14:paraId="71CC1AE9"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Abaidoo, R., &amp; Agyapong, E. K. (2023). Inflation Uncertainty, Macroeconomic Instability and the Efficiency of Financial Institutions. </w:t>
      </w:r>
      <w:r w:rsidRPr="00846308">
        <w:rPr>
          <w:rFonts w:ascii="Times New Roman" w:hAnsi="Times New Roman" w:cs="Times New Roman"/>
          <w:i/>
          <w:iCs/>
        </w:rPr>
        <w:t>Journal of Economics and Development</w:t>
      </w:r>
      <w:r w:rsidRPr="00846308">
        <w:rPr>
          <w:rFonts w:ascii="Times New Roman" w:hAnsi="Times New Roman" w:cs="Times New Roman"/>
        </w:rPr>
        <w:t xml:space="preserve">, </w:t>
      </w:r>
      <w:r w:rsidRPr="00846308">
        <w:rPr>
          <w:rFonts w:ascii="Times New Roman" w:hAnsi="Times New Roman" w:cs="Times New Roman"/>
          <w:i/>
          <w:iCs/>
        </w:rPr>
        <w:t>25</w:t>
      </w:r>
      <w:r w:rsidRPr="00846308">
        <w:rPr>
          <w:rFonts w:ascii="Times New Roman" w:hAnsi="Times New Roman" w:cs="Times New Roman"/>
        </w:rPr>
        <w:t>(2), 134–152. https://doi.org/10.1108/jed-09-2022-0166</w:t>
      </w:r>
    </w:p>
    <w:p w14:paraId="036E0911"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Aboyitungiye, J. B., &amp; Mathu, M. (2023). An Empirical Assessment of the Monetary Policy Credibility and Economic Growth Relationship: A GMM Approach on COMESA and ECOWAS Regions. </w:t>
      </w:r>
      <w:r w:rsidRPr="00846308">
        <w:rPr>
          <w:rFonts w:ascii="Times New Roman" w:hAnsi="Times New Roman" w:cs="Times New Roman"/>
          <w:i/>
          <w:iCs/>
        </w:rPr>
        <w:t>Jurnal Ekonomi Pembangunan Kajian Masalah Ekonomi Dan Pembangunan</w:t>
      </w:r>
      <w:r w:rsidRPr="00846308">
        <w:rPr>
          <w:rFonts w:ascii="Times New Roman" w:hAnsi="Times New Roman" w:cs="Times New Roman"/>
        </w:rPr>
        <w:t>, 308–319. https://doi.org/10.23917/jep.v24i2.23113</w:t>
      </w:r>
    </w:p>
    <w:p w14:paraId="2F5E8E78"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Addis, A. K. (2025). The Role of Economic Stability in Boosting Exports in COMESA: Threshold Effects Analysis. </w:t>
      </w:r>
      <w:r w:rsidRPr="00846308">
        <w:rPr>
          <w:rFonts w:ascii="Times New Roman" w:hAnsi="Times New Roman" w:cs="Times New Roman"/>
          <w:i/>
          <w:iCs/>
        </w:rPr>
        <w:t>Plos One</w:t>
      </w:r>
      <w:r w:rsidRPr="00846308">
        <w:rPr>
          <w:rFonts w:ascii="Times New Roman" w:hAnsi="Times New Roman" w:cs="Times New Roman"/>
        </w:rPr>
        <w:t xml:space="preserve">, </w:t>
      </w:r>
      <w:r w:rsidRPr="00846308">
        <w:rPr>
          <w:rFonts w:ascii="Times New Roman" w:hAnsi="Times New Roman" w:cs="Times New Roman"/>
          <w:i/>
          <w:iCs/>
        </w:rPr>
        <w:t>20</w:t>
      </w:r>
      <w:r w:rsidRPr="00846308">
        <w:rPr>
          <w:rFonts w:ascii="Times New Roman" w:hAnsi="Times New Roman" w:cs="Times New Roman"/>
        </w:rPr>
        <w:t>(12), e0338636. https://doi.org/10.1371/journal.pone.0338636</w:t>
      </w:r>
    </w:p>
    <w:p w14:paraId="598C5B66"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Adrian, T., Natalucci, F. M., &amp; Qureshi, M. S. (2023). Macro-Financial Stability in the COVID-19 Crisis: Some Reflections. </w:t>
      </w:r>
      <w:r w:rsidRPr="00846308">
        <w:rPr>
          <w:rFonts w:ascii="Times New Roman" w:hAnsi="Times New Roman" w:cs="Times New Roman"/>
          <w:i/>
          <w:iCs/>
        </w:rPr>
        <w:t>Annual Review of Financial Economics</w:t>
      </w:r>
      <w:r w:rsidRPr="00846308">
        <w:rPr>
          <w:rFonts w:ascii="Times New Roman" w:hAnsi="Times New Roman" w:cs="Times New Roman"/>
        </w:rPr>
        <w:t xml:space="preserve">, </w:t>
      </w:r>
      <w:r w:rsidRPr="00846308">
        <w:rPr>
          <w:rFonts w:ascii="Times New Roman" w:hAnsi="Times New Roman" w:cs="Times New Roman"/>
          <w:i/>
          <w:iCs/>
        </w:rPr>
        <w:t>15</w:t>
      </w:r>
      <w:r w:rsidRPr="00846308">
        <w:rPr>
          <w:rFonts w:ascii="Times New Roman" w:hAnsi="Times New Roman" w:cs="Times New Roman"/>
        </w:rPr>
        <w:t>(1), 29–54. https://doi.org/10.1146/annurev-financial-110821-022107</w:t>
      </w:r>
    </w:p>
    <w:p w14:paraId="789B2EAB"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Ahiase, G., Andriana, D., Agbemava, E., &amp; Adonai, B. (2023). Macroeconomic Cyclical Indicators and Bank Non-Performing Loans: Does Country Governance Matter In African Countries? </w:t>
      </w:r>
      <w:r w:rsidRPr="00846308">
        <w:rPr>
          <w:rFonts w:ascii="Times New Roman" w:hAnsi="Times New Roman" w:cs="Times New Roman"/>
          <w:i/>
          <w:iCs/>
        </w:rPr>
        <w:t>International Journal of Social Economics</w:t>
      </w:r>
      <w:r w:rsidRPr="00846308">
        <w:rPr>
          <w:rFonts w:ascii="Times New Roman" w:hAnsi="Times New Roman" w:cs="Times New Roman"/>
        </w:rPr>
        <w:t xml:space="preserve">, </w:t>
      </w:r>
      <w:r w:rsidRPr="00846308">
        <w:rPr>
          <w:rFonts w:ascii="Times New Roman" w:hAnsi="Times New Roman" w:cs="Times New Roman"/>
          <w:i/>
          <w:iCs/>
        </w:rPr>
        <w:t>51</w:t>
      </w:r>
      <w:r w:rsidRPr="00846308">
        <w:rPr>
          <w:rFonts w:ascii="Times New Roman" w:hAnsi="Times New Roman" w:cs="Times New Roman"/>
        </w:rPr>
        <w:t>(1), 62–80. https://doi.org/10.1108/ijse-11-2022-0729</w:t>
      </w:r>
    </w:p>
    <w:p w14:paraId="745A556C"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Ahmed, H. M., El-Halaby, S., &amp; Soliman, H. A. (2022). The Consequence of the Credit Risk on the Financial Performance in Light of COVID-19: Evidence From Islamic Versus Conventional Banks Across MEA Region. </w:t>
      </w:r>
      <w:r w:rsidRPr="00846308">
        <w:rPr>
          <w:rFonts w:ascii="Times New Roman" w:hAnsi="Times New Roman" w:cs="Times New Roman"/>
          <w:i/>
          <w:iCs/>
        </w:rPr>
        <w:t>Future Business Journal</w:t>
      </w:r>
      <w:r w:rsidRPr="00846308">
        <w:rPr>
          <w:rFonts w:ascii="Times New Roman" w:hAnsi="Times New Roman" w:cs="Times New Roman"/>
        </w:rPr>
        <w:t xml:space="preserve">, </w:t>
      </w:r>
      <w:r w:rsidRPr="00846308">
        <w:rPr>
          <w:rFonts w:ascii="Times New Roman" w:hAnsi="Times New Roman" w:cs="Times New Roman"/>
          <w:i/>
          <w:iCs/>
        </w:rPr>
        <w:t>8</w:t>
      </w:r>
      <w:r w:rsidRPr="00846308">
        <w:rPr>
          <w:rFonts w:ascii="Times New Roman" w:hAnsi="Times New Roman" w:cs="Times New Roman"/>
        </w:rPr>
        <w:t>(1). https://doi.org/10.1186/s43093-022-00122-y</w:t>
      </w:r>
    </w:p>
    <w:p w14:paraId="488C0173"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Aladejare, S. A. (2023). Does External Debt Promote Human Longevity in Developing Countries? Evidence From West African Countries. </w:t>
      </w:r>
      <w:r w:rsidRPr="00846308">
        <w:rPr>
          <w:rFonts w:ascii="Times New Roman" w:hAnsi="Times New Roman" w:cs="Times New Roman"/>
          <w:i/>
          <w:iCs/>
        </w:rPr>
        <w:t>Fudan Journal of the Humanities and Social Sciences</w:t>
      </w:r>
      <w:r w:rsidRPr="00846308">
        <w:rPr>
          <w:rFonts w:ascii="Times New Roman" w:hAnsi="Times New Roman" w:cs="Times New Roman"/>
        </w:rPr>
        <w:t xml:space="preserve">, </w:t>
      </w:r>
      <w:r w:rsidRPr="00846308">
        <w:rPr>
          <w:rFonts w:ascii="Times New Roman" w:hAnsi="Times New Roman" w:cs="Times New Roman"/>
          <w:i/>
          <w:iCs/>
        </w:rPr>
        <w:t>16</w:t>
      </w:r>
      <w:r w:rsidRPr="00846308">
        <w:rPr>
          <w:rFonts w:ascii="Times New Roman" w:hAnsi="Times New Roman" w:cs="Times New Roman"/>
        </w:rPr>
        <w:t>(2), 213–237. https://doi.org/10.1007/s40647-023-00365-1</w:t>
      </w:r>
    </w:p>
    <w:p w14:paraId="3E20844D"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Ali, M. S. B., &amp; Mim, S. B. (2022). Democracy and Banking Stability: Is the Relationship U-Shaped? </w:t>
      </w:r>
      <w:r w:rsidRPr="00846308">
        <w:rPr>
          <w:rFonts w:ascii="Times New Roman" w:hAnsi="Times New Roman" w:cs="Times New Roman"/>
          <w:i/>
          <w:iCs/>
        </w:rPr>
        <w:t>Journal of the Knowledge Economy</w:t>
      </w:r>
      <w:r w:rsidRPr="00846308">
        <w:rPr>
          <w:rFonts w:ascii="Times New Roman" w:hAnsi="Times New Roman" w:cs="Times New Roman"/>
        </w:rPr>
        <w:t xml:space="preserve">, </w:t>
      </w:r>
      <w:r w:rsidRPr="00846308">
        <w:rPr>
          <w:rFonts w:ascii="Times New Roman" w:hAnsi="Times New Roman" w:cs="Times New Roman"/>
          <w:i/>
          <w:iCs/>
        </w:rPr>
        <w:t>14</w:t>
      </w:r>
      <w:r w:rsidRPr="00846308">
        <w:rPr>
          <w:rFonts w:ascii="Times New Roman" w:hAnsi="Times New Roman" w:cs="Times New Roman"/>
        </w:rPr>
        <w:t>(4), 4426–4448. https://doi.org/10.1007/s13132-022-01063-1</w:t>
      </w:r>
    </w:p>
    <w:p w14:paraId="00804A8E"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Almeshari, A., Mohamed Hisham Bin Dato Haji Yahya, Kamarudin, F., Ali, R., &amp; Hamid, S. A. (2023). Liquidity Creation, Oil Term of Trade Shocks, and Growth Volatility in Middle Eastern </w:t>
      </w:r>
      <w:r w:rsidRPr="00846308">
        <w:rPr>
          <w:rFonts w:ascii="Times New Roman" w:hAnsi="Times New Roman" w:cs="Times New Roman"/>
        </w:rPr>
        <w:lastRenderedPageBreak/>
        <w:t xml:space="preserve">and North African Countries (MENA). </w:t>
      </w:r>
      <w:r w:rsidRPr="00846308">
        <w:rPr>
          <w:rFonts w:ascii="Times New Roman" w:hAnsi="Times New Roman" w:cs="Times New Roman"/>
          <w:i/>
          <w:iCs/>
        </w:rPr>
        <w:t>Economies</w:t>
      </w:r>
      <w:r w:rsidRPr="00846308">
        <w:rPr>
          <w:rFonts w:ascii="Times New Roman" w:hAnsi="Times New Roman" w:cs="Times New Roman"/>
        </w:rPr>
        <w:t xml:space="preserve">, </w:t>
      </w:r>
      <w:r w:rsidRPr="00846308">
        <w:rPr>
          <w:rFonts w:ascii="Times New Roman" w:hAnsi="Times New Roman" w:cs="Times New Roman"/>
          <w:i/>
          <w:iCs/>
        </w:rPr>
        <w:t>11</w:t>
      </w:r>
      <w:r w:rsidRPr="00846308">
        <w:rPr>
          <w:rFonts w:ascii="Times New Roman" w:hAnsi="Times New Roman" w:cs="Times New Roman"/>
        </w:rPr>
        <w:t>(5), 147. https://doi.org/10.3390/economies11050147</w:t>
      </w:r>
    </w:p>
    <w:p w14:paraId="54B8CF20"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Alnaa, S. E., &amp; Matey, J. (2024). An Assessment of the Risk Mitigating Factors in Ghana’s Bank Industry. </w:t>
      </w:r>
      <w:r w:rsidRPr="00846308">
        <w:rPr>
          <w:rFonts w:ascii="Times New Roman" w:hAnsi="Times New Roman" w:cs="Times New Roman"/>
          <w:i/>
          <w:iCs/>
        </w:rPr>
        <w:t>Financial Internet Quarterly</w:t>
      </w:r>
      <w:r w:rsidRPr="00846308">
        <w:rPr>
          <w:rFonts w:ascii="Times New Roman" w:hAnsi="Times New Roman" w:cs="Times New Roman"/>
        </w:rPr>
        <w:t xml:space="preserve">, </w:t>
      </w:r>
      <w:r w:rsidRPr="00846308">
        <w:rPr>
          <w:rFonts w:ascii="Times New Roman" w:hAnsi="Times New Roman" w:cs="Times New Roman"/>
          <w:i/>
          <w:iCs/>
        </w:rPr>
        <w:t>19</w:t>
      </w:r>
      <w:r w:rsidRPr="00846308">
        <w:rPr>
          <w:rFonts w:ascii="Times New Roman" w:hAnsi="Times New Roman" w:cs="Times New Roman"/>
        </w:rPr>
        <w:t>(3), 62–74. https://doi.org/10.2478/fiqf-2023-0019</w:t>
      </w:r>
    </w:p>
    <w:p w14:paraId="50EED88A"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Alnabulsi, K., Kozarević, E., &amp; Hakimi, A. (2023). Non-Performing Loans as a Driver of Banking Distress: A Systematic Literature Review. </w:t>
      </w:r>
      <w:r w:rsidRPr="00846308">
        <w:rPr>
          <w:rFonts w:ascii="Times New Roman" w:hAnsi="Times New Roman" w:cs="Times New Roman"/>
          <w:i/>
          <w:iCs/>
        </w:rPr>
        <w:t>Commodities</w:t>
      </w:r>
      <w:r w:rsidRPr="00846308">
        <w:rPr>
          <w:rFonts w:ascii="Times New Roman" w:hAnsi="Times New Roman" w:cs="Times New Roman"/>
        </w:rPr>
        <w:t xml:space="preserve">, </w:t>
      </w:r>
      <w:r w:rsidRPr="00846308">
        <w:rPr>
          <w:rFonts w:ascii="Times New Roman" w:hAnsi="Times New Roman" w:cs="Times New Roman"/>
          <w:i/>
          <w:iCs/>
        </w:rPr>
        <w:t>2</w:t>
      </w:r>
      <w:r w:rsidRPr="00846308">
        <w:rPr>
          <w:rFonts w:ascii="Times New Roman" w:hAnsi="Times New Roman" w:cs="Times New Roman"/>
        </w:rPr>
        <w:t>(2), 111–130. https://doi.org/10.3390/commodities2020007</w:t>
      </w:r>
    </w:p>
    <w:p w14:paraId="75F60A3C"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Amo-Bediako, E., Takawira, O., &amp; Choga, I. (2023). The Impact of Climate Change on the Resilience of Banking Systems in Selected Sub-Saharan Economies. </w:t>
      </w:r>
      <w:r w:rsidRPr="00846308">
        <w:rPr>
          <w:rFonts w:ascii="Times New Roman" w:hAnsi="Times New Roman" w:cs="Times New Roman"/>
          <w:i/>
          <w:iCs/>
        </w:rPr>
        <w:t>International Journal of Applied Economics Finance and Accounting</w:t>
      </w:r>
      <w:r w:rsidRPr="00846308">
        <w:rPr>
          <w:rFonts w:ascii="Times New Roman" w:hAnsi="Times New Roman" w:cs="Times New Roman"/>
        </w:rPr>
        <w:t xml:space="preserve">, </w:t>
      </w:r>
      <w:r w:rsidRPr="00846308">
        <w:rPr>
          <w:rFonts w:ascii="Times New Roman" w:hAnsi="Times New Roman" w:cs="Times New Roman"/>
          <w:i/>
          <w:iCs/>
        </w:rPr>
        <w:t>17</w:t>
      </w:r>
      <w:r w:rsidRPr="00846308">
        <w:rPr>
          <w:rFonts w:ascii="Times New Roman" w:hAnsi="Times New Roman" w:cs="Times New Roman"/>
        </w:rPr>
        <w:t>(2), 469–482. https://doi.org/10.33094/ijaefa.v17i2.1203</w:t>
      </w:r>
    </w:p>
    <w:p w14:paraId="7AF39368"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Anjom, W. &amp; Abu Taher Mohammad Omor Faruq. (2023). Financial Stability Analysis of Islamic Banks in Bangladesh. </w:t>
      </w:r>
      <w:r w:rsidRPr="00846308">
        <w:rPr>
          <w:rFonts w:ascii="Times New Roman" w:hAnsi="Times New Roman" w:cs="Times New Roman"/>
          <w:i/>
          <w:iCs/>
        </w:rPr>
        <w:t>European Journal of Business Management and Research</w:t>
      </w:r>
      <w:r w:rsidRPr="00846308">
        <w:rPr>
          <w:rFonts w:ascii="Times New Roman" w:hAnsi="Times New Roman" w:cs="Times New Roman"/>
        </w:rPr>
        <w:t xml:space="preserve">, </w:t>
      </w:r>
      <w:r w:rsidRPr="00846308">
        <w:rPr>
          <w:rFonts w:ascii="Times New Roman" w:hAnsi="Times New Roman" w:cs="Times New Roman"/>
          <w:i/>
          <w:iCs/>
        </w:rPr>
        <w:t>8</w:t>
      </w:r>
      <w:r w:rsidRPr="00846308">
        <w:rPr>
          <w:rFonts w:ascii="Times New Roman" w:hAnsi="Times New Roman" w:cs="Times New Roman"/>
        </w:rPr>
        <w:t>(3), 320–326. https://doi.org/10.24018/ejbmr.2023.8.3.1953</w:t>
      </w:r>
    </w:p>
    <w:p w14:paraId="6D6B0779"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Antony, T. M., &amp; Suresh, G. (2023). Determinants of Credit Risk: Empirical Evidence From Indian Commercial Banks. </w:t>
      </w:r>
      <w:r w:rsidRPr="00846308">
        <w:rPr>
          <w:rFonts w:ascii="Times New Roman" w:hAnsi="Times New Roman" w:cs="Times New Roman"/>
          <w:i/>
          <w:iCs/>
        </w:rPr>
        <w:t>Banks and Bank Systems</w:t>
      </w:r>
      <w:r w:rsidRPr="00846308">
        <w:rPr>
          <w:rFonts w:ascii="Times New Roman" w:hAnsi="Times New Roman" w:cs="Times New Roman"/>
        </w:rPr>
        <w:t xml:space="preserve">, </w:t>
      </w:r>
      <w:r w:rsidRPr="00846308">
        <w:rPr>
          <w:rFonts w:ascii="Times New Roman" w:hAnsi="Times New Roman" w:cs="Times New Roman"/>
          <w:i/>
          <w:iCs/>
        </w:rPr>
        <w:t>18</w:t>
      </w:r>
      <w:r w:rsidRPr="00846308">
        <w:rPr>
          <w:rFonts w:ascii="Times New Roman" w:hAnsi="Times New Roman" w:cs="Times New Roman"/>
        </w:rPr>
        <w:t>(2), 88–100. https://doi.org/10.21511/bbs.18(2).2023.08</w:t>
      </w:r>
    </w:p>
    <w:p w14:paraId="3E0A8F30"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Antwi, F., &amp; Kwakye, M. (2022). Modelling the Effect of Bank Performance on Financial Stability. </w:t>
      </w:r>
      <w:r w:rsidRPr="00846308">
        <w:rPr>
          <w:rFonts w:ascii="Times New Roman" w:hAnsi="Times New Roman" w:cs="Times New Roman"/>
          <w:i/>
          <w:iCs/>
        </w:rPr>
        <w:t>International Journal of Research in Business and Social Science (2147-4478)</w:t>
      </w:r>
      <w:r w:rsidRPr="00846308">
        <w:rPr>
          <w:rFonts w:ascii="Times New Roman" w:hAnsi="Times New Roman" w:cs="Times New Roman"/>
        </w:rPr>
        <w:t xml:space="preserve">, </w:t>
      </w:r>
      <w:r w:rsidRPr="00846308">
        <w:rPr>
          <w:rFonts w:ascii="Times New Roman" w:hAnsi="Times New Roman" w:cs="Times New Roman"/>
          <w:i/>
          <w:iCs/>
        </w:rPr>
        <w:t>11</w:t>
      </w:r>
      <w:r w:rsidRPr="00846308">
        <w:rPr>
          <w:rFonts w:ascii="Times New Roman" w:hAnsi="Times New Roman" w:cs="Times New Roman"/>
        </w:rPr>
        <w:t>(7), 143–151. https://doi.org/10.20525/ijrbs.v11i7.2058</w:t>
      </w:r>
    </w:p>
    <w:p w14:paraId="3624035F"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Arora, D., &amp; Kashiramka, S. (2023). Are Shadow Banks a Threat to The financial Stability of EMEs? </w:t>
      </w:r>
      <w:r w:rsidRPr="00846308">
        <w:rPr>
          <w:rFonts w:ascii="Times New Roman" w:hAnsi="Times New Roman" w:cs="Times New Roman"/>
          <w:i/>
          <w:iCs/>
        </w:rPr>
        <w:t>China Accounting and Finance Review</w:t>
      </w:r>
      <w:r w:rsidRPr="00846308">
        <w:rPr>
          <w:rFonts w:ascii="Times New Roman" w:hAnsi="Times New Roman" w:cs="Times New Roman"/>
        </w:rPr>
        <w:t xml:space="preserve">, </w:t>
      </w:r>
      <w:r w:rsidRPr="00846308">
        <w:rPr>
          <w:rFonts w:ascii="Times New Roman" w:hAnsi="Times New Roman" w:cs="Times New Roman"/>
          <w:i/>
          <w:iCs/>
        </w:rPr>
        <w:t>25</w:t>
      </w:r>
      <w:r w:rsidRPr="00846308">
        <w:rPr>
          <w:rFonts w:ascii="Times New Roman" w:hAnsi="Times New Roman" w:cs="Times New Roman"/>
        </w:rPr>
        <w:t>(4), 488–512. https://doi.org/10.1108/cafr-12-2022-0129</w:t>
      </w:r>
    </w:p>
    <w:p w14:paraId="1EA232AC"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Awdeh, A., Moussawi, C. E., &amp; Hamadi, H. (2024). The Impact of Inflation on Bank Stability: Evidence From the MENA Banks. </w:t>
      </w:r>
      <w:r w:rsidRPr="00846308">
        <w:rPr>
          <w:rFonts w:ascii="Times New Roman" w:hAnsi="Times New Roman" w:cs="Times New Roman"/>
          <w:i/>
          <w:iCs/>
        </w:rPr>
        <w:t>International Journal of Islamic and Middle Eastern Finance and Management</w:t>
      </w:r>
      <w:r w:rsidRPr="00846308">
        <w:rPr>
          <w:rFonts w:ascii="Times New Roman" w:hAnsi="Times New Roman" w:cs="Times New Roman"/>
        </w:rPr>
        <w:t xml:space="preserve">, </w:t>
      </w:r>
      <w:r w:rsidRPr="00846308">
        <w:rPr>
          <w:rFonts w:ascii="Times New Roman" w:hAnsi="Times New Roman" w:cs="Times New Roman"/>
          <w:i/>
          <w:iCs/>
        </w:rPr>
        <w:t>17</w:t>
      </w:r>
      <w:r w:rsidRPr="00846308">
        <w:rPr>
          <w:rFonts w:ascii="Times New Roman" w:hAnsi="Times New Roman" w:cs="Times New Roman"/>
        </w:rPr>
        <w:t>(2), 379–399. https://doi.org/10.1108/imefm-10-2023-0388</w:t>
      </w:r>
    </w:p>
    <w:p w14:paraId="4F7EBE2F"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Azaria, S. P., &amp; Sihaloho, E. D. (2021). Impacts of Foreign Direct Investment on Poverty Eradication in Asean-5 Countries. </w:t>
      </w:r>
      <w:r w:rsidRPr="00846308">
        <w:rPr>
          <w:rFonts w:ascii="Times New Roman" w:hAnsi="Times New Roman" w:cs="Times New Roman"/>
          <w:i/>
          <w:iCs/>
        </w:rPr>
        <w:t>Trikonomika</w:t>
      </w:r>
      <w:r w:rsidRPr="00846308">
        <w:rPr>
          <w:rFonts w:ascii="Times New Roman" w:hAnsi="Times New Roman" w:cs="Times New Roman"/>
        </w:rPr>
        <w:t xml:space="preserve">, </w:t>
      </w:r>
      <w:r w:rsidRPr="00846308">
        <w:rPr>
          <w:rFonts w:ascii="Times New Roman" w:hAnsi="Times New Roman" w:cs="Times New Roman"/>
          <w:i/>
          <w:iCs/>
        </w:rPr>
        <w:t>20</w:t>
      </w:r>
      <w:r w:rsidRPr="00846308">
        <w:rPr>
          <w:rFonts w:ascii="Times New Roman" w:hAnsi="Times New Roman" w:cs="Times New Roman"/>
        </w:rPr>
        <w:t>(2), 62–70. https://doi.org/10.23969/trikonomika.v20i2.4085</w:t>
      </w:r>
    </w:p>
    <w:p w14:paraId="4C52F8C6"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Bambe, B.-W.-W., Combes, J., KABA, K., &amp; Minea, A. (2022). Inflation Targeting and Developing Countries’ Performance: Evidence From Firm-Level Data. </w:t>
      </w:r>
      <w:r w:rsidRPr="00846308">
        <w:rPr>
          <w:rFonts w:ascii="Times New Roman" w:hAnsi="Times New Roman" w:cs="Times New Roman"/>
          <w:i/>
          <w:iCs/>
        </w:rPr>
        <w:t>SSRN Electronic Journal</w:t>
      </w:r>
      <w:r w:rsidRPr="00846308">
        <w:rPr>
          <w:rFonts w:ascii="Times New Roman" w:hAnsi="Times New Roman" w:cs="Times New Roman"/>
        </w:rPr>
        <w:t>. https://doi.org/10.2139/ssrn.4267886</w:t>
      </w:r>
    </w:p>
    <w:p w14:paraId="261EACC2"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Banyen, K. T. (2021). Financial Integration, Competition and Bank Risk-Taking Behavior: Evidence From Africa’s Sub-Regional Markets. </w:t>
      </w:r>
      <w:r w:rsidRPr="00846308">
        <w:rPr>
          <w:rFonts w:ascii="Times New Roman" w:hAnsi="Times New Roman" w:cs="Times New Roman"/>
          <w:i/>
          <w:iCs/>
        </w:rPr>
        <w:t>Journal of Economic Integration</w:t>
      </w:r>
      <w:r w:rsidRPr="00846308">
        <w:rPr>
          <w:rFonts w:ascii="Times New Roman" w:hAnsi="Times New Roman" w:cs="Times New Roman"/>
        </w:rPr>
        <w:t xml:space="preserve">, </w:t>
      </w:r>
      <w:r w:rsidRPr="00846308">
        <w:rPr>
          <w:rFonts w:ascii="Times New Roman" w:hAnsi="Times New Roman" w:cs="Times New Roman"/>
          <w:i/>
          <w:iCs/>
        </w:rPr>
        <w:t>36</w:t>
      </w:r>
      <w:r w:rsidRPr="00846308">
        <w:rPr>
          <w:rFonts w:ascii="Times New Roman" w:hAnsi="Times New Roman" w:cs="Times New Roman"/>
        </w:rPr>
        <w:t>(2), 282–307. https://doi.org/10.11130/jei.2021.36.2.282</w:t>
      </w:r>
    </w:p>
    <w:p w14:paraId="01D64661"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lastRenderedPageBreak/>
        <w:t xml:space="preserve">Banyen, K. T., &amp; Biekpe, N. (2020). Financial Integration and Bank Profitability in Five Regional Economic Communities in Africa. </w:t>
      </w:r>
      <w:r w:rsidRPr="00846308">
        <w:rPr>
          <w:rFonts w:ascii="Times New Roman" w:hAnsi="Times New Roman" w:cs="Times New Roman"/>
          <w:i/>
          <w:iCs/>
        </w:rPr>
        <w:t>International Journal of Emerging Markets</w:t>
      </w:r>
      <w:r w:rsidRPr="00846308">
        <w:rPr>
          <w:rFonts w:ascii="Times New Roman" w:hAnsi="Times New Roman" w:cs="Times New Roman"/>
        </w:rPr>
        <w:t xml:space="preserve">, </w:t>
      </w:r>
      <w:r w:rsidRPr="00846308">
        <w:rPr>
          <w:rFonts w:ascii="Times New Roman" w:hAnsi="Times New Roman" w:cs="Times New Roman"/>
          <w:i/>
          <w:iCs/>
        </w:rPr>
        <w:t>16</w:t>
      </w:r>
      <w:r w:rsidRPr="00846308">
        <w:rPr>
          <w:rFonts w:ascii="Times New Roman" w:hAnsi="Times New Roman" w:cs="Times New Roman"/>
        </w:rPr>
        <w:t>(3), 468–491. https://doi.org/10.1108/ijoem-08-2018-0435</w:t>
      </w:r>
    </w:p>
    <w:p w14:paraId="145697AF"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Baum, C. F., Çağlayan, M., &amp; Xu, B. (2020). The Impact of Uncertainty on Financial Institutions: A cross‐country Study. </w:t>
      </w:r>
      <w:r w:rsidRPr="00846308">
        <w:rPr>
          <w:rFonts w:ascii="Times New Roman" w:hAnsi="Times New Roman" w:cs="Times New Roman"/>
          <w:i/>
          <w:iCs/>
        </w:rPr>
        <w:t>International Journal of Finance &amp; Economics</w:t>
      </w:r>
      <w:r w:rsidRPr="00846308">
        <w:rPr>
          <w:rFonts w:ascii="Times New Roman" w:hAnsi="Times New Roman" w:cs="Times New Roman"/>
        </w:rPr>
        <w:t xml:space="preserve">, </w:t>
      </w:r>
      <w:r w:rsidRPr="00846308">
        <w:rPr>
          <w:rFonts w:ascii="Times New Roman" w:hAnsi="Times New Roman" w:cs="Times New Roman"/>
          <w:i/>
          <w:iCs/>
        </w:rPr>
        <w:t>26</w:t>
      </w:r>
      <w:r w:rsidRPr="00846308">
        <w:rPr>
          <w:rFonts w:ascii="Times New Roman" w:hAnsi="Times New Roman" w:cs="Times New Roman"/>
        </w:rPr>
        <w:t>(3), 3719–3739. https://doi.org/10.1002/ijfe.1983</w:t>
      </w:r>
    </w:p>
    <w:p w14:paraId="5905E101"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Bayar, Y., Borozan, D., &amp; Gavriletea, M. D. (2020). Banking Sector Stability and Economic Growth in Post‐transition European Union Countries. </w:t>
      </w:r>
      <w:r w:rsidRPr="00846308">
        <w:rPr>
          <w:rFonts w:ascii="Times New Roman" w:hAnsi="Times New Roman" w:cs="Times New Roman"/>
          <w:i/>
          <w:iCs/>
        </w:rPr>
        <w:t>International Journal of Finance &amp; Economics</w:t>
      </w:r>
      <w:r w:rsidRPr="00846308">
        <w:rPr>
          <w:rFonts w:ascii="Times New Roman" w:hAnsi="Times New Roman" w:cs="Times New Roman"/>
        </w:rPr>
        <w:t xml:space="preserve">, </w:t>
      </w:r>
      <w:r w:rsidRPr="00846308">
        <w:rPr>
          <w:rFonts w:ascii="Times New Roman" w:hAnsi="Times New Roman" w:cs="Times New Roman"/>
          <w:i/>
          <w:iCs/>
        </w:rPr>
        <w:t>26</w:t>
      </w:r>
      <w:r w:rsidRPr="00846308">
        <w:rPr>
          <w:rFonts w:ascii="Times New Roman" w:hAnsi="Times New Roman" w:cs="Times New Roman"/>
        </w:rPr>
        <w:t>(1), 949–961. https://doi.org/10.1002/ijfe.1829</w:t>
      </w:r>
    </w:p>
    <w:p w14:paraId="5195B855"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Bhujabal, P., Sethi, N., &amp; Padhan, P. C. (2024). Effect of Institutional Quality on FDI Inflows in South Asian and Southeast Asian Countries. </w:t>
      </w:r>
      <w:r w:rsidRPr="00846308">
        <w:rPr>
          <w:rFonts w:ascii="Times New Roman" w:hAnsi="Times New Roman" w:cs="Times New Roman"/>
          <w:i/>
          <w:iCs/>
        </w:rPr>
        <w:t>Heliyon</w:t>
      </w:r>
      <w:r w:rsidRPr="00846308">
        <w:rPr>
          <w:rFonts w:ascii="Times New Roman" w:hAnsi="Times New Roman" w:cs="Times New Roman"/>
        </w:rPr>
        <w:t xml:space="preserve">, </w:t>
      </w:r>
      <w:r w:rsidRPr="00846308">
        <w:rPr>
          <w:rFonts w:ascii="Times New Roman" w:hAnsi="Times New Roman" w:cs="Times New Roman"/>
          <w:i/>
          <w:iCs/>
        </w:rPr>
        <w:t>10</w:t>
      </w:r>
      <w:r w:rsidRPr="00846308">
        <w:rPr>
          <w:rFonts w:ascii="Times New Roman" w:hAnsi="Times New Roman" w:cs="Times New Roman"/>
        </w:rPr>
        <w:t>(5), e27060. https://doi.org/10.1016/j.heliyon.2024.e27060</w:t>
      </w:r>
    </w:p>
    <w:p w14:paraId="77CD6DF7"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Bilalli, A., &amp; Sadiku, M. (2023). The Impact of Inflation on Financial Sector Performance: Evidence. From. Western Balkan Countries. </w:t>
      </w:r>
      <w:r w:rsidRPr="00846308">
        <w:rPr>
          <w:rFonts w:ascii="Times New Roman" w:hAnsi="Times New Roman" w:cs="Times New Roman"/>
          <w:i/>
          <w:iCs/>
        </w:rPr>
        <w:t>Seeu Review</w:t>
      </w:r>
      <w:r w:rsidRPr="00846308">
        <w:rPr>
          <w:rFonts w:ascii="Times New Roman" w:hAnsi="Times New Roman" w:cs="Times New Roman"/>
        </w:rPr>
        <w:t xml:space="preserve">, </w:t>
      </w:r>
      <w:r w:rsidRPr="00846308">
        <w:rPr>
          <w:rFonts w:ascii="Times New Roman" w:hAnsi="Times New Roman" w:cs="Times New Roman"/>
          <w:i/>
          <w:iCs/>
        </w:rPr>
        <w:t>18</w:t>
      </w:r>
      <w:r w:rsidRPr="00846308">
        <w:rPr>
          <w:rFonts w:ascii="Times New Roman" w:hAnsi="Times New Roman" w:cs="Times New Roman"/>
        </w:rPr>
        <w:t>(2), 74–89. https://doi.org/10.2478/seeur-2023-0071</w:t>
      </w:r>
    </w:p>
    <w:p w14:paraId="1F009BD0"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Brunnermeier, M. K. (2024). Presidential Address: Macrofinance and Resilience. </w:t>
      </w:r>
      <w:r w:rsidRPr="00846308">
        <w:rPr>
          <w:rFonts w:ascii="Times New Roman" w:hAnsi="Times New Roman" w:cs="Times New Roman"/>
          <w:i/>
          <w:iCs/>
        </w:rPr>
        <w:t>The Journal of Finance</w:t>
      </w:r>
      <w:r w:rsidRPr="00846308">
        <w:rPr>
          <w:rFonts w:ascii="Times New Roman" w:hAnsi="Times New Roman" w:cs="Times New Roman"/>
        </w:rPr>
        <w:t xml:space="preserve">, </w:t>
      </w:r>
      <w:r w:rsidRPr="00846308">
        <w:rPr>
          <w:rFonts w:ascii="Times New Roman" w:hAnsi="Times New Roman" w:cs="Times New Roman"/>
          <w:i/>
          <w:iCs/>
        </w:rPr>
        <w:t>79</w:t>
      </w:r>
      <w:r w:rsidRPr="00846308">
        <w:rPr>
          <w:rFonts w:ascii="Times New Roman" w:hAnsi="Times New Roman" w:cs="Times New Roman"/>
        </w:rPr>
        <w:t>(6), 3683–3728. https://doi.org/10.1111/jofi.13403</w:t>
      </w:r>
    </w:p>
    <w:p w14:paraId="7566306F"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Budhathoki, P. B., Bhattarai, G., Aryal, N. P., &amp; Ghimire, S. R. (2024). The Bank Concentration and Risk Exposure: Empirical Insights From Asian Countries. </w:t>
      </w:r>
      <w:r w:rsidRPr="00846308">
        <w:rPr>
          <w:rFonts w:ascii="Times New Roman" w:hAnsi="Times New Roman" w:cs="Times New Roman"/>
          <w:i/>
          <w:iCs/>
        </w:rPr>
        <w:t>Nepal Journal of Multidisciplinary Research</w:t>
      </w:r>
      <w:r w:rsidRPr="00846308">
        <w:rPr>
          <w:rFonts w:ascii="Times New Roman" w:hAnsi="Times New Roman" w:cs="Times New Roman"/>
        </w:rPr>
        <w:t xml:space="preserve">, </w:t>
      </w:r>
      <w:r w:rsidRPr="00846308">
        <w:rPr>
          <w:rFonts w:ascii="Times New Roman" w:hAnsi="Times New Roman" w:cs="Times New Roman"/>
          <w:i/>
          <w:iCs/>
        </w:rPr>
        <w:t>7</w:t>
      </w:r>
      <w:r w:rsidRPr="00846308">
        <w:rPr>
          <w:rFonts w:ascii="Times New Roman" w:hAnsi="Times New Roman" w:cs="Times New Roman"/>
        </w:rPr>
        <w:t>(2), 12–29. https://doi.org/10.3126/njmr.v7i2.68190</w:t>
      </w:r>
    </w:p>
    <w:p w14:paraId="6C5D032A"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Bui, T. T., &amp; Kiss, G. D. (2020). Asymmetry in the Reaction Function of Monetary Policy in Emerging Economies. </w:t>
      </w:r>
      <w:r w:rsidRPr="00846308">
        <w:rPr>
          <w:rFonts w:ascii="Times New Roman" w:hAnsi="Times New Roman" w:cs="Times New Roman"/>
          <w:i/>
          <w:iCs/>
        </w:rPr>
        <w:t>Pénzügyi Szemle = Public Finance Quarterly</w:t>
      </w:r>
      <w:r w:rsidRPr="00846308">
        <w:rPr>
          <w:rFonts w:ascii="Times New Roman" w:hAnsi="Times New Roman" w:cs="Times New Roman"/>
        </w:rPr>
        <w:t xml:space="preserve">, </w:t>
      </w:r>
      <w:r w:rsidRPr="00846308">
        <w:rPr>
          <w:rFonts w:ascii="Times New Roman" w:hAnsi="Times New Roman" w:cs="Times New Roman"/>
          <w:i/>
          <w:iCs/>
        </w:rPr>
        <w:t>65</w:t>
      </w:r>
      <w:r w:rsidRPr="00846308">
        <w:rPr>
          <w:rFonts w:ascii="Times New Roman" w:hAnsi="Times New Roman" w:cs="Times New Roman"/>
        </w:rPr>
        <w:t>(2), 210–224. https://doi.org/10.35551/pfq_2020_2_4</w:t>
      </w:r>
    </w:p>
    <w:p w14:paraId="474F5160"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Chand, S. A., Kumar, R. R., &amp; Stauvermann, P. J. (2021). Determinants of Bank Stability in a Small Island Economy: A Study of Fiji. </w:t>
      </w:r>
      <w:r w:rsidRPr="00846308">
        <w:rPr>
          <w:rFonts w:ascii="Times New Roman" w:hAnsi="Times New Roman" w:cs="Times New Roman"/>
          <w:i/>
          <w:iCs/>
        </w:rPr>
        <w:t>Accounting Research Journal</w:t>
      </w:r>
      <w:r w:rsidRPr="00846308">
        <w:rPr>
          <w:rFonts w:ascii="Times New Roman" w:hAnsi="Times New Roman" w:cs="Times New Roman"/>
        </w:rPr>
        <w:t xml:space="preserve">, </w:t>
      </w:r>
      <w:r w:rsidRPr="00846308">
        <w:rPr>
          <w:rFonts w:ascii="Times New Roman" w:hAnsi="Times New Roman" w:cs="Times New Roman"/>
          <w:i/>
          <w:iCs/>
        </w:rPr>
        <w:t>34</w:t>
      </w:r>
      <w:r w:rsidRPr="00846308">
        <w:rPr>
          <w:rFonts w:ascii="Times New Roman" w:hAnsi="Times New Roman" w:cs="Times New Roman"/>
        </w:rPr>
        <w:t>(1), 22–42. https://doi.org/10.1108/arj-06-2020-0140</w:t>
      </w:r>
    </w:p>
    <w:p w14:paraId="48F1B81A"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Chen, M. (2025). Inflation Uncertainty, Macroprudential Regulations, and Bank Stability: Some Evidence From Emerging Economies. </w:t>
      </w:r>
      <w:r w:rsidRPr="00846308">
        <w:rPr>
          <w:rFonts w:ascii="Times New Roman" w:hAnsi="Times New Roman" w:cs="Times New Roman"/>
          <w:i/>
          <w:iCs/>
        </w:rPr>
        <w:t>International Review of Finance</w:t>
      </w:r>
      <w:r w:rsidRPr="00846308">
        <w:rPr>
          <w:rFonts w:ascii="Times New Roman" w:hAnsi="Times New Roman" w:cs="Times New Roman"/>
        </w:rPr>
        <w:t xml:space="preserve">, </w:t>
      </w:r>
      <w:r w:rsidRPr="00846308">
        <w:rPr>
          <w:rFonts w:ascii="Times New Roman" w:hAnsi="Times New Roman" w:cs="Times New Roman"/>
          <w:i/>
          <w:iCs/>
        </w:rPr>
        <w:t>25</w:t>
      </w:r>
      <w:r w:rsidRPr="00846308">
        <w:rPr>
          <w:rFonts w:ascii="Times New Roman" w:hAnsi="Times New Roman" w:cs="Times New Roman"/>
        </w:rPr>
        <w:t>(4). https://doi.org/10.1111/irfi.70051</w:t>
      </w:r>
    </w:p>
    <w:p w14:paraId="7C308A52"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Danlami, M. R., Abduh, M., &amp; Razak, L. A. (2022). CAMELS, Risk-Sharing Financing, Institutional Quality and Stability of Islamic Banks: Evidence From 6 OIC Countries. </w:t>
      </w:r>
      <w:r w:rsidRPr="00846308">
        <w:rPr>
          <w:rFonts w:ascii="Times New Roman" w:hAnsi="Times New Roman" w:cs="Times New Roman"/>
          <w:i/>
          <w:iCs/>
        </w:rPr>
        <w:t>Journal of Islamic Accounting and Business Research</w:t>
      </w:r>
      <w:r w:rsidRPr="00846308">
        <w:rPr>
          <w:rFonts w:ascii="Times New Roman" w:hAnsi="Times New Roman" w:cs="Times New Roman"/>
        </w:rPr>
        <w:t xml:space="preserve">, </w:t>
      </w:r>
      <w:r w:rsidRPr="00846308">
        <w:rPr>
          <w:rFonts w:ascii="Times New Roman" w:hAnsi="Times New Roman" w:cs="Times New Roman"/>
          <w:i/>
          <w:iCs/>
        </w:rPr>
        <w:t>13</w:t>
      </w:r>
      <w:r w:rsidRPr="00846308">
        <w:rPr>
          <w:rFonts w:ascii="Times New Roman" w:hAnsi="Times New Roman" w:cs="Times New Roman"/>
        </w:rPr>
        <w:t>(8), 1155–1175. https://doi.org/10.1108/jiabr-08-2021-0227</w:t>
      </w:r>
    </w:p>
    <w:p w14:paraId="6D375390"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lastRenderedPageBreak/>
        <w:t xml:space="preserve">Delessa, K., Alemu, T., &amp; Bane, J. (2024). Remittances Inflow and Economic Growth Nexus in Sub-Saharan Africa: Do Institutional Quality and Macroeconomic Stability Matter? </w:t>
      </w:r>
      <w:r w:rsidRPr="00846308">
        <w:rPr>
          <w:rFonts w:ascii="Times New Roman" w:hAnsi="Times New Roman" w:cs="Times New Roman"/>
          <w:i/>
          <w:iCs/>
        </w:rPr>
        <w:t>Heliyon</w:t>
      </w:r>
      <w:r w:rsidRPr="00846308">
        <w:rPr>
          <w:rFonts w:ascii="Times New Roman" w:hAnsi="Times New Roman" w:cs="Times New Roman"/>
        </w:rPr>
        <w:t xml:space="preserve">, </w:t>
      </w:r>
      <w:r w:rsidRPr="00846308">
        <w:rPr>
          <w:rFonts w:ascii="Times New Roman" w:hAnsi="Times New Roman" w:cs="Times New Roman"/>
          <w:i/>
          <w:iCs/>
        </w:rPr>
        <w:t>10</w:t>
      </w:r>
      <w:r w:rsidRPr="00846308">
        <w:rPr>
          <w:rFonts w:ascii="Times New Roman" w:hAnsi="Times New Roman" w:cs="Times New Roman"/>
        </w:rPr>
        <w:t>(3), e25690. https://doi.org/10.1016/j.heliyon.2024.e25690</w:t>
      </w:r>
    </w:p>
    <w:p w14:paraId="7E8DAB2D"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Demid, E. (2021). Heterogeneity in the Relationship Between NPLs and Real Economy: Evidence From the Mongolian Banking System. </w:t>
      </w:r>
      <w:r w:rsidRPr="00846308">
        <w:rPr>
          <w:rFonts w:ascii="Times New Roman" w:hAnsi="Times New Roman" w:cs="Times New Roman"/>
          <w:i/>
          <w:iCs/>
        </w:rPr>
        <w:t>Journal of Central Banking Theory and Practice</w:t>
      </w:r>
      <w:r w:rsidRPr="00846308">
        <w:rPr>
          <w:rFonts w:ascii="Times New Roman" w:hAnsi="Times New Roman" w:cs="Times New Roman"/>
        </w:rPr>
        <w:t xml:space="preserve">, </w:t>
      </w:r>
      <w:r w:rsidRPr="00846308">
        <w:rPr>
          <w:rFonts w:ascii="Times New Roman" w:hAnsi="Times New Roman" w:cs="Times New Roman"/>
          <w:i/>
          <w:iCs/>
        </w:rPr>
        <w:t>10</w:t>
      </w:r>
      <w:r w:rsidRPr="00846308">
        <w:rPr>
          <w:rFonts w:ascii="Times New Roman" w:hAnsi="Times New Roman" w:cs="Times New Roman"/>
        </w:rPr>
        <w:t>(2), 133–155. https://doi.org/10.2478/jcbtp-2021-0017</w:t>
      </w:r>
    </w:p>
    <w:p w14:paraId="1BECE4E5"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Duong, Q. N., Tran, N. T., &amp; Dang, T. V. P. (2025). Income Diversification and Liquidity Risk in ASEAN-5 Banks: A Bayesian Perspective. </w:t>
      </w:r>
      <w:r w:rsidRPr="00846308">
        <w:rPr>
          <w:rFonts w:ascii="Times New Roman" w:hAnsi="Times New Roman" w:cs="Times New Roman"/>
          <w:i/>
          <w:iCs/>
        </w:rPr>
        <w:t>Plos One</w:t>
      </w:r>
      <w:r w:rsidRPr="00846308">
        <w:rPr>
          <w:rFonts w:ascii="Times New Roman" w:hAnsi="Times New Roman" w:cs="Times New Roman"/>
        </w:rPr>
        <w:t xml:space="preserve">, </w:t>
      </w:r>
      <w:r w:rsidRPr="00846308">
        <w:rPr>
          <w:rFonts w:ascii="Times New Roman" w:hAnsi="Times New Roman" w:cs="Times New Roman"/>
          <w:i/>
          <w:iCs/>
        </w:rPr>
        <w:t>20</w:t>
      </w:r>
      <w:r w:rsidRPr="00846308">
        <w:rPr>
          <w:rFonts w:ascii="Times New Roman" w:hAnsi="Times New Roman" w:cs="Times New Roman"/>
        </w:rPr>
        <w:t>(3), e0316949. https://doi.org/10.1371/journal.pone.0316949</w:t>
      </w:r>
    </w:p>
    <w:p w14:paraId="6A15EF4B"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Džidić, A., Živko, I., &amp; Čolak, A. (2022). Macroeconomic Factors of Non-Performing Loans: The Case of Bosnia and Herzegovina. </w:t>
      </w:r>
      <w:r w:rsidRPr="00846308">
        <w:rPr>
          <w:rFonts w:ascii="Times New Roman" w:hAnsi="Times New Roman" w:cs="Times New Roman"/>
          <w:i/>
          <w:iCs/>
        </w:rPr>
        <w:t>Ekonomska Misao I Praksa</w:t>
      </w:r>
      <w:r w:rsidRPr="00846308">
        <w:rPr>
          <w:rFonts w:ascii="Times New Roman" w:hAnsi="Times New Roman" w:cs="Times New Roman"/>
        </w:rPr>
        <w:t xml:space="preserve">, </w:t>
      </w:r>
      <w:r w:rsidRPr="00846308">
        <w:rPr>
          <w:rFonts w:ascii="Times New Roman" w:hAnsi="Times New Roman" w:cs="Times New Roman"/>
          <w:i/>
          <w:iCs/>
        </w:rPr>
        <w:t>31</w:t>
      </w:r>
      <w:r w:rsidRPr="00846308">
        <w:rPr>
          <w:rFonts w:ascii="Times New Roman" w:hAnsi="Times New Roman" w:cs="Times New Roman"/>
        </w:rPr>
        <w:t>(2), 421–438. https://doi.org/10.17818/emip/2022/2.4</w:t>
      </w:r>
    </w:p>
    <w:p w14:paraId="668A02BC"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Eberhardt, M., &amp; Presbitero, A. (2021). Commodity Prices and Banking Crises. </w:t>
      </w:r>
      <w:r w:rsidRPr="00846308">
        <w:rPr>
          <w:rFonts w:ascii="Times New Roman" w:hAnsi="Times New Roman" w:cs="Times New Roman"/>
          <w:i/>
          <w:iCs/>
        </w:rPr>
        <w:t>Journal of International Economics</w:t>
      </w:r>
      <w:r w:rsidRPr="00846308">
        <w:rPr>
          <w:rFonts w:ascii="Times New Roman" w:hAnsi="Times New Roman" w:cs="Times New Roman"/>
        </w:rPr>
        <w:t xml:space="preserve">, </w:t>
      </w:r>
      <w:r w:rsidRPr="00846308">
        <w:rPr>
          <w:rFonts w:ascii="Times New Roman" w:hAnsi="Times New Roman" w:cs="Times New Roman"/>
          <w:i/>
          <w:iCs/>
        </w:rPr>
        <w:t>131</w:t>
      </w:r>
      <w:r w:rsidRPr="00846308">
        <w:rPr>
          <w:rFonts w:ascii="Times New Roman" w:hAnsi="Times New Roman" w:cs="Times New Roman"/>
        </w:rPr>
        <w:t>, 103474. https://doi.org/10.1016/j.jinteco.2021.103474</w:t>
      </w:r>
    </w:p>
    <w:p w14:paraId="5797D51D"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Effiong, E. L., Esu, G. E., &amp; Chuku, C. (2020). Financial Development and Monetary Policy Effectiveness in Africa. </w:t>
      </w:r>
      <w:r w:rsidRPr="00846308">
        <w:rPr>
          <w:rFonts w:ascii="Times New Roman" w:hAnsi="Times New Roman" w:cs="Times New Roman"/>
          <w:i/>
          <w:iCs/>
        </w:rPr>
        <w:t>Journal of Social and Economic Development</w:t>
      </w:r>
      <w:r w:rsidRPr="00846308">
        <w:rPr>
          <w:rFonts w:ascii="Times New Roman" w:hAnsi="Times New Roman" w:cs="Times New Roman"/>
        </w:rPr>
        <w:t xml:space="preserve">, </w:t>
      </w:r>
      <w:r w:rsidRPr="00846308">
        <w:rPr>
          <w:rFonts w:ascii="Times New Roman" w:hAnsi="Times New Roman" w:cs="Times New Roman"/>
          <w:i/>
          <w:iCs/>
        </w:rPr>
        <w:t>22</w:t>
      </w:r>
      <w:r w:rsidRPr="00846308">
        <w:rPr>
          <w:rFonts w:ascii="Times New Roman" w:hAnsi="Times New Roman" w:cs="Times New Roman"/>
        </w:rPr>
        <w:t>(1), 160–181. https://doi.org/10.1007/s40847-020-00098-x</w:t>
      </w:r>
    </w:p>
    <w:p w14:paraId="76D7AC2C"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Ekananda, M. (2022). Threshold Panel Method for Analysis of the Effect of Banking Investment Allocation on Banking Performance, a Cross Country Studies: Some OECD Countries. </w:t>
      </w:r>
      <w:r w:rsidRPr="00846308">
        <w:rPr>
          <w:rFonts w:ascii="Times New Roman" w:hAnsi="Times New Roman" w:cs="Times New Roman"/>
          <w:i/>
          <w:iCs/>
        </w:rPr>
        <w:t>Jurnal Ekonomi Kuantitatif Terapan</w:t>
      </w:r>
      <w:r w:rsidRPr="00846308">
        <w:rPr>
          <w:rFonts w:ascii="Times New Roman" w:hAnsi="Times New Roman" w:cs="Times New Roman"/>
        </w:rPr>
        <w:t>, 179. https://doi.org/10.24843/jekt.2022.v15.i02.p02</w:t>
      </w:r>
    </w:p>
    <w:p w14:paraId="4AF510BD"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El‐Shagi, M., &amp; Tochkov, K. (2021). Divisia Monetary Aggregates for Russia: Money Demand, GDP Nowcasting, and the Price Puzzle. </w:t>
      </w:r>
      <w:r w:rsidRPr="00846308">
        <w:rPr>
          <w:rFonts w:ascii="Times New Roman" w:hAnsi="Times New Roman" w:cs="Times New Roman"/>
          <w:i/>
          <w:iCs/>
        </w:rPr>
        <w:t>SSRN Electronic Journal</w:t>
      </w:r>
      <w:r w:rsidRPr="00846308">
        <w:rPr>
          <w:rFonts w:ascii="Times New Roman" w:hAnsi="Times New Roman" w:cs="Times New Roman"/>
        </w:rPr>
        <w:t>. https://doi.org/10.2139/ssrn.3888064</w:t>
      </w:r>
    </w:p>
    <w:p w14:paraId="36900D22"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El‐Shagi, M., &amp; Tochkov, K. (2022). Divisia Monetary Aggregates for Russia: Money Demand, GDP Nowcasting and the Price Puzzle. </w:t>
      </w:r>
      <w:r w:rsidRPr="00846308">
        <w:rPr>
          <w:rFonts w:ascii="Times New Roman" w:hAnsi="Times New Roman" w:cs="Times New Roman"/>
          <w:i/>
          <w:iCs/>
        </w:rPr>
        <w:t>Economic Systems</w:t>
      </w:r>
      <w:r w:rsidRPr="00846308">
        <w:rPr>
          <w:rFonts w:ascii="Times New Roman" w:hAnsi="Times New Roman" w:cs="Times New Roman"/>
        </w:rPr>
        <w:t xml:space="preserve">, </w:t>
      </w:r>
      <w:r w:rsidRPr="00846308">
        <w:rPr>
          <w:rFonts w:ascii="Times New Roman" w:hAnsi="Times New Roman" w:cs="Times New Roman"/>
          <w:i/>
          <w:iCs/>
        </w:rPr>
        <w:t>46</w:t>
      </w:r>
      <w:r w:rsidRPr="00846308">
        <w:rPr>
          <w:rFonts w:ascii="Times New Roman" w:hAnsi="Times New Roman" w:cs="Times New Roman"/>
        </w:rPr>
        <w:t>(4), 101054. https://doi.org/10.1016/j.ecosys.2022.101054</w:t>
      </w:r>
    </w:p>
    <w:p w14:paraId="4F54AF76"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Evgenidis, A., &amp; Malliaris, A. G. (2022). Monetary Policy, Financial Shocks and Economic Activity. </w:t>
      </w:r>
      <w:r w:rsidRPr="00846308">
        <w:rPr>
          <w:rFonts w:ascii="Times New Roman" w:hAnsi="Times New Roman" w:cs="Times New Roman"/>
          <w:i/>
          <w:iCs/>
        </w:rPr>
        <w:t>Review of Quantitative Finance and Accounting</w:t>
      </w:r>
      <w:r w:rsidRPr="00846308">
        <w:rPr>
          <w:rFonts w:ascii="Times New Roman" w:hAnsi="Times New Roman" w:cs="Times New Roman"/>
        </w:rPr>
        <w:t xml:space="preserve">, </w:t>
      </w:r>
      <w:r w:rsidRPr="00846308">
        <w:rPr>
          <w:rFonts w:ascii="Times New Roman" w:hAnsi="Times New Roman" w:cs="Times New Roman"/>
          <w:i/>
          <w:iCs/>
        </w:rPr>
        <w:t>59</w:t>
      </w:r>
      <w:r w:rsidRPr="00846308">
        <w:rPr>
          <w:rFonts w:ascii="Times New Roman" w:hAnsi="Times New Roman" w:cs="Times New Roman"/>
        </w:rPr>
        <w:t>(2), 429–456. https://doi.org/10.1007/s11156-022-01045-z</w:t>
      </w:r>
    </w:p>
    <w:p w14:paraId="7EDC2119"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Fadol, H. T. A. (2025). </w:t>
      </w:r>
      <w:r w:rsidRPr="00846308">
        <w:rPr>
          <w:rFonts w:ascii="Times New Roman" w:hAnsi="Times New Roman" w:cs="Times New Roman"/>
          <w:i/>
          <w:iCs/>
        </w:rPr>
        <w:t>Inflation-Targeting vs. Non-Inflation-Targeting Regimes and Macroeconomic Performance in Africa: Evidence From Econometrics Approaches</w:t>
      </w:r>
      <w:r w:rsidRPr="00846308">
        <w:rPr>
          <w:rFonts w:ascii="Times New Roman" w:hAnsi="Times New Roman" w:cs="Times New Roman"/>
        </w:rPr>
        <w:t>. https://doi.org/10.21203/rs.3.rs-7502485/v1</w:t>
      </w:r>
    </w:p>
    <w:p w14:paraId="5DEEB71D"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Fatin Nur Hidayah Taib Khan, Malim, N. A. K., &amp; Masron, T. A. (2024). The Role of Activity Restrictions on Financial Intermediation Costs in ASEAN Countries. </w:t>
      </w:r>
      <w:r w:rsidRPr="00846308">
        <w:rPr>
          <w:rFonts w:ascii="Times New Roman" w:hAnsi="Times New Roman" w:cs="Times New Roman"/>
          <w:i/>
          <w:iCs/>
        </w:rPr>
        <w:t>Journal of Financial Regulation and Compliance</w:t>
      </w:r>
      <w:r w:rsidRPr="00846308">
        <w:rPr>
          <w:rFonts w:ascii="Times New Roman" w:hAnsi="Times New Roman" w:cs="Times New Roman"/>
        </w:rPr>
        <w:t xml:space="preserve">, </w:t>
      </w:r>
      <w:r w:rsidRPr="00846308">
        <w:rPr>
          <w:rFonts w:ascii="Times New Roman" w:hAnsi="Times New Roman" w:cs="Times New Roman"/>
          <w:i/>
          <w:iCs/>
        </w:rPr>
        <w:t>33</w:t>
      </w:r>
      <w:r w:rsidRPr="00846308">
        <w:rPr>
          <w:rFonts w:ascii="Times New Roman" w:hAnsi="Times New Roman" w:cs="Times New Roman"/>
        </w:rPr>
        <w:t>(1), 109–128. https://doi.org/10.1108/jfrc-03-2024-0053</w:t>
      </w:r>
    </w:p>
    <w:p w14:paraId="29F3B744"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lastRenderedPageBreak/>
        <w:t xml:space="preserve">Fombang, M., &amp; Wanzala, R. W. (2023). Mozambican Commercial Bank Liquidity and Its Determinants. </w:t>
      </w:r>
      <w:r w:rsidRPr="00846308">
        <w:rPr>
          <w:rFonts w:ascii="Times New Roman" w:hAnsi="Times New Roman" w:cs="Times New Roman"/>
          <w:i/>
          <w:iCs/>
        </w:rPr>
        <w:t>Eureka Social and Humanities</w:t>
      </w:r>
      <w:r w:rsidRPr="00846308">
        <w:rPr>
          <w:rFonts w:ascii="Times New Roman" w:hAnsi="Times New Roman" w:cs="Times New Roman"/>
        </w:rPr>
        <w:t>, (6), 61–72. https://doi.org/10.21303/2504-5571.2023.003245</w:t>
      </w:r>
    </w:p>
    <w:p w14:paraId="05CA7C7B"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Frankema, E. (2024). From the Great Divergence to South–South Divergence: New Comparative Horizons in Global Economic History. </w:t>
      </w:r>
      <w:r w:rsidRPr="00846308">
        <w:rPr>
          <w:rFonts w:ascii="Times New Roman" w:hAnsi="Times New Roman" w:cs="Times New Roman"/>
          <w:i/>
          <w:iCs/>
        </w:rPr>
        <w:t>Journal of Economic Surveys</w:t>
      </w:r>
      <w:r w:rsidRPr="00846308">
        <w:rPr>
          <w:rFonts w:ascii="Times New Roman" w:hAnsi="Times New Roman" w:cs="Times New Roman"/>
        </w:rPr>
        <w:t xml:space="preserve">, </w:t>
      </w:r>
      <w:r w:rsidRPr="00846308">
        <w:rPr>
          <w:rFonts w:ascii="Times New Roman" w:hAnsi="Times New Roman" w:cs="Times New Roman"/>
          <w:i/>
          <w:iCs/>
        </w:rPr>
        <w:t>39</w:t>
      </w:r>
      <w:r w:rsidRPr="00846308">
        <w:rPr>
          <w:rFonts w:ascii="Times New Roman" w:hAnsi="Times New Roman" w:cs="Times New Roman"/>
        </w:rPr>
        <w:t>(2), 517–545. https://doi.org/10.1111/joes.12609</w:t>
      </w:r>
    </w:p>
    <w:p w14:paraId="441626D1"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Furi, T., Mulgeta, W., &amp; Chala, B. W. (2022). Determinants of Financial Instability in Selected &amp;Amp;lt;i&amp;gt;East and Southern African&amp;lt;/I&amp;gt; Countries. </w:t>
      </w:r>
      <w:r w:rsidRPr="00846308">
        <w:rPr>
          <w:rFonts w:ascii="Times New Roman" w:hAnsi="Times New Roman" w:cs="Times New Roman"/>
          <w:i/>
          <w:iCs/>
        </w:rPr>
        <w:t>International Journal of Economics Finance and Management Sciences</w:t>
      </w:r>
      <w:r w:rsidRPr="00846308">
        <w:rPr>
          <w:rFonts w:ascii="Times New Roman" w:hAnsi="Times New Roman" w:cs="Times New Roman"/>
        </w:rPr>
        <w:t xml:space="preserve">, </w:t>
      </w:r>
      <w:r w:rsidRPr="00846308">
        <w:rPr>
          <w:rFonts w:ascii="Times New Roman" w:hAnsi="Times New Roman" w:cs="Times New Roman"/>
          <w:i/>
          <w:iCs/>
        </w:rPr>
        <w:t>10</w:t>
      </w:r>
      <w:r w:rsidRPr="00846308">
        <w:rPr>
          <w:rFonts w:ascii="Times New Roman" w:hAnsi="Times New Roman" w:cs="Times New Roman"/>
        </w:rPr>
        <w:t>(2), 37. https://doi.org/10.11648/j.ijefm.20221002.11</w:t>
      </w:r>
    </w:p>
    <w:p w14:paraId="20DBF93E"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Gabriel, V. J., Lazopoulos, I., &amp; Lima, D. (2022). Institutional Arrangements and Inflation Bias: A Dynamic Heterogeneous Panel Approach. </w:t>
      </w:r>
      <w:r w:rsidRPr="00846308">
        <w:rPr>
          <w:rFonts w:ascii="Times New Roman" w:hAnsi="Times New Roman" w:cs="Times New Roman"/>
          <w:i/>
          <w:iCs/>
        </w:rPr>
        <w:t>Journal of Money Credit and Banking</w:t>
      </w:r>
      <w:r w:rsidRPr="00846308">
        <w:rPr>
          <w:rFonts w:ascii="Times New Roman" w:hAnsi="Times New Roman" w:cs="Times New Roman"/>
        </w:rPr>
        <w:t xml:space="preserve">, </w:t>
      </w:r>
      <w:r w:rsidRPr="00846308">
        <w:rPr>
          <w:rFonts w:ascii="Times New Roman" w:hAnsi="Times New Roman" w:cs="Times New Roman"/>
          <w:i/>
          <w:iCs/>
        </w:rPr>
        <w:t>55</w:t>
      </w:r>
      <w:r w:rsidRPr="00846308">
        <w:rPr>
          <w:rFonts w:ascii="Times New Roman" w:hAnsi="Times New Roman" w:cs="Times New Roman"/>
        </w:rPr>
        <w:t>(1), 43–76. https://doi.org/10.1111/jmcb.12935</w:t>
      </w:r>
    </w:p>
    <w:p w14:paraId="31F586C8"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Goyal, S., Singhal, N., Prosad, J. M., &amp; Mishra, N. (2023). Impact of Institutional Environment on Banks’ Non-Performing Loans: Evidence From BRICS Countries. </w:t>
      </w:r>
      <w:r w:rsidRPr="00846308">
        <w:rPr>
          <w:rFonts w:ascii="Times New Roman" w:hAnsi="Times New Roman" w:cs="Times New Roman"/>
          <w:i/>
          <w:iCs/>
        </w:rPr>
        <w:t>Finance Theory and Practice</w:t>
      </w:r>
      <w:r w:rsidRPr="00846308">
        <w:rPr>
          <w:rFonts w:ascii="Times New Roman" w:hAnsi="Times New Roman" w:cs="Times New Roman"/>
        </w:rPr>
        <w:t xml:space="preserve">, </w:t>
      </w:r>
      <w:r w:rsidRPr="00846308">
        <w:rPr>
          <w:rFonts w:ascii="Times New Roman" w:hAnsi="Times New Roman" w:cs="Times New Roman"/>
          <w:i/>
          <w:iCs/>
        </w:rPr>
        <w:t>27</w:t>
      </w:r>
      <w:r w:rsidRPr="00846308">
        <w:rPr>
          <w:rFonts w:ascii="Times New Roman" w:hAnsi="Times New Roman" w:cs="Times New Roman"/>
        </w:rPr>
        <w:t>(6), 67–78. https://doi.org/10.26794/2587-5671-2023-27-6-67-78</w:t>
      </w:r>
    </w:p>
    <w:p w14:paraId="33407688"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Haile, M. A., Jayamohan, M. K., &amp; Mulugeta, W. (2025). Does Regulatory Convergence Shape Banking Resilience in Africa? </w:t>
      </w:r>
      <w:r w:rsidRPr="00846308">
        <w:rPr>
          <w:rFonts w:ascii="Times New Roman" w:hAnsi="Times New Roman" w:cs="Times New Roman"/>
          <w:i/>
          <w:iCs/>
        </w:rPr>
        <w:t>Heliyon</w:t>
      </w:r>
      <w:r w:rsidRPr="00846308">
        <w:rPr>
          <w:rFonts w:ascii="Times New Roman" w:hAnsi="Times New Roman" w:cs="Times New Roman"/>
        </w:rPr>
        <w:t xml:space="preserve">, </w:t>
      </w:r>
      <w:r w:rsidRPr="00846308">
        <w:rPr>
          <w:rFonts w:ascii="Times New Roman" w:hAnsi="Times New Roman" w:cs="Times New Roman"/>
          <w:i/>
          <w:iCs/>
        </w:rPr>
        <w:t>11</w:t>
      </w:r>
      <w:r w:rsidRPr="00846308">
        <w:rPr>
          <w:rFonts w:ascii="Times New Roman" w:hAnsi="Times New Roman" w:cs="Times New Roman"/>
        </w:rPr>
        <w:t>(1), e41347. https://doi.org/10.1016/j.heliyon.2024.e41347</w:t>
      </w:r>
    </w:p>
    <w:p w14:paraId="4B100B02"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Hanif, M., Chaker, M. N., &amp; Sabah, A. (2024). Islamic Finance and Economic Growth: Global Evidence. </w:t>
      </w:r>
      <w:r w:rsidRPr="00846308">
        <w:rPr>
          <w:rFonts w:ascii="Times New Roman" w:hAnsi="Times New Roman" w:cs="Times New Roman"/>
          <w:i/>
          <w:iCs/>
        </w:rPr>
        <w:t>Digest of Middle East Studies</w:t>
      </w:r>
      <w:r w:rsidRPr="00846308">
        <w:rPr>
          <w:rFonts w:ascii="Times New Roman" w:hAnsi="Times New Roman" w:cs="Times New Roman"/>
        </w:rPr>
        <w:t xml:space="preserve">, </w:t>
      </w:r>
      <w:r w:rsidRPr="00846308">
        <w:rPr>
          <w:rFonts w:ascii="Times New Roman" w:hAnsi="Times New Roman" w:cs="Times New Roman"/>
          <w:i/>
          <w:iCs/>
        </w:rPr>
        <w:t>33</w:t>
      </w:r>
      <w:r w:rsidRPr="00846308">
        <w:rPr>
          <w:rFonts w:ascii="Times New Roman" w:hAnsi="Times New Roman" w:cs="Times New Roman"/>
        </w:rPr>
        <w:t>(1), 83–102. https://doi.org/10.1111/dome.12313</w:t>
      </w:r>
    </w:p>
    <w:p w14:paraId="41833021"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Hasan, R., &amp; Ashfaq, M. (2021). Corruption and Its Diverse Effect on Credit Risk: Global Evidence. </w:t>
      </w:r>
      <w:r w:rsidRPr="00846308">
        <w:rPr>
          <w:rFonts w:ascii="Times New Roman" w:hAnsi="Times New Roman" w:cs="Times New Roman"/>
          <w:i/>
          <w:iCs/>
        </w:rPr>
        <w:t>Future Business Journal</w:t>
      </w:r>
      <w:r w:rsidRPr="00846308">
        <w:rPr>
          <w:rFonts w:ascii="Times New Roman" w:hAnsi="Times New Roman" w:cs="Times New Roman"/>
        </w:rPr>
        <w:t xml:space="preserve">, </w:t>
      </w:r>
      <w:r w:rsidRPr="00846308">
        <w:rPr>
          <w:rFonts w:ascii="Times New Roman" w:hAnsi="Times New Roman" w:cs="Times New Roman"/>
          <w:i/>
          <w:iCs/>
        </w:rPr>
        <w:t>7</w:t>
      </w:r>
      <w:r w:rsidRPr="00846308">
        <w:rPr>
          <w:rFonts w:ascii="Times New Roman" w:hAnsi="Times New Roman" w:cs="Times New Roman"/>
        </w:rPr>
        <w:t>(1). https://doi.org/10.1186/s43093-021-00060-1</w:t>
      </w:r>
    </w:p>
    <w:p w14:paraId="60DA4B1C"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Huh, S., &amp; Kim, I. (2025). Financial Frictions, Monetary Policy, and the Term Premium. </w:t>
      </w:r>
      <w:r w:rsidRPr="00846308">
        <w:rPr>
          <w:rFonts w:ascii="Times New Roman" w:hAnsi="Times New Roman" w:cs="Times New Roman"/>
          <w:i/>
          <w:iCs/>
        </w:rPr>
        <w:t>Macroeconomic Dynamics</w:t>
      </w:r>
      <w:r w:rsidRPr="00846308">
        <w:rPr>
          <w:rFonts w:ascii="Times New Roman" w:hAnsi="Times New Roman" w:cs="Times New Roman"/>
        </w:rPr>
        <w:t xml:space="preserve">, </w:t>
      </w:r>
      <w:r w:rsidRPr="00846308">
        <w:rPr>
          <w:rFonts w:ascii="Times New Roman" w:hAnsi="Times New Roman" w:cs="Times New Roman"/>
          <w:i/>
          <w:iCs/>
        </w:rPr>
        <w:t>29</w:t>
      </w:r>
      <w:r w:rsidRPr="00846308">
        <w:rPr>
          <w:rFonts w:ascii="Times New Roman" w:hAnsi="Times New Roman" w:cs="Times New Roman"/>
        </w:rPr>
        <w:t>. https://doi.org/10.1017/s1365100524000713</w:t>
      </w:r>
    </w:p>
    <w:p w14:paraId="31806B4E"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Ibrahim, R. L., Yu, Z., Hassan, S., Ajide, K. B., Tanveer, M., &amp; Khan, A. R. (2022). Trade Facilitation and Agriculture Sector Performance in Sub-Saharan Africa: Insightful Policy Implications for Economic Sustainability. </w:t>
      </w:r>
      <w:r w:rsidRPr="00846308">
        <w:rPr>
          <w:rFonts w:ascii="Times New Roman" w:hAnsi="Times New Roman" w:cs="Times New Roman"/>
          <w:i/>
          <w:iCs/>
        </w:rPr>
        <w:t>Frontiers in Environmental Science</w:t>
      </w:r>
      <w:r w:rsidRPr="00846308">
        <w:rPr>
          <w:rFonts w:ascii="Times New Roman" w:hAnsi="Times New Roman" w:cs="Times New Roman"/>
        </w:rPr>
        <w:t xml:space="preserve">, </w:t>
      </w:r>
      <w:r w:rsidRPr="00846308">
        <w:rPr>
          <w:rFonts w:ascii="Times New Roman" w:hAnsi="Times New Roman" w:cs="Times New Roman"/>
          <w:i/>
          <w:iCs/>
        </w:rPr>
        <w:t>10</w:t>
      </w:r>
      <w:r w:rsidRPr="00846308">
        <w:rPr>
          <w:rFonts w:ascii="Times New Roman" w:hAnsi="Times New Roman" w:cs="Times New Roman"/>
        </w:rPr>
        <w:t>. https://doi.org/10.3389/fenvs.2022.962838</w:t>
      </w:r>
    </w:p>
    <w:p w14:paraId="26A16C06"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Iheonu, C. O. (2025). Energy Price Inflation and Real Output Nexus in Selected Sub‐Saharan African Economies. </w:t>
      </w:r>
      <w:r w:rsidRPr="00846308">
        <w:rPr>
          <w:rFonts w:ascii="Times New Roman" w:hAnsi="Times New Roman" w:cs="Times New Roman"/>
          <w:i/>
          <w:iCs/>
        </w:rPr>
        <w:t>World Affairs</w:t>
      </w:r>
      <w:r w:rsidRPr="00846308">
        <w:rPr>
          <w:rFonts w:ascii="Times New Roman" w:hAnsi="Times New Roman" w:cs="Times New Roman"/>
        </w:rPr>
        <w:t xml:space="preserve">, </w:t>
      </w:r>
      <w:r w:rsidRPr="00846308">
        <w:rPr>
          <w:rFonts w:ascii="Times New Roman" w:hAnsi="Times New Roman" w:cs="Times New Roman"/>
          <w:i/>
          <w:iCs/>
        </w:rPr>
        <w:t>188</w:t>
      </w:r>
      <w:r w:rsidRPr="00846308">
        <w:rPr>
          <w:rFonts w:ascii="Times New Roman" w:hAnsi="Times New Roman" w:cs="Times New Roman"/>
        </w:rPr>
        <w:t>(4). https://doi.org/10.1002/waf2.70028</w:t>
      </w:r>
    </w:p>
    <w:p w14:paraId="19B9F01C"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Ikpesu, F. (2024). Unraveling the Dynamics: Macroeconomic Drivers Of equity market Development In Sub-Saharan Africa. </w:t>
      </w:r>
      <w:r w:rsidRPr="00846308">
        <w:rPr>
          <w:rFonts w:ascii="Times New Roman" w:hAnsi="Times New Roman" w:cs="Times New Roman"/>
          <w:i/>
          <w:iCs/>
        </w:rPr>
        <w:t>International Journal of Social Economics</w:t>
      </w:r>
      <w:r w:rsidRPr="00846308">
        <w:rPr>
          <w:rFonts w:ascii="Times New Roman" w:hAnsi="Times New Roman" w:cs="Times New Roman"/>
        </w:rPr>
        <w:t xml:space="preserve">, </w:t>
      </w:r>
      <w:r w:rsidRPr="00846308">
        <w:rPr>
          <w:rFonts w:ascii="Times New Roman" w:hAnsi="Times New Roman" w:cs="Times New Roman"/>
          <w:i/>
          <w:iCs/>
        </w:rPr>
        <w:t>52</w:t>
      </w:r>
      <w:r w:rsidRPr="00846308">
        <w:rPr>
          <w:rFonts w:ascii="Times New Roman" w:hAnsi="Times New Roman" w:cs="Times New Roman"/>
        </w:rPr>
        <w:t>(2), 253–264. https://doi.org/10.1108/ijse-01-2024-0005</w:t>
      </w:r>
    </w:p>
    <w:p w14:paraId="0D3D120E"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lastRenderedPageBreak/>
        <w:t xml:space="preserve">Jordà, Ò., Richter, B., Schularick, M., &amp; Taylor, A. M. (2020). Bank Capital Redux: Solvency, Liquidity, and Crisis. </w:t>
      </w:r>
      <w:r w:rsidRPr="00846308">
        <w:rPr>
          <w:rFonts w:ascii="Times New Roman" w:hAnsi="Times New Roman" w:cs="Times New Roman"/>
          <w:i/>
          <w:iCs/>
        </w:rPr>
        <w:t>The Review of Economic Studies</w:t>
      </w:r>
      <w:r w:rsidRPr="00846308">
        <w:rPr>
          <w:rFonts w:ascii="Times New Roman" w:hAnsi="Times New Roman" w:cs="Times New Roman"/>
        </w:rPr>
        <w:t xml:space="preserve">, </w:t>
      </w:r>
      <w:r w:rsidRPr="00846308">
        <w:rPr>
          <w:rFonts w:ascii="Times New Roman" w:hAnsi="Times New Roman" w:cs="Times New Roman"/>
          <w:i/>
          <w:iCs/>
        </w:rPr>
        <w:t>88</w:t>
      </w:r>
      <w:r w:rsidRPr="00846308">
        <w:rPr>
          <w:rFonts w:ascii="Times New Roman" w:hAnsi="Times New Roman" w:cs="Times New Roman"/>
        </w:rPr>
        <w:t>(1), 260–286. https://doi.org/10.1093/restud/rdaa040</w:t>
      </w:r>
    </w:p>
    <w:p w14:paraId="7AEA592E"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Kanapiyanova, K. B., Faizulayev, A., Рузанов, Р. М., Ejdys, J., Kulumbetova, D. B., &amp; Elbadri, M. (2022). Does Social and Governmental Responsibility Matter for Financial Stability and Bank Profitability? Evidence From Commercial and Islamic Banks. </w:t>
      </w:r>
      <w:r w:rsidRPr="00846308">
        <w:rPr>
          <w:rFonts w:ascii="Times New Roman" w:hAnsi="Times New Roman" w:cs="Times New Roman"/>
          <w:i/>
          <w:iCs/>
        </w:rPr>
        <w:t>Journal of Islamic Accounting and Business Research</w:t>
      </w:r>
      <w:r w:rsidRPr="00846308">
        <w:rPr>
          <w:rFonts w:ascii="Times New Roman" w:hAnsi="Times New Roman" w:cs="Times New Roman"/>
        </w:rPr>
        <w:t xml:space="preserve">, </w:t>
      </w:r>
      <w:r w:rsidRPr="00846308">
        <w:rPr>
          <w:rFonts w:ascii="Times New Roman" w:hAnsi="Times New Roman" w:cs="Times New Roman"/>
          <w:i/>
          <w:iCs/>
        </w:rPr>
        <w:t>14</w:t>
      </w:r>
      <w:r w:rsidRPr="00846308">
        <w:rPr>
          <w:rFonts w:ascii="Times New Roman" w:hAnsi="Times New Roman" w:cs="Times New Roman"/>
        </w:rPr>
        <w:t>(3), 451–472. https://doi.org/10.1108/jiabr-01-2022-0004</w:t>
      </w:r>
    </w:p>
    <w:p w14:paraId="0B6C3F76"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Kapaya, S. (2023). Government Expenditure Impacts on Financial Development: Do population Age Structures Moderations Matter? </w:t>
      </w:r>
      <w:r w:rsidRPr="00846308">
        <w:rPr>
          <w:rFonts w:ascii="Times New Roman" w:hAnsi="Times New Roman" w:cs="Times New Roman"/>
          <w:i/>
          <w:iCs/>
        </w:rPr>
        <w:t>Review of Economics and Political Science</w:t>
      </w:r>
      <w:r w:rsidRPr="00846308">
        <w:rPr>
          <w:rFonts w:ascii="Times New Roman" w:hAnsi="Times New Roman" w:cs="Times New Roman"/>
        </w:rPr>
        <w:t xml:space="preserve">, </w:t>
      </w:r>
      <w:r w:rsidRPr="00846308">
        <w:rPr>
          <w:rFonts w:ascii="Times New Roman" w:hAnsi="Times New Roman" w:cs="Times New Roman"/>
          <w:i/>
          <w:iCs/>
        </w:rPr>
        <w:t>8</w:t>
      </w:r>
      <w:r w:rsidRPr="00846308">
        <w:rPr>
          <w:rFonts w:ascii="Times New Roman" w:hAnsi="Times New Roman" w:cs="Times New Roman"/>
        </w:rPr>
        <w:t>(5), 330–352. https://doi.org/10.1108/reps-01-2023-0008</w:t>
      </w:r>
    </w:p>
    <w:p w14:paraId="52CB4E2F"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Karadam, D. Y., &amp; Öcal, N. (2020). Analysis of Distinct Asymmetries in Financial integration‐growth Nexus for Industrial, Emerging and Developing Countries. </w:t>
      </w:r>
      <w:r w:rsidRPr="00846308">
        <w:rPr>
          <w:rFonts w:ascii="Times New Roman" w:hAnsi="Times New Roman" w:cs="Times New Roman"/>
          <w:i/>
          <w:iCs/>
        </w:rPr>
        <w:t>International Journal of Finance &amp; Economics</w:t>
      </w:r>
      <w:r w:rsidRPr="00846308">
        <w:rPr>
          <w:rFonts w:ascii="Times New Roman" w:hAnsi="Times New Roman" w:cs="Times New Roman"/>
        </w:rPr>
        <w:t xml:space="preserve">, </w:t>
      </w:r>
      <w:r w:rsidRPr="00846308">
        <w:rPr>
          <w:rFonts w:ascii="Times New Roman" w:hAnsi="Times New Roman" w:cs="Times New Roman"/>
          <w:i/>
          <w:iCs/>
        </w:rPr>
        <w:t>27</w:t>
      </w:r>
      <w:r w:rsidRPr="00846308">
        <w:rPr>
          <w:rFonts w:ascii="Times New Roman" w:hAnsi="Times New Roman" w:cs="Times New Roman"/>
        </w:rPr>
        <w:t>(2), 2326–2344. https://doi.org/10.1002/ijfe.2275</w:t>
      </w:r>
    </w:p>
    <w:p w14:paraId="5C834361"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Keefe, H. G. (2020). The Impact of Exchange Rate Volatility on Inflation Targeting Monetary Policy in Emerging and Advanced Economies. </w:t>
      </w:r>
      <w:r w:rsidRPr="00846308">
        <w:rPr>
          <w:rFonts w:ascii="Times New Roman" w:hAnsi="Times New Roman" w:cs="Times New Roman"/>
          <w:i/>
          <w:iCs/>
        </w:rPr>
        <w:t>International Finance</w:t>
      </w:r>
      <w:r w:rsidRPr="00846308">
        <w:rPr>
          <w:rFonts w:ascii="Times New Roman" w:hAnsi="Times New Roman" w:cs="Times New Roman"/>
        </w:rPr>
        <w:t xml:space="preserve">, </w:t>
      </w:r>
      <w:r w:rsidRPr="00846308">
        <w:rPr>
          <w:rFonts w:ascii="Times New Roman" w:hAnsi="Times New Roman" w:cs="Times New Roman"/>
          <w:i/>
          <w:iCs/>
        </w:rPr>
        <w:t>23</w:t>
      </w:r>
      <w:r w:rsidRPr="00846308">
        <w:rPr>
          <w:rFonts w:ascii="Times New Roman" w:hAnsi="Times New Roman" w:cs="Times New Roman"/>
        </w:rPr>
        <w:t>(3), 417–433. https://doi.org/10.1111/infi.12368</w:t>
      </w:r>
    </w:p>
    <w:p w14:paraId="32BCC611"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Khan, A. B., Fareed, M., Salameh, A. A., &amp; Hussain, H. (2021). Financial Innovation, Sustainable Economic Growth, and Credit Risk: A Case of the ASEAN Banking Sector. </w:t>
      </w:r>
      <w:r w:rsidRPr="00846308">
        <w:rPr>
          <w:rFonts w:ascii="Times New Roman" w:hAnsi="Times New Roman" w:cs="Times New Roman"/>
          <w:i/>
          <w:iCs/>
        </w:rPr>
        <w:t>Frontiers in Environmental Science</w:t>
      </w:r>
      <w:r w:rsidRPr="00846308">
        <w:rPr>
          <w:rFonts w:ascii="Times New Roman" w:hAnsi="Times New Roman" w:cs="Times New Roman"/>
        </w:rPr>
        <w:t xml:space="preserve">, </w:t>
      </w:r>
      <w:r w:rsidRPr="00846308">
        <w:rPr>
          <w:rFonts w:ascii="Times New Roman" w:hAnsi="Times New Roman" w:cs="Times New Roman"/>
          <w:i/>
          <w:iCs/>
        </w:rPr>
        <w:t>9</w:t>
      </w:r>
      <w:r w:rsidRPr="00846308">
        <w:rPr>
          <w:rFonts w:ascii="Times New Roman" w:hAnsi="Times New Roman" w:cs="Times New Roman"/>
        </w:rPr>
        <w:t>. https://doi.org/10.3389/fenvs.2021.729922</w:t>
      </w:r>
    </w:p>
    <w:p w14:paraId="0F074E40"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Khouangvichit, C. (2024). </w:t>
      </w:r>
      <w:r w:rsidRPr="00846308">
        <w:rPr>
          <w:rFonts w:ascii="Times New Roman" w:hAnsi="Times New Roman" w:cs="Times New Roman"/>
          <w:i/>
          <w:iCs/>
        </w:rPr>
        <w:t>The Relationship Between Macroeconomic Factors and Non-Performing Loans (NPLs) in Lao PDR</w:t>
      </w:r>
      <w:r w:rsidRPr="00846308">
        <w:rPr>
          <w:rFonts w:ascii="Times New Roman" w:hAnsi="Times New Roman" w:cs="Times New Roman"/>
        </w:rPr>
        <w:t>. 154–173. https://doi.org/10.14232/gtk.gdtgiss.2024.10</w:t>
      </w:r>
    </w:p>
    <w:p w14:paraId="26519916"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Kozarić, K., &amp; Dželihodžić, E. Ž. (2020). Effects of Macroeconomic Environment on Non-Performing Loans and Financial Stability: Case of Bosnia and Herzegovina. </w:t>
      </w:r>
      <w:r w:rsidRPr="00846308">
        <w:rPr>
          <w:rFonts w:ascii="Times New Roman" w:hAnsi="Times New Roman" w:cs="Times New Roman"/>
          <w:i/>
          <w:iCs/>
        </w:rPr>
        <w:t>Journal of Central Banking Theory and Practice</w:t>
      </w:r>
      <w:r w:rsidRPr="00846308">
        <w:rPr>
          <w:rFonts w:ascii="Times New Roman" w:hAnsi="Times New Roman" w:cs="Times New Roman"/>
        </w:rPr>
        <w:t xml:space="preserve">, </w:t>
      </w:r>
      <w:r w:rsidRPr="00846308">
        <w:rPr>
          <w:rFonts w:ascii="Times New Roman" w:hAnsi="Times New Roman" w:cs="Times New Roman"/>
          <w:i/>
          <w:iCs/>
        </w:rPr>
        <w:t>9</w:t>
      </w:r>
      <w:r w:rsidRPr="00846308">
        <w:rPr>
          <w:rFonts w:ascii="Times New Roman" w:hAnsi="Times New Roman" w:cs="Times New Roman"/>
        </w:rPr>
        <w:t>(2), 5–17. https://doi.org/10.2478/jcbtp-2020-0011</w:t>
      </w:r>
    </w:p>
    <w:p w14:paraId="236A9E6F"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Kulu, E., &amp; Osei, B. (2023). Drivers of Financial Stability Gap: Evidence From Sub-Saharan Africa. </w:t>
      </w:r>
      <w:r w:rsidRPr="00846308">
        <w:rPr>
          <w:rFonts w:ascii="Times New Roman" w:hAnsi="Times New Roman" w:cs="Times New Roman"/>
          <w:i/>
          <w:iCs/>
        </w:rPr>
        <w:t>Journal of Financial Economic Policy</w:t>
      </w:r>
      <w:r w:rsidRPr="00846308">
        <w:rPr>
          <w:rFonts w:ascii="Times New Roman" w:hAnsi="Times New Roman" w:cs="Times New Roman"/>
        </w:rPr>
        <w:t xml:space="preserve">, </w:t>
      </w:r>
      <w:r w:rsidRPr="00846308">
        <w:rPr>
          <w:rFonts w:ascii="Times New Roman" w:hAnsi="Times New Roman" w:cs="Times New Roman"/>
          <w:i/>
          <w:iCs/>
        </w:rPr>
        <w:t>16</w:t>
      </w:r>
      <w:r w:rsidRPr="00846308">
        <w:rPr>
          <w:rFonts w:ascii="Times New Roman" w:hAnsi="Times New Roman" w:cs="Times New Roman"/>
        </w:rPr>
        <w:t>(1), 19–33. https://doi.org/10.1108/jfep-07-2023-0184</w:t>
      </w:r>
    </w:p>
    <w:p w14:paraId="4C4CE011"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Kuti, A. O., Aderogba, T. A., Ezenwa, N. J., &amp; Quadri, R. A. (2023). Catalysts of Economic Welfare in Africa: A Cross-Sectional Autoregressive Distributed Lag Approach. </w:t>
      </w:r>
      <w:r w:rsidRPr="00846308">
        <w:rPr>
          <w:rFonts w:ascii="Times New Roman" w:hAnsi="Times New Roman" w:cs="Times New Roman"/>
          <w:i/>
          <w:iCs/>
        </w:rPr>
        <w:t>Acta Universitatis Sapientiae Economics and Business</w:t>
      </w:r>
      <w:r w:rsidRPr="00846308">
        <w:rPr>
          <w:rFonts w:ascii="Times New Roman" w:hAnsi="Times New Roman" w:cs="Times New Roman"/>
        </w:rPr>
        <w:t xml:space="preserve">, </w:t>
      </w:r>
      <w:r w:rsidRPr="00846308">
        <w:rPr>
          <w:rFonts w:ascii="Times New Roman" w:hAnsi="Times New Roman" w:cs="Times New Roman"/>
          <w:i/>
          <w:iCs/>
        </w:rPr>
        <w:t>11</w:t>
      </w:r>
      <w:r w:rsidRPr="00846308">
        <w:rPr>
          <w:rFonts w:ascii="Times New Roman" w:hAnsi="Times New Roman" w:cs="Times New Roman"/>
        </w:rPr>
        <w:t>(1), 18–41. https://doi.org/10.2478/auseb-2023-0002</w:t>
      </w:r>
    </w:p>
    <w:p w14:paraId="3C3CBA8D"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Kuvshinov, D., Richter, B., &amp; Zimmermann, K. (2021). The Shifts and the Shocks: Bank Risk, Leverage, and the Macroeconomy. </w:t>
      </w:r>
      <w:r w:rsidRPr="00846308">
        <w:rPr>
          <w:rFonts w:ascii="Times New Roman" w:hAnsi="Times New Roman" w:cs="Times New Roman"/>
          <w:i/>
          <w:iCs/>
        </w:rPr>
        <w:t>SSRN Electronic Journal</w:t>
      </w:r>
      <w:r w:rsidRPr="00846308">
        <w:rPr>
          <w:rFonts w:ascii="Times New Roman" w:hAnsi="Times New Roman" w:cs="Times New Roman"/>
        </w:rPr>
        <w:t>. https://doi.org/10.2139/ssrn.3942472</w:t>
      </w:r>
    </w:p>
    <w:p w14:paraId="00CD8CEA"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Lapid, A. K., Mercado, R., &amp; Rosenkranz, P. (2022). Concentration in Asia’s Cross‐border Banking: Determinants and Impacts. </w:t>
      </w:r>
      <w:r w:rsidRPr="00846308">
        <w:rPr>
          <w:rFonts w:ascii="Times New Roman" w:hAnsi="Times New Roman" w:cs="Times New Roman"/>
          <w:i/>
          <w:iCs/>
        </w:rPr>
        <w:t>Pacific Economic Review</w:t>
      </w:r>
      <w:r w:rsidRPr="00846308">
        <w:rPr>
          <w:rFonts w:ascii="Times New Roman" w:hAnsi="Times New Roman" w:cs="Times New Roman"/>
        </w:rPr>
        <w:t xml:space="preserve">, </w:t>
      </w:r>
      <w:r w:rsidRPr="00846308">
        <w:rPr>
          <w:rFonts w:ascii="Times New Roman" w:hAnsi="Times New Roman" w:cs="Times New Roman"/>
          <w:i/>
          <w:iCs/>
        </w:rPr>
        <w:t>28</w:t>
      </w:r>
      <w:r w:rsidRPr="00846308">
        <w:rPr>
          <w:rFonts w:ascii="Times New Roman" w:hAnsi="Times New Roman" w:cs="Times New Roman"/>
        </w:rPr>
        <w:t>(2), 267–292. https://doi.org/10.1111/1468-0106.12399</w:t>
      </w:r>
    </w:p>
    <w:p w14:paraId="68A3B0BE"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lastRenderedPageBreak/>
        <w:t xml:space="preserve">Lee, J., &amp; Rosenkranz, P. (2020). </w:t>
      </w:r>
      <w:r w:rsidRPr="00846308">
        <w:rPr>
          <w:rFonts w:ascii="Times New Roman" w:hAnsi="Times New Roman" w:cs="Times New Roman"/>
          <w:i/>
          <w:iCs/>
        </w:rPr>
        <w:t>Nonperforming Loans in Asia: Determinants and Macrofinancial Linkages</w:t>
      </w:r>
      <w:r w:rsidRPr="00846308">
        <w:rPr>
          <w:rFonts w:ascii="Times New Roman" w:hAnsi="Times New Roman" w:cs="Times New Roman"/>
        </w:rPr>
        <w:t>. 33–53. https://doi.org/10.1108/s1569-376720200000021003</w:t>
      </w:r>
    </w:p>
    <w:p w14:paraId="6AC04AA7"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Lestari, D., Ma, S., &amp; Jun, A. (2023). Enhancing Bank Stability From Diversification and Digitalization Perspective in ASEAN. </w:t>
      </w:r>
      <w:r w:rsidRPr="00846308">
        <w:rPr>
          <w:rFonts w:ascii="Times New Roman" w:hAnsi="Times New Roman" w:cs="Times New Roman"/>
          <w:i/>
          <w:iCs/>
        </w:rPr>
        <w:t>Studies in Economics and Finance</w:t>
      </w:r>
      <w:r w:rsidRPr="00846308">
        <w:rPr>
          <w:rFonts w:ascii="Times New Roman" w:hAnsi="Times New Roman" w:cs="Times New Roman"/>
        </w:rPr>
        <w:t xml:space="preserve">, </w:t>
      </w:r>
      <w:r w:rsidRPr="00846308">
        <w:rPr>
          <w:rFonts w:ascii="Times New Roman" w:hAnsi="Times New Roman" w:cs="Times New Roman"/>
          <w:i/>
          <w:iCs/>
        </w:rPr>
        <w:t>40</w:t>
      </w:r>
      <w:r w:rsidRPr="00846308">
        <w:rPr>
          <w:rFonts w:ascii="Times New Roman" w:hAnsi="Times New Roman" w:cs="Times New Roman"/>
        </w:rPr>
        <w:t>(4), 606–624. https://doi.org/10.1108/sef-12-2022-0554</w:t>
      </w:r>
    </w:p>
    <w:p w14:paraId="6DFCE7F8"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Libman, E., &amp; Taboada, S. (2021). Sticky Inflationary Expectations and Inflation Targeting in (Some) Emerging and Less Developed Economies. </w:t>
      </w:r>
      <w:r w:rsidRPr="00846308">
        <w:rPr>
          <w:rFonts w:ascii="Times New Roman" w:hAnsi="Times New Roman" w:cs="Times New Roman"/>
          <w:i/>
          <w:iCs/>
        </w:rPr>
        <w:t>Cuadernos De Economía</w:t>
      </w:r>
      <w:r w:rsidRPr="00846308">
        <w:rPr>
          <w:rFonts w:ascii="Times New Roman" w:hAnsi="Times New Roman" w:cs="Times New Roman"/>
        </w:rPr>
        <w:t xml:space="preserve">, </w:t>
      </w:r>
      <w:r w:rsidRPr="00846308">
        <w:rPr>
          <w:rFonts w:ascii="Times New Roman" w:hAnsi="Times New Roman" w:cs="Times New Roman"/>
          <w:i/>
          <w:iCs/>
        </w:rPr>
        <w:t>40</w:t>
      </w:r>
      <w:r w:rsidRPr="00846308">
        <w:rPr>
          <w:rFonts w:ascii="Times New Roman" w:hAnsi="Times New Roman" w:cs="Times New Roman"/>
        </w:rPr>
        <w:t>(82), 83–112. https://doi.org/10.15446/cuadecon.v40n82.79547</w:t>
      </w:r>
    </w:p>
    <w:p w14:paraId="1A5C063D"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Liu, J., &amp; Serletis, A. (2021). The Complex Relationship Between Inflation and Equity Returns. </w:t>
      </w:r>
      <w:r w:rsidRPr="00846308">
        <w:rPr>
          <w:rFonts w:ascii="Times New Roman" w:hAnsi="Times New Roman" w:cs="Times New Roman"/>
          <w:i/>
          <w:iCs/>
        </w:rPr>
        <w:t>Journal of Economic Studies</w:t>
      </w:r>
      <w:r w:rsidRPr="00846308">
        <w:rPr>
          <w:rFonts w:ascii="Times New Roman" w:hAnsi="Times New Roman" w:cs="Times New Roman"/>
        </w:rPr>
        <w:t xml:space="preserve">, </w:t>
      </w:r>
      <w:r w:rsidRPr="00846308">
        <w:rPr>
          <w:rFonts w:ascii="Times New Roman" w:hAnsi="Times New Roman" w:cs="Times New Roman"/>
          <w:i/>
          <w:iCs/>
        </w:rPr>
        <w:t>49</w:t>
      </w:r>
      <w:r w:rsidRPr="00846308">
        <w:rPr>
          <w:rFonts w:ascii="Times New Roman" w:hAnsi="Times New Roman" w:cs="Times New Roman"/>
        </w:rPr>
        <w:t>(1), 159–184. https://doi.org/10.1108/jes-10-2020-0526</w:t>
      </w:r>
    </w:p>
    <w:p w14:paraId="5768106D"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Mabkhot, H., &amp; Al-Wesabi, H. A. H. (2022). Banks’ Financial Stability and Macroeconomic Key Factors in GCC Countries. </w:t>
      </w:r>
      <w:r w:rsidRPr="00846308">
        <w:rPr>
          <w:rFonts w:ascii="Times New Roman" w:hAnsi="Times New Roman" w:cs="Times New Roman"/>
          <w:i/>
          <w:iCs/>
        </w:rPr>
        <w:t>Sustainability</w:t>
      </w:r>
      <w:r w:rsidRPr="00846308">
        <w:rPr>
          <w:rFonts w:ascii="Times New Roman" w:hAnsi="Times New Roman" w:cs="Times New Roman"/>
        </w:rPr>
        <w:t xml:space="preserve">, </w:t>
      </w:r>
      <w:r w:rsidRPr="00846308">
        <w:rPr>
          <w:rFonts w:ascii="Times New Roman" w:hAnsi="Times New Roman" w:cs="Times New Roman"/>
          <w:i/>
          <w:iCs/>
        </w:rPr>
        <w:t>14</w:t>
      </w:r>
      <w:r w:rsidRPr="00846308">
        <w:rPr>
          <w:rFonts w:ascii="Times New Roman" w:hAnsi="Times New Roman" w:cs="Times New Roman"/>
        </w:rPr>
        <w:t>(23), 15999. https://doi.org/10.3390/su142315999</w:t>
      </w:r>
    </w:p>
    <w:p w14:paraId="4E4AFD43"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Malikane, C., &amp; Chomba, H. (2022). Does Institutional Quality Influence Financial Deepening in Selected African Countries? </w:t>
      </w:r>
      <w:r w:rsidRPr="00846308">
        <w:rPr>
          <w:rFonts w:ascii="Times New Roman" w:hAnsi="Times New Roman" w:cs="Times New Roman"/>
          <w:i/>
          <w:iCs/>
        </w:rPr>
        <w:t>International Journal of Scientific and Management Research</w:t>
      </w:r>
      <w:r w:rsidRPr="00846308">
        <w:rPr>
          <w:rFonts w:ascii="Times New Roman" w:hAnsi="Times New Roman" w:cs="Times New Roman"/>
        </w:rPr>
        <w:t xml:space="preserve">, </w:t>
      </w:r>
      <w:r w:rsidRPr="00846308">
        <w:rPr>
          <w:rFonts w:ascii="Times New Roman" w:hAnsi="Times New Roman" w:cs="Times New Roman"/>
          <w:i/>
          <w:iCs/>
        </w:rPr>
        <w:t>05</w:t>
      </w:r>
      <w:r w:rsidRPr="00846308">
        <w:rPr>
          <w:rFonts w:ascii="Times New Roman" w:hAnsi="Times New Roman" w:cs="Times New Roman"/>
        </w:rPr>
        <w:t>(10), 184–206. https://doi.org/10.37502/ijsmr.2022.51013</w:t>
      </w:r>
    </w:p>
    <w:p w14:paraId="2DE2E11C"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Marimuthu, M., Khan, H., &amp; Bangash, R. (2021). Is the Fiscal Deficit of ASEAN Alarming? Evidence From Fiscal Deficit Consequences and Contribution Towards Sustainable Economic Growth. </w:t>
      </w:r>
      <w:r w:rsidRPr="00846308">
        <w:rPr>
          <w:rFonts w:ascii="Times New Roman" w:hAnsi="Times New Roman" w:cs="Times New Roman"/>
          <w:i/>
          <w:iCs/>
        </w:rPr>
        <w:t>Sustainability</w:t>
      </w:r>
      <w:r w:rsidRPr="00846308">
        <w:rPr>
          <w:rFonts w:ascii="Times New Roman" w:hAnsi="Times New Roman" w:cs="Times New Roman"/>
        </w:rPr>
        <w:t xml:space="preserve">, </w:t>
      </w:r>
      <w:r w:rsidRPr="00846308">
        <w:rPr>
          <w:rFonts w:ascii="Times New Roman" w:hAnsi="Times New Roman" w:cs="Times New Roman"/>
          <w:i/>
          <w:iCs/>
        </w:rPr>
        <w:t>13</w:t>
      </w:r>
      <w:r w:rsidRPr="00846308">
        <w:rPr>
          <w:rFonts w:ascii="Times New Roman" w:hAnsi="Times New Roman" w:cs="Times New Roman"/>
        </w:rPr>
        <w:t>(18), 10045. https://doi.org/10.3390/su131810045</w:t>
      </w:r>
    </w:p>
    <w:p w14:paraId="73E2CCFB"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Mendonça, D. J. (2024). The Relationship of Government Effectiveness and Level of Economic Development With Bank Spread in Different Countries. </w:t>
      </w:r>
      <w:r w:rsidRPr="00846308">
        <w:rPr>
          <w:rFonts w:ascii="Times New Roman" w:hAnsi="Times New Roman" w:cs="Times New Roman"/>
          <w:i/>
          <w:iCs/>
        </w:rPr>
        <w:t>Journal of Finance &amp; Economic Research</w:t>
      </w:r>
      <w:r w:rsidRPr="00846308">
        <w:rPr>
          <w:rFonts w:ascii="Times New Roman" w:hAnsi="Times New Roman" w:cs="Times New Roman"/>
        </w:rPr>
        <w:t xml:space="preserve">, </w:t>
      </w:r>
      <w:r w:rsidRPr="00846308">
        <w:rPr>
          <w:rFonts w:ascii="Times New Roman" w:hAnsi="Times New Roman" w:cs="Times New Roman"/>
          <w:i/>
          <w:iCs/>
        </w:rPr>
        <w:t>9</w:t>
      </w:r>
      <w:r w:rsidRPr="00846308">
        <w:rPr>
          <w:rFonts w:ascii="Times New Roman" w:hAnsi="Times New Roman" w:cs="Times New Roman"/>
        </w:rPr>
        <w:t>(1), 27–48. https://doi.org/10.20547/jfer2409103</w:t>
      </w:r>
    </w:p>
    <w:p w14:paraId="5EDEA2E8"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Misztal, P. (2022). Communication of Central Banks as a Determinant of Credibility and Effectiveness of Monetary Policy. </w:t>
      </w:r>
      <w:r w:rsidRPr="00846308">
        <w:rPr>
          <w:rFonts w:ascii="Times New Roman" w:hAnsi="Times New Roman" w:cs="Times New Roman"/>
          <w:i/>
          <w:iCs/>
        </w:rPr>
        <w:t>European Research Studies Journal</w:t>
      </w:r>
      <w:r w:rsidRPr="00846308">
        <w:rPr>
          <w:rFonts w:ascii="Times New Roman" w:hAnsi="Times New Roman" w:cs="Times New Roman"/>
        </w:rPr>
        <w:t xml:space="preserve">, </w:t>
      </w:r>
      <w:r w:rsidRPr="00846308">
        <w:rPr>
          <w:rFonts w:ascii="Times New Roman" w:hAnsi="Times New Roman" w:cs="Times New Roman"/>
          <w:i/>
          <w:iCs/>
        </w:rPr>
        <w:t>XXV</w:t>
      </w:r>
      <w:r w:rsidRPr="00846308">
        <w:rPr>
          <w:rFonts w:ascii="Times New Roman" w:hAnsi="Times New Roman" w:cs="Times New Roman"/>
        </w:rPr>
        <w:t>(Issue 3), 539–554. https://doi.org/10.35808/ersj/3049</w:t>
      </w:r>
    </w:p>
    <w:p w14:paraId="1E1C8383"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Modugu, K. P., &amp; Dempere, J. (2022). Monetary Policies and Bank Lending in Developing Countries: Evidence From Sub-Sahara Africa. </w:t>
      </w:r>
      <w:r w:rsidRPr="00846308">
        <w:rPr>
          <w:rFonts w:ascii="Times New Roman" w:hAnsi="Times New Roman" w:cs="Times New Roman"/>
          <w:i/>
          <w:iCs/>
        </w:rPr>
        <w:t>Journal of Economics and Development</w:t>
      </w:r>
      <w:r w:rsidRPr="00846308">
        <w:rPr>
          <w:rFonts w:ascii="Times New Roman" w:hAnsi="Times New Roman" w:cs="Times New Roman"/>
        </w:rPr>
        <w:t xml:space="preserve">, </w:t>
      </w:r>
      <w:r w:rsidRPr="00846308">
        <w:rPr>
          <w:rFonts w:ascii="Times New Roman" w:hAnsi="Times New Roman" w:cs="Times New Roman"/>
          <w:i/>
          <w:iCs/>
        </w:rPr>
        <w:t>24</w:t>
      </w:r>
      <w:r w:rsidRPr="00846308">
        <w:rPr>
          <w:rFonts w:ascii="Times New Roman" w:hAnsi="Times New Roman" w:cs="Times New Roman"/>
        </w:rPr>
        <w:t>(3), 217–229. https://doi.org/10.1108/jed-09-2021-0144</w:t>
      </w:r>
    </w:p>
    <w:p w14:paraId="46EDFB47"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Montes, G. C., Irineu da Silva Rodrigues Júnior, Bastos, J. C. A., &amp; Batista, L. M. (2022). Effects of Monetary Policy Credibility and the Open Economy Trilemma on Monetary Policy Efficiency. </w:t>
      </w:r>
      <w:r w:rsidRPr="00846308">
        <w:rPr>
          <w:rFonts w:ascii="Times New Roman" w:hAnsi="Times New Roman" w:cs="Times New Roman"/>
          <w:i/>
          <w:iCs/>
        </w:rPr>
        <w:t>International Journal of Finance &amp; Economics</w:t>
      </w:r>
      <w:r w:rsidRPr="00846308">
        <w:rPr>
          <w:rFonts w:ascii="Times New Roman" w:hAnsi="Times New Roman" w:cs="Times New Roman"/>
        </w:rPr>
        <w:t xml:space="preserve">, </w:t>
      </w:r>
      <w:r w:rsidRPr="00846308">
        <w:rPr>
          <w:rFonts w:ascii="Times New Roman" w:hAnsi="Times New Roman" w:cs="Times New Roman"/>
          <w:i/>
          <w:iCs/>
        </w:rPr>
        <w:t>29</w:t>
      </w:r>
      <w:r w:rsidRPr="00846308">
        <w:rPr>
          <w:rFonts w:ascii="Times New Roman" w:hAnsi="Times New Roman" w:cs="Times New Roman"/>
        </w:rPr>
        <w:t>(2), 1236–1258. https://doi.org/10.1002/ijfe.2737</w:t>
      </w:r>
    </w:p>
    <w:p w14:paraId="32CD9F98"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Msomi, T. S. (2022). Factors Affecting Non-Performing Loans in Commercial Banks of Selected West African Countries. </w:t>
      </w:r>
      <w:r w:rsidRPr="00846308">
        <w:rPr>
          <w:rFonts w:ascii="Times New Roman" w:hAnsi="Times New Roman" w:cs="Times New Roman"/>
          <w:i/>
          <w:iCs/>
        </w:rPr>
        <w:t>Banks and Bank Systems</w:t>
      </w:r>
      <w:r w:rsidRPr="00846308">
        <w:rPr>
          <w:rFonts w:ascii="Times New Roman" w:hAnsi="Times New Roman" w:cs="Times New Roman"/>
        </w:rPr>
        <w:t xml:space="preserve">, </w:t>
      </w:r>
      <w:r w:rsidRPr="00846308">
        <w:rPr>
          <w:rFonts w:ascii="Times New Roman" w:hAnsi="Times New Roman" w:cs="Times New Roman"/>
          <w:i/>
          <w:iCs/>
        </w:rPr>
        <w:t>17</w:t>
      </w:r>
      <w:r w:rsidRPr="00846308">
        <w:rPr>
          <w:rFonts w:ascii="Times New Roman" w:hAnsi="Times New Roman" w:cs="Times New Roman"/>
        </w:rPr>
        <w:t>(1), 1–12. https://doi.org/10.21511/bbs.17(1).2022.01</w:t>
      </w:r>
    </w:p>
    <w:p w14:paraId="15706B07"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lastRenderedPageBreak/>
        <w:t xml:space="preserve">Muhammed, S., Desalegn, G., Fekete‐Farkas, M., &amp; Bruder, E. (2023). Credit Risk Determinants in Selected Ethiopian Commercial Banks: A Panel Data Analysis. </w:t>
      </w:r>
      <w:r w:rsidRPr="00846308">
        <w:rPr>
          <w:rFonts w:ascii="Times New Roman" w:hAnsi="Times New Roman" w:cs="Times New Roman"/>
          <w:i/>
          <w:iCs/>
        </w:rPr>
        <w:t>Journal of Risk and Financial Management</w:t>
      </w:r>
      <w:r w:rsidRPr="00846308">
        <w:rPr>
          <w:rFonts w:ascii="Times New Roman" w:hAnsi="Times New Roman" w:cs="Times New Roman"/>
        </w:rPr>
        <w:t xml:space="preserve">, </w:t>
      </w:r>
      <w:r w:rsidRPr="00846308">
        <w:rPr>
          <w:rFonts w:ascii="Times New Roman" w:hAnsi="Times New Roman" w:cs="Times New Roman"/>
          <w:i/>
          <w:iCs/>
        </w:rPr>
        <w:t>16</w:t>
      </w:r>
      <w:r w:rsidRPr="00846308">
        <w:rPr>
          <w:rFonts w:ascii="Times New Roman" w:hAnsi="Times New Roman" w:cs="Times New Roman"/>
        </w:rPr>
        <w:t>(9), 406. https://doi.org/10.3390/jrfm16090406</w:t>
      </w:r>
    </w:p>
    <w:p w14:paraId="14C6B919"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Musiita, B., &amp; Kijjambu, F. N. (2024). Intersecting Dynamics: The Influence of Macroeconomic Factors and Financial Development on Interest Rate Spreads in Uganda. </w:t>
      </w:r>
      <w:r w:rsidRPr="00846308">
        <w:rPr>
          <w:rFonts w:ascii="Times New Roman" w:hAnsi="Times New Roman" w:cs="Times New Roman"/>
          <w:i/>
          <w:iCs/>
        </w:rPr>
        <w:t>Journal of Economics and Behavioral Studies</w:t>
      </w:r>
      <w:r w:rsidRPr="00846308">
        <w:rPr>
          <w:rFonts w:ascii="Times New Roman" w:hAnsi="Times New Roman" w:cs="Times New Roman"/>
        </w:rPr>
        <w:t xml:space="preserve">, </w:t>
      </w:r>
      <w:r w:rsidRPr="00846308">
        <w:rPr>
          <w:rFonts w:ascii="Times New Roman" w:hAnsi="Times New Roman" w:cs="Times New Roman"/>
          <w:i/>
          <w:iCs/>
        </w:rPr>
        <w:t>16</w:t>
      </w:r>
      <w:r w:rsidRPr="00846308">
        <w:rPr>
          <w:rFonts w:ascii="Times New Roman" w:hAnsi="Times New Roman" w:cs="Times New Roman"/>
        </w:rPr>
        <w:t>(2(J)), 1–14. https://doi.org/10.22610/jebs.v16i2(j).3832</w:t>
      </w:r>
    </w:p>
    <w:p w14:paraId="26B7A77C"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Nabaweesi, J., Kaawaase, T. K., Buyinza, F., Adaramola, M. S., Namagembe, S., &amp; Nkote, I. (2023). Governance and Modern Renewable Energy Consumption in the East African Community (EAC): A dynamic Panel CS-ARDL Approach. </w:t>
      </w:r>
      <w:r w:rsidRPr="00846308">
        <w:rPr>
          <w:rFonts w:ascii="Times New Roman" w:hAnsi="Times New Roman" w:cs="Times New Roman"/>
          <w:i/>
          <w:iCs/>
        </w:rPr>
        <w:t>Management of Environmental Quality an International Journal</w:t>
      </w:r>
      <w:r w:rsidRPr="00846308">
        <w:rPr>
          <w:rFonts w:ascii="Times New Roman" w:hAnsi="Times New Roman" w:cs="Times New Roman"/>
        </w:rPr>
        <w:t xml:space="preserve">, </w:t>
      </w:r>
      <w:r w:rsidRPr="00846308">
        <w:rPr>
          <w:rFonts w:ascii="Times New Roman" w:hAnsi="Times New Roman" w:cs="Times New Roman"/>
          <w:i/>
          <w:iCs/>
        </w:rPr>
        <w:t>35</w:t>
      </w:r>
      <w:r w:rsidRPr="00846308">
        <w:rPr>
          <w:rFonts w:ascii="Times New Roman" w:hAnsi="Times New Roman" w:cs="Times New Roman"/>
        </w:rPr>
        <w:t>(2), 358–377. https://doi.org/10.1108/meq-05-2023-0152</w:t>
      </w:r>
    </w:p>
    <w:p w14:paraId="6EA10ABF"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Ndulu, B. J., &amp; O’Connell, S. A. (2021). Africa’s Development Debts. </w:t>
      </w:r>
      <w:r w:rsidRPr="00846308">
        <w:rPr>
          <w:rFonts w:ascii="Times New Roman" w:hAnsi="Times New Roman" w:cs="Times New Roman"/>
          <w:i/>
          <w:iCs/>
        </w:rPr>
        <w:t>Journal of African Economies</w:t>
      </w:r>
      <w:r w:rsidRPr="00846308">
        <w:rPr>
          <w:rFonts w:ascii="Times New Roman" w:hAnsi="Times New Roman" w:cs="Times New Roman"/>
        </w:rPr>
        <w:t xml:space="preserve">, </w:t>
      </w:r>
      <w:r w:rsidRPr="00846308">
        <w:rPr>
          <w:rFonts w:ascii="Times New Roman" w:hAnsi="Times New Roman" w:cs="Times New Roman"/>
          <w:i/>
          <w:iCs/>
        </w:rPr>
        <w:t>30</w:t>
      </w:r>
      <w:r w:rsidRPr="00846308">
        <w:rPr>
          <w:rFonts w:ascii="Times New Roman" w:hAnsi="Times New Roman" w:cs="Times New Roman"/>
        </w:rPr>
        <w:t>(Supplement_1), i33–i73. https://doi.org/10.1093/jae/ejab021</w:t>
      </w:r>
    </w:p>
    <w:p w14:paraId="33264543"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Nookhwun, N., &amp; Waiyawatjakorn, R. (2024). Flexible Inflation Targeting and Macroeconomic Performance: Evidence From ASEAN. </w:t>
      </w:r>
      <w:r w:rsidRPr="00846308">
        <w:rPr>
          <w:rFonts w:ascii="Times New Roman" w:hAnsi="Times New Roman" w:cs="Times New Roman"/>
          <w:i/>
          <w:iCs/>
        </w:rPr>
        <w:t>Asian Economic Policy Review</w:t>
      </w:r>
      <w:r w:rsidRPr="00846308">
        <w:rPr>
          <w:rFonts w:ascii="Times New Roman" w:hAnsi="Times New Roman" w:cs="Times New Roman"/>
        </w:rPr>
        <w:t xml:space="preserve">, </w:t>
      </w:r>
      <w:r w:rsidRPr="00846308">
        <w:rPr>
          <w:rFonts w:ascii="Times New Roman" w:hAnsi="Times New Roman" w:cs="Times New Roman"/>
          <w:i/>
          <w:iCs/>
        </w:rPr>
        <w:t>19</w:t>
      </w:r>
      <w:r w:rsidRPr="00846308">
        <w:rPr>
          <w:rFonts w:ascii="Times New Roman" w:hAnsi="Times New Roman" w:cs="Times New Roman"/>
        </w:rPr>
        <w:t>(2), 198–219. https://doi.org/10.1111/aepr.12459</w:t>
      </w:r>
    </w:p>
    <w:p w14:paraId="5E3BE930"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Olamide, E., Kanayo, O., &amp; Maredza, A. (2022). Exchange Rate Volatility, Inflation and Economic Growth in Developing Countries: Panel Data Approach for SADC. </w:t>
      </w:r>
      <w:r w:rsidRPr="00846308">
        <w:rPr>
          <w:rFonts w:ascii="Times New Roman" w:hAnsi="Times New Roman" w:cs="Times New Roman"/>
          <w:i/>
          <w:iCs/>
        </w:rPr>
        <w:t>Economies</w:t>
      </w:r>
      <w:r w:rsidRPr="00846308">
        <w:rPr>
          <w:rFonts w:ascii="Times New Roman" w:hAnsi="Times New Roman" w:cs="Times New Roman"/>
        </w:rPr>
        <w:t xml:space="preserve">, </w:t>
      </w:r>
      <w:r w:rsidRPr="00846308">
        <w:rPr>
          <w:rFonts w:ascii="Times New Roman" w:hAnsi="Times New Roman" w:cs="Times New Roman"/>
          <w:i/>
          <w:iCs/>
        </w:rPr>
        <w:t>10</w:t>
      </w:r>
      <w:r w:rsidRPr="00846308">
        <w:rPr>
          <w:rFonts w:ascii="Times New Roman" w:hAnsi="Times New Roman" w:cs="Times New Roman"/>
        </w:rPr>
        <w:t>(3), 67. https://doi.org/10.3390/economies10030067</w:t>
      </w:r>
    </w:p>
    <w:p w14:paraId="3B6DCC13"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Olarewaju, O. M. (2020). Investigating the Factors Affecting Nonperforming Loans in Commercial Banks: The Case of African Lower Middle‐income Countries. </w:t>
      </w:r>
      <w:r w:rsidRPr="00846308">
        <w:rPr>
          <w:rFonts w:ascii="Times New Roman" w:hAnsi="Times New Roman" w:cs="Times New Roman"/>
          <w:i/>
          <w:iCs/>
        </w:rPr>
        <w:t>African Development Review</w:t>
      </w:r>
      <w:r w:rsidRPr="00846308">
        <w:rPr>
          <w:rFonts w:ascii="Times New Roman" w:hAnsi="Times New Roman" w:cs="Times New Roman"/>
        </w:rPr>
        <w:t xml:space="preserve">, </w:t>
      </w:r>
      <w:r w:rsidRPr="00846308">
        <w:rPr>
          <w:rFonts w:ascii="Times New Roman" w:hAnsi="Times New Roman" w:cs="Times New Roman"/>
          <w:i/>
          <w:iCs/>
        </w:rPr>
        <w:t>32</w:t>
      </w:r>
      <w:r w:rsidRPr="00846308">
        <w:rPr>
          <w:rFonts w:ascii="Times New Roman" w:hAnsi="Times New Roman" w:cs="Times New Roman"/>
        </w:rPr>
        <w:t>(4), 744–757. https://doi.org/10.1111/1467-8268.12475</w:t>
      </w:r>
    </w:p>
    <w:p w14:paraId="7E3AD57B"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Onifade, S. T., Gyamfi, B. A., Haouas, I., &amp; Asongu, S. (2023). Extending the Frontiers of Financial Development for Sustainability of the MENA States: The Roles of Resource Abundance and Institutional Quality. </w:t>
      </w:r>
      <w:r w:rsidRPr="00846308">
        <w:rPr>
          <w:rFonts w:ascii="Times New Roman" w:hAnsi="Times New Roman" w:cs="Times New Roman"/>
          <w:i/>
          <w:iCs/>
        </w:rPr>
        <w:t>Sustainable Development</w:t>
      </w:r>
      <w:r w:rsidRPr="00846308">
        <w:rPr>
          <w:rFonts w:ascii="Times New Roman" w:hAnsi="Times New Roman" w:cs="Times New Roman"/>
        </w:rPr>
        <w:t xml:space="preserve">, </w:t>
      </w:r>
      <w:r w:rsidRPr="00846308">
        <w:rPr>
          <w:rFonts w:ascii="Times New Roman" w:hAnsi="Times New Roman" w:cs="Times New Roman"/>
          <w:i/>
          <w:iCs/>
        </w:rPr>
        <w:t>32</w:t>
      </w:r>
      <w:r w:rsidRPr="00846308">
        <w:rPr>
          <w:rFonts w:ascii="Times New Roman" w:hAnsi="Times New Roman" w:cs="Times New Roman"/>
        </w:rPr>
        <w:t>(3), 1971–1986. https://doi.org/10.1002/sd.2751</w:t>
      </w:r>
    </w:p>
    <w:p w14:paraId="321CD50F"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Onwuka, K., Chukwu, A. B., &amp; Agbanike, T. F. (2020). Current Account and Financial Reforms: Evidence From sub‐Saharan Africa. </w:t>
      </w:r>
      <w:r w:rsidRPr="00846308">
        <w:rPr>
          <w:rFonts w:ascii="Times New Roman" w:hAnsi="Times New Roman" w:cs="Times New Roman"/>
          <w:i/>
          <w:iCs/>
        </w:rPr>
        <w:t>International Journal of Finance &amp; Economics</w:t>
      </w:r>
      <w:r w:rsidRPr="00846308">
        <w:rPr>
          <w:rFonts w:ascii="Times New Roman" w:hAnsi="Times New Roman" w:cs="Times New Roman"/>
        </w:rPr>
        <w:t xml:space="preserve">, </w:t>
      </w:r>
      <w:r w:rsidRPr="00846308">
        <w:rPr>
          <w:rFonts w:ascii="Times New Roman" w:hAnsi="Times New Roman" w:cs="Times New Roman"/>
          <w:i/>
          <w:iCs/>
        </w:rPr>
        <w:t>26</w:t>
      </w:r>
      <w:r w:rsidRPr="00846308">
        <w:rPr>
          <w:rFonts w:ascii="Times New Roman" w:hAnsi="Times New Roman" w:cs="Times New Roman"/>
        </w:rPr>
        <w:t>(3), 4303–4314. https://doi.org/10.1002/ijfe.2015</w:t>
      </w:r>
    </w:p>
    <w:p w14:paraId="17266037"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Özdemir, D. (2023). Reconsidering Agricultural Credits and Agricultural Production Nexus From a Global Perspective. </w:t>
      </w:r>
      <w:r w:rsidRPr="00846308">
        <w:rPr>
          <w:rFonts w:ascii="Times New Roman" w:hAnsi="Times New Roman" w:cs="Times New Roman"/>
          <w:i/>
          <w:iCs/>
        </w:rPr>
        <w:t>Food and Energy Security</w:t>
      </w:r>
      <w:r w:rsidRPr="00846308">
        <w:rPr>
          <w:rFonts w:ascii="Times New Roman" w:hAnsi="Times New Roman" w:cs="Times New Roman"/>
        </w:rPr>
        <w:t xml:space="preserve">, </w:t>
      </w:r>
      <w:r w:rsidRPr="00846308">
        <w:rPr>
          <w:rFonts w:ascii="Times New Roman" w:hAnsi="Times New Roman" w:cs="Times New Roman"/>
          <w:i/>
          <w:iCs/>
        </w:rPr>
        <w:t>13</w:t>
      </w:r>
      <w:r w:rsidRPr="00846308">
        <w:rPr>
          <w:rFonts w:ascii="Times New Roman" w:hAnsi="Times New Roman" w:cs="Times New Roman"/>
        </w:rPr>
        <w:t>(1). https://doi.org/10.1002/fes3.504</w:t>
      </w:r>
    </w:p>
    <w:p w14:paraId="3645E790"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Ozili, P. K., &amp; Ndah, H. (2021). Impact of Financial Development on Bank Profitability. </w:t>
      </w:r>
      <w:r w:rsidRPr="00846308">
        <w:rPr>
          <w:rFonts w:ascii="Times New Roman" w:hAnsi="Times New Roman" w:cs="Times New Roman"/>
          <w:i/>
          <w:iCs/>
        </w:rPr>
        <w:t>Journal of Economic and Administrative Sciences</w:t>
      </w:r>
      <w:r w:rsidRPr="00846308">
        <w:rPr>
          <w:rFonts w:ascii="Times New Roman" w:hAnsi="Times New Roman" w:cs="Times New Roman"/>
        </w:rPr>
        <w:t xml:space="preserve">, </w:t>
      </w:r>
      <w:r w:rsidRPr="00846308">
        <w:rPr>
          <w:rFonts w:ascii="Times New Roman" w:hAnsi="Times New Roman" w:cs="Times New Roman"/>
          <w:i/>
          <w:iCs/>
        </w:rPr>
        <w:t>40</w:t>
      </w:r>
      <w:r w:rsidRPr="00846308">
        <w:rPr>
          <w:rFonts w:ascii="Times New Roman" w:hAnsi="Times New Roman" w:cs="Times New Roman"/>
        </w:rPr>
        <w:t>(2), 238–262. https://doi.org/10.1108/jeas-07-2021-0140</w:t>
      </w:r>
    </w:p>
    <w:p w14:paraId="32D14107"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lastRenderedPageBreak/>
        <w:t xml:space="preserve">Pal, S., &amp; Mahalik, M. K. (2024). Role of Globalization and Innovation Pattern in Growth of Bank Credit: Evidence From Emerging and Advanced Asia. </w:t>
      </w:r>
      <w:r w:rsidRPr="00846308">
        <w:rPr>
          <w:rFonts w:ascii="Times New Roman" w:hAnsi="Times New Roman" w:cs="Times New Roman"/>
          <w:i/>
          <w:iCs/>
        </w:rPr>
        <w:t>Review of Development Economics</w:t>
      </w:r>
      <w:r w:rsidRPr="00846308">
        <w:rPr>
          <w:rFonts w:ascii="Times New Roman" w:hAnsi="Times New Roman" w:cs="Times New Roman"/>
        </w:rPr>
        <w:t xml:space="preserve">, </w:t>
      </w:r>
      <w:r w:rsidRPr="00846308">
        <w:rPr>
          <w:rFonts w:ascii="Times New Roman" w:hAnsi="Times New Roman" w:cs="Times New Roman"/>
          <w:i/>
          <w:iCs/>
        </w:rPr>
        <w:t>29</w:t>
      </w:r>
      <w:r w:rsidRPr="00846308">
        <w:rPr>
          <w:rFonts w:ascii="Times New Roman" w:hAnsi="Times New Roman" w:cs="Times New Roman"/>
        </w:rPr>
        <w:t>(3), 1647–1662. https://doi.org/10.1111/rode.13187</w:t>
      </w:r>
    </w:p>
    <w:p w14:paraId="20B8687C"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Paul, S. C., Rosid, M. H. O., Islam, M. R., &amp; Ferdous, R. (2021). The Macroeconomic Determinants and FDI: Evidence From 14 International Alliances. </w:t>
      </w:r>
      <w:r w:rsidRPr="00846308">
        <w:rPr>
          <w:rFonts w:ascii="Times New Roman" w:hAnsi="Times New Roman" w:cs="Times New Roman"/>
          <w:i/>
          <w:iCs/>
        </w:rPr>
        <w:t>Asian Development Policy Review</w:t>
      </w:r>
      <w:r w:rsidRPr="00846308">
        <w:rPr>
          <w:rFonts w:ascii="Times New Roman" w:hAnsi="Times New Roman" w:cs="Times New Roman"/>
        </w:rPr>
        <w:t xml:space="preserve">, </w:t>
      </w:r>
      <w:r w:rsidRPr="00846308">
        <w:rPr>
          <w:rFonts w:ascii="Times New Roman" w:hAnsi="Times New Roman" w:cs="Times New Roman"/>
          <w:i/>
          <w:iCs/>
        </w:rPr>
        <w:t>9</w:t>
      </w:r>
      <w:r w:rsidRPr="00846308">
        <w:rPr>
          <w:rFonts w:ascii="Times New Roman" w:hAnsi="Times New Roman" w:cs="Times New Roman"/>
        </w:rPr>
        <w:t>(2), 69–82. https://doi.org/10.18488/journal.107.2021.92.69.82</w:t>
      </w:r>
    </w:p>
    <w:p w14:paraId="5D8D26B3"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i/>
          <w:iCs/>
        </w:rPr>
        <w:t>Philippines Financial Sector Assessment</w:t>
      </w:r>
      <w:r w:rsidRPr="00846308">
        <w:rPr>
          <w:rFonts w:ascii="Times New Roman" w:hAnsi="Times New Roman" w:cs="Times New Roman"/>
        </w:rPr>
        <w:t>. (2021). https://doi.org/10.1596/36191</w:t>
      </w:r>
    </w:p>
    <w:p w14:paraId="0B129013"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Prasetyowatie, Y. W., &amp; Hariadi, S. (2022). Determinants of Non-Performing Loans in Indonesia. </w:t>
      </w:r>
      <w:r w:rsidRPr="00846308">
        <w:rPr>
          <w:rFonts w:ascii="Times New Roman" w:hAnsi="Times New Roman" w:cs="Times New Roman"/>
          <w:i/>
          <w:iCs/>
        </w:rPr>
        <w:t>Media Trend</w:t>
      </w:r>
      <w:r w:rsidRPr="00846308">
        <w:rPr>
          <w:rFonts w:ascii="Times New Roman" w:hAnsi="Times New Roman" w:cs="Times New Roman"/>
        </w:rPr>
        <w:t xml:space="preserve">, </w:t>
      </w:r>
      <w:r w:rsidRPr="00846308">
        <w:rPr>
          <w:rFonts w:ascii="Times New Roman" w:hAnsi="Times New Roman" w:cs="Times New Roman"/>
          <w:i/>
          <w:iCs/>
        </w:rPr>
        <w:t>17</w:t>
      </w:r>
      <w:r w:rsidRPr="00846308">
        <w:rPr>
          <w:rFonts w:ascii="Times New Roman" w:hAnsi="Times New Roman" w:cs="Times New Roman"/>
        </w:rPr>
        <w:t>(2), 317–328. https://doi.org/10.21107/mediatrend.v17i2.17097</w:t>
      </w:r>
    </w:p>
    <w:p w14:paraId="622DE3B8"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Rahman, M. M. A., Khan, A. U. I., &amp; Kaplan, M. (2024). </w:t>
      </w:r>
      <w:r w:rsidRPr="00846308">
        <w:rPr>
          <w:rFonts w:ascii="Times New Roman" w:hAnsi="Times New Roman" w:cs="Times New Roman"/>
          <w:i/>
          <w:iCs/>
        </w:rPr>
        <w:t>Assessing the Impact of Institutional Quality and Financial Stability on Sustainable Development Goal One in Sub-Saharan Africa</w:t>
      </w:r>
      <w:r w:rsidRPr="00846308">
        <w:rPr>
          <w:rFonts w:ascii="Times New Roman" w:hAnsi="Times New Roman" w:cs="Times New Roman"/>
        </w:rPr>
        <w:t>. https://doi.org/10.21203/rs.3.rs-4882551/v1</w:t>
      </w:r>
    </w:p>
    <w:p w14:paraId="1585FA3D"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Role of Oil Prices in Financial Instability, Trade Openness and Economic Growth: Evidence From ASEAN Countries. (2023). </w:t>
      </w:r>
      <w:r w:rsidRPr="00846308">
        <w:rPr>
          <w:rFonts w:ascii="Times New Roman" w:hAnsi="Times New Roman" w:cs="Times New Roman"/>
          <w:i/>
          <w:iCs/>
        </w:rPr>
        <w:t>Jurnal Ekonomi Malaysia</w:t>
      </w:r>
      <w:r w:rsidRPr="00846308">
        <w:rPr>
          <w:rFonts w:ascii="Times New Roman" w:hAnsi="Times New Roman" w:cs="Times New Roman"/>
        </w:rPr>
        <w:t xml:space="preserve">, </w:t>
      </w:r>
      <w:r w:rsidRPr="00846308">
        <w:rPr>
          <w:rFonts w:ascii="Times New Roman" w:hAnsi="Times New Roman" w:cs="Times New Roman"/>
          <w:i/>
          <w:iCs/>
        </w:rPr>
        <w:t>57</w:t>
      </w:r>
      <w:r w:rsidRPr="00846308">
        <w:rPr>
          <w:rFonts w:ascii="Times New Roman" w:hAnsi="Times New Roman" w:cs="Times New Roman"/>
        </w:rPr>
        <w:t>(01). https://doi.org/10.17576/jem-2023-5701-10</w:t>
      </w:r>
    </w:p>
    <w:p w14:paraId="4FDDBB51"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Rosalina, L., &amp; Wahyuningsih, D. (2023). Impact of Financial Inclusion and Banking Characteristics on  Banking Stability in Indonesia. </w:t>
      </w:r>
      <w:r w:rsidRPr="00846308">
        <w:rPr>
          <w:rFonts w:ascii="Times New Roman" w:hAnsi="Times New Roman" w:cs="Times New Roman"/>
          <w:i/>
          <w:iCs/>
        </w:rPr>
        <w:t>Jurnal Perspektif Pembiayaan Dan Pembangunan Daerah</w:t>
      </w:r>
      <w:r w:rsidRPr="00846308">
        <w:rPr>
          <w:rFonts w:ascii="Times New Roman" w:hAnsi="Times New Roman" w:cs="Times New Roman"/>
        </w:rPr>
        <w:t xml:space="preserve">, </w:t>
      </w:r>
      <w:r w:rsidRPr="00846308">
        <w:rPr>
          <w:rFonts w:ascii="Times New Roman" w:hAnsi="Times New Roman" w:cs="Times New Roman"/>
          <w:i/>
          <w:iCs/>
        </w:rPr>
        <w:t>11</w:t>
      </w:r>
      <w:r w:rsidRPr="00846308">
        <w:rPr>
          <w:rFonts w:ascii="Times New Roman" w:hAnsi="Times New Roman" w:cs="Times New Roman"/>
        </w:rPr>
        <w:t>(1), 79–92. https://doi.org/10.22437/ppd.v11i1.18227</w:t>
      </w:r>
    </w:p>
    <w:p w14:paraId="0868055F"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Sahu, A. K., &amp; Mahalik, M. K. (2024). Unwrapping the Intricate Interplay Between Energy Dependency and Macroeconomic Volatility in OECD Countries. </w:t>
      </w:r>
      <w:r w:rsidRPr="00846308">
        <w:rPr>
          <w:rFonts w:ascii="Times New Roman" w:hAnsi="Times New Roman" w:cs="Times New Roman"/>
          <w:i/>
          <w:iCs/>
        </w:rPr>
        <w:t>Economic Papers a Journal of Applied Economics and Policy</w:t>
      </w:r>
      <w:r w:rsidRPr="00846308">
        <w:rPr>
          <w:rFonts w:ascii="Times New Roman" w:hAnsi="Times New Roman" w:cs="Times New Roman"/>
        </w:rPr>
        <w:t xml:space="preserve">, </w:t>
      </w:r>
      <w:r w:rsidRPr="00846308">
        <w:rPr>
          <w:rFonts w:ascii="Times New Roman" w:hAnsi="Times New Roman" w:cs="Times New Roman"/>
          <w:i/>
          <w:iCs/>
        </w:rPr>
        <w:t>43</w:t>
      </w:r>
      <w:r w:rsidRPr="00846308">
        <w:rPr>
          <w:rFonts w:ascii="Times New Roman" w:hAnsi="Times New Roman" w:cs="Times New Roman"/>
        </w:rPr>
        <w:t>(4), 389–410. https://doi.org/10.1111/1759-3441.12429</w:t>
      </w:r>
    </w:p>
    <w:p w14:paraId="19A2B30E"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Saliba, C., Farmanesh, P., &amp; Athari, S. A. (2023). Does Country Risk Impact the Banking Sectors’ Non-Performing Loans? Evidence From BRICS Emerging Economies. </w:t>
      </w:r>
      <w:r w:rsidRPr="00846308">
        <w:rPr>
          <w:rFonts w:ascii="Times New Roman" w:hAnsi="Times New Roman" w:cs="Times New Roman"/>
          <w:i/>
          <w:iCs/>
        </w:rPr>
        <w:t>Financial Innovation</w:t>
      </w:r>
      <w:r w:rsidRPr="00846308">
        <w:rPr>
          <w:rFonts w:ascii="Times New Roman" w:hAnsi="Times New Roman" w:cs="Times New Roman"/>
        </w:rPr>
        <w:t xml:space="preserve">, </w:t>
      </w:r>
      <w:r w:rsidRPr="00846308">
        <w:rPr>
          <w:rFonts w:ascii="Times New Roman" w:hAnsi="Times New Roman" w:cs="Times New Roman"/>
          <w:i/>
          <w:iCs/>
        </w:rPr>
        <w:t>9</w:t>
      </w:r>
      <w:r w:rsidRPr="00846308">
        <w:rPr>
          <w:rFonts w:ascii="Times New Roman" w:hAnsi="Times New Roman" w:cs="Times New Roman"/>
        </w:rPr>
        <w:t>(1). https://doi.org/10.1186/s40854-023-00494-2</w:t>
      </w:r>
    </w:p>
    <w:p w14:paraId="11BBD3A4"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Samosir, N., &amp; Usman, B. (2024). Empirical  Insights Into the Influence of Financial Development on Capital Markets in  Southeast Asia. </w:t>
      </w:r>
      <w:r w:rsidRPr="00846308">
        <w:rPr>
          <w:rFonts w:ascii="Times New Roman" w:hAnsi="Times New Roman" w:cs="Times New Roman"/>
          <w:i/>
          <w:iCs/>
        </w:rPr>
        <w:t>Jrmsi - Jurnal Riset Manajemen Sains Indonesia</w:t>
      </w:r>
      <w:r w:rsidRPr="00846308">
        <w:rPr>
          <w:rFonts w:ascii="Times New Roman" w:hAnsi="Times New Roman" w:cs="Times New Roman"/>
        </w:rPr>
        <w:t xml:space="preserve">, </w:t>
      </w:r>
      <w:r w:rsidRPr="00846308">
        <w:rPr>
          <w:rFonts w:ascii="Times New Roman" w:hAnsi="Times New Roman" w:cs="Times New Roman"/>
          <w:i/>
          <w:iCs/>
        </w:rPr>
        <w:t>15</w:t>
      </w:r>
      <w:r w:rsidRPr="00846308">
        <w:rPr>
          <w:rFonts w:ascii="Times New Roman" w:hAnsi="Times New Roman" w:cs="Times New Roman"/>
        </w:rPr>
        <w:t>(01), 10–19. https://doi.org/10.21009/jrmsi.015.1.02</w:t>
      </w:r>
    </w:p>
    <w:p w14:paraId="6DB2ECDA"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Sari, N. N., &amp; Sudarmawan, B. N. (2023). The Determinants of Bank Stability: An Empirical Investigation in Southeast Asia. </w:t>
      </w:r>
      <w:r w:rsidRPr="00846308">
        <w:rPr>
          <w:rFonts w:ascii="Times New Roman" w:hAnsi="Times New Roman" w:cs="Times New Roman"/>
          <w:i/>
          <w:iCs/>
        </w:rPr>
        <w:t>Jurnal Ekonomi Syariah Teori Dan Terapan</w:t>
      </w:r>
      <w:r w:rsidRPr="00846308">
        <w:rPr>
          <w:rFonts w:ascii="Times New Roman" w:hAnsi="Times New Roman" w:cs="Times New Roman"/>
        </w:rPr>
        <w:t xml:space="preserve">, </w:t>
      </w:r>
      <w:r w:rsidRPr="00846308">
        <w:rPr>
          <w:rFonts w:ascii="Times New Roman" w:hAnsi="Times New Roman" w:cs="Times New Roman"/>
          <w:i/>
          <w:iCs/>
        </w:rPr>
        <w:t>10</w:t>
      </w:r>
      <w:r w:rsidRPr="00846308">
        <w:rPr>
          <w:rFonts w:ascii="Times New Roman" w:hAnsi="Times New Roman" w:cs="Times New Roman"/>
        </w:rPr>
        <w:t>(2), 109–122. https://doi.org/10.20473/vol10iss20232pp109-122</w:t>
      </w:r>
    </w:p>
    <w:p w14:paraId="043562D5"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Shahriar, A., Mehzabin, S., Ahmed, Z., Döngül, E. S., &amp; Azad, Md. A. K. (2022). Bank Stability, Performance and Efficiency: An Experience From West Asian Countries. </w:t>
      </w:r>
      <w:r w:rsidRPr="00846308">
        <w:rPr>
          <w:rFonts w:ascii="Times New Roman" w:hAnsi="Times New Roman" w:cs="Times New Roman"/>
          <w:i/>
          <w:iCs/>
        </w:rPr>
        <w:t>Iim Ranchi Journal of Management Studies</w:t>
      </w:r>
      <w:r w:rsidRPr="00846308">
        <w:rPr>
          <w:rFonts w:ascii="Times New Roman" w:hAnsi="Times New Roman" w:cs="Times New Roman"/>
        </w:rPr>
        <w:t xml:space="preserve">, </w:t>
      </w:r>
      <w:r w:rsidRPr="00846308">
        <w:rPr>
          <w:rFonts w:ascii="Times New Roman" w:hAnsi="Times New Roman" w:cs="Times New Roman"/>
          <w:i/>
          <w:iCs/>
        </w:rPr>
        <w:t>2</w:t>
      </w:r>
      <w:r w:rsidRPr="00846308">
        <w:rPr>
          <w:rFonts w:ascii="Times New Roman" w:hAnsi="Times New Roman" w:cs="Times New Roman"/>
        </w:rPr>
        <w:t>(1), 31–47. https://doi.org/10.1108/irjms-02-2022-0017</w:t>
      </w:r>
    </w:p>
    <w:p w14:paraId="0F1D2DC5"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lastRenderedPageBreak/>
        <w:t xml:space="preserve">Sharma, K. P. (2024). Effects of Non-Performing Loan and Operational Efficiency on Profitability of Nepalese Commercial Banks. </w:t>
      </w:r>
      <w:r w:rsidRPr="00846308">
        <w:rPr>
          <w:rFonts w:ascii="Times New Roman" w:hAnsi="Times New Roman" w:cs="Times New Roman"/>
          <w:i/>
          <w:iCs/>
        </w:rPr>
        <w:t>Resunga Journal रेसुङ्गा जर्नल</w:t>
      </w:r>
      <w:r w:rsidRPr="00846308">
        <w:rPr>
          <w:rFonts w:ascii="Times New Roman" w:hAnsi="Times New Roman" w:cs="Times New Roman"/>
        </w:rPr>
        <w:t xml:space="preserve">, </w:t>
      </w:r>
      <w:r w:rsidRPr="00846308">
        <w:rPr>
          <w:rFonts w:ascii="Times New Roman" w:hAnsi="Times New Roman" w:cs="Times New Roman"/>
          <w:i/>
          <w:iCs/>
        </w:rPr>
        <w:t>3</w:t>
      </w:r>
      <w:r w:rsidRPr="00846308">
        <w:rPr>
          <w:rFonts w:ascii="Times New Roman" w:hAnsi="Times New Roman" w:cs="Times New Roman"/>
        </w:rPr>
        <w:t>(1), 51–77. https://doi.org/10.3126/resungaj.v3i1.65881</w:t>
      </w:r>
    </w:p>
    <w:p w14:paraId="6D718E5E"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Sheraliev, I., &amp; Ślepaczuk, R. (2023). Cross-Country Differences in Return and Volatility Metrics of World Equity Indices. </w:t>
      </w:r>
      <w:r w:rsidRPr="00846308">
        <w:rPr>
          <w:rFonts w:ascii="Times New Roman" w:hAnsi="Times New Roman" w:cs="Times New Roman"/>
          <w:i/>
          <w:iCs/>
        </w:rPr>
        <w:t>Central European Economic Journal</w:t>
      </w:r>
      <w:r w:rsidRPr="00846308">
        <w:rPr>
          <w:rFonts w:ascii="Times New Roman" w:hAnsi="Times New Roman" w:cs="Times New Roman"/>
        </w:rPr>
        <w:t xml:space="preserve">, </w:t>
      </w:r>
      <w:r w:rsidRPr="00846308">
        <w:rPr>
          <w:rFonts w:ascii="Times New Roman" w:hAnsi="Times New Roman" w:cs="Times New Roman"/>
          <w:i/>
          <w:iCs/>
        </w:rPr>
        <w:t>10</w:t>
      </w:r>
      <w:r w:rsidRPr="00846308">
        <w:rPr>
          <w:rFonts w:ascii="Times New Roman" w:hAnsi="Times New Roman" w:cs="Times New Roman"/>
        </w:rPr>
        <w:t>(57), 90–115. https://doi.org/10.2478/ceej-2023-0006</w:t>
      </w:r>
    </w:p>
    <w:p w14:paraId="386FA801"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Sule, S. A., Hakim, L., Putro, T. R., &amp; Pamungkas, P. (2024). The Impact of Inflation on the Business Cycle and Economic Growth: An Empirical Analysis. </w:t>
      </w:r>
      <w:r w:rsidRPr="00846308">
        <w:rPr>
          <w:rFonts w:ascii="Times New Roman" w:hAnsi="Times New Roman" w:cs="Times New Roman"/>
          <w:i/>
          <w:iCs/>
        </w:rPr>
        <w:t>Ijefsd</w:t>
      </w:r>
      <w:r w:rsidRPr="00846308">
        <w:rPr>
          <w:rFonts w:ascii="Times New Roman" w:hAnsi="Times New Roman" w:cs="Times New Roman"/>
        </w:rPr>
        <w:t xml:space="preserve">, </w:t>
      </w:r>
      <w:r w:rsidRPr="00846308">
        <w:rPr>
          <w:rFonts w:ascii="Times New Roman" w:hAnsi="Times New Roman" w:cs="Times New Roman"/>
          <w:i/>
          <w:iCs/>
        </w:rPr>
        <w:t>6</w:t>
      </w:r>
      <w:r w:rsidRPr="00846308">
        <w:rPr>
          <w:rFonts w:ascii="Times New Roman" w:hAnsi="Times New Roman" w:cs="Times New Roman"/>
        </w:rPr>
        <w:t>(11), 274–286. https://doi.org/10.31149/ijefsd.v6i11.5334</w:t>
      </w:r>
    </w:p>
    <w:p w14:paraId="2E8D11F2"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Syed, A. A., &amp; Aidyngul, Y. (2020). Macro Economical And bank‐specific Vulnerabilities of Nonperforming Loans: A Comparative Analysis of Developed and Developing Countries. </w:t>
      </w:r>
      <w:r w:rsidRPr="00846308">
        <w:rPr>
          <w:rFonts w:ascii="Times New Roman" w:hAnsi="Times New Roman" w:cs="Times New Roman"/>
          <w:i/>
          <w:iCs/>
        </w:rPr>
        <w:t>Journal of Public Affairs</w:t>
      </w:r>
      <w:r w:rsidRPr="00846308">
        <w:rPr>
          <w:rFonts w:ascii="Times New Roman" w:hAnsi="Times New Roman" w:cs="Times New Roman"/>
        </w:rPr>
        <w:t>. https://doi.org/10.1002/pa.2414</w:t>
      </w:r>
    </w:p>
    <w:p w14:paraId="74F633BF"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Syed, A. A., Kamal, M. A., Ullah, A., &amp; Grima, S. (2022). An Asymmetric Analysis of the Influence That Economic Policy Uncertainty, Institutional Quality, and Corruption Level Have on India’s Digital Banking Services and Banking Stability. </w:t>
      </w:r>
      <w:r w:rsidRPr="00846308">
        <w:rPr>
          <w:rFonts w:ascii="Times New Roman" w:hAnsi="Times New Roman" w:cs="Times New Roman"/>
          <w:i/>
          <w:iCs/>
        </w:rPr>
        <w:t>Sustainability</w:t>
      </w:r>
      <w:r w:rsidRPr="00846308">
        <w:rPr>
          <w:rFonts w:ascii="Times New Roman" w:hAnsi="Times New Roman" w:cs="Times New Roman"/>
        </w:rPr>
        <w:t xml:space="preserve">, </w:t>
      </w:r>
      <w:r w:rsidRPr="00846308">
        <w:rPr>
          <w:rFonts w:ascii="Times New Roman" w:hAnsi="Times New Roman" w:cs="Times New Roman"/>
          <w:i/>
          <w:iCs/>
        </w:rPr>
        <w:t>14</w:t>
      </w:r>
      <w:r w:rsidRPr="00846308">
        <w:rPr>
          <w:rFonts w:ascii="Times New Roman" w:hAnsi="Times New Roman" w:cs="Times New Roman"/>
        </w:rPr>
        <w:t>(6), 3238. https://doi.org/10.3390/su14063238</w:t>
      </w:r>
    </w:p>
    <w:p w14:paraId="242C277D"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Tachega, M. A. (2025). Investment Attractiveness in BRICS+ Economies: Evaluating Business Environment Reforms, Institutional Quality, and Macroeconomic Factors. </w:t>
      </w:r>
      <w:r w:rsidRPr="00846308">
        <w:rPr>
          <w:rFonts w:ascii="Times New Roman" w:hAnsi="Times New Roman" w:cs="Times New Roman"/>
          <w:i/>
          <w:iCs/>
        </w:rPr>
        <w:t>Plos One</w:t>
      </w:r>
      <w:r w:rsidRPr="00846308">
        <w:rPr>
          <w:rFonts w:ascii="Times New Roman" w:hAnsi="Times New Roman" w:cs="Times New Roman"/>
        </w:rPr>
        <w:t xml:space="preserve">, </w:t>
      </w:r>
      <w:r w:rsidRPr="00846308">
        <w:rPr>
          <w:rFonts w:ascii="Times New Roman" w:hAnsi="Times New Roman" w:cs="Times New Roman"/>
          <w:i/>
          <w:iCs/>
        </w:rPr>
        <w:t>20</w:t>
      </w:r>
      <w:r w:rsidRPr="00846308">
        <w:rPr>
          <w:rFonts w:ascii="Times New Roman" w:hAnsi="Times New Roman" w:cs="Times New Roman"/>
        </w:rPr>
        <w:t>(10), e0334043. https://doi.org/10.1371/journal.pone.0334043</w:t>
      </w:r>
    </w:p>
    <w:p w14:paraId="4CF3BF0D"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Tătărici, L., Kubinschi, M., &amp; Barnea, D. (2020). Determinants of Non-Performing Loans for the EEC Region. A Financial Stability Perspective. </w:t>
      </w:r>
      <w:r w:rsidRPr="00846308">
        <w:rPr>
          <w:rFonts w:ascii="Times New Roman" w:hAnsi="Times New Roman" w:cs="Times New Roman"/>
          <w:i/>
          <w:iCs/>
        </w:rPr>
        <w:t>Management &amp; Marketing</w:t>
      </w:r>
      <w:r w:rsidRPr="00846308">
        <w:rPr>
          <w:rFonts w:ascii="Times New Roman" w:hAnsi="Times New Roman" w:cs="Times New Roman"/>
        </w:rPr>
        <w:t xml:space="preserve">, </w:t>
      </w:r>
      <w:r w:rsidRPr="00846308">
        <w:rPr>
          <w:rFonts w:ascii="Times New Roman" w:hAnsi="Times New Roman" w:cs="Times New Roman"/>
          <w:i/>
          <w:iCs/>
        </w:rPr>
        <w:t>15</w:t>
      </w:r>
      <w:r w:rsidRPr="00846308">
        <w:rPr>
          <w:rFonts w:ascii="Times New Roman" w:hAnsi="Times New Roman" w:cs="Times New Roman"/>
        </w:rPr>
        <w:t>(4), 621–642. https://doi.org/10.2478/mmcks-2020-0036</w:t>
      </w:r>
    </w:p>
    <w:p w14:paraId="3DF52AFE"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Vollmer, U. (2021). Monetary Policy or Macroprudential Policies: What Can Tame the Cycles? </w:t>
      </w:r>
      <w:r w:rsidRPr="00846308">
        <w:rPr>
          <w:rFonts w:ascii="Times New Roman" w:hAnsi="Times New Roman" w:cs="Times New Roman"/>
          <w:i/>
          <w:iCs/>
        </w:rPr>
        <w:t>Journal of Economic Surveys</w:t>
      </w:r>
      <w:r w:rsidRPr="00846308">
        <w:rPr>
          <w:rFonts w:ascii="Times New Roman" w:hAnsi="Times New Roman" w:cs="Times New Roman"/>
        </w:rPr>
        <w:t xml:space="preserve">, </w:t>
      </w:r>
      <w:r w:rsidRPr="00846308">
        <w:rPr>
          <w:rFonts w:ascii="Times New Roman" w:hAnsi="Times New Roman" w:cs="Times New Roman"/>
          <w:i/>
          <w:iCs/>
        </w:rPr>
        <w:t>36</w:t>
      </w:r>
      <w:r w:rsidRPr="00846308">
        <w:rPr>
          <w:rFonts w:ascii="Times New Roman" w:hAnsi="Times New Roman" w:cs="Times New Roman"/>
        </w:rPr>
        <w:t>(5), 1510–1538. https://doi.org/10.1111/joes.12474</w:t>
      </w:r>
    </w:p>
    <w:p w14:paraId="017F20E1"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Wanjala, K., &amp; Gachanja, J. N. (2020). Mr Bank Specific Determinants of Nonperforming Loans in Kenya. </w:t>
      </w:r>
      <w:r w:rsidRPr="00846308">
        <w:rPr>
          <w:rFonts w:ascii="Times New Roman" w:hAnsi="Times New Roman" w:cs="Times New Roman"/>
          <w:i/>
          <w:iCs/>
        </w:rPr>
        <w:t>Business Perspective Review</w:t>
      </w:r>
      <w:r w:rsidRPr="00846308">
        <w:rPr>
          <w:rFonts w:ascii="Times New Roman" w:hAnsi="Times New Roman" w:cs="Times New Roman"/>
        </w:rPr>
        <w:t xml:space="preserve">, </w:t>
      </w:r>
      <w:r w:rsidRPr="00846308">
        <w:rPr>
          <w:rFonts w:ascii="Times New Roman" w:hAnsi="Times New Roman" w:cs="Times New Roman"/>
          <w:i/>
          <w:iCs/>
        </w:rPr>
        <w:t>2</w:t>
      </w:r>
      <w:r w:rsidRPr="00846308">
        <w:rPr>
          <w:rFonts w:ascii="Times New Roman" w:hAnsi="Times New Roman" w:cs="Times New Roman"/>
        </w:rPr>
        <w:t>(1), 29–44. https://doi.org/10.38157/business-perspective-review.v2i1.118</w:t>
      </w:r>
    </w:p>
    <w:p w14:paraId="051CF99C"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Wu, S., Alharthi, M., Yin, W., Abbas, Q., Shah, A. N., Rahman, S. U., &amp; Khan, J. (2021). The Carbon-Neutral Energy Consumption and Emission Volatility: The Causality Analysis of ASEAN Region. </w:t>
      </w:r>
      <w:r w:rsidRPr="00846308">
        <w:rPr>
          <w:rFonts w:ascii="Times New Roman" w:hAnsi="Times New Roman" w:cs="Times New Roman"/>
          <w:i/>
          <w:iCs/>
        </w:rPr>
        <w:t>Energies</w:t>
      </w:r>
      <w:r w:rsidRPr="00846308">
        <w:rPr>
          <w:rFonts w:ascii="Times New Roman" w:hAnsi="Times New Roman" w:cs="Times New Roman"/>
        </w:rPr>
        <w:t xml:space="preserve">, </w:t>
      </w:r>
      <w:r w:rsidRPr="00846308">
        <w:rPr>
          <w:rFonts w:ascii="Times New Roman" w:hAnsi="Times New Roman" w:cs="Times New Roman"/>
          <w:i/>
          <w:iCs/>
        </w:rPr>
        <w:t>14</w:t>
      </w:r>
      <w:r w:rsidRPr="00846308">
        <w:rPr>
          <w:rFonts w:ascii="Times New Roman" w:hAnsi="Times New Roman" w:cs="Times New Roman"/>
        </w:rPr>
        <w:t>(10), 2943. https://doi.org/10.3390/en14102943</w:t>
      </w:r>
    </w:p>
    <w:p w14:paraId="43A08D0C"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Yağlı, İ., &amp; Topçu, M. (2023). Determinants of Credit Risk in the Turkish Banking Sector: Does Ownership Matter? </w:t>
      </w:r>
      <w:r w:rsidRPr="00846308">
        <w:rPr>
          <w:rFonts w:ascii="Times New Roman" w:hAnsi="Times New Roman" w:cs="Times New Roman"/>
          <w:i/>
          <w:iCs/>
        </w:rPr>
        <w:t>Sosyoekonomi</w:t>
      </w:r>
      <w:r w:rsidRPr="00846308">
        <w:rPr>
          <w:rFonts w:ascii="Times New Roman" w:hAnsi="Times New Roman" w:cs="Times New Roman"/>
        </w:rPr>
        <w:t xml:space="preserve">, </w:t>
      </w:r>
      <w:r w:rsidRPr="00846308">
        <w:rPr>
          <w:rFonts w:ascii="Times New Roman" w:hAnsi="Times New Roman" w:cs="Times New Roman"/>
          <w:i/>
          <w:iCs/>
        </w:rPr>
        <w:t>31</w:t>
      </w:r>
      <w:r w:rsidRPr="00846308">
        <w:rPr>
          <w:rFonts w:ascii="Times New Roman" w:hAnsi="Times New Roman" w:cs="Times New Roman"/>
        </w:rPr>
        <w:t>(55), 49–67. https://doi.org/10.17233/sosyoekonomi.2023.01.03</w:t>
      </w:r>
    </w:p>
    <w:p w14:paraId="014FCD41" w14:textId="77777777" w:rsidR="00846308" w:rsidRPr="00846308" w:rsidRDefault="00846308" w:rsidP="003C0D26">
      <w:pPr>
        <w:pStyle w:val="Bibliography"/>
        <w:spacing w:line="240" w:lineRule="auto"/>
        <w:jc w:val="both"/>
        <w:rPr>
          <w:rFonts w:ascii="Times New Roman" w:hAnsi="Times New Roman" w:cs="Times New Roman"/>
        </w:rPr>
      </w:pPr>
      <w:r w:rsidRPr="00846308">
        <w:rPr>
          <w:rFonts w:ascii="Times New Roman" w:hAnsi="Times New Roman" w:cs="Times New Roman"/>
        </w:rPr>
        <w:lastRenderedPageBreak/>
        <w:t xml:space="preserve">Yahaya, A., Mahat, F., M.H., Y., &amp; Matemilola, B. T. (2022). Liquidity Risk and Bank Financial Performance: An Application of System GMM Approach. </w:t>
      </w:r>
      <w:r w:rsidRPr="00846308">
        <w:rPr>
          <w:rFonts w:ascii="Times New Roman" w:hAnsi="Times New Roman" w:cs="Times New Roman"/>
          <w:i/>
          <w:iCs/>
        </w:rPr>
        <w:t>Journal of Financial Regulation and Compliance</w:t>
      </w:r>
      <w:r w:rsidRPr="00846308">
        <w:rPr>
          <w:rFonts w:ascii="Times New Roman" w:hAnsi="Times New Roman" w:cs="Times New Roman"/>
        </w:rPr>
        <w:t xml:space="preserve">, </w:t>
      </w:r>
      <w:r w:rsidRPr="00846308">
        <w:rPr>
          <w:rFonts w:ascii="Times New Roman" w:hAnsi="Times New Roman" w:cs="Times New Roman"/>
          <w:i/>
          <w:iCs/>
        </w:rPr>
        <w:t>30</w:t>
      </w:r>
      <w:r w:rsidRPr="00846308">
        <w:rPr>
          <w:rFonts w:ascii="Times New Roman" w:hAnsi="Times New Roman" w:cs="Times New Roman"/>
        </w:rPr>
        <w:t>(3), 312–334. https://doi.org/10.1108/jfrc-03-2021-0019</w:t>
      </w:r>
    </w:p>
    <w:p w14:paraId="6D81DA34"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Yunita, P. (2022). Dual Banking System Stability Index in the Shadow of COVID-19 Pandemic. </w:t>
      </w:r>
      <w:r w:rsidRPr="00846308">
        <w:rPr>
          <w:rFonts w:ascii="Times New Roman" w:hAnsi="Times New Roman" w:cs="Times New Roman"/>
          <w:i/>
          <w:iCs/>
        </w:rPr>
        <w:t>International Journal of Islamic Economics and Finance (Ijief)</w:t>
      </w:r>
      <w:r w:rsidRPr="00846308">
        <w:rPr>
          <w:rFonts w:ascii="Times New Roman" w:hAnsi="Times New Roman" w:cs="Times New Roman"/>
        </w:rPr>
        <w:t xml:space="preserve">, </w:t>
      </w:r>
      <w:r w:rsidRPr="00846308">
        <w:rPr>
          <w:rFonts w:ascii="Times New Roman" w:hAnsi="Times New Roman" w:cs="Times New Roman"/>
          <w:i/>
          <w:iCs/>
        </w:rPr>
        <w:t>5</w:t>
      </w:r>
      <w:r w:rsidRPr="00846308">
        <w:rPr>
          <w:rFonts w:ascii="Times New Roman" w:hAnsi="Times New Roman" w:cs="Times New Roman"/>
        </w:rPr>
        <w:t>(1), 151–176. https://doi.org/10.18196/ijief.v5i1.11837</w:t>
      </w:r>
    </w:p>
    <w:p w14:paraId="299CE172" w14:textId="77777777" w:rsidR="00846308" w:rsidRPr="00846308" w:rsidRDefault="00846308" w:rsidP="003C0D26">
      <w:pPr>
        <w:pStyle w:val="Bibliography"/>
        <w:jc w:val="both"/>
        <w:rPr>
          <w:rFonts w:ascii="Times New Roman" w:hAnsi="Times New Roman" w:cs="Times New Roman"/>
        </w:rPr>
      </w:pPr>
      <w:r w:rsidRPr="00846308">
        <w:rPr>
          <w:rFonts w:ascii="Times New Roman" w:hAnsi="Times New Roman" w:cs="Times New Roman"/>
        </w:rPr>
        <w:t xml:space="preserve">Zallé, O. (2023). Financial Inclusion and Tax Effort in Sub-Saharan Africa: The Role of Institutional Quality. </w:t>
      </w:r>
      <w:r w:rsidRPr="00846308">
        <w:rPr>
          <w:rFonts w:ascii="Times New Roman" w:hAnsi="Times New Roman" w:cs="Times New Roman"/>
          <w:i/>
          <w:iCs/>
        </w:rPr>
        <w:t>Journal of Public Finance and Public Choice</w:t>
      </w:r>
      <w:r w:rsidRPr="00846308">
        <w:rPr>
          <w:rFonts w:ascii="Times New Roman" w:hAnsi="Times New Roman" w:cs="Times New Roman"/>
        </w:rPr>
        <w:t xml:space="preserve">, </w:t>
      </w:r>
      <w:r w:rsidRPr="00846308">
        <w:rPr>
          <w:rFonts w:ascii="Times New Roman" w:hAnsi="Times New Roman" w:cs="Times New Roman"/>
          <w:i/>
          <w:iCs/>
        </w:rPr>
        <w:t>38</w:t>
      </w:r>
      <w:r w:rsidRPr="00846308">
        <w:rPr>
          <w:rFonts w:ascii="Times New Roman" w:hAnsi="Times New Roman" w:cs="Times New Roman"/>
        </w:rPr>
        <w:t>(2), 263–289. https://doi.org/10.1332/251569121x16817386486785</w:t>
      </w:r>
    </w:p>
    <w:p w14:paraId="7F283E45" w14:textId="1C1D056A" w:rsidR="000329B1" w:rsidRPr="000329B1" w:rsidRDefault="00846308" w:rsidP="003C0D26">
      <w:pPr>
        <w:spacing w:line="360" w:lineRule="auto"/>
        <w:jc w:val="both"/>
        <w:rPr>
          <w:rFonts w:ascii="Times New Roman" w:hAnsi="Times New Roman" w:cs="Times New Roman"/>
        </w:rPr>
      </w:pPr>
      <w:r>
        <w:rPr>
          <w:rFonts w:ascii="Times New Roman" w:hAnsi="Times New Roman" w:cs="Times New Roman"/>
        </w:rPr>
        <w:fldChar w:fldCharType="end"/>
      </w:r>
    </w:p>
    <w:sectPr w:rsidR="000329B1" w:rsidRPr="000329B1" w:rsidSect="009D27EE">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94A8F" w14:textId="77777777" w:rsidR="00413897" w:rsidRDefault="00413897" w:rsidP="00E3416F">
      <w:pPr>
        <w:spacing w:after="0" w:line="240" w:lineRule="auto"/>
      </w:pPr>
      <w:r>
        <w:separator/>
      </w:r>
    </w:p>
  </w:endnote>
  <w:endnote w:type="continuationSeparator" w:id="0">
    <w:p w14:paraId="0BEB13E9" w14:textId="77777777" w:rsidR="00413897" w:rsidRDefault="00413897" w:rsidP="00E34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387936"/>
      <w:docPartObj>
        <w:docPartGallery w:val="Page Numbers (Bottom of Page)"/>
        <w:docPartUnique/>
      </w:docPartObj>
    </w:sdtPr>
    <w:sdtEndPr>
      <w:rPr>
        <w:noProof/>
      </w:rPr>
    </w:sdtEndPr>
    <w:sdtContent>
      <w:p w14:paraId="387A8E4F" w14:textId="08D6B92F" w:rsidR="009D27EE" w:rsidRDefault="009D27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1DE162" w14:textId="77777777" w:rsidR="009D27EE" w:rsidRDefault="009D27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84B8D" w14:textId="77777777" w:rsidR="00413897" w:rsidRDefault="00413897" w:rsidP="00E3416F">
      <w:pPr>
        <w:spacing w:after="0" w:line="240" w:lineRule="auto"/>
      </w:pPr>
      <w:r>
        <w:separator/>
      </w:r>
    </w:p>
  </w:footnote>
  <w:footnote w:type="continuationSeparator" w:id="0">
    <w:p w14:paraId="7B4D8176" w14:textId="77777777" w:rsidR="00413897" w:rsidRDefault="00413897" w:rsidP="00E341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70580"/>
    <w:multiLevelType w:val="multilevel"/>
    <w:tmpl w:val="6136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1936E0"/>
    <w:multiLevelType w:val="hybridMultilevel"/>
    <w:tmpl w:val="EBAE34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C00D9B"/>
    <w:multiLevelType w:val="hybridMultilevel"/>
    <w:tmpl w:val="6FCEA8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761BAC"/>
    <w:multiLevelType w:val="hybridMultilevel"/>
    <w:tmpl w:val="8F6CB16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7673702C"/>
    <w:multiLevelType w:val="multilevel"/>
    <w:tmpl w:val="7673702C"/>
    <w:lvl w:ilvl="0">
      <w:start w:val="1"/>
      <w:numFmt w:val="decimal"/>
      <w:lvlText w:val="I.%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18297449">
    <w:abstractNumId w:val="4"/>
  </w:num>
  <w:num w:numId="2" w16cid:durableId="1431926867">
    <w:abstractNumId w:val="0"/>
  </w:num>
  <w:num w:numId="3" w16cid:durableId="626401463">
    <w:abstractNumId w:val="3"/>
  </w:num>
  <w:num w:numId="4" w16cid:durableId="1885408593">
    <w:abstractNumId w:val="1"/>
  </w:num>
  <w:num w:numId="5" w16cid:durableId="2636577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A5"/>
    <w:rsid w:val="000329B1"/>
    <w:rsid w:val="00033164"/>
    <w:rsid w:val="00042149"/>
    <w:rsid w:val="00045F4E"/>
    <w:rsid w:val="0005402E"/>
    <w:rsid w:val="0005701A"/>
    <w:rsid w:val="00081662"/>
    <w:rsid w:val="000B2235"/>
    <w:rsid w:val="000B7447"/>
    <w:rsid w:val="000C10FF"/>
    <w:rsid w:val="000E74B5"/>
    <w:rsid w:val="000F652A"/>
    <w:rsid w:val="001219B4"/>
    <w:rsid w:val="00133F95"/>
    <w:rsid w:val="00150F8B"/>
    <w:rsid w:val="001612A0"/>
    <w:rsid w:val="0017445B"/>
    <w:rsid w:val="00196478"/>
    <w:rsid w:val="001B61E7"/>
    <w:rsid w:val="001C5025"/>
    <w:rsid w:val="001E03FB"/>
    <w:rsid w:val="001E7EE2"/>
    <w:rsid w:val="00206053"/>
    <w:rsid w:val="00237B81"/>
    <w:rsid w:val="00272796"/>
    <w:rsid w:val="0027463B"/>
    <w:rsid w:val="002A2C14"/>
    <w:rsid w:val="002E3C89"/>
    <w:rsid w:val="002F0810"/>
    <w:rsid w:val="002F2797"/>
    <w:rsid w:val="002F3780"/>
    <w:rsid w:val="003238AA"/>
    <w:rsid w:val="003302E0"/>
    <w:rsid w:val="00356A15"/>
    <w:rsid w:val="00366612"/>
    <w:rsid w:val="00390A4D"/>
    <w:rsid w:val="003C0D26"/>
    <w:rsid w:val="003C7BB8"/>
    <w:rsid w:val="00413897"/>
    <w:rsid w:val="00421536"/>
    <w:rsid w:val="00463480"/>
    <w:rsid w:val="0046560D"/>
    <w:rsid w:val="004829D3"/>
    <w:rsid w:val="00492811"/>
    <w:rsid w:val="004A7AB0"/>
    <w:rsid w:val="005174A3"/>
    <w:rsid w:val="00525115"/>
    <w:rsid w:val="00566692"/>
    <w:rsid w:val="00567F9E"/>
    <w:rsid w:val="00590138"/>
    <w:rsid w:val="005B21D2"/>
    <w:rsid w:val="0060449A"/>
    <w:rsid w:val="00617DF6"/>
    <w:rsid w:val="0062013D"/>
    <w:rsid w:val="006935A2"/>
    <w:rsid w:val="006C7467"/>
    <w:rsid w:val="006F75BF"/>
    <w:rsid w:val="006F7F73"/>
    <w:rsid w:val="0070318A"/>
    <w:rsid w:val="00714B36"/>
    <w:rsid w:val="00714C31"/>
    <w:rsid w:val="007318F5"/>
    <w:rsid w:val="00733929"/>
    <w:rsid w:val="00735F65"/>
    <w:rsid w:val="00742598"/>
    <w:rsid w:val="0076159C"/>
    <w:rsid w:val="007D50C0"/>
    <w:rsid w:val="0080656C"/>
    <w:rsid w:val="00846308"/>
    <w:rsid w:val="00856181"/>
    <w:rsid w:val="00870443"/>
    <w:rsid w:val="00891865"/>
    <w:rsid w:val="008B6968"/>
    <w:rsid w:val="008C267B"/>
    <w:rsid w:val="008E3A17"/>
    <w:rsid w:val="008F5919"/>
    <w:rsid w:val="009014B1"/>
    <w:rsid w:val="009074D4"/>
    <w:rsid w:val="0092287B"/>
    <w:rsid w:val="009266F1"/>
    <w:rsid w:val="009612C4"/>
    <w:rsid w:val="00982A2C"/>
    <w:rsid w:val="009970A5"/>
    <w:rsid w:val="009D27EE"/>
    <w:rsid w:val="009F7A30"/>
    <w:rsid w:val="00A142E5"/>
    <w:rsid w:val="00A360FA"/>
    <w:rsid w:val="00A43EC3"/>
    <w:rsid w:val="00A456B4"/>
    <w:rsid w:val="00A61F83"/>
    <w:rsid w:val="00A7076F"/>
    <w:rsid w:val="00A849AC"/>
    <w:rsid w:val="00A84AA1"/>
    <w:rsid w:val="00AC5B84"/>
    <w:rsid w:val="00AF4ADE"/>
    <w:rsid w:val="00B21426"/>
    <w:rsid w:val="00B35229"/>
    <w:rsid w:val="00B37753"/>
    <w:rsid w:val="00B45CB8"/>
    <w:rsid w:val="00B56287"/>
    <w:rsid w:val="00B73064"/>
    <w:rsid w:val="00B751B1"/>
    <w:rsid w:val="00BB2F81"/>
    <w:rsid w:val="00BB62FD"/>
    <w:rsid w:val="00BD678F"/>
    <w:rsid w:val="00C10A13"/>
    <w:rsid w:val="00C16F75"/>
    <w:rsid w:val="00C32A5F"/>
    <w:rsid w:val="00C330E2"/>
    <w:rsid w:val="00C44A63"/>
    <w:rsid w:val="00C72FF1"/>
    <w:rsid w:val="00CA51A1"/>
    <w:rsid w:val="00CB1682"/>
    <w:rsid w:val="00CB2C5B"/>
    <w:rsid w:val="00CC0F2A"/>
    <w:rsid w:val="00CE4396"/>
    <w:rsid w:val="00CF55BA"/>
    <w:rsid w:val="00CF60AB"/>
    <w:rsid w:val="00D1089F"/>
    <w:rsid w:val="00D2611A"/>
    <w:rsid w:val="00D30FCD"/>
    <w:rsid w:val="00D53138"/>
    <w:rsid w:val="00D813E4"/>
    <w:rsid w:val="00D82452"/>
    <w:rsid w:val="00DB627A"/>
    <w:rsid w:val="00DD7E95"/>
    <w:rsid w:val="00E3416F"/>
    <w:rsid w:val="00E45C03"/>
    <w:rsid w:val="00E6629D"/>
    <w:rsid w:val="00EA13EB"/>
    <w:rsid w:val="00EB09E0"/>
    <w:rsid w:val="00EB74FC"/>
    <w:rsid w:val="00EF7E90"/>
    <w:rsid w:val="00F0182B"/>
    <w:rsid w:val="00F05D77"/>
    <w:rsid w:val="00F06C98"/>
    <w:rsid w:val="00F16D84"/>
    <w:rsid w:val="00F24465"/>
    <w:rsid w:val="00FB1A2D"/>
    <w:rsid w:val="00FB2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711BB"/>
  <w15:chartTrackingRefBased/>
  <w15:docId w15:val="{23E3A809-F876-4B89-B541-13BE7C68A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70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970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970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70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70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70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70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70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70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0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970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970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70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70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70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70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70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70A5"/>
    <w:rPr>
      <w:rFonts w:eastAsiaTheme="majorEastAsia" w:cstheme="majorBidi"/>
      <w:color w:val="272727" w:themeColor="text1" w:themeTint="D8"/>
    </w:rPr>
  </w:style>
  <w:style w:type="paragraph" w:styleId="Title">
    <w:name w:val="Title"/>
    <w:basedOn w:val="Normal"/>
    <w:next w:val="Normal"/>
    <w:link w:val="TitleChar"/>
    <w:uiPriority w:val="10"/>
    <w:qFormat/>
    <w:rsid w:val="009970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0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0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0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70A5"/>
    <w:pPr>
      <w:spacing w:before="160"/>
      <w:jc w:val="center"/>
    </w:pPr>
    <w:rPr>
      <w:i/>
      <w:iCs/>
      <w:color w:val="404040" w:themeColor="text1" w:themeTint="BF"/>
    </w:rPr>
  </w:style>
  <w:style w:type="character" w:customStyle="1" w:styleId="QuoteChar">
    <w:name w:val="Quote Char"/>
    <w:basedOn w:val="DefaultParagraphFont"/>
    <w:link w:val="Quote"/>
    <w:uiPriority w:val="29"/>
    <w:rsid w:val="009970A5"/>
    <w:rPr>
      <w:i/>
      <w:iCs/>
      <w:color w:val="404040" w:themeColor="text1" w:themeTint="BF"/>
    </w:rPr>
  </w:style>
  <w:style w:type="paragraph" w:styleId="ListParagraph">
    <w:name w:val="List Paragraph"/>
    <w:basedOn w:val="Normal"/>
    <w:uiPriority w:val="34"/>
    <w:qFormat/>
    <w:rsid w:val="009970A5"/>
    <w:pPr>
      <w:ind w:left="720"/>
      <w:contextualSpacing/>
    </w:pPr>
  </w:style>
  <w:style w:type="character" w:styleId="IntenseEmphasis">
    <w:name w:val="Intense Emphasis"/>
    <w:basedOn w:val="DefaultParagraphFont"/>
    <w:uiPriority w:val="21"/>
    <w:qFormat/>
    <w:rsid w:val="009970A5"/>
    <w:rPr>
      <w:i/>
      <w:iCs/>
      <w:color w:val="2F5496" w:themeColor="accent1" w:themeShade="BF"/>
    </w:rPr>
  </w:style>
  <w:style w:type="paragraph" w:styleId="IntenseQuote">
    <w:name w:val="Intense Quote"/>
    <w:basedOn w:val="Normal"/>
    <w:next w:val="Normal"/>
    <w:link w:val="IntenseQuoteChar"/>
    <w:uiPriority w:val="30"/>
    <w:qFormat/>
    <w:rsid w:val="009970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70A5"/>
    <w:rPr>
      <w:i/>
      <w:iCs/>
      <w:color w:val="2F5496" w:themeColor="accent1" w:themeShade="BF"/>
    </w:rPr>
  </w:style>
  <w:style w:type="character" w:styleId="IntenseReference">
    <w:name w:val="Intense Reference"/>
    <w:basedOn w:val="DefaultParagraphFont"/>
    <w:uiPriority w:val="32"/>
    <w:qFormat/>
    <w:rsid w:val="009970A5"/>
    <w:rPr>
      <w:b/>
      <w:bCs/>
      <w:smallCaps/>
      <w:color w:val="2F5496" w:themeColor="accent1" w:themeShade="BF"/>
      <w:spacing w:val="5"/>
    </w:rPr>
  </w:style>
  <w:style w:type="paragraph" w:styleId="Header">
    <w:name w:val="header"/>
    <w:basedOn w:val="Normal"/>
    <w:link w:val="HeaderChar"/>
    <w:uiPriority w:val="99"/>
    <w:unhideWhenUsed/>
    <w:rsid w:val="00E34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16F"/>
  </w:style>
  <w:style w:type="paragraph" w:styleId="Footer">
    <w:name w:val="footer"/>
    <w:basedOn w:val="Normal"/>
    <w:link w:val="FooterChar"/>
    <w:uiPriority w:val="99"/>
    <w:unhideWhenUsed/>
    <w:rsid w:val="00E34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16F"/>
  </w:style>
  <w:style w:type="table" w:styleId="GridTable4-Accent1">
    <w:name w:val="Grid Table 4 Accent 1"/>
    <w:basedOn w:val="TableNormal"/>
    <w:uiPriority w:val="49"/>
    <w:rsid w:val="003666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Grid">
    <w:name w:val="Table Grid"/>
    <w:basedOn w:val="TableNormal"/>
    <w:uiPriority w:val="39"/>
    <w:rsid w:val="00E45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A13EB"/>
    <w:rPr>
      <w:color w:val="666666"/>
    </w:rPr>
  </w:style>
  <w:style w:type="paragraph" w:styleId="TOCHeading">
    <w:name w:val="TOC Heading"/>
    <w:basedOn w:val="Heading1"/>
    <w:next w:val="Normal"/>
    <w:uiPriority w:val="39"/>
    <w:unhideWhenUsed/>
    <w:qFormat/>
    <w:rsid w:val="00B56287"/>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B56287"/>
    <w:pPr>
      <w:spacing w:after="100"/>
    </w:pPr>
  </w:style>
  <w:style w:type="paragraph" w:styleId="TOC2">
    <w:name w:val="toc 2"/>
    <w:basedOn w:val="Normal"/>
    <w:next w:val="Normal"/>
    <w:autoRedefine/>
    <w:uiPriority w:val="39"/>
    <w:unhideWhenUsed/>
    <w:rsid w:val="00B56287"/>
    <w:pPr>
      <w:spacing w:after="100"/>
      <w:ind w:left="240"/>
    </w:pPr>
  </w:style>
  <w:style w:type="paragraph" w:styleId="TOC3">
    <w:name w:val="toc 3"/>
    <w:basedOn w:val="Normal"/>
    <w:next w:val="Normal"/>
    <w:autoRedefine/>
    <w:uiPriority w:val="39"/>
    <w:unhideWhenUsed/>
    <w:rsid w:val="00B56287"/>
    <w:pPr>
      <w:spacing w:after="100"/>
      <w:ind w:left="480"/>
    </w:pPr>
  </w:style>
  <w:style w:type="paragraph" w:styleId="TOC4">
    <w:name w:val="toc 4"/>
    <w:basedOn w:val="Normal"/>
    <w:next w:val="Normal"/>
    <w:autoRedefine/>
    <w:uiPriority w:val="39"/>
    <w:unhideWhenUsed/>
    <w:rsid w:val="00B56287"/>
    <w:pPr>
      <w:spacing w:after="100"/>
      <w:ind w:left="720"/>
    </w:pPr>
    <w:rPr>
      <w:rFonts w:eastAsiaTheme="minorEastAsia"/>
    </w:rPr>
  </w:style>
  <w:style w:type="paragraph" w:styleId="TOC5">
    <w:name w:val="toc 5"/>
    <w:basedOn w:val="Normal"/>
    <w:next w:val="Normal"/>
    <w:autoRedefine/>
    <w:uiPriority w:val="39"/>
    <w:unhideWhenUsed/>
    <w:rsid w:val="00B56287"/>
    <w:pPr>
      <w:spacing w:after="100"/>
      <w:ind w:left="960"/>
    </w:pPr>
    <w:rPr>
      <w:rFonts w:eastAsiaTheme="minorEastAsia"/>
    </w:rPr>
  </w:style>
  <w:style w:type="paragraph" w:styleId="TOC6">
    <w:name w:val="toc 6"/>
    <w:basedOn w:val="Normal"/>
    <w:next w:val="Normal"/>
    <w:autoRedefine/>
    <w:uiPriority w:val="39"/>
    <w:unhideWhenUsed/>
    <w:rsid w:val="00B56287"/>
    <w:pPr>
      <w:spacing w:after="100"/>
      <w:ind w:left="1200"/>
    </w:pPr>
    <w:rPr>
      <w:rFonts w:eastAsiaTheme="minorEastAsia"/>
    </w:rPr>
  </w:style>
  <w:style w:type="paragraph" w:styleId="TOC7">
    <w:name w:val="toc 7"/>
    <w:basedOn w:val="Normal"/>
    <w:next w:val="Normal"/>
    <w:autoRedefine/>
    <w:uiPriority w:val="39"/>
    <w:unhideWhenUsed/>
    <w:rsid w:val="00B56287"/>
    <w:pPr>
      <w:spacing w:after="100"/>
      <w:ind w:left="1440"/>
    </w:pPr>
    <w:rPr>
      <w:rFonts w:eastAsiaTheme="minorEastAsia"/>
    </w:rPr>
  </w:style>
  <w:style w:type="paragraph" w:styleId="TOC8">
    <w:name w:val="toc 8"/>
    <w:basedOn w:val="Normal"/>
    <w:next w:val="Normal"/>
    <w:autoRedefine/>
    <w:uiPriority w:val="39"/>
    <w:unhideWhenUsed/>
    <w:rsid w:val="00B56287"/>
    <w:pPr>
      <w:spacing w:after="100"/>
      <w:ind w:left="1680"/>
    </w:pPr>
    <w:rPr>
      <w:rFonts w:eastAsiaTheme="minorEastAsia"/>
    </w:rPr>
  </w:style>
  <w:style w:type="paragraph" w:styleId="TOC9">
    <w:name w:val="toc 9"/>
    <w:basedOn w:val="Normal"/>
    <w:next w:val="Normal"/>
    <w:autoRedefine/>
    <w:uiPriority w:val="39"/>
    <w:unhideWhenUsed/>
    <w:rsid w:val="00B56287"/>
    <w:pPr>
      <w:spacing w:after="100"/>
      <w:ind w:left="1920"/>
    </w:pPr>
    <w:rPr>
      <w:rFonts w:eastAsiaTheme="minorEastAsia"/>
    </w:rPr>
  </w:style>
  <w:style w:type="character" w:styleId="Hyperlink">
    <w:name w:val="Hyperlink"/>
    <w:basedOn w:val="DefaultParagraphFont"/>
    <w:uiPriority w:val="99"/>
    <w:unhideWhenUsed/>
    <w:rsid w:val="00B56287"/>
    <w:rPr>
      <w:color w:val="0563C1" w:themeColor="hyperlink"/>
      <w:u w:val="single"/>
    </w:rPr>
  </w:style>
  <w:style w:type="character" w:styleId="UnresolvedMention">
    <w:name w:val="Unresolved Mention"/>
    <w:basedOn w:val="DefaultParagraphFont"/>
    <w:uiPriority w:val="99"/>
    <w:semiHidden/>
    <w:unhideWhenUsed/>
    <w:rsid w:val="00B56287"/>
    <w:rPr>
      <w:color w:val="605E5C"/>
      <w:shd w:val="clear" w:color="auto" w:fill="E1DFDD"/>
    </w:rPr>
  </w:style>
  <w:style w:type="paragraph" w:styleId="Bibliography">
    <w:name w:val="Bibliography"/>
    <w:basedOn w:val="Normal"/>
    <w:next w:val="Normal"/>
    <w:uiPriority w:val="37"/>
    <w:unhideWhenUsed/>
    <w:rsid w:val="00196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259D8-B3E5-4135-9867-2DEE850DA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101</Pages>
  <Words>61807</Words>
  <Characters>352306</Characters>
  <Application>Microsoft Office Word</Application>
  <DocSecurity>0</DocSecurity>
  <Lines>2935</Lines>
  <Paragraphs>826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Shariare Mahmud</dc:creator>
  <cp:keywords/>
  <dc:description/>
  <cp:lastModifiedBy>Muhammad Enamul Haque</cp:lastModifiedBy>
  <cp:revision>27</cp:revision>
  <dcterms:created xsi:type="dcterms:W3CDTF">2026-06-18T16:13:00Z</dcterms:created>
  <dcterms:modified xsi:type="dcterms:W3CDTF">2026-07-28T04:04:00Z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cf135060-3546-447f-9484-8fe32a83821b</vt:lpwstr>
  </property>
  <property fmtid="{D5CDD505-2E9C-101B-9397-08002B2CF9AE}" pid="3" name="ZOTERO_PREF_1">
    <vt:lpwstr>&lt;data data-version="3" zotero-version="7.0.32"&gt;&lt;session id="dn2JDc0Q"/&gt;&lt;style id="http://www.zotero.org/styles/apa" locale="en-US" hasBibliography="1" bibliographyStyleHasBeenSet="1"/&gt;&lt;prefs&gt;&lt;pref name="fieldType" value="Field"/&gt;&lt;pref name="automaticJourn</vt:lpwstr>
  </property>
  <property fmtid="{D5CDD505-2E9C-101B-9397-08002B2CF9AE}" pid="4" name="ZOTERO_PREF_2">
    <vt:lpwstr>alAbbreviations" value="true"/&gt;&lt;/prefs&gt;&lt;/data&gt;</vt:lpwstr>
  </property>
</Properties>
</file>