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E785E4" w14:textId="77777777" w:rsidR="00946857" w:rsidRDefault="00946857"/>
    <w:p w14:paraId="6A08610E" w14:textId="77777777" w:rsidR="00170529" w:rsidRDefault="00170529">
      <w:pPr>
        <w:rPr>
          <w:noProof/>
          <w:color w:val="000000" w:themeColor="text1"/>
        </w:rPr>
      </w:pPr>
    </w:p>
    <w:sdt>
      <w:sdtPr>
        <w:id w:val="-615141083"/>
        <w:docPartObj>
          <w:docPartGallery w:val="Cover Pages"/>
          <w:docPartUnique/>
        </w:docPartObj>
      </w:sdtPr>
      <w:sdtEndPr>
        <w:rPr>
          <w:noProof/>
          <w:color w:val="000000" w:themeColor="text1"/>
        </w:rPr>
      </w:sdtEndPr>
      <w:sdtContent>
        <w:p w14:paraId="5E803F22" w14:textId="77777777" w:rsidR="00170529" w:rsidRDefault="00170529">
          <w:r>
            <w:rPr>
              <w:noProof/>
            </w:rPr>
            <mc:AlternateContent>
              <mc:Choice Requires="wpg">
                <w:drawing>
                  <wp:anchor distT="0" distB="0" distL="114300" distR="114300" simplePos="0" relativeHeight="251659264" behindDoc="1" locked="0" layoutInCell="1" allowOverlap="1" wp14:anchorId="3973E632" wp14:editId="2E52EF13">
                    <wp:simplePos x="0" y="0"/>
                    <wp:positionH relativeFrom="page">
                      <wp:align>center</wp:align>
                    </wp:positionH>
                    <wp:positionV relativeFrom="page">
                      <wp:align>center</wp:align>
                    </wp:positionV>
                    <wp:extent cx="6864824" cy="9123528"/>
                    <wp:effectExtent l="0" t="0" r="2540" b="635"/>
                    <wp:wrapNone/>
                    <wp:docPr id="193" name="Group 193"/>
                    <wp:cNvGraphicFramePr/>
                    <a:graphic xmlns:a="http://schemas.openxmlformats.org/drawingml/2006/main">
                      <a:graphicData uri="http://schemas.microsoft.com/office/word/2010/wordprocessingGroup">
                        <wpg:wgp>
                          <wpg:cNvGrpSpPr/>
                          <wpg:grpSpPr>
                            <a:xfrm>
                              <a:off x="0" y="0"/>
                              <a:ext cx="6864824" cy="9123528"/>
                              <a:chOff x="0" y="0"/>
                              <a:chExt cx="6864824" cy="9123528"/>
                            </a:xfrm>
                          </wpg:grpSpPr>
                          <wps:wsp>
                            <wps:cNvPr id="194" name="Rectangle 194"/>
                            <wps:cNvSpPr/>
                            <wps:spPr>
                              <a:xfrm>
                                <a:off x="0" y="0"/>
                                <a:ext cx="6858000" cy="13716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4AAFDC" w14:textId="77777777" w:rsidR="00816F2C" w:rsidRDefault="00816F2C">
                                  <w:pPr>
                                    <w:pStyle w:val="NoSpacing"/>
                                    <w:spacing w:before="120"/>
                                    <w:jc w:val="center"/>
                                    <w:rPr>
                                      <w:color w:val="FFFFFF" w:themeColor="background1"/>
                                    </w:rPr>
                                  </w:pPr>
                                </w:p>
                                <w:p w14:paraId="7C4970F9" w14:textId="77777777" w:rsidR="00816F2C" w:rsidRDefault="00816F2C">
                                  <w:pPr>
                                    <w:pStyle w:val="NoSpacing"/>
                                    <w:spacing w:before="120"/>
                                    <w:jc w:val="center"/>
                                    <w:rPr>
                                      <w:color w:val="FFFFFF" w:themeColor="background1"/>
                                    </w:rPr>
                                  </w:pPr>
                                  <w:r>
                                    <w:rPr>
                                      <w:color w:val="FFFFFF" w:themeColor="background1"/>
                                    </w:rPr>
                                    <w:t>  </w:t>
                                  </w:r>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824" y="1371600"/>
                                <a:ext cx="6858000" cy="2722728"/>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heme="majorHAnsi" w:eastAsiaTheme="majorEastAsia" w:hAnsiTheme="majorHAnsi" w:cstheme="majorBidi"/>
                                      <w:caps/>
                                      <w:color w:val="4F81BD" w:themeColor="accent1"/>
                                      <w:sz w:val="52"/>
                                      <w:szCs w:val="52"/>
                                    </w:rPr>
                                    <w:alias w:val="Title"/>
                                    <w:tag w:val=""/>
                                    <w:id w:val="-872227870"/>
                                    <w:dataBinding w:prefixMappings="xmlns:ns0='http://purl.org/dc/elements/1.1/' xmlns:ns1='http://schemas.openxmlformats.org/package/2006/metadata/core-properties' " w:xpath="/ns1:coreProperties[1]/ns0:title[1]" w:storeItemID="{6C3C8BC8-F283-45AE-878A-BAB7291924A1}"/>
                                    <w:text/>
                                  </w:sdtPr>
                                  <w:sdtContent>
                                    <w:p w14:paraId="4E30CCF9" w14:textId="77777777" w:rsidR="00816F2C" w:rsidRDefault="00816F2C">
                                      <w:pPr>
                                        <w:pStyle w:val="NoSpacing"/>
                                        <w:jc w:val="center"/>
                                        <w:rPr>
                                          <w:rFonts w:asciiTheme="majorHAnsi" w:eastAsiaTheme="majorEastAsia" w:hAnsiTheme="majorHAnsi" w:cstheme="majorBidi"/>
                                          <w:caps/>
                                          <w:color w:val="4F81BD" w:themeColor="accent1"/>
                                          <w:sz w:val="72"/>
                                          <w:szCs w:val="72"/>
                                        </w:rPr>
                                      </w:pPr>
                                      <w:r w:rsidRPr="00170529">
                                        <w:rPr>
                                          <w:rFonts w:asciiTheme="majorHAnsi" w:eastAsiaTheme="majorEastAsia" w:hAnsiTheme="majorHAnsi" w:cstheme="majorBidi"/>
                                          <w:caps/>
                                          <w:color w:val="4F81BD" w:themeColor="accent1"/>
                                          <w:sz w:val="52"/>
                                          <w:szCs w:val="52"/>
                                        </w:rPr>
                                        <w:t>Project Report on Financial Statement Analysis of Listed Private Conventional Banks of Bangladesh</w:t>
                                      </w:r>
                                    </w:p>
                                  </w:sdtContent>
                                </w:sdt>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3973E632" id="Group 193" o:spid="_x0000_s1026" style="position:absolute;margin-left:0;margin-top:0;width:540.55pt;height:718.4pt;z-index:-251657216;mso-width-percent:882;mso-height-percent:909;mso-position-horizontal:center;mso-position-horizontal-relative:page;mso-position-vertical:center;mso-position-vertical-relative:page;mso-width-percent:882;mso-height-percent:909" coordsize="68648,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">
                    <v:rect id="Rectangle 194" o:spid="_x0000_s1027" style="position:absolute;width:68580;height:137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" fillcolor="#4f81bd [3204]" stroked="f" strokeweight="2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" fillcolor="#4f81bd [3204]" stroked="f" strokeweight="2pt">
                      <v:textbox inset="36pt,57.6pt,36pt,36pt">
                        <w:txbxContent>
                          <w:p w14:paraId="704AAFDC" w14:textId="77777777" w:rsidR="00816F2C" w:rsidRDefault="00816F2C">
                            <w:pPr>
                              <w:pStyle w:val="NoSpacing"/>
                              <w:spacing w:before="120"/>
                              <w:jc w:val="center"/>
                              <w:rPr>
                                <w:color w:val="FFFFFF" w:themeColor="background1"/>
                              </w:rPr>
                            </w:pPr>
                          </w:p>
                          <w:p w14:paraId="7C4970F9" w14:textId="77777777" w:rsidR="00816F2C" w:rsidRDefault="00816F2C">
                            <w:pPr>
                              <w:pStyle w:val="NoSpacing"/>
                              <w:spacing w:before="120"/>
                              <w:jc w:val="center"/>
                              <w:rPr>
                                <w:color w:val="FFFFFF" w:themeColor="background1"/>
                              </w:rPr>
                            </w:pPr>
                            <w:r>
                              <w:rPr>
                                <w:color w:val="FFFFFF" w:themeColor="background1"/>
                              </w:rPr>
                              <w:t>  </w:t>
                            </w:r>
                          </w:p>
                        </w:txbxContent>
                      </v:textbox>
                    </v:rect>
                    <v:shapetype id="_x0000_t202" coordsize="21600,21600" o:spt="202" path="m,l,21600r21600,l21600,xe">
                      <v:stroke joinstyle="miter"/>
                      <v:path gradientshapeok="t" o:connecttype="rect"/>
                    </v:shapetype>
                    <v:shape id="Text Box 196" o:spid="_x0000_s1029" type="#_x0000_t202" style="position:absolute;left:68;top:13716;width:68580;height:2722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sdt>
                            <w:sdtPr>
                              <w:rPr>
                                <w:rFonts w:asciiTheme="majorHAnsi" w:eastAsiaTheme="majorEastAsia" w:hAnsiTheme="majorHAnsi" w:cstheme="majorBidi"/>
                                <w:caps/>
                                <w:color w:val="4F81BD" w:themeColor="accent1"/>
                                <w:sz w:val="52"/>
                                <w:szCs w:val="52"/>
                              </w:rPr>
                              <w:alias w:val="Title"/>
                              <w:tag w:val=""/>
                              <w:id w:val="-872227870"/>
                              <w:dataBinding w:prefixMappings="xmlns:ns0='http://purl.org/dc/elements/1.1/' xmlns:ns1='http://schemas.openxmlformats.org/package/2006/metadata/core-properties' " w:xpath="/ns1:coreProperties[1]/ns0:title[1]" w:storeItemID="{6C3C8BC8-F283-45AE-878A-BAB7291924A1}"/>
                              <w:text/>
                            </w:sdtPr>
                            <w:sdtContent>
                              <w:p w14:paraId="4E30CCF9" w14:textId="77777777" w:rsidR="00816F2C" w:rsidRDefault="00816F2C">
                                <w:pPr>
                                  <w:pStyle w:val="NoSpacing"/>
                                  <w:jc w:val="center"/>
                                  <w:rPr>
                                    <w:rFonts w:asciiTheme="majorHAnsi" w:eastAsiaTheme="majorEastAsia" w:hAnsiTheme="majorHAnsi" w:cstheme="majorBidi"/>
                                    <w:caps/>
                                    <w:color w:val="4F81BD" w:themeColor="accent1"/>
                                    <w:sz w:val="72"/>
                                    <w:szCs w:val="72"/>
                                  </w:rPr>
                                </w:pPr>
                                <w:r w:rsidRPr="00170529">
                                  <w:rPr>
                                    <w:rFonts w:asciiTheme="majorHAnsi" w:eastAsiaTheme="majorEastAsia" w:hAnsiTheme="majorHAnsi" w:cstheme="majorBidi"/>
                                    <w:caps/>
                                    <w:color w:val="4F81BD" w:themeColor="accent1"/>
                                    <w:sz w:val="52"/>
                                    <w:szCs w:val="52"/>
                                  </w:rPr>
                                  <w:t>Project Report on Financial Statement Analysis of Listed Private Conventional Banks of Bangladesh</w:t>
                                </w:r>
                              </w:p>
                            </w:sdtContent>
                          </w:sdt>
                        </w:txbxContent>
                      </v:textbox>
                    </v:shape>
                    <w10:wrap anchorx="page" anchory="page"/>
                  </v:group>
                </w:pict>
              </mc:Fallback>
            </mc:AlternateContent>
          </w:r>
        </w:p>
        <w:p w14:paraId="7902EE83" w14:textId="77777777" w:rsidR="00170529" w:rsidRDefault="00170529">
          <w:pPr>
            <w:rPr>
              <w:noProof/>
              <w:color w:val="000000" w:themeColor="text1"/>
            </w:rPr>
          </w:pPr>
          <w:r>
            <w:rPr>
              <w:noProof/>
              <w:color w:val="000000" w:themeColor="text1"/>
            </w:rPr>
            <w:br w:type="page"/>
          </w:r>
        </w:p>
      </w:sdtContent>
    </w:sdt>
    <w:p w14:paraId="00851EC4" w14:textId="77777777" w:rsidR="006E1189" w:rsidRDefault="00E90FAC" w:rsidP="006E1189">
      <w:pPr>
        <w:jc w:val="center"/>
        <w:rPr>
          <w:rFonts w:ascii="Times New Roman" w:hAnsi="Times New Roman" w:cs="Times New Roman"/>
          <w:b/>
          <w:sz w:val="56"/>
          <w:szCs w:val="56"/>
          <w:lang w:val="en-SG"/>
        </w:rPr>
      </w:pPr>
      <w:r>
        <w:rPr>
          <w:rFonts w:ascii="Times New Roman" w:hAnsi="Times New Roman" w:cs="Times New Roman"/>
          <w:b/>
          <w:noProof/>
          <w:sz w:val="72"/>
          <w:szCs w:val="72"/>
        </w:rPr>
        <w:lastRenderedPageBreak/>
        <w:drawing>
          <wp:inline distT="0" distB="0" distL="0" distR="0" wp14:anchorId="3EAA6D64" wp14:editId="2B3365BA">
            <wp:extent cx="1016000" cy="101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ownload.png"/>
                    <pic:cNvPicPr/>
                  </pic:nvPicPr>
                  <pic:blipFill>
                    <a:blip r:embed="rId8">
                      <a:extLst>
                        <a:ext uri="{28A0092B-C50C-407E-A947-70E740481C1C}">
                          <a14:useLocalDpi xmlns:a14="http://schemas.microsoft.com/office/drawing/2010/main" val="0"/>
                        </a:ext>
                      </a:extLst>
                    </a:blip>
                    <a:stretch>
                      <a:fillRect/>
                    </a:stretch>
                  </pic:blipFill>
                  <pic:spPr>
                    <a:xfrm>
                      <a:off x="0" y="0"/>
                      <a:ext cx="1126053" cy="1126053"/>
                    </a:xfrm>
                    <a:prstGeom prst="rect">
                      <a:avLst/>
                    </a:prstGeom>
                  </pic:spPr>
                </pic:pic>
              </a:graphicData>
            </a:graphic>
          </wp:inline>
        </w:drawing>
      </w:r>
      <w:r w:rsidR="006E1189" w:rsidRPr="00E90FAC">
        <w:rPr>
          <w:rFonts w:ascii="Times New Roman" w:hAnsi="Times New Roman" w:cs="Times New Roman"/>
          <w:b/>
          <w:sz w:val="56"/>
          <w:szCs w:val="56"/>
          <w:lang w:val="en-SG"/>
        </w:rPr>
        <w:t>United</w:t>
      </w:r>
      <w:r w:rsidR="006E1189" w:rsidRPr="00E90FAC">
        <w:rPr>
          <w:rFonts w:ascii="Times New Roman" w:hAnsi="Times New Roman" w:cs="Times New Roman"/>
          <w:sz w:val="56"/>
          <w:szCs w:val="56"/>
          <w:lang w:val="en-SG"/>
        </w:rPr>
        <w:t xml:space="preserve"> International </w:t>
      </w:r>
      <w:r w:rsidR="006E1189" w:rsidRPr="00E90FAC">
        <w:rPr>
          <w:rFonts w:ascii="Times New Roman" w:hAnsi="Times New Roman" w:cs="Times New Roman"/>
          <w:b/>
          <w:sz w:val="56"/>
          <w:szCs w:val="56"/>
          <w:lang w:val="en-SG"/>
        </w:rPr>
        <w:t>University</w:t>
      </w:r>
    </w:p>
    <w:p w14:paraId="0DF9EC65" w14:textId="77777777" w:rsidR="00E90FAC" w:rsidRDefault="00E90FAC" w:rsidP="006E1189">
      <w:pPr>
        <w:jc w:val="center"/>
        <w:rPr>
          <w:rFonts w:ascii="Times New Roman" w:hAnsi="Times New Roman" w:cs="Times New Roman"/>
          <w:b/>
          <w:sz w:val="56"/>
          <w:szCs w:val="56"/>
          <w:lang w:val="en-SG"/>
        </w:rPr>
      </w:pPr>
    </w:p>
    <w:p w14:paraId="47EE9218" w14:textId="77777777" w:rsidR="00E90FAC" w:rsidRPr="00DE74B3" w:rsidRDefault="00E90FAC" w:rsidP="006E1189">
      <w:pPr>
        <w:jc w:val="center"/>
        <w:rPr>
          <w:rFonts w:ascii="Times New Roman" w:hAnsi="Times New Roman" w:cs="Times New Roman"/>
          <w:sz w:val="48"/>
          <w:szCs w:val="56"/>
          <w:lang w:val="en-SG"/>
        </w:rPr>
      </w:pPr>
      <w:r w:rsidRPr="00DE74B3">
        <w:rPr>
          <w:rFonts w:ascii="Times New Roman" w:hAnsi="Times New Roman" w:cs="Times New Roman"/>
          <w:sz w:val="48"/>
          <w:szCs w:val="56"/>
          <w:lang w:val="en-SG"/>
        </w:rPr>
        <w:t>Course Code: AIS 4441</w:t>
      </w:r>
    </w:p>
    <w:p w14:paraId="266778ED" w14:textId="77777777" w:rsidR="00946857" w:rsidRDefault="00946857" w:rsidP="00E90FAC">
      <w:pPr>
        <w:jc w:val="center"/>
        <w:rPr>
          <w:rFonts w:ascii="Times New Roman" w:hAnsi="Times New Roman" w:cs="Times New Roman"/>
          <w:sz w:val="48"/>
          <w:szCs w:val="48"/>
          <w:lang w:val="en-SG"/>
        </w:rPr>
      </w:pPr>
      <w:r w:rsidRPr="00946857">
        <w:rPr>
          <w:rFonts w:ascii="Times New Roman" w:hAnsi="Times New Roman" w:cs="Times New Roman"/>
          <w:sz w:val="48"/>
          <w:szCs w:val="48"/>
          <w:lang w:val="en-SG"/>
        </w:rPr>
        <w:t xml:space="preserve">Financial Statement Analysis of Listed Private Conventional Banks of Bangladesh </w:t>
      </w:r>
    </w:p>
    <w:p w14:paraId="6A96E1EE" w14:textId="77777777" w:rsidR="00E90FAC" w:rsidRPr="00DE74B3" w:rsidRDefault="00E90FAC" w:rsidP="00E90FAC">
      <w:pPr>
        <w:jc w:val="center"/>
        <w:rPr>
          <w:rFonts w:ascii="Times New Roman" w:hAnsi="Times New Roman" w:cs="Times New Roman"/>
          <w:sz w:val="48"/>
          <w:szCs w:val="48"/>
          <w:u w:val="thick"/>
          <w:lang w:val="en-SG"/>
        </w:rPr>
      </w:pPr>
      <w:r w:rsidRPr="00DE74B3">
        <w:rPr>
          <w:rFonts w:ascii="Times New Roman" w:hAnsi="Times New Roman" w:cs="Times New Roman"/>
          <w:sz w:val="48"/>
          <w:szCs w:val="48"/>
          <w:u w:val="thick"/>
          <w:lang w:val="en-SG"/>
        </w:rPr>
        <w:t>Supervised by:</w:t>
      </w:r>
    </w:p>
    <w:p w14:paraId="39664C64" w14:textId="77777777" w:rsidR="00E90FAC" w:rsidRDefault="00E90FAC" w:rsidP="00E90FAC">
      <w:pPr>
        <w:jc w:val="center"/>
        <w:rPr>
          <w:sz w:val="32"/>
          <w:szCs w:val="32"/>
        </w:rPr>
      </w:pPr>
      <w:r>
        <w:rPr>
          <w:sz w:val="32"/>
          <w:szCs w:val="32"/>
        </w:rPr>
        <w:t>Md.Abdullah Babu</w:t>
      </w:r>
    </w:p>
    <w:p w14:paraId="248D6582" w14:textId="77777777" w:rsidR="00E90FAC" w:rsidRPr="00E90FAC" w:rsidRDefault="00E90FAC" w:rsidP="00E90FAC">
      <w:pPr>
        <w:jc w:val="center"/>
        <w:rPr>
          <w:rFonts w:ascii="Times New Roman" w:hAnsi="Times New Roman" w:cs="Times New Roman"/>
          <w:sz w:val="32"/>
          <w:szCs w:val="32"/>
          <w:lang w:val="en-SG"/>
        </w:rPr>
      </w:pPr>
      <w:r w:rsidRPr="00E90FAC">
        <w:rPr>
          <w:rFonts w:ascii="Times New Roman" w:hAnsi="Times New Roman" w:cs="Times New Roman"/>
          <w:sz w:val="32"/>
          <w:szCs w:val="32"/>
          <w:lang w:val="en-SG"/>
        </w:rPr>
        <w:t>Assistant Professor</w:t>
      </w:r>
    </w:p>
    <w:p w14:paraId="5F7BE326" w14:textId="77777777" w:rsidR="00E90FAC" w:rsidRDefault="00E90FAC" w:rsidP="00E90FAC">
      <w:pPr>
        <w:jc w:val="center"/>
        <w:rPr>
          <w:rFonts w:ascii="Times New Roman" w:hAnsi="Times New Roman" w:cs="Times New Roman"/>
          <w:sz w:val="32"/>
          <w:szCs w:val="32"/>
          <w:lang w:val="en-SG"/>
        </w:rPr>
      </w:pPr>
      <w:r w:rsidRPr="00E90FAC">
        <w:rPr>
          <w:rFonts w:ascii="Times New Roman" w:hAnsi="Times New Roman" w:cs="Times New Roman"/>
          <w:sz w:val="32"/>
          <w:szCs w:val="32"/>
          <w:lang w:val="en-SG"/>
        </w:rPr>
        <w:t>School of Business &amp; Economics (SoBE)</w:t>
      </w:r>
    </w:p>
    <w:p w14:paraId="2EC6081D" w14:textId="77777777" w:rsidR="00E90FAC" w:rsidRPr="00DE74B3" w:rsidRDefault="00E90FAC" w:rsidP="00E90FAC">
      <w:pPr>
        <w:jc w:val="center"/>
        <w:rPr>
          <w:rFonts w:ascii="Times New Roman" w:hAnsi="Times New Roman" w:cs="Times New Roman"/>
          <w:sz w:val="48"/>
          <w:szCs w:val="32"/>
          <w:u w:val="thick"/>
          <w:lang w:val="en-SG"/>
        </w:rPr>
      </w:pPr>
      <w:r w:rsidRPr="00DE74B3">
        <w:rPr>
          <w:rFonts w:ascii="Times New Roman" w:hAnsi="Times New Roman" w:cs="Times New Roman"/>
          <w:sz w:val="48"/>
          <w:szCs w:val="32"/>
          <w:u w:val="thick"/>
          <w:lang w:val="en-SG"/>
        </w:rPr>
        <w:t>Submitted by:</w:t>
      </w:r>
    </w:p>
    <w:p w14:paraId="7E321C2B" w14:textId="77777777" w:rsidR="00E90FAC" w:rsidRPr="00E90FAC" w:rsidRDefault="00E90FAC" w:rsidP="00E90FAC">
      <w:pPr>
        <w:jc w:val="center"/>
        <w:rPr>
          <w:rFonts w:ascii="Times New Roman" w:hAnsi="Times New Roman" w:cs="Times New Roman"/>
          <w:sz w:val="32"/>
          <w:szCs w:val="32"/>
          <w:lang w:val="en-SG"/>
        </w:rPr>
      </w:pPr>
      <w:r>
        <w:rPr>
          <w:rFonts w:ascii="Times New Roman" w:hAnsi="Times New Roman" w:cs="Times New Roman"/>
          <w:sz w:val="32"/>
          <w:szCs w:val="32"/>
          <w:lang w:val="en-SG"/>
        </w:rPr>
        <w:t>Faria Afroz</w:t>
      </w:r>
    </w:p>
    <w:p w14:paraId="636FA371" w14:textId="77777777" w:rsidR="00E90FAC" w:rsidRPr="00E90FAC" w:rsidRDefault="00E90FAC" w:rsidP="00E90FAC">
      <w:pPr>
        <w:jc w:val="center"/>
        <w:rPr>
          <w:rFonts w:ascii="Times New Roman" w:hAnsi="Times New Roman" w:cs="Times New Roman"/>
          <w:sz w:val="32"/>
          <w:szCs w:val="32"/>
          <w:lang w:val="en-SG"/>
        </w:rPr>
      </w:pPr>
      <w:r>
        <w:rPr>
          <w:rFonts w:ascii="Times New Roman" w:hAnsi="Times New Roman" w:cs="Times New Roman"/>
          <w:sz w:val="32"/>
          <w:szCs w:val="32"/>
          <w:lang w:val="en-SG"/>
        </w:rPr>
        <w:t>ID: 114 171 019</w:t>
      </w:r>
    </w:p>
    <w:p w14:paraId="4CDE0FC6" w14:textId="77777777" w:rsidR="00E90FAC" w:rsidRPr="00E90FAC" w:rsidRDefault="00E90FAC" w:rsidP="00E90FAC">
      <w:pPr>
        <w:jc w:val="center"/>
        <w:rPr>
          <w:rFonts w:ascii="Times New Roman" w:hAnsi="Times New Roman" w:cs="Times New Roman"/>
          <w:sz w:val="32"/>
          <w:szCs w:val="32"/>
          <w:lang w:val="en-SG"/>
        </w:rPr>
      </w:pPr>
      <w:r w:rsidRPr="00E90FAC">
        <w:rPr>
          <w:rFonts w:ascii="Times New Roman" w:hAnsi="Times New Roman" w:cs="Times New Roman"/>
          <w:sz w:val="32"/>
          <w:szCs w:val="32"/>
          <w:lang w:val="en-SG"/>
        </w:rPr>
        <w:t>Bachelor of Business Administration in Accounting &amp; Information Systems (BBA in AIS)</w:t>
      </w:r>
    </w:p>
    <w:p w14:paraId="7E100414" w14:textId="77777777" w:rsidR="00E90FAC" w:rsidRDefault="00E90FAC" w:rsidP="00E90FAC">
      <w:pPr>
        <w:jc w:val="center"/>
        <w:rPr>
          <w:rFonts w:ascii="Times New Roman" w:hAnsi="Times New Roman" w:cs="Times New Roman"/>
          <w:sz w:val="32"/>
          <w:szCs w:val="32"/>
          <w:lang w:val="en-SG"/>
        </w:rPr>
      </w:pPr>
      <w:r>
        <w:rPr>
          <w:rFonts w:ascii="Times New Roman" w:hAnsi="Times New Roman" w:cs="Times New Roman"/>
          <w:sz w:val="32"/>
          <w:szCs w:val="32"/>
          <w:lang w:val="en-SG"/>
        </w:rPr>
        <w:t xml:space="preserve">Trimester: Summer </w:t>
      </w:r>
      <w:r w:rsidRPr="00E90FAC">
        <w:rPr>
          <w:rFonts w:ascii="Times New Roman" w:hAnsi="Times New Roman" w:cs="Times New Roman"/>
          <w:sz w:val="32"/>
          <w:szCs w:val="32"/>
          <w:lang w:val="en-SG"/>
        </w:rPr>
        <w:t>2020</w:t>
      </w:r>
    </w:p>
    <w:p w14:paraId="47797BB6" w14:textId="166FAAD2" w:rsidR="00E90FAC" w:rsidRPr="00DE74B3" w:rsidRDefault="00E90FAC" w:rsidP="00E90FAC">
      <w:pPr>
        <w:jc w:val="center"/>
        <w:rPr>
          <w:rFonts w:ascii="Times New Roman" w:hAnsi="Times New Roman" w:cs="Times New Roman"/>
          <w:sz w:val="48"/>
          <w:szCs w:val="48"/>
          <w:lang w:val="en-SG"/>
        </w:rPr>
      </w:pPr>
      <w:r w:rsidRPr="00DE74B3">
        <w:rPr>
          <w:rFonts w:ascii="Times New Roman" w:hAnsi="Times New Roman" w:cs="Times New Roman"/>
          <w:sz w:val="48"/>
          <w:szCs w:val="48"/>
          <w:lang w:val="en-SG"/>
        </w:rPr>
        <w:t xml:space="preserve">Date of Submission: </w:t>
      </w:r>
      <w:r w:rsidR="00EB33AE">
        <w:rPr>
          <w:rFonts w:ascii="Times New Roman" w:hAnsi="Times New Roman" w:cs="Times New Roman"/>
          <w:sz w:val="32"/>
          <w:szCs w:val="32"/>
          <w:lang w:val="en-SG"/>
        </w:rPr>
        <w:t>12</w:t>
      </w:r>
      <w:r w:rsidR="008737FE" w:rsidRPr="008737FE">
        <w:rPr>
          <w:rFonts w:ascii="Times New Roman" w:hAnsi="Times New Roman" w:cs="Times New Roman"/>
          <w:sz w:val="32"/>
          <w:szCs w:val="32"/>
          <w:lang w:val="en-SG"/>
        </w:rPr>
        <w:t xml:space="preserve"> </w:t>
      </w:r>
      <w:r w:rsidR="009F71F1" w:rsidRPr="008737FE">
        <w:rPr>
          <w:rFonts w:ascii="Times New Roman" w:hAnsi="Times New Roman" w:cs="Times New Roman"/>
          <w:sz w:val="32"/>
          <w:szCs w:val="32"/>
          <w:lang w:val="en-SG"/>
        </w:rPr>
        <w:t>October</w:t>
      </w:r>
      <w:r w:rsidR="008737FE" w:rsidRPr="008737FE">
        <w:rPr>
          <w:rFonts w:ascii="Times New Roman" w:hAnsi="Times New Roman" w:cs="Times New Roman"/>
          <w:sz w:val="32"/>
          <w:szCs w:val="32"/>
          <w:lang w:val="en-SG"/>
        </w:rPr>
        <w:t xml:space="preserve"> 2020</w:t>
      </w:r>
    </w:p>
    <w:p w14:paraId="1A8BC61E" w14:textId="77777777" w:rsidR="00E53487" w:rsidRDefault="00E53487">
      <w:pPr>
        <w:rPr>
          <w:rFonts w:ascii="Times New Roman" w:hAnsi="Times New Roman" w:cs="Times New Roman"/>
          <w:sz w:val="24"/>
          <w:szCs w:val="24"/>
          <w:lang w:val="en-SG"/>
        </w:rPr>
      </w:pPr>
      <w:r>
        <w:rPr>
          <w:rFonts w:ascii="Times New Roman" w:hAnsi="Times New Roman" w:cs="Times New Roman"/>
          <w:sz w:val="24"/>
          <w:szCs w:val="24"/>
          <w:lang w:val="en-SG"/>
        </w:rPr>
        <w:br w:type="page"/>
      </w:r>
    </w:p>
    <w:p w14:paraId="7F3C2DEF" w14:textId="77777777" w:rsidR="00937C80" w:rsidRPr="00585906" w:rsidRDefault="006E7C7A" w:rsidP="00585906">
      <w:pPr>
        <w:pStyle w:val="Heading1"/>
        <w:numPr>
          <w:ilvl w:val="0"/>
          <w:numId w:val="0"/>
        </w:numPr>
        <w:ind w:left="432" w:hanging="432"/>
        <w:rPr>
          <w:b/>
          <w:lang w:val="en-SG"/>
        </w:rPr>
      </w:pPr>
      <w:bookmarkStart w:id="0" w:name="_Toc53357677"/>
      <w:r w:rsidRPr="00585906">
        <w:rPr>
          <w:b/>
          <w:lang w:val="en-SG"/>
        </w:rPr>
        <w:lastRenderedPageBreak/>
        <w:t>ACKNOWLEDGEMENT</w:t>
      </w:r>
      <w:bookmarkEnd w:id="0"/>
      <w:r w:rsidR="00937C80" w:rsidRPr="00585906">
        <w:rPr>
          <w:b/>
          <w:lang w:val="en-SG"/>
        </w:rPr>
        <w:t xml:space="preserve"> </w:t>
      </w:r>
    </w:p>
    <w:p w14:paraId="42BB1D24" w14:textId="77777777" w:rsidR="00585906" w:rsidRPr="00585906" w:rsidRDefault="00585906" w:rsidP="00585906">
      <w:pPr>
        <w:rPr>
          <w:lang w:val="en-SG"/>
        </w:rPr>
      </w:pPr>
    </w:p>
    <w:p w14:paraId="1F59B689" w14:textId="2B1A62C0" w:rsidR="00937C80" w:rsidRPr="00937C80" w:rsidRDefault="00937C80" w:rsidP="00B16B64">
      <w:pPr>
        <w:spacing w:line="360" w:lineRule="auto"/>
        <w:jc w:val="both"/>
        <w:rPr>
          <w:rFonts w:ascii="Times New Roman" w:hAnsi="Times New Roman" w:cs="Times New Roman"/>
          <w:sz w:val="24"/>
          <w:szCs w:val="24"/>
          <w:lang w:val="en-SG"/>
        </w:rPr>
      </w:pPr>
      <w:r w:rsidRPr="00937C80">
        <w:rPr>
          <w:rFonts w:ascii="Times New Roman" w:hAnsi="Times New Roman" w:cs="Times New Roman"/>
          <w:sz w:val="24"/>
          <w:szCs w:val="24"/>
          <w:lang w:val="en-SG"/>
        </w:rPr>
        <w:t>It is a great contentment to express my deep sense o</w:t>
      </w:r>
      <w:r>
        <w:rPr>
          <w:rFonts w:ascii="Times New Roman" w:hAnsi="Times New Roman" w:cs="Times New Roman"/>
          <w:sz w:val="24"/>
          <w:szCs w:val="24"/>
          <w:lang w:val="en-SG"/>
        </w:rPr>
        <w:t xml:space="preserve">f gratitude to my honourable </w:t>
      </w:r>
      <w:r w:rsidR="005B348F">
        <w:rPr>
          <w:rFonts w:ascii="Times New Roman" w:hAnsi="Times New Roman" w:cs="Times New Roman"/>
          <w:sz w:val="24"/>
          <w:szCs w:val="24"/>
          <w:lang w:val="en-SG"/>
        </w:rPr>
        <w:t>s</w:t>
      </w:r>
      <w:r w:rsidR="005B348F" w:rsidRPr="00937C80">
        <w:rPr>
          <w:rFonts w:ascii="Times New Roman" w:hAnsi="Times New Roman" w:cs="Times New Roman"/>
          <w:sz w:val="24"/>
          <w:szCs w:val="24"/>
          <w:lang w:val="en-SG"/>
        </w:rPr>
        <w:t>uperviso</w:t>
      </w:r>
      <w:r w:rsidR="005B348F">
        <w:rPr>
          <w:rFonts w:ascii="Times New Roman" w:hAnsi="Times New Roman" w:cs="Times New Roman"/>
          <w:sz w:val="24"/>
          <w:szCs w:val="24"/>
          <w:lang w:val="en-SG"/>
        </w:rPr>
        <w:t>r</w:t>
      </w:r>
      <w:r>
        <w:rPr>
          <w:rFonts w:ascii="Times New Roman" w:hAnsi="Times New Roman" w:cs="Times New Roman"/>
          <w:sz w:val="24"/>
          <w:szCs w:val="24"/>
          <w:lang w:val="en-SG"/>
        </w:rPr>
        <w:t xml:space="preserve"> </w:t>
      </w:r>
      <w:r w:rsidRPr="00937C80">
        <w:rPr>
          <w:rFonts w:ascii="Times New Roman" w:hAnsi="Times New Roman" w:cs="Times New Roman"/>
          <w:sz w:val="24"/>
          <w:szCs w:val="24"/>
          <w:lang w:val="en-SG"/>
        </w:rPr>
        <w:t>Md.Abdullah Babu</w:t>
      </w:r>
      <w:r>
        <w:rPr>
          <w:rFonts w:ascii="Times New Roman" w:hAnsi="Times New Roman" w:cs="Times New Roman"/>
          <w:sz w:val="24"/>
          <w:szCs w:val="24"/>
          <w:lang w:val="en-SG"/>
        </w:rPr>
        <w:t>, Assistant Professor,</w:t>
      </w:r>
      <w:r w:rsidRPr="00937C80">
        <w:rPr>
          <w:rFonts w:ascii="Times New Roman" w:hAnsi="Times New Roman" w:cs="Times New Roman"/>
          <w:sz w:val="24"/>
          <w:szCs w:val="24"/>
          <w:lang w:val="en-SG"/>
        </w:rPr>
        <w:t xml:space="preserve"> School of Business &amp; Economics, United International University for giving me an opportunity to</w:t>
      </w:r>
      <w:r>
        <w:rPr>
          <w:rFonts w:ascii="Times New Roman" w:hAnsi="Times New Roman" w:cs="Times New Roman"/>
          <w:sz w:val="24"/>
          <w:szCs w:val="24"/>
          <w:lang w:val="en-SG"/>
        </w:rPr>
        <w:t xml:space="preserve"> prepare a report on “</w:t>
      </w:r>
      <w:r w:rsidR="00946857" w:rsidRPr="00946857">
        <w:rPr>
          <w:rFonts w:ascii="Times New Roman" w:hAnsi="Times New Roman" w:cs="Times New Roman"/>
          <w:sz w:val="24"/>
          <w:szCs w:val="24"/>
          <w:lang w:val="en-SG"/>
        </w:rPr>
        <w:t>Financial Statement Analysis of Listed Private Conventional Banks of Bangladesh</w:t>
      </w:r>
      <w:r w:rsidRPr="00937C80">
        <w:rPr>
          <w:rFonts w:ascii="Times New Roman" w:hAnsi="Times New Roman" w:cs="Times New Roman"/>
          <w:sz w:val="24"/>
          <w:szCs w:val="24"/>
          <w:lang w:val="en-SG"/>
        </w:rPr>
        <w:t>” as a pa</w:t>
      </w:r>
      <w:r>
        <w:rPr>
          <w:rFonts w:ascii="Times New Roman" w:hAnsi="Times New Roman" w:cs="Times New Roman"/>
          <w:sz w:val="24"/>
          <w:szCs w:val="24"/>
          <w:lang w:val="en-SG"/>
        </w:rPr>
        <w:t>rt of my project</w:t>
      </w:r>
      <w:r w:rsidRPr="00937C80">
        <w:rPr>
          <w:rFonts w:ascii="Times New Roman" w:hAnsi="Times New Roman" w:cs="Times New Roman"/>
          <w:sz w:val="24"/>
          <w:szCs w:val="24"/>
          <w:lang w:val="en-SG"/>
        </w:rPr>
        <w:t>.</w:t>
      </w:r>
      <w:r w:rsidR="00B16B64">
        <w:rPr>
          <w:rFonts w:ascii="Times New Roman" w:hAnsi="Times New Roman" w:cs="Times New Roman"/>
          <w:sz w:val="24"/>
          <w:szCs w:val="24"/>
          <w:lang w:val="en-SG"/>
        </w:rPr>
        <w:t xml:space="preserve"> </w:t>
      </w:r>
    </w:p>
    <w:p w14:paraId="4FBC720C" w14:textId="77777777" w:rsidR="00937C80" w:rsidRPr="00937C80" w:rsidRDefault="00937C80" w:rsidP="00B16B64">
      <w:pPr>
        <w:spacing w:line="360" w:lineRule="auto"/>
        <w:jc w:val="both"/>
        <w:rPr>
          <w:rFonts w:ascii="Times New Roman" w:hAnsi="Times New Roman" w:cs="Times New Roman"/>
          <w:sz w:val="24"/>
          <w:szCs w:val="24"/>
          <w:lang w:val="en-SG"/>
        </w:rPr>
      </w:pPr>
      <w:r w:rsidRPr="00937C80">
        <w:rPr>
          <w:rFonts w:ascii="Times New Roman" w:hAnsi="Times New Roman" w:cs="Times New Roman"/>
          <w:sz w:val="24"/>
          <w:szCs w:val="24"/>
          <w:lang w:val="en-SG"/>
        </w:rPr>
        <w:t xml:space="preserve">My </w:t>
      </w:r>
      <w:r w:rsidR="00B16B64" w:rsidRPr="00937C80">
        <w:rPr>
          <w:rFonts w:ascii="Times New Roman" w:hAnsi="Times New Roman" w:cs="Times New Roman"/>
          <w:sz w:val="24"/>
          <w:szCs w:val="24"/>
          <w:lang w:val="en-SG"/>
        </w:rPr>
        <w:t>honourable</w:t>
      </w:r>
      <w:r w:rsidRPr="00937C80">
        <w:rPr>
          <w:rFonts w:ascii="Times New Roman" w:hAnsi="Times New Roman" w:cs="Times New Roman"/>
          <w:sz w:val="24"/>
          <w:szCs w:val="24"/>
          <w:lang w:val="en-SG"/>
        </w:rPr>
        <w:t xml:space="preserve"> course teacher helped me on my report every way possible. He taught me basic and core things</w:t>
      </w:r>
      <w:r w:rsidR="00B16B64">
        <w:rPr>
          <w:rFonts w:ascii="Times New Roman" w:hAnsi="Times New Roman" w:cs="Times New Roman"/>
          <w:sz w:val="24"/>
          <w:szCs w:val="24"/>
          <w:lang w:val="en-SG"/>
        </w:rPr>
        <w:t xml:space="preserve"> and of making a report and guided me </w:t>
      </w:r>
      <w:r w:rsidRPr="00937C80">
        <w:rPr>
          <w:rFonts w:ascii="Times New Roman" w:hAnsi="Times New Roman" w:cs="Times New Roman"/>
          <w:sz w:val="24"/>
          <w:szCs w:val="24"/>
          <w:lang w:val="en-SG"/>
        </w:rPr>
        <w:t xml:space="preserve">that help me to make this report successfully. </w:t>
      </w:r>
    </w:p>
    <w:p w14:paraId="0B700CC1" w14:textId="77777777" w:rsidR="00937C80" w:rsidRPr="00937C80" w:rsidRDefault="00937C80" w:rsidP="00B16B64">
      <w:pPr>
        <w:spacing w:line="360" w:lineRule="auto"/>
        <w:jc w:val="both"/>
        <w:rPr>
          <w:rFonts w:ascii="Times New Roman" w:hAnsi="Times New Roman" w:cs="Times New Roman"/>
          <w:sz w:val="24"/>
          <w:szCs w:val="24"/>
          <w:lang w:val="en-SG"/>
        </w:rPr>
      </w:pPr>
      <w:r w:rsidRPr="00937C80">
        <w:rPr>
          <w:rFonts w:ascii="Times New Roman" w:hAnsi="Times New Roman" w:cs="Times New Roman"/>
          <w:sz w:val="24"/>
          <w:szCs w:val="24"/>
          <w:lang w:val="en-SG"/>
        </w:rPr>
        <w:t xml:space="preserve">I am also grateful to all the people who helped me to collect the information regarding the report. </w:t>
      </w:r>
    </w:p>
    <w:p w14:paraId="64A60C25" w14:textId="3C6BFA55" w:rsidR="006E7C7A" w:rsidRDefault="009F71F1" w:rsidP="00B16B64">
      <w:pPr>
        <w:spacing w:line="360" w:lineRule="auto"/>
        <w:jc w:val="both"/>
        <w:rPr>
          <w:rFonts w:ascii="Times New Roman" w:hAnsi="Times New Roman" w:cs="Times New Roman"/>
          <w:sz w:val="24"/>
          <w:szCs w:val="24"/>
          <w:lang w:val="en-SG"/>
        </w:rPr>
      </w:pPr>
      <w:r w:rsidRPr="00937C80">
        <w:rPr>
          <w:rFonts w:ascii="Times New Roman" w:hAnsi="Times New Roman" w:cs="Times New Roman"/>
          <w:sz w:val="24"/>
          <w:szCs w:val="24"/>
          <w:lang w:val="en-SG"/>
        </w:rPr>
        <w:t>Finally,</w:t>
      </w:r>
      <w:r w:rsidR="00937C80" w:rsidRPr="00937C80">
        <w:rPr>
          <w:rFonts w:ascii="Times New Roman" w:hAnsi="Times New Roman" w:cs="Times New Roman"/>
          <w:sz w:val="24"/>
          <w:szCs w:val="24"/>
          <w:lang w:val="en-SG"/>
        </w:rPr>
        <w:t xml:space="preserve"> I want to pay my gratitude to my course teacher again for giving me the greatest opportunity to work on such a topic that will be </w:t>
      </w:r>
      <w:r w:rsidR="00B86648" w:rsidRPr="00937C80">
        <w:rPr>
          <w:rFonts w:ascii="Times New Roman" w:hAnsi="Times New Roman" w:cs="Times New Roman"/>
          <w:sz w:val="24"/>
          <w:szCs w:val="24"/>
          <w:lang w:val="en-SG"/>
        </w:rPr>
        <w:t>immensely helpful</w:t>
      </w:r>
      <w:r w:rsidR="00937C80" w:rsidRPr="00937C80">
        <w:rPr>
          <w:rFonts w:ascii="Times New Roman" w:hAnsi="Times New Roman" w:cs="Times New Roman"/>
          <w:sz w:val="24"/>
          <w:szCs w:val="24"/>
          <w:lang w:val="en-SG"/>
        </w:rPr>
        <w:t xml:space="preserve"> in my future.</w:t>
      </w:r>
    </w:p>
    <w:p w14:paraId="512CE4F2" w14:textId="77777777" w:rsidR="006E7C7A" w:rsidRDefault="006E7C7A">
      <w:pPr>
        <w:rPr>
          <w:rFonts w:ascii="Times New Roman" w:hAnsi="Times New Roman" w:cs="Times New Roman"/>
          <w:sz w:val="24"/>
          <w:szCs w:val="24"/>
          <w:lang w:val="en-SG"/>
        </w:rPr>
      </w:pPr>
      <w:r>
        <w:rPr>
          <w:rFonts w:ascii="Times New Roman" w:hAnsi="Times New Roman" w:cs="Times New Roman"/>
          <w:sz w:val="24"/>
          <w:szCs w:val="24"/>
          <w:lang w:val="en-SG"/>
        </w:rPr>
        <w:br w:type="page"/>
      </w:r>
    </w:p>
    <w:p w14:paraId="4257FB45" w14:textId="77777777" w:rsidR="00937C80" w:rsidRPr="00585906" w:rsidRDefault="006E7C7A" w:rsidP="00585906">
      <w:pPr>
        <w:pStyle w:val="Heading1"/>
        <w:numPr>
          <w:ilvl w:val="0"/>
          <w:numId w:val="0"/>
        </w:numPr>
        <w:ind w:left="432" w:hanging="432"/>
        <w:rPr>
          <w:b/>
          <w:lang w:val="en-SG"/>
        </w:rPr>
      </w:pPr>
      <w:bookmarkStart w:id="1" w:name="_Toc53357678"/>
      <w:r w:rsidRPr="00585906">
        <w:rPr>
          <w:b/>
          <w:lang w:val="en-SG"/>
        </w:rPr>
        <w:lastRenderedPageBreak/>
        <w:t>LETTER OF TRANSMITTAL</w:t>
      </w:r>
      <w:bookmarkEnd w:id="1"/>
      <w:r w:rsidRPr="00585906">
        <w:rPr>
          <w:b/>
          <w:lang w:val="en-SG"/>
        </w:rPr>
        <w:t xml:space="preserve"> </w:t>
      </w:r>
    </w:p>
    <w:p w14:paraId="444F5A5C" w14:textId="77777777" w:rsidR="006E7C7A" w:rsidRPr="00585906" w:rsidRDefault="00EB33AE" w:rsidP="00585906">
      <w:pPr>
        <w:spacing w:line="360" w:lineRule="auto"/>
        <w:jc w:val="both"/>
        <w:rPr>
          <w:rFonts w:ascii="Times New Roman" w:hAnsi="Times New Roman" w:cs="Times New Roman"/>
          <w:sz w:val="24"/>
          <w:szCs w:val="24"/>
          <w:lang w:val="en-SG"/>
        </w:rPr>
      </w:pPr>
      <w:r>
        <w:rPr>
          <w:rFonts w:ascii="Times New Roman" w:hAnsi="Times New Roman" w:cs="Times New Roman"/>
          <w:sz w:val="24"/>
          <w:szCs w:val="24"/>
          <w:lang w:val="en-SG"/>
        </w:rPr>
        <w:t>12</w:t>
      </w:r>
      <w:r w:rsidR="008737FE" w:rsidRPr="00585906">
        <w:rPr>
          <w:rFonts w:ascii="Times New Roman" w:hAnsi="Times New Roman" w:cs="Times New Roman"/>
          <w:sz w:val="24"/>
          <w:szCs w:val="24"/>
          <w:lang w:val="en-SG"/>
        </w:rPr>
        <w:t xml:space="preserve"> October, 2020</w:t>
      </w:r>
    </w:p>
    <w:p w14:paraId="334A6286" w14:textId="77777777" w:rsidR="006E7C7A" w:rsidRPr="00585906" w:rsidRDefault="006E7C7A" w:rsidP="00585906">
      <w:pPr>
        <w:spacing w:line="360" w:lineRule="auto"/>
        <w:jc w:val="both"/>
        <w:rPr>
          <w:rFonts w:ascii="Times New Roman" w:hAnsi="Times New Roman" w:cs="Times New Roman"/>
          <w:sz w:val="24"/>
          <w:szCs w:val="24"/>
          <w:lang w:val="en-SG"/>
        </w:rPr>
      </w:pPr>
      <w:r w:rsidRPr="00585906">
        <w:rPr>
          <w:rFonts w:ascii="Times New Roman" w:hAnsi="Times New Roman" w:cs="Times New Roman"/>
          <w:sz w:val="24"/>
          <w:szCs w:val="24"/>
          <w:lang w:val="en-SG"/>
        </w:rPr>
        <w:t>To</w:t>
      </w:r>
    </w:p>
    <w:p w14:paraId="47B2861F" w14:textId="77777777" w:rsidR="006E7C7A" w:rsidRPr="00585906" w:rsidRDefault="006E7C7A" w:rsidP="00585906">
      <w:pPr>
        <w:spacing w:line="360" w:lineRule="auto"/>
        <w:jc w:val="both"/>
        <w:rPr>
          <w:rFonts w:ascii="Times New Roman" w:hAnsi="Times New Roman" w:cs="Times New Roman"/>
          <w:sz w:val="24"/>
          <w:szCs w:val="24"/>
          <w:lang w:val="en-SG"/>
        </w:rPr>
      </w:pPr>
      <w:r w:rsidRPr="00585906">
        <w:rPr>
          <w:rFonts w:ascii="Times New Roman" w:hAnsi="Times New Roman" w:cs="Times New Roman"/>
          <w:sz w:val="24"/>
          <w:szCs w:val="24"/>
          <w:lang w:val="en-SG"/>
        </w:rPr>
        <w:t>Md. Abdullah Babu</w:t>
      </w:r>
    </w:p>
    <w:p w14:paraId="26D02C21" w14:textId="77777777" w:rsidR="006E7C7A" w:rsidRPr="00585906" w:rsidRDefault="006E7C7A" w:rsidP="00585906">
      <w:pPr>
        <w:spacing w:line="360" w:lineRule="auto"/>
        <w:jc w:val="both"/>
        <w:rPr>
          <w:rFonts w:ascii="Times New Roman" w:hAnsi="Times New Roman" w:cs="Times New Roman"/>
          <w:sz w:val="24"/>
          <w:szCs w:val="24"/>
          <w:lang w:val="en-SG"/>
        </w:rPr>
      </w:pPr>
      <w:r w:rsidRPr="00585906">
        <w:rPr>
          <w:rFonts w:ascii="Times New Roman" w:hAnsi="Times New Roman" w:cs="Times New Roman"/>
          <w:sz w:val="24"/>
          <w:szCs w:val="24"/>
          <w:lang w:val="en-SG"/>
        </w:rPr>
        <w:t>Assistant Professor</w:t>
      </w:r>
    </w:p>
    <w:p w14:paraId="1B39B1CD" w14:textId="77777777" w:rsidR="006E7C7A" w:rsidRPr="00585906" w:rsidRDefault="006E7C7A" w:rsidP="00585906">
      <w:pPr>
        <w:spacing w:line="360" w:lineRule="auto"/>
        <w:jc w:val="both"/>
        <w:rPr>
          <w:rFonts w:ascii="Times New Roman" w:hAnsi="Times New Roman" w:cs="Times New Roman"/>
          <w:sz w:val="24"/>
          <w:szCs w:val="24"/>
          <w:lang w:val="en-SG"/>
        </w:rPr>
      </w:pPr>
      <w:r w:rsidRPr="00585906">
        <w:rPr>
          <w:rFonts w:ascii="Times New Roman" w:hAnsi="Times New Roman" w:cs="Times New Roman"/>
          <w:sz w:val="24"/>
          <w:szCs w:val="24"/>
          <w:lang w:val="en-SG"/>
        </w:rPr>
        <w:t>School of Business &amp; Economics (SoBE), United International University</w:t>
      </w:r>
    </w:p>
    <w:p w14:paraId="0F66C7B6" w14:textId="77777777" w:rsidR="00946857" w:rsidRPr="00585906" w:rsidRDefault="006E7C7A" w:rsidP="00585906">
      <w:pPr>
        <w:spacing w:line="360" w:lineRule="auto"/>
        <w:jc w:val="both"/>
        <w:rPr>
          <w:rFonts w:ascii="Times New Roman" w:hAnsi="Times New Roman" w:cs="Times New Roman"/>
          <w:sz w:val="24"/>
          <w:szCs w:val="24"/>
          <w:lang w:val="en-SG"/>
        </w:rPr>
      </w:pPr>
      <w:r w:rsidRPr="00585906">
        <w:rPr>
          <w:rFonts w:ascii="Times New Roman" w:hAnsi="Times New Roman" w:cs="Times New Roman"/>
          <w:sz w:val="24"/>
          <w:szCs w:val="24"/>
          <w:lang w:val="en-SG"/>
        </w:rPr>
        <w:t xml:space="preserve">Subject: Submission of Project Report on </w:t>
      </w:r>
      <w:r w:rsidR="00946857" w:rsidRPr="00585906">
        <w:rPr>
          <w:rFonts w:ascii="Times New Roman" w:hAnsi="Times New Roman" w:cs="Times New Roman"/>
          <w:sz w:val="24"/>
          <w:szCs w:val="24"/>
          <w:lang w:val="en-SG"/>
        </w:rPr>
        <w:t xml:space="preserve">Financial Statement Analysis of Listed Private                                        </w:t>
      </w:r>
      <w:r w:rsidR="00946857" w:rsidRPr="00585906">
        <w:rPr>
          <w:rFonts w:ascii="Times New Roman" w:hAnsi="Times New Roman" w:cs="Times New Roman"/>
          <w:sz w:val="24"/>
          <w:szCs w:val="24"/>
          <w:lang w:val="en-SG"/>
        </w:rPr>
        <w:tab/>
        <w:t xml:space="preserve">   Conventional Banks of Bangladesh </w:t>
      </w:r>
    </w:p>
    <w:p w14:paraId="75085A78" w14:textId="77777777" w:rsidR="006E7C7A" w:rsidRPr="00585906" w:rsidRDefault="006E7C7A" w:rsidP="00585906">
      <w:pPr>
        <w:spacing w:line="360" w:lineRule="auto"/>
        <w:jc w:val="both"/>
        <w:rPr>
          <w:rFonts w:ascii="Times New Roman" w:hAnsi="Times New Roman" w:cs="Times New Roman"/>
          <w:sz w:val="24"/>
          <w:szCs w:val="24"/>
          <w:lang w:val="en-SG"/>
        </w:rPr>
      </w:pPr>
      <w:r w:rsidRPr="00585906">
        <w:rPr>
          <w:rFonts w:ascii="Times New Roman" w:hAnsi="Times New Roman" w:cs="Times New Roman"/>
          <w:sz w:val="24"/>
          <w:szCs w:val="24"/>
          <w:lang w:val="en-SG"/>
        </w:rPr>
        <w:t>Dear Sir,</w:t>
      </w:r>
    </w:p>
    <w:p w14:paraId="5C83A720" w14:textId="77777777" w:rsidR="00CE2A60" w:rsidRPr="00585906" w:rsidRDefault="006E7C7A" w:rsidP="00585906">
      <w:pPr>
        <w:spacing w:line="360" w:lineRule="auto"/>
        <w:jc w:val="both"/>
        <w:rPr>
          <w:rFonts w:ascii="Times New Roman" w:hAnsi="Times New Roman" w:cs="Times New Roman"/>
          <w:sz w:val="24"/>
          <w:szCs w:val="24"/>
        </w:rPr>
      </w:pPr>
      <w:r w:rsidRPr="00585906">
        <w:rPr>
          <w:rFonts w:ascii="Times New Roman" w:hAnsi="Times New Roman" w:cs="Times New Roman"/>
          <w:sz w:val="24"/>
          <w:szCs w:val="24"/>
        </w:rPr>
        <w:t xml:space="preserve">Here is the </w:t>
      </w:r>
      <w:r w:rsidR="00D6421C" w:rsidRPr="00585906">
        <w:rPr>
          <w:rFonts w:ascii="Times New Roman" w:hAnsi="Times New Roman" w:cs="Times New Roman"/>
          <w:sz w:val="24"/>
          <w:szCs w:val="24"/>
        </w:rPr>
        <w:t xml:space="preserve">project </w:t>
      </w:r>
      <w:r w:rsidRPr="00585906">
        <w:rPr>
          <w:rFonts w:ascii="Times New Roman" w:hAnsi="Times New Roman" w:cs="Times New Roman"/>
          <w:sz w:val="24"/>
          <w:szCs w:val="24"/>
        </w:rPr>
        <w:t>report you assign</w:t>
      </w:r>
      <w:r w:rsidR="00D6421C" w:rsidRPr="00585906">
        <w:rPr>
          <w:rFonts w:ascii="Times New Roman" w:hAnsi="Times New Roman" w:cs="Times New Roman"/>
          <w:sz w:val="24"/>
          <w:szCs w:val="24"/>
        </w:rPr>
        <w:t>ed me to prepare, on “</w:t>
      </w:r>
      <w:r w:rsidR="00946857" w:rsidRPr="00585906">
        <w:rPr>
          <w:rFonts w:ascii="Times New Roman" w:hAnsi="Times New Roman" w:cs="Times New Roman"/>
          <w:sz w:val="24"/>
          <w:szCs w:val="24"/>
          <w:lang w:val="en-SG"/>
        </w:rPr>
        <w:t>Financial Statement Analysis of Listed Private Conventional Banks of Bangladesh</w:t>
      </w:r>
      <w:r w:rsidR="00D6421C" w:rsidRPr="00585906">
        <w:rPr>
          <w:rFonts w:ascii="Times New Roman" w:hAnsi="Times New Roman" w:cs="Times New Roman"/>
          <w:sz w:val="24"/>
          <w:szCs w:val="24"/>
        </w:rPr>
        <w:t>”</w:t>
      </w:r>
      <w:r w:rsidRPr="00585906">
        <w:rPr>
          <w:rFonts w:ascii="Times New Roman" w:hAnsi="Times New Roman" w:cs="Times New Roman"/>
          <w:sz w:val="24"/>
          <w:szCs w:val="24"/>
        </w:rPr>
        <w:t>.</w:t>
      </w:r>
      <w:r w:rsidR="00D6421C" w:rsidRPr="00585906">
        <w:rPr>
          <w:rFonts w:ascii="Times New Roman" w:hAnsi="Times New Roman" w:cs="Times New Roman"/>
          <w:sz w:val="24"/>
          <w:szCs w:val="24"/>
        </w:rPr>
        <w:t xml:space="preserve"> In this report I give my best to include all the information about banks on which I worked on and their financial position</w:t>
      </w:r>
      <w:r w:rsidRPr="00585906">
        <w:rPr>
          <w:rFonts w:ascii="Times New Roman" w:hAnsi="Times New Roman" w:cs="Times New Roman"/>
          <w:sz w:val="24"/>
          <w:szCs w:val="24"/>
        </w:rPr>
        <w:t>. I have covered all the necessary elements that should be included in this report.</w:t>
      </w:r>
      <w:r w:rsidR="00D6421C" w:rsidRPr="00585906">
        <w:rPr>
          <w:rFonts w:ascii="Times New Roman" w:hAnsi="Times New Roman" w:cs="Times New Roman"/>
          <w:sz w:val="24"/>
          <w:szCs w:val="24"/>
        </w:rPr>
        <w:t xml:space="preserve"> I tried to give all the material details and figures that will help one to understand the financial position of the banks. I took all possible steps to complete the report in due time and I hope and desire that this report will meet your expectations.</w:t>
      </w:r>
      <w:r w:rsidRPr="00585906">
        <w:rPr>
          <w:rFonts w:ascii="Times New Roman" w:hAnsi="Times New Roman" w:cs="Times New Roman"/>
          <w:sz w:val="24"/>
          <w:szCs w:val="24"/>
        </w:rPr>
        <w:t xml:space="preserve"> </w:t>
      </w:r>
    </w:p>
    <w:p w14:paraId="41AF6871" w14:textId="77777777" w:rsidR="006E7C7A" w:rsidRPr="00585906" w:rsidRDefault="006E7C7A" w:rsidP="00585906">
      <w:pPr>
        <w:spacing w:line="360" w:lineRule="auto"/>
        <w:jc w:val="both"/>
        <w:rPr>
          <w:rFonts w:ascii="Times New Roman" w:hAnsi="Times New Roman" w:cs="Times New Roman"/>
          <w:sz w:val="24"/>
          <w:szCs w:val="24"/>
        </w:rPr>
      </w:pPr>
      <w:r w:rsidRPr="00585906">
        <w:rPr>
          <w:rFonts w:ascii="Times New Roman" w:hAnsi="Times New Roman" w:cs="Times New Roman"/>
          <w:sz w:val="24"/>
          <w:szCs w:val="24"/>
        </w:rPr>
        <w:t xml:space="preserve">Thank you for giving me such an opportunity for working on the topic. I will be honored to provide you any additional information, if necessary. </w:t>
      </w:r>
    </w:p>
    <w:p w14:paraId="01468D86" w14:textId="77777777" w:rsidR="006E7C7A" w:rsidRPr="00585906" w:rsidRDefault="006E7C7A" w:rsidP="00585906">
      <w:pPr>
        <w:spacing w:line="360" w:lineRule="auto"/>
        <w:jc w:val="both"/>
        <w:rPr>
          <w:rFonts w:ascii="Times New Roman" w:hAnsi="Times New Roman" w:cs="Times New Roman"/>
          <w:sz w:val="24"/>
          <w:szCs w:val="24"/>
          <w:lang w:val="en-SG"/>
        </w:rPr>
      </w:pPr>
      <w:r w:rsidRPr="00585906">
        <w:rPr>
          <w:rFonts w:ascii="Times New Roman" w:hAnsi="Times New Roman" w:cs="Times New Roman"/>
          <w:sz w:val="24"/>
          <w:szCs w:val="24"/>
          <w:lang w:val="en-SG"/>
        </w:rPr>
        <w:t>Yours sincerely,</w:t>
      </w:r>
    </w:p>
    <w:p w14:paraId="0AAFF253" w14:textId="77777777" w:rsidR="006E7C7A" w:rsidRPr="00585906" w:rsidRDefault="001A6C31" w:rsidP="00585906">
      <w:pPr>
        <w:spacing w:line="360" w:lineRule="auto"/>
        <w:jc w:val="both"/>
        <w:rPr>
          <w:rFonts w:ascii="Times New Roman" w:hAnsi="Times New Roman" w:cs="Times New Roman"/>
          <w:sz w:val="24"/>
          <w:szCs w:val="24"/>
          <w:lang w:val="en-SG"/>
        </w:rPr>
      </w:pPr>
      <w:r w:rsidRPr="00585906">
        <w:rPr>
          <w:rFonts w:ascii="Times New Roman" w:hAnsi="Times New Roman" w:cs="Times New Roman"/>
          <w:sz w:val="24"/>
          <w:szCs w:val="24"/>
          <w:lang w:val="en-SG"/>
        </w:rPr>
        <w:t>Faria Afroz</w:t>
      </w:r>
    </w:p>
    <w:p w14:paraId="1AF006D0" w14:textId="77777777" w:rsidR="006E7C7A" w:rsidRPr="00585906" w:rsidRDefault="001A6C31" w:rsidP="00585906">
      <w:pPr>
        <w:spacing w:line="360" w:lineRule="auto"/>
        <w:jc w:val="both"/>
        <w:rPr>
          <w:rFonts w:ascii="Times New Roman" w:hAnsi="Times New Roman" w:cs="Times New Roman"/>
          <w:sz w:val="24"/>
          <w:szCs w:val="24"/>
          <w:lang w:val="en-SG"/>
        </w:rPr>
      </w:pPr>
      <w:r w:rsidRPr="00585906">
        <w:rPr>
          <w:rFonts w:ascii="Times New Roman" w:hAnsi="Times New Roman" w:cs="Times New Roman"/>
          <w:sz w:val="24"/>
          <w:szCs w:val="24"/>
          <w:lang w:val="en-SG"/>
        </w:rPr>
        <w:t>ID: 114 171 019</w:t>
      </w:r>
    </w:p>
    <w:p w14:paraId="0542226F" w14:textId="77777777" w:rsidR="006E7C7A" w:rsidRPr="00585906" w:rsidRDefault="006E7C7A" w:rsidP="00585906">
      <w:pPr>
        <w:spacing w:line="360" w:lineRule="auto"/>
        <w:jc w:val="both"/>
        <w:rPr>
          <w:rFonts w:ascii="Times New Roman" w:hAnsi="Times New Roman" w:cs="Times New Roman"/>
          <w:sz w:val="24"/>
          <w:szCs w:val="24"/>
          <w:lang w:val="en-SG"/>
        </w:rPr>
      </w:pPr>
      <w:r w:rsidRPr="00585906">
        <w:rPr>
          <w:rFonts w:ascii="Times New Roman" w:hAnsi="Times New Roman" w:cs="Times New Roman"/>
          <w:sz w:val="24"/>
          <w:szCs w:val="24"/>
          <w:lang w:val="en-SG"/>
        </w:rPr>
        <w:t>Bachelor of Business Administration in Accounting &amp; Information Systems (BBA in AIS)</w:t>
      </w:r>
    </w:p>
    <w:p w14:paraId="552FB562" w14:textId="77777777" w:rsidR="00DE42C8" w:rsidRPr="00585906" w:rsidRDefault="00DE42C8" w:rsidP="00585906">
      <w:pPr>
        <w:spacing w:line="360" w:lineRule="auto"/>
        <w:jc w:val="both"/>
        <w:rPr>
          <w:rFonts w:ascii="Times New Roman" w:hAnsi="Times New Roman" w:cs="Times New Roman"/>
          <w:sz w:val="24"/>
          <w:szCs w:val="24"/>
          <w:lang w:val="en-SG"/>
        </w:rPr>
      </w:pPr>
      <w:r w:rsidRPr="00585906">
        <w:rPr>
          <w:rFonts w:ascii="Times New Roman" w:hAnsi="Times New Roman" w:cs="Times New Roman"/>
          <w:sz w:val="24"/>
          <w:szCs w:val="24"/>
          <w:lang w:val="en-SG"/>
        </w:rPr>
        <w:t xml:space="preserve">Email: </w:t>
      </w:r>
      <w:hyperlink r:id="rId9" w:history="1">
        <w:r w:rsidRPr="00585906">
          <w:rPr>
            <w:rStyle w:val="Hyperlink"/>
            <w:rFonts w:ascii="Times New Roman" w:hAnsi="Times New Roman" w:cs="Times New Roman"/>
            <w:sz w:val="24"/>
            <w:szCs w:val="24"/>
            <w:lang w:val="en-SG"/>
          </w:rPr>
          <w:t>fafroz171019@bba-ais.uiu.ac.bd</w:t>
        </w:r>
      </w:hyperlink>
    </w:p>
    <w:p w14:paraId="224E4383" w14:textId="77777777" w:rsidR="00AD3DCA" w:rsidRDefault="00DE42C8" w:rsidP="001A6C31">
      <w:pPr>
        <w:spacing w:line="360" w:lineRule="auto"/>
        <w:jc w:val="both"/>
        <w:rPr>
          <w:rFonts w:ascii="Times New Roman" w:hAnsi="Times New Roman" w:cs="Times New Roman"/>
          <w:sz w:val="24"/>
          <w:szCs w:val="24"/>
          <w:lang w:val="en-SG"/>
        </w:rPr>
      </w:pPr>
      <w:r>
        <w:rPr>
          <w:rFonts w:ascii="Times New Roman" w:hAnsi="Times New Roman" w:cs="Times New Roman"/>
          <w:sz w:val="24"/>
          <w:szCs w:val="24"/>
          <w:lang w:val="en-SG"/>
        </w:rPr>
        <w:t>Cell no. 01521211264</w:t>
      </w:r>
    </w:p>
    <w:p w14:paraId="2F80BEB9" w14:textId="77777777" w:rsidR="00AD3DCA" w:rsidRDefault="00AD3DCA" w:rsidP="00585906">
      <w:pPr>
        <w:pStyle w:val="Heading1"/>
        <w:numPr>
          <w:ilvl w:val="0"/>
          <w:numId w:val="0"/>
        </w:numPr>
        <w:ind w:left="432" w:hanging="432"/>
        <w:rPr>
          <w:b/>
        </w:rPr>
      </w:pPr>
      <w:bookmarkStart w:id="2" w:name="_Toc53357679"/>
      <w:r w:rsidRPr="00585906">
        <w:rPr>
          <w:b/>
        </w:rPr>
        <w:lastRenderedPageBreak/>
        <w:t>DECLARATION</w:t>
      </w:r>
      <w:bookmarkEnd w:id="2"/>
      <w:r w:rsidRPr="00585906">
        <w:rPr>
          <w:b/>
        </w:rPr>
        <w:t xml:space="preserve"> </w:t>
      </w:r>
    </w:p>
    <w:p w14:paraId="792199A4" w14:textId="77777777" w:rsidR="00585906" w:rsidRPr="00585906" w:rsidRDefault="00585906" w:rsidP="00585906"/>
    <w:p w14:paraId="19103200" w14:textId="77777777" w:rsidR="00AD3DCA" w:rsidRPr="00AD3DCA" w:rsidRDefault="00AD3DCA" w:rsidP="00AD3DCA">
      <w:pPr>
        <w:spacing w:line="360" w:lineRule="auto"/>
        <w:jc w:val="both"/>
        <w:rPr>
          <w:rFonts w:ascii="Times New Roman" w:hAnsi="Times New Roman" w:cs="Times New Roman"/>
          <w:sz w:val="24"/>
          <w:szCs w:val="24"/>
          <w:lang w:val="en-SG"/>
        </w:rPr>
      </w:pPr>
      <w:r>
        <w:rPr>
          <w:rFonts w:ascii="Times New Roman" w:hAnsi="Times New Roman" w:cs="Times New Roman"/>
          <w:sz w:val="24"/>
          <w:szCs w:val="24"/>
          <w:lang w:val="en-SG"/>
        </w:rPr>
        <w:t>I, Faria Afroz</w:t>
      </w:r>
      <w:r w:rsidRPr="00AD3DCA">
        <w:rPr>
          <w:rFonts w:ascii="Times New Roman" w:hAnsi="Times New Roman" w:cs="Times New Roman"/>
          <w:sz w:val="24"/>
          <w:szCs w:val="24"/>
          <w:lang w:val="en-SG"/>
        </w:rPr>
        <w:t xml:space="preserve">, a student of Bachelor of Business Administration in Accounting &amp; Information Systems (BBA </w:t>
      </w:r>
      <w:r>
        <w:rPr>
          <w:rFonts w:ascii="Times New Roman" w:hAnsi="Times New Roman" w:cs="Times New Roman"/>
          <w:sz w:val="24"/>
          <w:szCs w:val="24"/>
          <w:lang w:val="en-SG"/>
        </w:rPr>
        <w:t>in AIS), bearing ID: 114 171 019</w:t>
      </w:r>
      <w:r w:rsidRPr="00AD3DCA">
        <w:rPr>
          <w:rFonts w:ascii="Times New Roman" w:hAnsi="Times New Roman" w:cs="Times New Roman"/>
          <w:sz w:val="24"/>
          <w:szCs w:val="24"/>
          <w:lang w:val="en-SG"/>
        </w:rPr>
        <w:t xml:space="preserve">, would like to reveal that </w:t>
      </w:r>
      <w:r>
        <w:rPr>
          <w:rFonts w:ascii="Times New Roman" w:hAnsi="Times New Roman" w:cs="Times New Roman"/>
          <w:sz w:val="24"/>
          <w:szCs w:val="24"/>
          <w:lang w:val="en-SG"/>
        </w:rPr>
        <w:t xml:space="preserve">this report titled </w:t>
      </w:r>
      <w:r w:rsidRPr="00AD3DCA">
        <w:rPr>
          <w:rFonts w:ascii="Times New Roman" w:hAnsi="Times New Roman" w:cs="Times New Roman"/>
          <w:sz w:val="24"/>
          <w:szCs w:val="24"/>
          <w:lang w:val="en-SG"/>
        </w:rPr>
        <w:t>Financial Statement Analysis of Private B</w:t>
      </w:r>
      <w:r>
        <w:rPr>
          <w:rFonts w:ascii="Times New Roman" w:hAnsi="Times New Roman" w:cs="Times New Roman"/>
          <w:sz w:val="24"/>
          <w:szCs w:val="24"/>
          <w:lang w:val="en-SG"/>
        </w:rPr>
        <w:t xml:space="preserve">anks of </w:t>
      </w:r>
      <w:r w:rsidRPr="00AD3DCA">
        <w:rPr>
          <w:rFonts w:ascii="Times New Roman" w:hAnsi="Times New Roman" w:cs="Times New Roman"/>
          <w:sz w:val="24"/>
          <w:szCs w:val="24"/>
          <w:lang w:val="en-SG"/>
        </w:rPr>
        <w:t>Bangladesh</w:t>
      </w:r>
      <w:r>
        <w:rPr>
          <w:rFonts w:ascii="Times New Roman" w:hAnsi="Times New Roman" w:cs="Times New Roman"/>
          <w:sz w:val="24"/>
          <w:szCs w:val="24"/>
          <w:lang w:val="en-SG"/>
        </w:rPr>
        <w:t>,</w:t>
      </w:r>
      <w:r w:rsidRPr="00AD3DCA">
        <w:rPr>
          <w:rFonts w:ascii="Times New Roman" w:hAnsi="Times New Roman" w:cs="Times New Roman"/>
          <w:sz w:val="24"/>
          <w:szCs w:val="24"/>
          <w:lang w:val="en-SG"/>
        </w:rPr>
        <w:t xml:space="preserve"> is an original, authentic work carried out by me</w:t>
      </w:r>
      <w:r>
        <w:rPr>
          <w:rFonts w:ascii="Times New Roman" w:hAnsi="Times New Roman" w:cs="Times New Roman"/>
          <w:sz w:val="24"/>
          <w:szCs w:val="24"/>
          <w:lang w:val="en-SG"/>
        </w:rPr>
        <w:t xml:space="preserve"> </w:t>
      </w:r>
      <w:r w:rsidRPr="00AD3DCA">
        <w:rPr>
          <w:rFonts w:ascii="Times New Roman" w:hAnsi="Times New Roman" w:cs="Times New Roman"/>
          <w:sz w:val="24"/>
          <w:szCs w:val="24"/>
          <w:lang w:val="en-SG"/>
        </w:rPr>
        <w:t>under the guidance of Mr. Md. Abdullah Babu Sir, Assistant Professor, School of Business &amp; Economics, United International University.</w:t>
      </w:r>
    </w:p>
    <w:p w14:paraId="1D5AE293" w14:textId="77777777" w:rsidR="003250F6" w:rsidRDefault="00AD3DCA" w:rsidP="00AD3DCA">
      <w:pPr>
        <w:spacing w:line="360" w:lineRule="auto"/>
        <w:jc w:val="both"/>
        <w:rPr>
          <w:rFonts w:ascii="Times New Roman" w:hAnsi="Times New Roman" w:cs="Times New Roman"/>
          <w:sz w:val="24"/>
          <w:szCs w:val="24"/>
          <w:lang w:val="en-SG"/>
        </w:rPr>
      </w:pPr>
      <w:r w:rsidRPr="00AD3DCA">
        <w:rPr>
          <w:rFonts w:ascii="Times New Roman" w:hAnsi="Times New Roman" w:cs="Times New Roman"/>
          <w:sz w:val="24"/>
          <w:szCs w:val="24"/>
          <w:lang w:val="en-SG"/>
        </w:rPr>
        <w:t>The report is mainly prepared for the final requirement for the privilege of the degree BBA in AIS. I further express that this</w:t>
      </w:r>
      <w:r>
        <w:rPr>
          <w:rFonts w:ascii="Times New Roman" w:hAnsi="Times New Roman" w:cs="Times New Roman"/>
          <w:sz w:val="24"/>
          <w:szCs w:val="24"/>
          <w:lang w:val="en-SG"/>
        </w:rPr>
        <w:t xml:space="preserve"> work have not been </w:t>
      </w:r>
      <w:r w:rsidRPr="00AD3DCA">
        <w:rPr>
          <w:rFonts w:ascii="Times New Roman" w:hAnsi="Times New Roman" w:cs="Times New Roman"/>
          <w:sz w:val="24"/>
          <w:szCs w:val="24"/>
          <w:lang w:val="en-SG"/>
        </w:rPr>
        <w:t>submitted to some other institute, university for some other degrees or to any other newspapers</w:t>
      </w:r>
      <w:r>
        <w:rPr>
          <w:rFonts w:ascii="Times New Roman" w:hAnsi="Times New Roman" w:cs="Times New Roman"/>
          <w:sz w:val="24"/>
          <w:szCs w:val="24"/>
          <w:lang w:val="en-SG"/>
        </w:rPr>
        <w:t>, journals etc. but only have been</w:t>
      </w:r>
      <w:r w:rsidRPr="00AD3DCA">
        <w:rPr>
          <w:rFonts w:ascii="Times New Roman" w:hAnsi="Times New Roman" w:cs="Times New Roman"/>
          <w:sz w:val="24"/>
          <w:szCs w:val="24"/>
          <w:lang w:val="en-SG"/>
        </w:rPr>
        <w:t xml:space="preserve"> submitted to United International Universi</w:t>
      </w:r>
      <w:r>
        <w:rPr>
          <w:rFonts w:ascii="Times New Roman" w:hAnsi="Times New Roman" w:cs="Times New Roman"/>
          <w:sz w:val="24"/>
          <w:szCs w:val="24"/>
          <w:lang w:val="en-SG"/>
        </w:rPr>
        <w:t xml:space="preserve">ty as a segment of the </w:t>
      </w:r>
      <w:r w:rsidRPr="00AD3DCA">
        <w:rPr>
          <w:rFonts w:ascii="Times New Roman" w:hAnsi="Times New Roman" w:cs="Times New Roman"/>
          <w:sz w:val="24"/>
          <w:szCs w:val="24"/>
          <w:lang w:val="en-SG"/>
        </w:rPr>
        <w:t>p</w:t>
      </w:r>
      <w:r>
        <w:rPr>
          <w:rFonts w:ascii="Times New Roman" w:hAnsi="Times New Roman" w:cs="Times New Roman"/>
          <w:sz w:val="24"/>
          <w:szCs w:val="24"/>
          <w:lang w:val="en-SG"/>
        </w:rPr>
        <w:t>roject</w:t>
      </w:r>
      <w:r w:rsidRPr="00AD3DCA">
        <w:rPr>
          <w:rFonts w:ascii="Times New Roman" w:hAnsi="Times New Roman" w:cs="Times New Roman"/>
          <w:sz w:val="24"/>
          <w:szCs w:val="24"/>
          <w:lang w:val="en-SG"/>
        </w:rPr>
        <w:t xml:space="preserve"> course. </w:t>
      </w:r>
    </w:p>
    <w:p w14:paraId="42B2DA33" w14:textId="77777777" w:rsidR="003250F6" w:rsidRDefault="003250F6">
      <w:pPr>
        <w:rPr>
          <w:rFonts w:ascii="Times New Roman" w:hAnsi="Times New Roman" w:cs="Times New Roman"/>
          <w:sz w:val="24"/>
          <w:szCs w:val="24"/>
          <w:lang w:val="en-SG"/>
        </w:rPr>
      </w:pPr>
      <w:r>
        <w:rPr>
          <w:rFonts w:ascii="Times New Roman" w:hAnsi="Times New Roman" w:cs="Times New Roman"/>
          <w:sz w:val="24"/>
          <w:szCs w:val="24"/>
          <w:lang w:val="en-SG"/>
        </w:rPr>
        <w:br w:type="page"/>
      </w:r>
    </w:p>
    <w:p w14:paraId="6269A43A" w14:textId="77777777" w:rsidR="003250F6" w:rsidRDefault="003250F6" w:rsidP="00585906">
      <w:pPr>
        <w:pStyle w:val="Heading1"/>
        <w:numPr>
          <w:ilvl w:val="0"/>
          <w:numId w:val="0"/>
        </w:numPr>
        <w:ind w:left="432" w:hanging="432"/>
        <w:rPr>
          <w:b/>
        </w:rPr>
      </w:pPr>
      <w:bookmarkStart w:id="3" w:name="_Toc53357680"/>
      <w:r w:rsidRPr="00585906">
        <w:rPr>
          <w:b/>
        </w:rPr>
        <w:lastRenderedPageBreak/>
        <w:t>TABLE OF CONTENTS</w:t>
      </w:r>
      <w:bookmarkEnd w:id="3"/>
      <w:r w:rsidRPr="00585906">
        <w:rPr>
          <w:b/>
        </w:rPr>
        <w:t xml:space="preserve"> </w:t>
      </w:r>
    </w:p>
    <w:p w14:paraId="09CE2CC6" w14:textId="77777777" w:rsidR="00FF1328" w:rsidRDefault="00FF1328" w:rsidP="00FF1328"/>
    <w:sdt>
      <w:sdtPr>
        <w:rPr>
          <w:rFonts w:asciiTheme="minorHAnsi" w:eastAsiaTheme="minorHAnsi" w:hAnsiTheme="minorHAnsi" w:cstheme="minorBidi"/>
          <w:color w:val="auto"/>
          <w:sz w:val="22"/>
          <w:szCs w:val="22"/>
        </w:rPr>
        <w:id w:val="930935876"/>
        <w:docPartObj>
          <w:docPartGallery w:val="Table of Contents"/>
          <w:docPartUnique/>
        </w:docPartObj>
      </w:sdtPr>
      <w:sdtEndPr>
        <w:rPr>
          <w:b/>
          <w:bCs/>
          <w:noProof/>
        </w:rPr>
      </w:sdtEndPr>
      <w:sdtContent>
        <w:p w14:paraId="45986A64" w14:textId="77777777" w:rsidR="00827820" w:rsidRDefault="00827820">
          <w:pPr>
            <w:pStyle w:val="TOCHeading"/>
          </w:pPr>
        </w:p>
        <w:p w14:paraId="03365C98" w14:textId="77777777" w:rsidR="00977F3B" w:rsidRDefault="00827820">
          <w:pPr>
            <w:pStyle w:val="TOC1"/>
            <w:tabs>
              <w:tab w:val="right" w:leader="underscore" w:pos="9350"/>
            </w:tabs>
            <w:rPr>
              <w:rFonts w:eastAsiaTheme="minorEastAsia"/>
              <w:noProof/>
            </w:rPr>
          </w:pPr>
          <w:r>
            <w:fldChar w:fldCharType="begin"/>
          </w:r>
          <w:r>
            <w:instrText xml:space="preserve"> TOC \o "1-3" \h \z \u </w:instrText>
          </w:r>
          <w:r>
            <w:fldChar w:fldCharType="separate"/>
          </w:r>
          <w:hyperlink w:anchor="_Toc53357677" w:history="1">
            <w:r w:rsidR="00977F3B" w:rsidRPr="00333E17">
              <w:rPr>
                <w:rStyle w:val="Hyperlink"/>
                <w:b/>
                <w:noProof/>
                <w:lang w:val="en-SG"/>
              </w:rPr>
              <w:t>ACKNOWLEDGEMENT</w:t>
            </w:r>
            <w:r w:rsidR="00977F3B">
              <w:rPr>
                <w:noProof/>
                <w:webHidden/>
              </w:rPr>
              <w:tab/>
            </w:r>
            <w:r w:rsidR="00977F3B">
              <w:rPr>
                <w:noProof/>
                <w:webHidden/>
              </w:rPr>
              <w:fldChar w:fldCharType="begin"/>
            </w:r>
            <w:r w:rsidR="00977F3B">
              <w:rPr>
                <w:noProof/>
                <w:webHidden/>
              </w:rPr>
              <w:instrText xml:space="preserve"> PAGEREF _Toc53357677 \h </w:instrText>
            </w:r>
            <w:r w:rsidR="00977F3B">
              <w:rPr>
                <w:noProof/>
                <w:webHidden/>
              </w:rPr>
            </w:r>
            <w:r w:rsidR="00977F3B">
              <w:rPr>
                <w:noProof/>
                <w:webHidden/>
              </w:rPr>
              <w:fldChar w:fldCharType="separate"/>
            </w:r>
            <w:r w:rsidR="00977F3B">
              <w:rPr>
                <w:noProof/>
                <w:webHidden/>
              </w:rPr>
              <w:t>ii</w:t>
            </w:r>
            <w:r w:rsidR="00977F3B">
              <w:rPr>
                <w:noProof/>
                <w:webHidden/>
              </w:rPr>
              <w:fldChar w:fldCharType="end"/>
            </w:r>
          </w:hyperlink>
        </w:p>
        <w:p w14:paraId="578AD3A9" w14:textId="77777777" w:rsidR="00977F3B" w:rsidRDefault="00816F2C">
          <w:pPr>
            <w:pStyle w:val="TOC1"/>
            <w:tabs>
              <w:tab w:val="right" w:leader="underscore" w:pos="9350"/>
            </w:tabs>
            <w:rPr>
              <w:rFonts w:eastAsiaTheme="minorEastAsia"/>
              <w:noProof/>
            </w:rPr>
          </w:pPr>
          <w:hyperlink w:anchor="_Toc53357678" w:history="1">
            <w:r w:rsidR="00977F3B" w:rsidRPr="00333E17">
              <w:rPr>
                <w:rStyle w:val="Hyperlink"/>
                <w:b/>
                <w:noProof/>
                <w:lang w:val="en-SG"/>
              </w:rPr>
              <w:t>LETTER OF TRANSMITTAL</w:t>
            </w:r>
            <w:r w:rsidR="00977F3B">
              <w:rPr>
                <w:noProof/>
                <w:webHidden/>
              </w:rPr>
              <w:tab/>
            </w:r>
            <w:r w:rsidR="00977F3B">
              <w:rPr>
                <w:noProof/>
                <w:webHidden/>
              </w:rPr>
              <w:fldChar w:fldCharType="begin"/>
            </w:r>
            <w:r w:rsidR="00977F3B">
              <w:rPr>
                <w:noProof/>
                <w:webHidden/>
              </w:rPr>
              <w:instrText xml:space="preserve"> PAGEREF _Toc53357678 \h </w:instrText>
            </w:r>
            <w:r w:rsidR="00977F3B">
              <w:rPr>
                <w:noProof/>
                <w:webHidden/>
              </w:rPr>
            </w:r>
            <w:r w:rsidR="00977F3B">
              <w:rPr>
                <w:noProof/>
                <w:webHidden/>
              </w:rPr>
              <w:fldChar w:fldCharType="separate"/>
            </w:r>
            <w:r w:rsidR="00977F3B">
              <w:rPr>
                <w:noProof/>
                <w:webHidden/>
              </w:rPr>
              <w:t>iii</w:t>
            </w:r>
            <w:r w:rsidR="00977F3B">
              <w:rPr>
                <w:noProof/>
                <w:webHidden/>
              </w:rPr>
              <w:fldChar w:fldCharType="end"/>
            </w:r>
          </w:hyperlink>
        </w:p>
        <w:p w14:paraId="03E6ED31" w14:textId="77777777" w:rsidR="00977F3B" w:rsidRDefault="00816F2C">
          <w:pPr>
            <w:pStyle w:val="TOC1"/>
            <w:tabs>
              <w:tab w:val="right" w:leader="underscore" w:pos="9350"/>
            </w:tabs>
            <w:rPr>
              <w:rFonts w:eastAsiaTheme="minorEastAsia"/>
              <w:noProof/>
            </w:rPr>
          </w:pPr>
          <w:hyperlink w:anchor="_Toc53357679" w:history="1">
            <w:r w:rsidR="00977F3B" w:rsidRPr="00333E17">
              <w:rPr>
                <w:rStyle w:val="Hyperlink"/>
                <w:b/>
                <w:noProof/>
              </w:rPr>
              <w:t>DECLARATION</w:t>
            </w:r>
            <w:r w:rsidR="00977F3B">
              <w:rPr>
                <w:noProof/>
                <w:webHidden/>
              </w:rPr>
              <w:tab/>
            </w:r>
            <w:r w:rsidR="00977F3B">
              <w:rPr>
                <w:noProof/>
                <w:webHidden/>
              </w:rPr>
              <w:fldChar w:fldCharType="begin"/>
            </w:r>
            <w:r w:rsidR="00977F3B">
              <w:rPr>
                <w:noProof/>
                <w:webHidden/>
              </w:rPr>
              <w:instrText xml:space="preserve"> PAGEREF _Toc53357679 \h </w:instrText>
            </w:r>
            <w:r w:rsidR="00977F3B">
              <w:rPr>
                <w:noProof/>
                <w:webHidden/>
              </w:rPr>
            </w:r>
            <w:r w:rsidR="00977F3B">
              <w:rPr>
                <w:noProof/>
                <w:webHidden/>
              </w:rPr>
              <w:fldChar w:fldCharType="separate"/>
            </w:r>
            <w:r w:rsidR="00977F3B">
              <w:rPr>
                <w:noProof/>
                <w:webHidden/>
              </w:rPr>
              <w:t>iv</w:t>
            </w:r>
            <w:r w:rsidR="00977F3B">
              <w:rPr>
                <w:noProof/>
                <w:webHidden/>
              </w:rPr>
              <w:fldChar w:fldCharType="end"/>
            </w:r>
          </w:hyperlink>
        </w:p>
        <w:p w14:paraId="4D261F68" w14:textId="77777777" w:rsidR="00977F3B" w:rsidRDefault="00816F2C">
          <w:pPr>
            <w:pStyle w:val="TOC1"/>
            <w:tabs>
              <w:tab w:val="right" w:leader="underscore" w:pos="9350"/>
            </w:tabs>
            <w:rPr>
              <w:rFonts w:eastAsiaTheme="minorEastAsia"/>
              <w:noProof/>
            </w:rPr>
          </w:pPr>
          <w:hyperlink w:anchor="_Toc53357680" w:history="1">
            <w:r w:rsidR="00977F3B" w:rsidRPr="00333E17">
              <w:rPr>
                <w:rStyle w:val="Hyperlink"/>
                <w:b/>
                <w:noProof/>
              </w:rPr>
              <w:t>TABLE OF CONTENTS</w:t>
            </w:r>
            <w:r w:rsidR="00977F3B">
              <w:rPr>
                <w:noProof/>
                <w:webHidden/>
              </w:rPr>
              <w:tab/>
            </w:r>
            <w:r w:rsidR="00977F3B">
              <w:rPr>
                <w:noProof/>
                <w:webHidden/>
              </w:rPr>
              <w:fldChar w:fldCharType="begin"/>
            </w:r>
            <w:r w:rsidR="00977F3B">
              <w:rPr>
                <w:noProof/>
                <w:webHidden/>
              </w:rPr>
              <w:instrText xml:space="preserve"> PAGEREF _Toc53357680 \h </w:instrText>
            </w:r>
            <w:r w:rsidR="00977F3B">
              <w:rPr>
                <w:noProof/>
                <w:webHidden/>
              </w:rPr>
            </w:r>
            <w:r w:rsidR="00977F3B">
              <w:rPr>
                <w:noProof/>
                <w:webHidden/>
              </w:rPr>
              <w:fldChar w:fldCharType="separate"/>
            </w:r>
            <w:r w:rsidR="00977F3B">
              <w:rPr>
                <w:noProof/>
                <w:webHidden/>
              </w:rPr>
              <w:t>v</w:t>
            </w:r>
            <w:r w:rsidR="00977F3B">
              <w:rPr>
                <w:noProof/>
                <w:webHidden/>
              </w:rPr>
              <w:fldChar w:fldCharType="end"/>
            </w:r>
          </w:hyperlink>
        </w:p>
        <w:p w14:paraId="4A8FB1DF" w14:textId="77777777" w:rsidR="00977F3B" w:rsidRDefault="00816F2C">
          <w:pPr>
            <w:pStyle w:val="TOC1"/>
            <w:tabs>
              <w:tab w:val="right" w:leader="underscore" w:pos="9350"/>
            </w:tabs>
            <w:rPr>
              <w:rFonts w:eastAsiaTheme="minorEastAsia"/>
              <w:noProof/>
            </w:rPr>
          </w:pPr>
          <w:hyperlink w:anchor="_Toc53357681" w:history="1">
            <w:r w:rsidR="00977F3B" w:rsidRPr="00333E17">
              <w:rPr>
                <w:rStyle w:val="Hyperlink"/>
                <w:b/>
                <w:noProof/>
              </w:rPr>
              <w:t>LIST OF TABLES</w:t>
            </w:r>
            <w:r w:rsidR="00977F3B">
              <w:rPr>
                <w:noProof/>
                <w:webHidden/>
              </w:rPr>
              <w:tab/>
            </w:r>
            <w:r w:rsidR="00977F3B">
              <w:rPr>
                <w:noProof/>
                <w:webHidden/>
              </w:rPr>
              <w:fldChar w:fldCharType="begin"/>
            </w:r>
            <w:r w:rsidR="00977F3B">
              <w:rPr>
                <w:noProof/>
                <w:webHidden/>
              </w:rPr>
              <w:instrText xml:space="preserve"> PAGEREF _Toc53357681 \h </w:instrText>
            </w:r>
            <w:r w:rsidR="00977F3B">
              <w:rPr>
                <w:noProof/>
                <w:webHidden/>
              </w:rPr>
            </w:r>
            <w:r w:rsidR="00977F3B">
              <w:rPr>
                <w:noProof/>
                <w:webHidden/>
              </w:rPr>
              <w:fldChar w:fldCharType="separate"/>
            </w:r>
            <w:r w:rsidR="00977F3B">
              <w:rPr>
                <w:noProof/>
                <w:webHidden/>
              </w:rPr>
              <w:t>vii</w:t>
            </w:r>
            <w:r w:rsidR="00977F3B">
              <w:rPr>
                <w:noProof/>
                <w:webHidden/>
              </w:rPr>
              <w:fldChar w:fldCharType="end"/>
            </w:r>
          </w:hyperlink>
        </w:p>
        <w:p w14:paraId="05A790BB" w14:textId="77777777" w:rsidR="00977F3B" w:rsidRDefault="00816F2C">
          <w:pPr>
            <w:pStyle w:val="TOC1"/>
            <w:tabs>
              <w:tab w:val="right" w:leader="underscore" w:pos="9350"/>
            </w:tabs>
            <w:rPr>
              <w:rFonts w:eastAsiaTheme="minorEastAsia"/>
              <w:noProof/>
            </w:rPr>
          </w:pPr>
          <w:hyperlink w:anchor="_Toc53357682" w:history="1">
            <w:r w:rsidR="00977F3B" w:rsidRPr="00333E17">
              <w:rPr>
                <w:rStyle w:val="Hyperlink"/>
                <w:b/>
                <w:noProof/>
              </w:rPr>
              <w:t>LIST OF FIGURES</w:t>
            </w:r>
            <w:r w:rsidR="00977F3B">
              <w:rPr>
                <w:noProof/>
                <w:webHidden/>
              </w:rPr>
              <w:tab/>
            </w:r>
            <w:r w:rsidR="00977F3B">
              <w:rPr>
                <w:noProof/>
                <w:webHidden/>
              </w:rPr>
              <w:fldChar w:fldCharType="begin"/>
            </w:r>
            <w:r w:rsidR="00977F3B">
              <w:rPr>
                <w:noProof/>
                <w:webHidden/>
              </w:rPr>
              <w:instrText xml:space="preserve"> PAGEREF _Toc53357682 \h </w:instrText>
            </w:r>
            <w:r w:rsidR="00977F3B">
              <w:rPr>
                <w:noProof/>
                <w:webHidden/>
              </w:rPr>
            </w:r>
            <w:r w:rsidR="00977F3B">
              <w:rPr>
                <w:noProof/>
                <w:webHidden/>
              </w:rPr>
              <w:fldChar w:fldCharType="separate"/>
            </w:r>
            <w:r w:rsidR="00977F3B">
              <w:rPr>
                <w:noProof/>
                <w:webHidden/>
              </w:rPr>
              <w:t>vii</w:t>
            </w:r>
            <w:r w:rsidR="00977F3B">
              <w:rPr>
                <w:noProof/>
                <w:webHidden/>
              </w:rPr>
              <w:fldChar w:fldCharType="end"/>
            </w:r>
          </w:hyperlink>
        </w:p>
        <w:p w14:paraId="08680BD0" w14:textId="77777777" w:rsidR="00977F3B" w:rsidRDefault="00816F2C">
          <w:pPr>
            <w:pStyle w:val="TOC1"/>
            <w:tabs>
              <w:tab w:val="right" w:leader="underscore" w:pos="9350"/>
            </w:tabs>
            <w:rPr>
              <w:rFonts w:eastAsiaTheme="minorEastAsia"/>
              <w:noProof/>
            </w:rPr>
          </w:pPr>
          <w:hyperlink w:anchor="_Toc53357683" w:history="1">
            <w:r w:rsidR="00977F3B" w:rsidRPr="00977F3B">
              <w:rPr>
                <w:rStyle w:val="Hyperlink"/>
                <w:b/>
                <w:noProof/>
                <w:color w:val="auto"/>
              </w:rPr>
              <w:t>ABSTRACT</w:t>
            </w:r>
            <w:r w:rsidR="00977F3B">
              <w:rPr>
                <w:noProof/>
                <w:webHidden/>
              </w:rPr>
              <w:tab/>
            </w:r>
            <w:r w:rsidR="00977F3B">
              <w:rPr>
                <w:noProof/>
                <w:webHidden/>
              </w:rPr>
              <w:fldChar w:fldCharType="begin"/>
            </w:r>
            <w:r w:rsidR="00977F3B">
              <w:rPr>
                <w:noProof/>
                <w:webHidden/>
              </w:rPr>
              <w:instrText xml:space="preserve"> PAGEREF _Toc53357683 \h </w:instrText>
            </w:r>
            <w:r w:rsidR="00977F3B">
              <w:rPr>
                <w:noProof/>
                <w:webHidden/>
              </w:rPr>
            </w:r>
            <w:r w:rsidR="00977F3B">
              <w:rPr>
                <w:noProof/>
                <w:webHidden/>
              </w:rPr>
              <w:fldChar w:fldCharType="separate"/>
            </w:r>
            <w:r w:rsidR="00977F3B">
              <w:rPr>
                <w:noProof/>
                <w:webHidden/>
              </w:rPr>
              <w:t>viii</w:t>
            </w:r>
            <w:r w:rsidR="00977F3B">
              <w:rPr>
                <w:noProof/>
                <w:webHidden/>
              </w:rPr>
              <w:fldChar w:fldCharType="end"/>
            </w:r>
          </w:hyperlink>
        </w:p>
        <w:p w14:paraId="1A99CEAE" w14:textId="77777777" w:rsidR="00977F3B" w:rsidRDefault="00816F2C">
          <w:pPr>
            <w:pStyle w:val="TOC1"/>
            <w:tabs>
              <w:tab w:val="left" w:pos="440"/>
              <w:tab w:val="right" w:leader="underscore" w:pos="9350"/>
            </w:tabs>
            <w:rPr>
              <w:rFonts w:eastAsiaTheme="minorEastAsia"/>
              <w:noProof/>
            </w:rPr>
          </w:pPr>
          <w:hyperlink w:anchor="_Toc53357684" w:history="1">
            <w:r w:rsidR="00977F3B" w:rsidRPr="00333E17">
              <w:rPr>
                <w:rStyle w:val="Hyperlink"/>
                <w:b/>
                <w:noProof/>
              </w:rPr>
              <w:t>1</w:t>
            </w:r>
            <w:r w:rsidR="00977F3B">
              <w:rPr>
                <w:rFonts w:eastAsiaTheme="minorEastAsia"/>
                <w:noProof/>
              </w:rPr>
              <w:tab/>
            </w:r>
            <w:r w:rsidR="00977F3B" w:rsidRPr="00333E17">
              <w:rPr>
                <w:rStyle w:val="Hyperlink"/>
                <w:b/>
                <w:noProof/>
              </w:rPr>
              <w:t>INTRODUCTION</w:t>
            </w:r>
            <w:r w:rsidR="00977F3B">
              <w:rPr>
                <w:noProof/>
                <w:webHidden/>
              </w:rPr>
              <w:tab/>
            </w:r>
            <w:r w:rsidR="00977F3B">
              <w:rPr>
                <w:noProof/>
                <w:webHidden/>
              </w:rPr>
              <w:fldChar w:fldCharType="begin"/>
            </w:r>
            <w:r w:rsidR="00977F3B">
              <w:rPr>
                <w:noProof/>
                <w:webHidden/>
              </w:rPr>
              <w:instrText xml:space="preserve"> PAGEREF _Toc53357684 \h </w:instrText>
            </w:r>
            <w:r w:rsidR="00977F3B">
              <w:rPr>
                <w:noProof/>
                <w:webHidden/>
              </w:rPr>
            </w:r>
            <w:r w:rsidR="00977F3B">
              <w:rPr>
                <w:noProof/>
                <w:webHidden/>
              </w:rPr>
              <w:fldChar w:fldCharType="separate"/>
            </w:r>
            <w:r w:rsidR="00977F3B">
              <w:rPr>
                <w:noProof/>
                <w:webHidden/>
              </w:rPr>
              <w:t>1</w:t>
            </w:r>
            <w:r w:rsidR="00977F3B">
              <w:rPr>
                <w:noProof/>
                <w:webHidden/>
              </w:rPr>
              <w:fldChar w:fldCharType="end"/>
            </w:r>
          </w:hyperlink>
        </w:p>
        <w:p w14:paraId="199AB1D2" w14:textId="77777777" w:rsidR="00977F3B" w:rsidRDefault="00816F2C">
          <w:pPr>
            <w:pStyle w:val="TOC2"/>
            <w:tabs>
              <w:tab w:val="left" w:pos="880"/>
              <w:tab w:val="right" w:leader="underscore" w:pos="9350"/>
            </w:tabs>
            <w:rPr>
              <w:rFonts w:eastAsiaTheme="minorEastAsia"/>
              <w:noProof/>
            </w:rPr>
          </w:pPr>
          <w:hyperlink w:anchor="_Toc53357685" w:history="1">
            <w:r w:rsidR="00977F3B" w:rsidRPr="00333E17">
              <w:rPr>
                <w:rStyle w:val="Hyperlink"/>
                <w:b/>
                <w:noProof/>
              </w:rPr>
              <w:t>1.1</w:t>
            </w:r>
            <w:r w:rsidR="00977F3B">
              <w:rPr>
                <w:rFonts w:eastAsiaTheme="minorEastAsia"/>
                <w:noProof/>
              </w:rPr>
              <w:tab/>
            </w:r>
            <w:r w:rsidR="00977F3B" w:rsidRPr="00333E17">
              <w:rPr>
                <w:rStyle w:val="Hyperlink"/>
                <w:b/>
                <w:noProof/>
              </w:rPr>
              <w:t>THE OBJECTIVE OF THE REPORT</w:t>
            </w:r>
            <w:r w:rsidR="00977F3B">
              <w:rPr>
                <w:noProof/>
                <w:webHidden/>
              </w:rPr>
              <w:tab/>
            </w:r>
            <w:r w:rsidR="00977F3B">
              <w:rPr>
                <w:noProof/>
                <w:webHidden/>
              </w:rPr>
              <w:fldChar w:fldCharType="begin"/>
            </w:r>
            <w:r w:rsidR="00977F3B">
              <w:rPr>
                <w:noProof/>
                <w:webHidden/>
              </w:rPr>
              <w:instrText xml:space="preserve"> PAGEREF _Toc53357685 \h </w:instrText>
            </w:r>
            <w:r w:rsidR="00977F3B">
              <w:rPr>
                <w:noProof/>
                <w:webHidden/>
              </w:rPr>
            </w:r>
            <w:r w:rsidR="00977F3B">
              <w:rPr>
                <w:noProof/>
                <w:webHidden/>
              </w:rPr>
              <w:fldChar w:fldCharType="separate"/>
            </w:r>
            <w:r w:rsidR="00977F3B">
              <w:rPr>
                <w:noProof/>
                <w:webHidden/>
              </w:rPr>
              <w:t>2</w:t>
            </w:r>
            <w:r w:rsidR="00977F3B">
              <w:rPr>
                <w:noProof/>
                <w:webHidden/>
              </w:rPr>
              <w:fldChar w:fldCharType="end"/>
            </w:r>
          </w:hyperlink>
        </w:p>
        <w:p w14:paraId="5EA47923" w14:textId="77777777" w:rsidR="00977F3B" w:rsidRDefault="00816F2C">
          <w:pPr>
            <w:pStyle w:val="TOC2"/>
            <w:tabs>
              <w:tab w:val="left" w:pos="880"/>
              <w:tab w:val="right" w:leader="underscore" w:pos="9350"/>
            </w:tabs>
            <w:rPr>
              <w:rFonts w:eastAsiaTheme="minorEastAsia"/>
              <w:noProof/>
            </w:rPr>
          </w:pPr>
          <w:hyperlink w:anchor="_Toc53357686" w:history="1">
            <w:r w:rsidR="00977F3B" w:rsidRPr="00333E17">
              <w:rPr>
                <w:rStyle w:val="Hyperlink"/>
                <w:b/>
                <w:noProof/>
              </w:rPr>
              <w:t>1.2</w:t>
            </w:r>
            <w:r w:rsidR="00977F3B">
              <w:rPr>
                <w:rFonts w:eastAsiaTheme="minorEastAsia"/>
                <w:noProof/>
              </w:rPr>
              <w:tab/>
            </w:r>
            <w:r w:rsidR="00977F3B" w:rsidRPr="00333E17">
              <w:rPr>
                <w:rStyle w:val="Hyperlink"/>
                <w:b/>
                <w:noProof/>
              </w:rPr>
              <w:t>Scope and Limitation of the Report</w:t>
            </w:r>
            <w:r w:rsidR="00977F3B">
              <w:rPr>
                <w:noProof/>
                <w:webHidden/>
              </w:rPr>
              <w:tab/>
            </w:r>
            <w:r w:rsidR="00977F3B">
              <w:rPr>
                <w:noProof/>
                <w:webHidden/>
              </w:rPr>
              <w:fldChar w:fldCharType="begin"/>
            </w:r>
            <w:r w:rsidR="00977F3B">
              <w:rPr>
                <w:noProof/>
                <w:webHidden/>
              </w:rPr>
              <w:instrText xml:space="preserve"> PAGEREF _Toc53357686 \h </w:instrText>
            </w:r>
            <w:r w:rsidR="00977F3B">
              <w:rPr>
                <w:noProof/>
                <w:webHidden/>
              </w:rPr>
            </w:r>
            <w:r w:rsidR="00977F3B">
              <w:rPr>
                <w:noProof/>
                <w:webHidden/>
              </w:rPr>
              <w:fldChar w:fldCharType="separate"/>
            </w:r>
            <w:r w:rsidR="00977F3B">
              <w:rPr>
                <w:noProof/>
                <w:webHidden/>
              </w:rPr>
              <w:t>2</w:t>
            </w:r>
            <w:r w:rsidR="00977F3B">
              <w:rPr>
                <w:noProof/>
                <w:webHidden/>
              </w:rPr>
              <w:fldChar w:fldCharType="end"/>
            </w:r>
          </w:hyperlink>
        </w:p>
        <w:p w14:paraId="66C8283A" w14:textId="77777777" w:rsidR="00977F3B" w:rsidRDefault="00816F2C">
          <w:pPr>
            <w:pStyle w:val="TOC1"/>
            <w:tabs>
              <w:tab w:val="left" w:pos="440"/>
              <w:tab w:val="right" w:leader="underscore" w:pos="9350"/>
            </w:tabs>
            <w:rPr>
              <w:rFonts w:eastAsiaTheme="minorEastAsia"/>
              <w:noProof/>
            </w:rPr>
          </w:pPr>
          <w:hyperlink w:anchor="_Toc53357687" w:history="1">
            <w:r w:rsidR="00977F3B" w:rsidRPr="00333E17">
              <w:rPr>
                <w:rStyle w:val="Hyperlink"/>
                <w:b/>
                <w:noProof/>
              </w:rPr>
              <w:t>2</w:t>
            </w:r>
            <w:r w:rsidR="00977F3B">
              <w:rPr>
                <w:rFonts w:eastAsiaTheme="minorEastAsia"/>
                <w:noProof/>
              </w:rPr>
              <w:tab/>
            </w:r>
            <w:r w:rsidR="00977F3B" w:rsidRPr="00333E17">
              <w:rPr>
                <w:rStyle w:val="Hyperlink"/>
                <w:b/>
                <w:noProof/>
              </w:rPr>
              <w:t>LITERATURE REVIEW</w:t>
            </w:r>
            <w:r w:rsidR="00977F3B">
              <w:rPr>
                <w:noProof/>
                <w:webHidden/>
              </w:rPr>
              <w:tab/>
            </w:r>
            <w:r w:rsidR="00977F3B">
              <w:rPr>
                <w:noProof/>
                <w:webHidden/>
              </w:rPr>
              <w:fldChar w:fldCharType="begin"/>
            </w:r>
            <w:r w:rsidR="00977F3B">
              <w:rPr>
                <w:noProof/>
                <w:webHidden/>
              </w:rPr>
              <w:instrText xml:space="preserve"> PAGEREF _Toc53357687 \h </w:instrText>
            </w:r>
            <w:r w:rsidR="00977F3B">
              <w:rPr>
                <w:noProof/>
                <w:webHidden/>
              </w:rPr>
            </w:r>
            <w:r w:rsidR="00977F3B">
              <w:rPr>
                <w:noProof/>
                <w:webHidden/>
              </w:rPr>
              <w:fldChar w:fldCharType="separate"/>
            </w:r>
            <w:r w:rsidR="00977F3B">
              <w:rPr>
                <w:noProof/>
                <w:webHidden/>
              </w:rPr>
              <w:t>4</w:t>
            </w:r>
            <w:r w:rsidR="00977F3B">
              <w:rPr>
                <w:noProof/>
                <w:webHidden/>
              </w:rPr>
              <w:fldChar w:fldCharType="end"/>
            </w:r>
          </w:hyperlink>
        </w:p>
        <w:p w14:paraId="27BC2438" w14:textId="77777777" w:rsidR="00977F3B" w:rsidRDefault="00816F2C">
          <w:pPr>
            <w:pStyle w:val="TOC1"/>
            <w:tabs>
              <w:tab w:val="left" w:pos="440"/>
              <w:tab w:val="right" w:leader="underscore" w:pos="9350"/>
            </w:tabs>
            <w:rPr>
              <w:rFonts w:eastAsiaTheme="minorEastAsia"/>
              <w:noProof/>
            </w:rPr>
          </w:pPr>
          <w:hyperlink w:anchor="_Toc53357688" w:history="1">
            <w:r w:rsidR="00977F3B" w:rsidRPr="00333E17">
              <w:rPr>
                <w:rStyle w:val="Hyperlink"/>
                <w:b/>
                <w:noProof/>
              </w:rPr>
              <w:t>3</w:t>
            </w:r>
            <w:r w:rsidR="00977F3B">
              <w:rPr>
                <w:rFonts w:eastAsiaTheme="minorEastAsia"/>
                <w:noProof/>
              </w:rPr>
              <w:tab/>
            </w:r>
            <w:r w:rsidR="00977F3B" w:rsidRPr="00333E17">
              <w:rPr>
                <w:rStyle w:val="Hyperlink"/>
                <w:b/>
                <w:noProof/>
              </w:rPr>
              <w:t>METHODOLOGY</w:t>
            </w:r>
            <w:r w:rsidR="00977F3B">
              <w:rPr>
                <w:noProof/>
                <w:webHidden/>
              </w:rPr>
              <w:tab/>
            </w:r>
            <w:r w:rsidR="00977F3B">
              <w:rPr>
                <w:noProof/>
                <w:webHidden/>
              </w:rPr>
              <w:fldChar w:fldCharType="begin"/>
            </w:r>
            <w:r w:rsidR="00977F3B">
              <w:rPr>
                <w:noProof/>
                <w:webHidden/>
              </w:rPr>
              <w:instrText xml:space="preserve"> PAGEREF _Toc53357688 \h </w:instrText>
            </w:r>
            <w:r w:rsidR="00977F3B">
              <w:rPr>
                <w:noProof/>
                <w:webHidden/>
              </w:rPr>
            </w:r>
            <w:r w:rsidR="00977F3B">
              <w:rPr>
                <w:noProof/>
                <w:webHidden/>
              </w:rPr>
              <w:fldChar w:fldCharType="separate"/>
            </w:r>
            <w:r w:rsidR="00977F3B">
              <w:rPr>
                <w:noProof/>
                <w:webHidden/>
              </w:rPr>
              <w:t>10</w:t>
            </w:r>
            <w:r w:rsidR="00977F3B">
              <w:rPr>
                <w:noProof/>
                <w:webHidden/>
              </w:rPr>
              <w:fldChar w:fldCharType="end"/>
            </w:r>
          </w:hyperlink>
        </w:p>
        <w:p w14:paraId="77C64870" w14:textId="77777777" w:rsidR="00977F3B" w:rsidRDefault="00816F2C">
          <w:pPr>
            <w:pStyle w:val="TOC2"/>
            <w:tabs>
              <w:tab w:val="left" w:pos="880"/>
              <w:tab w:val="right" w:leader="underscore" w:pos="9350"/>
            </w:tabs>
            <w:rPr>
              <w:rFonts w:eastAsiaTheme="minorEastAsia"/>
              <w:noProof/>
            </w:rPr>
          </w:pPr>
          <w:hyperlink w:anchor="_Toc53357689" w:history="1">
            <w:r w:rsidR="00977F3B" w:rsidRPr="00333E17">
              <w:rPr>
                <w:rStyle w:val="Hyperlink"/>
                <w:b/>
                <w:noProof/>
              </w:rPr>
              <w:t>3.1</w:t>
            </w:r>
            <w:r w:rsidR="00977F3B">
              <w:rPr>
                <w:rFonts w:eastAsiaTheme="minorEastAsia"/>
                <w:noProof/>
              </w:rPr>
              <w:tab/>
            </w:r>
            <w:r w:rsidR="00977F3B" w:rsidRPr="00333E17">
              <w:rPr>
                <w:rStyle w:val="Hyperlink"/>
                <w:b/>
                <w:noProof/>
                <w:shd w:val="clear" w:color="auto" w:fill="FFFFFF"/>
              </w:rPr>
              <w:t>DATA TYPE</w:t>
            </w:r>
            <w:r w:rsidR="00977F3B">
              <w:rPr>
                <w:noProof/>
                <w:webHidden/>
              </w:rPr>
              <w:tab/>
            </w:r>
            <w:r w:rsidR="00977F3B">
              <w:rPr>
                <w:noProof/>
                <w:webHidden/>
              </w:rPr>
              <w:fldChar w:fldCharType="begin"/>
            </w:r>
            <w:r w:rsidR="00977F3B">
              <w:rPr>
                <w:noProof/>
                <w:webHidden/>
              </w:rPr>
              <w:instrText xml:space="preserve"> PAGEREF _Toc53357689 \h </w:instrText>
            </w:r>
            <w:r w:rsidR="00977F3B">
              <w:rPr>
                <w:noProof/>
                <w:webHidden/>
              </w:rPr>
            </w:r>
            <w:r w:rsidR="00977F3B">
              <w:rPr>
                <w:noProof/>
                <w:webHidden/>
              </w:rPr>
              <w:fldChar w:fldCharType="separate"/>
            </w:r>
            <w:r w:rsidR="00977F3B">
              <w:rPr>
                <w:noProof/>
                <w:webHidden/>
              </w:rPr>
              <w:t>11</w:t>
            </w:r>
            <w:r w:rsidR="00977F3B">
              <w:rPr>
                <w:noProof/>
                <w:webHidden/>
              </w:rPr>
              <w:fldChar w:fldCharType="end"/>
            </w:r>
          </w:hyperlink>
        </w:p>
        <w:p w14:paraId="0CD5F790" w14:textId="77777777" w:rsidR="00977F3B" w:rsidRDefault="00816F2C">
          <w:pPr>
            <w:pStyle w:val="TOC2"/>
            <w:tabs>
              <w:tab w:val="left" w:pos="880"/>
              <w:tab w:val="right" w:leader="underscore" w:pos="9350"/>
            </w:tabs>
            <w:rPr>
              <w:rFonts w:eastAsiaTheme="minorEastAsia"/>
              <w:noProof/>
            </w:rPr>
          </w:pPr>
          <w:hyperlink w:anchor="_Toc53357690" w:history="1">
            <w:r w:rsidR="00977F3B" w:rsidRPr="00333E17">
              <w:rPr>
                <w:rStyle w:val="Hyperlink"/>
                <w:b/>
                <w:noProof/>
              </w:rPr>
              <w:t>3.2</w:t>
            </w:r>
            <w:r w:rsidR="00977F3B">
              <w:rPr>
                <w:rFonts w:eastAsiaTheme="minorEastAsia"/>
                <w:noProof/>
              </w:rPr>
              <w:tab/>
            </w:r>
            <w:r w:rsidR="00977F3B" w:rsidRPr="00333E17">
              <w:rPr>
                <w:rStyle w:val="Hyperlink"/>
                <w:b/>
                <w:noProof/>
                <w:shd w:val="clear" w:color="auto" w:fill="FFFFFF"/>
              </w:rPr>
              <w:t>RESEARCH TYPE</w:t>
            </w:r>
            <w:r w:rsidR="00977F3B">
              <w:rPr>
                <w:noProof/>
                <w:webHidden/>
              </w:rPr>
              <w:tab/>
            </w:r>
            <w:r w:rsidR="00977F3B">
              <w:rPr>
                <w:noProof/>
                <w:webHidden/>
              </w:rPr>
              <w:fldChar w:fldCharType="begin"/>
            </w:r>
            <w:r w:rsidR="00977F3B">
              <w:rPr>
                <w:noProof/>
                <w:webHidden/>
              </w:rPr>
              <w:instrText xml:space="preserve"> PAGEREF _Toc53357690 \h </w:instrText>
            </w:r>
            <w:r w:rsidR="00977F3B">
              <w:rPr>
                <w:noProof/>
                <w:webHidden/>
              </w:rPr>
            </w:r>
            <w:r w:rsidR="00977F3B">
              <w:rPr>
                <w:noProof/>
                <w:webHidden/>
              </w:rPr>
              <w:fldChar w:fldCharType="separate"/>
            </w:r>
            <w:r w:rsidR="00977F3B">
              <w:rPr>
                <w:noProof/>
                <w:webHidden/>
              </w:rPr>
              <w:t>11</w:t>
            </w:r>
            <w:r w:rsidR="00977F3B">
              <w:rPr>
                <w:noProof/>
                <w:webHidden/>
              </w:rPr>
              <w:fldChar w:fldCharType="end"/>
            </w:r>
          </w:hyperlink>
        </w:p>
        <w:p w14:paraId="078700FE" w14:textId="77777777" w:rsidR="00977F3B" w:rsidRDefault="00816F2C">
          <w:pPr>
            <w:pStyle w:val="TOC2"/>
            <w:tabs>
              <w:tab w:val="left" w:pos="880"/>
              <w:tab w:val="right" w:leader="underscore" w:pos="9350"/>
            </w:tabs>
            <w:rPr>
              <w:rFonts w:eastAsiaTheme="minorEastAsia"/>
              <w:noProof/>
            </w:rPr>
          </w:pPr>
          <w:hyperlink w:anchor="_Toc53357691" w:history="1">
            <w:r w:rsidR="00977F3B" w:rsidRPr="00333E17">
              <w:rPr>
                <w:rStyle w:val="Hyperlink"/>
                <w:b/>
                <w:noProof/>
              </w:rPr>
              <w:t>3.3</w:t>
            </w:r>
            <w:r w:rsidR="00977F3B">
              <w:rPr>
                <w:rFonts w:eastAsiaTheme="minorEastAsia"/>
                <w:noProof/>
              </w:rPr>
              <w:tab/>
            </w:r>
            <w:r w:rsidR="00977F3B" w:rsidRPr="00333E17">
              <w:rPr>
                <w:rStyle w:val="Hyperlink"/>
                <w:b/>
                <w:noProof/>
                <w:shd w:val="clear" w:color="auto" w:fill="FFFFFF"/>
              </w:rPr>
              <w:t>SAMPLING</w:t>
            </w:r>
            <w:r w:rsidR="00977F3B">
              <w:rPr>
                <w:noProof/>
                <w:webHidden/>
              </w:rPr>
              <w:tab/>
            </w:r>
            <w:r w:rsidR="00977F3B">
              <w:rPr>
                <w:noProof/>
                <w:webHidden/>
              </w:rPr>
              <w:fldChar w:fldCharType="begin"/>
            </w:r>
            <w:r w:rsidR="00977F3B">
              <w:rPr>
                <w:noProof/>
                <w:webHidden/>
              </w:rPr>
              <w:instrText xml:space="preserve"> PAGEREF _Toc53357691 \h </w:instrText>
            </w:r>
            <w:r w:rsidR="00977F3B">
              <w:rPr>
                <w:noProof/>
                <w:webHidden/>
              </w:rPr>
            </w:r>
            <w:r w:rsidR="00977F3B">
              <w:rPr>
                <w:noProof/>
                <w:webHidden/>
              </w:rPr>
              <w:fldChar w:fldCharType="separate"/>
            </w:r>
            <w:r w:rsidR="00977F3B">
              <w:rPr>
                <w:noProof/>
                <w:webHidden/>
              </w:rPr>
              <w:t>11</w:t>
            </w:r>
            <w:r w:rsidR="00977F3B">
              <w:rPr>
                <w:noProof/>
                <w:webHidden/>
              </w:rPr>
              <w:fldChar w:fldCharType="end"/>
            </w:r>
          </w:hyperlink>
        </w:p>
        <w:p w14:paraId="613DD428" w14:textId="77777777" w:rsidR="00977F3B" w:rsidRDefault="00816F2C">
          <w:pPr>
            <w:pStyle w:val="TOC2"/>
            <w:tabs>
              <w:tab w:val="left" w:pos="880"/>
              <w:tab w:val="right" w:leader="underscore" w:pos="9350"/>
            </w:tabs>
            <w:rPr>
              <w:rFonts w:eastAsiaTheme="minorEastAsia"/>
              <w:noProof/>
            </w:rPr>
          </w:pPr>
          <w:hyperlink w:anchor="_Toc53357692" w:history="1">
            <w:r w:rsidR="00977F3B" w:rsidRPr="00333E17">
              <w:rPr>
                <w:rStyle w:val="Hyperlink"/>
                <w:b/>
                <w:noProof/>
              </w:rPr>
              <w:t>3.4</w:t>
            </w:r>
            <w:r w:rsidR="00977F3B">
              <w:rPr>
                <w:rFonts w:eastAsiaTheme="minorEastAsia"/>
                <w:noProof/>
              </w:rPr>
              <w:tab/>
            </w:r>
            <w:r w:rsidR="00977F3B" w:rsidRPr="00333E17">
              <w:rPr>
                <w:rStyle w:val="Hyperlink"/>
                <w:b/>
                <w:noProof/>
                <w:shd w:val="clear" w:color="auto" w:fill="FFFFFF"/>
              </w:rPr>
              <w:t>DATA ANALYSIS TOOLS</w:t>
            </w:r>
            <w:r w:rsidR="00977F3B">
              <w:rPr>
                <w:noProof/>
                <w:webHidden/>
              </w:rPr>
              <w:tab/>
            </w:r>
            <w:r w:rsidR="00977F3B">
              <w:rPr>
                <w:noProof/>
                <w:webHidden/>
              </w:rPr>
              <w:fldChar w:fldCharType="begin"/>
            </w:r>
            <w:r w:rsidR="00977F3B">
              <w:rPr>
                <w:noProof/>
                <w:webHidden/>
              </w:rPr>
              <w:instrText xml:space="preserve"> PAGEREF _Toc53357692 \h </w:instrText>
            </w:r>
            <w:r w:rsidR="00977F3B">
              <w:rPr>
                <w:noProof/>
                <w:webHidden/>
              </w:rPr>
            </w:r>
            <w:r w:rsidR="00977F3B">
              <w:rPr>
                <w:noProof/>
                <w:webHidden/>
              </w:rPr>
              <w:fldChar w:fldCharType="separate"/>
            </w:r>
            <w:r w:rsidR="00977F3B">
              <w:rPr>
                <w:noProof/>
                <w:webHidden/>
              </w:rPr>
              <w:t>11</w:t>
            </w:r>
            <w:r w:rsidR="00977F3B">
              <w:rPr>
                <w:noProof/>
                <w:webHidden/>
              </w:rPr>
              <w:fldChar w:fldCharType="end"/>
            </w:r>
          </w:hyperlink>
        </w:p>
        <w:p w14:paraId="1C00F21A" w14:textId="77777777" w:rsidR="00977F3B" w:rsidRDefault="00816F2C">
          <w:pPr>
            <w:pStyle w:val="TOC2"/>
            <w:tabs>
              <w:tab w:val="left" w:pos="880"/>
              <w:tab w:val="right" w:leader="underscore" w:pos="9350"/>
            </w:tabs>
            <w:rPr>
              <w:rFonts w:eastAsiaTheme="minorEastAsia"/>
              <w:noProof/>
            </w:rPr>
          </w:pPr>
          <w:hyperlink w:anchor="_Toc53357693" w:history="1">
            <w:r w:rsidR="00977F3B" w:rsidRPr="00333E17">
              <w:rPr>
                <w:rStyle w:val="Hyperlink"/>
                <w:b/>
                <w:noProof/>
              </w:rPr>
              <w:t>3.5</w:t>
            </w:r>
            <w:r w:rsidR="00977F3B">
              <w:rPr>
                <w:rFonts w:eastAsiaTheme="minorEastAsia"/>
                <w:noProof/>
              </w:rPr>
              <w:tab/>
            </w:r>
            <w:r w:rsidR="00977F3B" w:rsidRPr="00333E17">
              <w:rPr>
                <w:rStyle w:val="Hyperlink"/>
                <w:b/>
                <w:noProof/>
                <w:shd w:val="clear" w:color="auto" w:fill="FFFFFF"/>
              </w:rPr>
              <w:t>DATA PRESENTATION</w:t>
            </w:r>
            <w:r w:rsidR="00977F3B">
              <w:rPr>
                <w:noProof/>
                <w:webHidden/>
              </w:rPr>
              <w:tab/>
            </w:r>
            <w:r w:rsidR="00977F3B">
              <w:rPr>
                <w:noProof/>
                <w:webHidden/>
              </w:rPr>
              <w:fldChar w:fldCharType="begin"/>
            </w:r>
            <w:r w:rsidR="00977F3B">
              <w:rPr>
                <w:noProof/>
                <w:webHidden/>
              </w:rPr>
              <w:instrText xml:space="preserve"> PAGEREF _Toc53357693 \h </w:instrText>
            </w:r>
            <w:r w:rsidR="00977F3B">
              <w:rPr>
                <w:noProof/>
                <w:webHidden/>
              </w:rPr>
            </w:r>
            <w:r w:rsidR="00977F3B">
              <w:rPr>
                <w:noProof/>
                <w:webHidden/>
              </w:rPr>
              <w:fldChar w:fldCharType="separate"/>
            </w:r>
            <w:r w:rsidR="00977F3B">
              <w:rPr>
                <w:noProof/>
                <w:webHidden/>
              </w:rPr>
              <w:t>11</w:t>
            </w:r>
            <w:r w:rsidR="00977F3B">
              <w:rPr>
                <w:noProof/>
                <w:webHidden/>
              </w:rPr>
              <w:fldChar w:fldCharType="end"/>
            </w:r>
          </w:hyperlink>
        </w:p>
        <w:p w14:paraId="6B5494AD" w14:textId="77777777" w:rsidR="00977F3B" w:rsidRDefault="00816F2C">
          <w:pPr>
            <w:pStyle w:val="TOC1"/>
            <w:tabs>
              <w:tab w:val="left" w:pos="440"/>
              <w:tab w:val="right" w:leader="underscore" w:pos="9350"/>
            </w:tabs>
            <w:rPr>
              <w:rFonts w:eastAsiaTheme="minorEastAsia"/>
              <w:noProof/>
            </w:rPr>
          </w:pPr>
          <w:hyperlink w:anchor="_Toc53357694" w:history="1">
            <w:r w:rsidR="00977F3B" w:rsidRPr="00333E17">
              <w:rPr>
                <w:rStyle w:val="Hyperlink"/>
                <w:b/>
                <w:noProof/>
              </w:rPr>
              <w:t>4</w:t>
            </w:r>
            <w:r w:rsidR="00977F3B">
              <w:rPr>
                <w:rFonts w:eastAsiaTheme="minorEastAsia"/>
                <w:noProof/>
              </w:rPr>
              <w:tab/>
            </w:r>
            <w:r w:rsidR="00977F3B" w:rsidRPr="00333E17">
              <w:rPr>
                <w:rStyle w:val="Hyperlink"/>
                <w:b/>
                <w:noProof/>
              </w:rPr>
              <w:t>CONVENTIONAL PRIVATE BANKS OF BANGLADESH</w:t>
            </w:r>
            <w:r w:rsidR="00977F3B">
              <w:rPr>
                <w:noProof/>
                <w:webHidden/>
              </w:rPr>
              <w:tab/>
            </w:r>
            <w:r w:rsidR="00977F3B">
              <w:rPr>
                <w:noProof/>
                <w:webHidden/>
              </w:rPr>
              <w:fldChar w:fldCharType="begin"/>
            </w:r>
            <w:r w:rsidR="00977F3B">
              <w:rPr>
                <w:noProof/>
                <w:webHidden/>
              </w:rPr>
              <w:instrText xml:space="preserve"> PAGEREF _Toc53357694 \h </w:instrText>
            </w:r>
            <w:r w:rsidR="00977F3B">
              <w:rPr>
                <w:noProof/>
                <w:webHidden/>
              </w:rPr>
            </w:r>
            <w:r w:rsidR="00977F3B">
              <w:rPr>
                <w:noProof/>
                <w:webHidden/>
              </w:rPr>
              <w:fldChar w:fldCharType="separate"/>
            </w:r>
            <w:r w:rsidR="00977F3B">
              <w:rPr>
                <w:noProof/>
                <w:webHidden/>
              </w:rPr>
              <w:t>12</w:t>
            </w:r>
            <w:r w:rsidR="00977F3B">
              <w:rPr>
                <w:noProof/>
                <w:webHidden/>
              </w:rPr>
              <w:fldChar w:fldCharType="end"/>
            </w:r>
          </w:hyperlink>
        </w:p>
        <w:p w14:paraId="26D8AAC2" w14:textId="77777777" w:rsidR="00977F3B" w:rsidRDefault="00816F2C">
          <w:pPr>
            <w:pStyle w:val="TOC1"/>
            <w:tabs>
              <w:tab w:val="left" w:pos="440"/>
              <w:tab w:val="right" w:leader="underscore" w:pos="9350"/>
            </w:tabs>
            <w:rPr>
              <w:rFonts w:eastAsiaTheme="minorEastAsia"/>
              <w:noProof/>
            </w:rPr>
          </w:pPr>
          <w:hyperlink w:anchor="_Toc53357695" w:history="1">
            <w:r w:rsidR="00977F3B" w:rsidRPr="00333E17">
              <w:rPr>
                <w:rStyle w:val="Hyperlink"/>
                <w:b/>
                <w:noProof/>
              </w:rPr>
              <w:t>5</w:t>
            </w:r>
            <w:r w:rsidR="00977F3B">
              <w:rPr>
                <w:rFonts w:eastAsiaTheme="minorEastAsia"/>
                <w:noProof/>
              </w:rPr>
              <w:tab/>
            </w:r>
            <w:r w:rsidR="00977F3B" w:rsidRPr="00333E17">
              <w:rPr>
                <w:rStyle w:val="Hyperlink"/>
                <w:b/>
                <w:noProof/>
              </w:rPr>
              <w:t>FINDINGS AND ANALYSIS</w:t>
            </w:r>
            <w:r w:rsidR="00977F3B">
              <w:rPr>
                <w:noProof/>
                <w:webHidden/>
              </w:rPr>
              <w:tab/>
            </w:r>
            <w:r w:rsidR="00977F3B">
              <w:rPr>
                <w:noProof/>
                <w:webHidden/>
              </w:rPr>
              <w:fldChar w:fldCharType="begin"/>
            </w:r>
            <w:r w:rsidR="00977F3B">
              <w:rPr>
                <w:noProof/>
                <w:webHidden/>
              </w:rPr>
              <w:instrText xml:space="preserve"> PAGEREF _Toc53357695 \h </w:instrText>
            </w:r>
            <w:r w:rsidR="00977F3B">
              <w:rPr>
                <w:noProof/>
                <w:webHidden/>
              </w:rPr>
            </w:r>
            <w:r w:rsidR="00977F3B">
              <w:rPr>
                <w:noProof/>
                <w:webHidden/>
              </w:rPr>
              <w:fldChar w:fldCharType="separate"/>
            </w:r>
            <w:r w:rsidR="00977F3B">
              <w:rPr>
                <w:noProof/>
                <w:webHidden/>
              </w:rPr>
              <w:t>15</w:t>
            </w:r>
            <w:r w:rsidR="00977F3B">
              <w:rPr>
                <w:noProof/>
                <w:webHidden/>
              </w:rPr>
              <w:fldChar w:fldCharType="end"/>
            </w:r>
          </w:hyperlink>
        </w:p>
        <w:p w14:paraId="611B9C55" w14:textId="77777777" w:rsidR="00977F3B" w:rsidRDefault="00816F2C">
          <w:pPr>
            <w:pStyle w:val="TOC2"/>
            <w:tabs>
              <w:tab w:val="left" w:pos="880"/>
              <w:tab w:val="right" w:leader="underscore" w:pos="9350"/>
            </w:tabs>
            <w:rPr>
              <w:rFonts w:eastAsiaTheme="minorEastAsia"/>
              <w:noProof/>
            </w:rPr>
          </w:pPr>
          <w:hyperlink w:anchor="_Toc53357696" w:history="1">
            <w:r w:rsidR="00977F3B" w:rsidRPr="00333E17">
              <w:rPr>
                <w:rStyle w:val="Hyperlink"/>
                <w:b/>
                <w:noProof/>
              </w:rPr>
              <w:t>5.1</w:t>
            </w:r>
            <w:r w:rsidR="00977F3B">
              <w:rPr>
                <w:rFonts w:eastAsiaTheme="minorEastAsia"/>
                <w:noProof/>
              </w:rPr>
              <w:tab/>
            </w:r>
            <w:r w:rsidR="00977F3B" w:rsidRPr="00333E17">
              <w:rPr>
                <w:rStyle w:val="Hyperlink"/>
                <w:b/>
                <w:noProof/>
                <w:shd w:val="clear" w:color="auto" w:fill="FFFFFF"/>
              </w:rPr>
              <w:t>PROFITABILITY RATIOS</w:t>
            </w:r>
            <w:r w:rsidR="00977F3B">
              <w:rPr>
                <w:noProof/>
                <w:webHidden/>
              </w:rPr>
              <w:tab/>
            </w:r>
            <w:r w:rsidR="00977F3B">
              <w:rPr>
                <w:noProof/>
                <w:webHidden/>
              </w:rPr>
              <w:fldChar w:fldCharType="begin"/>
            </w:r>
            <w:r w:rsidR="00977F3B">
              <w:rPr>
                <w:noProof/>
                <w:webHidden/>
              </w:rPr>
              <w:instrText xml:space="preserve"> PAGEREF _Toc53357696 \h </w:instrText>
            </w:r>
            <w:r w:rsidR="00977F3B">
              <w:rPr>
                <w:noProof/>
                <w:webHidden/>
              </w:rPr>
            </w:r>
            <w:r w:rsidR="00977F3B">
              <w:rPr>
                <w:noProof/>
                <w:webHidden/>
              </w:rPr>
              <w:fldChar w:fldCharType="separate"/>
            </w:r>
            <w:r w:rsidR="00977F3B">
              <w:rPr>
                <w:noProof/>
                <w:webHidden/>
              </w:rPr>
              <w:t>17</w:t>
            </w:r>
            <w:r w:rsidR="00977F3B">
              <w:rPr>
                <w:noProof/>
                <w:webHidden/>
              </w:rPr>
              <w:fldChar w:fldCharType="end"/>
            </w:r>
          </w:hyperlink>
        </w:p>
        <w:p w14:paraId="7B494A22" w14:textId="77777777" w:rsidR="00977F3B" w:rsidRDefault="00816F2C">
          <w:pPr>
            <w:pStyle w:val="TOC3"/>
            <w:tabs>
              <w:tab w:val="left" w:pos="1320"/>
              <w:tab w:val="right" w:leader="underscore" w:pos="9350"/>
            </w:tabs>
            <w:rPr>
              <w:rFonts w:eastAsiaTheme="minorEastAsia"/>
              <w:noProof/>
            </w:rPr>
          </w:pPr>
          <w:hyperlink w:anchor="_Toc53357697" w:history="1">
            <w:r w:rsidR="00977F3B" w:rsidRPr="00333E17">
              <w:rPr>
                <w:rStyle w:val="Hyperlink"/>
                <w:b/>
                <w:noProof/>
              </w:rPr>
              <w:t>5.1.1</w:t>
            </w:r>
            <w:r w:rsidR="00977F3B">
              <w:rPr>
                <w:rFonts w:eastAsiaTheme="minorEastAsia"/>
                <w:noProof/>
              </w:rPr>
              <w:tab/>
            </w:r>
            <w:r w:rsidR="00977F3B" w:rsidRPr="00333E17">
              <w:rPr>
                <w:rStyle w:val="Hyperlink"/>
                <w:b/>
                <w:noProof/>
                <w:shd w:val="clear" w:color="auto" w:fill="FFFFFF"/>
              </w:rPr>
              <w:t>RETURN ON EQUITY</w:t>
            </w:r>
            <w:r w:rsidR="00977F3B">
              <w:rPr>
                <w:noProof/>
                <w:webHidden/>
              </w:rPr>
              <w:tab/>
            </w:r>
            <w:r w:rsidR="00977F3B">
              <w:rPr>
                <w:noProof/>
                <w:webHidden/>
              </w:rPr>
              <w:fldChar w:fldCharType="begin"/>
            </w:r>
            <w:r w:rsidR="00977F3B">
              <w:rPr>
                <w:noProof/>
                <w:webHidden/>
              </w:rPr>
              <w:instrText xml:space="preserve"> PAGEREF _Toc53357697 \h </w:instrText>
            </w:r>
            <w:r w:rsidR="00977F3B">
              <w:rPr>
                <w:noProof/>
                <w:webHidden/>
              </w:rPr>
            </w:r>
            <w:r w:rsidR="00977F3B">
              <w:rPr>
                <w:noProof/>
                <w:webHidden/>
              </w:rPr>
              <w:fldChar w:fldCharType="separate"/>
            </w:r>
            <w:r w:rsidR="00977F3B">
              <w:rPr>
                <w:noProof/>
                <w:webHidden/>
              </w:rPr>
              <w:t>17</w:t>
            </w:r>
            <w:r w:rsidR="00977F3B">
              <w:rPr>
                <w:noProof/>
                <w:webHidden/>
              </w:rPr>
              <w:fldChar w:fldCharType="end"/>
            </w:r>
          </w:hyperlink>
        </w:p>
        <w:p w14:paraId="45ADF1B6" w14:textId="77777777" w:rsidR="00977F3B" w:rsidRDefault="00816F2C">
          <w:pPr>
            <w:pStyle w:val="TOC3"/>
            <w:tabs>
              <w:tab w:val="left" w:pos="1320"/>
              <w:tab w:val="right" w:leader="underscore" w:pos="9350"/>
            </w:tabs>
            <w:rPr>
              <w:rFonts w:eastAsiaTheme="minorEastAsia"/>
              <w:noProof/>
            </w:rPr>
          </w:pPr>
          <w:hyperlink w:anchor="_Toc53357698" w:history="1">
            <w:r w:rsidR="00977F3B" w:rsidRPr="00333E17">
              <w:rPr>
                <w:rStyle w:val="Hyperlink"/>
                <w:b/>
                <w:noProof/>
              </w:rPr>
              <w:t>5.1.2</w:t>
            </w:r>
            <w:r w:rsidR="00977F3B">
              <w:rPr>
                <w:rFonts w:eastAsiaTheme="minorEastAsia"/>
                <w:noProof/>
              </w:rPr>
              <w:tab/>
            </w:r>
            <w:r w:rsidR="00977F3B" w:rsidRPr="00333E17">
              <w:rPr>
                <w:rStyle w:val="Hyperlink"/>
                <w:b/>
                <w:noProof/>
                <w:shd w:val="clear" w:color="auto" w:fill="FFFFFF"/>
              </w:rPr>
              <w:t>NET INTEREST MARGIN ON AVERAGE EARNING ASSETS</w:t>
            </w:r>
            <w:r w:rsidR="00977F3B">
              <w:rPr>
                <w:noProof/>
                <w:webHidden/>
              </w:rPr>
              <w:tab/>
            </w:r>
            <w:r w:rsidR="00977F3B">
              <w:rPr>
                <w:noProof/>
                <w:webHidden/>
              </w:rPr>
              <w:fldChar w:fldCharType="begin"/>
            </w:r>
            <w:r w:rsidR="00977F3B">
              <w:rPr>
                <w:noProof/>
                <w:webHidden/>
              </w:rPr>
              <w:instrText xml:space="preserve"> PAGEREF _Toc53357698 \h </w:instrText>
            </w:r>
            <w:r w:rsidR="00977F3B">
              <w:rPr>
                <w:noProof/>
                <w:webHidden/>
              </w:rPr>
            </w:r>
            <w:r w:rsidR="00977F3B">
              <w:rPr>
                <w:noProof/>
                <w:webHidden/>
              </w:rPr>
              <w:fldChar w:fldCharType="separate"/>
            </w:r>
            <w:r w:rsidR="00977F3B">
              <w:rPr>
                <w:noProof/>
                <w:webHidden/>
              </w:rPr>
              <w:t>18</w:t>
            </w:r>
            <w:r w:rsidR="00977F3B">
              <w:rPr>
                <w:noProof/>
                <w:webHidden/>
              </w:rPr>
              <w:fldChar w:fldCharType="end"/>
            </w:r>
          </w:hyperlink>
        </w:p>
        <w:p w14:paraId="3D1EBA98" w14:textId="77777777" w:rsidR="00977F3B" w:rsidRDefault="00816F2C">
          <w:pPr>
            <w:pStyle w:val="TOC3"/>
            <w:tabs>
              <w:tab w:val="left" w:pos="1320"/>
              <w:tab w:val="right" w:leader="underscore" w:pos="9350"/>
            </w:tabs>
            <w:rPr>
              <w:rFonts w:eastAsiaTheme="minorEastAsia"/>
              <w:noProof/>
            </w:rPr>
          </w:pPr>
          <w:hyperlink w:anchor="_Toc53357699" w:history="1">
            <w:r w:rsidR="00977F3B" w:rsidRPr="00333E17">
              <w:rPr>
                <w:rStyle w:val="Hyperlink"/>
                <w:b/>
                <w:noProof/>
              </w:rPr>
              <w:t>5.1.3</w:t>
            </w:r>
            <w:r w:rsidR="00977F3B">
              <w:rPr>
                <w:rFonts w:eastAsiaTheme="minorEastAsia"/>
                <w:noProof/>
              </w:rPr>
              <w:tab/>
            </w:r>
            <w:r w:rsidR="00977F3B" w:rsidRPr="00333E17">
              <w:rPr>
                <w:rStyle w:val="Hyperlink"/>
                <w:b/>
                <w:noProof/>
                <w:shd w:val="clear" w:color="auto" w:fill="FFFFFF"/>
              </w:rPr>
              <w:t>COST TO INCOME RATIO</w:t>
            </w:r>
            <w:r w:rsidR="00977F3B">
              <w:rPr>
                <w:noProof/>
                <w:webHidden/>
              </w:rPr>
              <w:tab/>
            </w:r>
            <w:r w:rsidR="00977F3B">
              <w:rPr>
                <w:noProof/>
                <w:webHidden/>
              </w:rPr>
              <w:fldChar w:fldCharType="begin"/>
            </w:r>
            <w:r w:rsidR="00977F3B">
              <w:rPr>
                <w:noProof/>
                <w:webHidden/>
              </w:rPr>
              <w:instrText xml:space="preserve"> PAGEREF _Toc53357699 \h </w:instrText>
            </w:r>
            <w:r w:rsidR="00977F3B">
              <w:rPr>
                <w:noProof/>
                <w:webHidden/>
              </w:rPr>
            </w:r>
            <w:r w:rsidR="00977F3B">
              <w:rPr>
                <w:noProof/>
                <w:webHidden/>
              </w:rPr>
              <w:fldChar w:fldCharType="separate"/>
            </w:r>
            <w:r w:rsidR="00977F3B">
              <w:rPr>
                <w:noProof/>
                <w:webHidden/>
              </w:rPr>
              <w:t>18</w:t>
            </w:r>
            <w:r w:rsidR="00977F3B">
              <w:rPr>
                <w:noProof/>
                <w:webHidden/>
              </w:rPr>
              <w:fldChar w:fldCharType="end"/>
            </w:r>
          </w:hyperlink>
        </w:p>
        <w:p w14:paraId="5EE92D23" w14:textId="77777777" w:rsidR="00977F3B" w:rsidRDefault="00816F2C">
          <w:pPr>
            <w:pStyle w:val="TOC3"/>
            <w:tabs>
              <w:tab w:val="left" w:pos="1320"/>
              <w:tab w:val="right" w:leader="underscore" w:pos="9350"/>
            </w:tabs>
            <w:rPr>
              <w:rFonts w:eastAsiaTheme="minorEastAsia"/>
              <w:noProof/>
            </w:rPr>
          </w:pPr>
          <w:hyperlink w:anchor="_Toc53357700" w:history="1">
            <w:r w:rsidR="00977F3B" w:rsidRPr="00333E17">
              <w:rPr>
                <w:rStyle w:val="Hyperlink"/>
                <w:b/>
                <w:noProof/>
              </w:rPr>
              <w:t>5.1.4</w:t>
            </w:r>
            <w:r w:rsidR="00977F3B">
              <w:rPr>
                <w:rFonts w:eastAsiaTheme="minorEastAsia"/>
                <w:noProof/>
              </w:rPr>
              <w:tab/>
            </w:r>
            <w:r w:rsidR="00977F3B" w:rsidRPr="00333E17">
              <w:rPr>
                <w:rStyle w:val="Hyperlink"/>
                <w:b/>
                <w:noProof/>
                <w:shd w:val="clear" w:color="auto" w:fill="FFFFFF"/>
              </w:rPr>
              <w:t>RETURN ON INVESTMENT</w:t>
            </w:r>
            <w:r w:rsidR="00977F3B">
              <w:rPr>
                <w:noProof/>
                <w:webHidden/>
              </w:rPr>
              <w:tab/>
            </w:r>
            <w:r w:rsidR="00977F3B">
              <w:rPr>
                <w:noProof/>
                <w:webHidden/>
              </w:rPr>
              <w:fldChar w:fldCharType="begin"/>
            </w:r>
            <w:r w:rsidR="00977F3B">
              <w:rPr>
                <w:noProof/>
                <w:webHidden/>
              </w:rPr>
              <w:instrText xml:space="preserve"> PAGEREF _Toc53357700 \h </w:instrText>
            </w:r>
            <w:r w:rsidR="00977F3B">
              <w:rPr>
                <w:noProof/>
                <w:webHidden/>
              </w:rPr>
            </w:r>
            <w:r w:rsidR="00977F3B">
              <w:rPr>
                <w:noProof/>
                <w:webHidden/>
              </w:rPr>
              <w:fldChar w:fldCharType="separate"/>
            </w:r>
            <w:r w:rsidR="00977F3B">
              <w:rPr>
                <w:noProof/>
                <w:webHidden/>
              </w:rPr>
              <w:t>19</w:t>
            </w:r>
            <w:r w:rsidR="00977F3B">
              <w:rPr>
                <w:noProof/>
                <w:webHidden/>
              </w:rPr>
              <w:fldChar w:fldCharType="end"/>
            </w:r>
          </w:hyperlink>
        </w:p>
        <w:p w14:paraId="32758257" w14:textId="77777777" w:rsidR="00977F3B" w:rsidRDefault="00816F2C">
          <w:pPr>
            <w:pStyle w:val="TOC2"/>
            <w:tabs>
              <w:tab w:val="left" w:pos="880"/>
              <w:tab w:val="right" w:leader="underscore" w:pos="9350"/>
            </w:tabs>
            <w:rPr>
              <w:rFonts w:eastAsiaTheme="minorEastAsia"/>
              <w:noProof/>
            </w:rPr>
          </w:pPr>
          <w:hyperlink w:anchor="_Toc53357701" w:history="1">
            <w:r w:rsidR="00977F3B" w:rsidRPr="00333E17">
              <w:rPr>
                <w:rStyle w:val="Hyperlink"/>
                <w:b/>
                <w:noProof/>
              </w:rPr>
              <w:t>5.2</w:t>
            </w:r>
            <w:r w:rsidR="00977F3B">
              <w:rPr>
                <w:rFonts w:eastAsiaTheme="minorEastAsia"/>
                <w:noProof/>
              </w:rPr>
              <w:tab/>
            </w:r>
            <w:r w:rsidR="00977F3B" w:rsidRPr="00333E17">
              <w:rPr>
                <w:rStyle w:val="Hyperlink"/>
                <w:b/>
                <w:noProof/>
                <w:shd w:val="clear" w:color="auto" w:fill="FFFFFF"/>
              </w:rPr>
              <w:t>LIQUIDITY RATIOS</w:t>
            </w:r>
            <w:r w:rsidR="00977F3B">
              <w:rPr>
                <w:noProof/>
                <w:webHidden/>
              </w:rPr>
              <w:tab/>
            </w:r>
            <w:r w:rsidR="00977F3B">
              <w:rPr>
                <w:noProof/>
                <w:webHidden/>
              </w:rPr>
              <w:fldChar w:fldCharType="begin"/>
            </w:r>
            <w:r w:rsidR="00977F3B">
              <w:rPr>
                <w:noProof/>
                <w:webHidden/>
              </w:rPr>
              <w:instrText xml:space="preserve"> PAGEREF _Toc53357701 \h </w:instrText>
            </w:r>
            <w:r w:rsidR="00977F3B">
              <w:rPr>
                <w:noProof/>
                <w:webHidden/>
              </w:rPr>
            </w:r>
            <w:r w:rsidR="00977F3B">
              <w:rPr>
                <w:noProof/>
                <w:webHidden/>
              </w:rPr>
              <w:fldChar w:fldCharType="separate"/>
            </w:r>
            <w:r w:rsidR="00977F3B">
              <w:rPr>
                <w:noProof/>
                <w:webHidden/>
              </w:rPr>
              <w:t>21</w:t>
            </w:r>
            <w:r w:rsidR="00977F3B">
              <w:rPr>
                <w:noProof/>
                <w:webHidden/>
              </w:rPr>
              <w:fldChar w:fldCharType="end"/>
            </w:r>
          </w:hyperlink>
        </w:p>
        <w:p w14:paraId="61160949" w14:textId="77777777" w:rsidR="00977F3B" w:rsidRDefault="00816F2C">
          <w:pPr>
            <w:pStyle w:val="TOC3"/>
            <w:tabs>
              <w:tab w:val="left" w:pos="1320"/>
              <w:tab w:val="right" w:leader="underscore" w:pos="9350"/>
            </w:tabs>
            <w:rPr>
              <w:rFonts w:eastAsiaTheme="minorEastAsia"/>
              <w:noProof/>
            </w:rPr>
          </w:pPr>
          <w:hyperlink w:anchor="_Toc53357702" w:history="1">
            <w:r w:rsidR="00977F3B" w:rsidRPr="00333E17">
              <w:rPr>
                <w:rStyle w:val="Hyperlink"/>
                <w:b/>
                <w:noProof/>
              </w:rPr>
              <w:t>5.2.1</w:t>
            </w:r>
            <w:r w:rsidR="00977F3B">
              <w:rPr>
                <w:rFonts w:eastAsiaTheme="minorEastAsia"/>
                <w:noProof/>
              </w:rPr>
              <w:tab/>
            </w:r>
            <w:r w:rsidR="00977F3B" w:rsidRPr="00333E17">
              <w:rPr>
                <w:rStyle w:val="Hyperlink"/>
                <w:b/>
                <w:noProof/>
                <w:shd w:val="clear" w:color="auto" w:fill="FFFFFF"/>
              </w:rPr>
              <w:t>CASH RESERVE RATIO</w:t>
            </w:r>
            <w:r w:rsidR="00977F3B">
              <w:rPr>
                <w:noProof/>
                <w:webHidden/>
              </w:rPr>
              <w:tab/>
            </w:r>
            <w:r w:rsidR="00977F3B">
              <w:rPr>
                <w:noProof/>
                <w:webHidden/>
              </w:rPr>
              <w:fldChar w:fldCharType="begin"/>
            </w:r>
            <w:r w:rsidR="00977F3B">
              <w:rPr>
                <w:noProof/>
                <w:webHidden/>
              </w:rPr>
              <w:instrText xml:space="preserve"> PAGEREF _Toc53357702 \h </w:instrText>
            </w:r>
            <w:r w:rsidR="00977F3B">
              <w:rPr>
                <w:noProof/>
                <w:webHidden/>
              </w:rPr>
            </w:r>
            <w:r w:rsidR="00977F3B">
              <w:rPr>
                <w:noProof/>
                <w:webHidden/>
              </w:rPr>
              <w:fldChar w:fldCharType="separate"/>
            </w:r>
            <w:r w:rsidR="00977F3B">
              <w:rPr>
                <w:noProof/>
                <w:webHidden/>
              </w:rPr>
              <w:t>21</w:t>
            </w:r>
            <w:r w:rsidR="00977F3B">
              <w:rPr>
                <w:noProof/>
                <w:webHidden/>
              </w:rPr>
              <w:fldChar w:fldCharType="end"/>
            </w:r>
          </w:hyperlink>
        </w:p>
        <w:p w14:paraId="256F32E0" w14:textId="77777777" w:rsidR="00977F3B" w:rsidRDefault="00816F2C">
          <w:pPr>
            <w:pStyle w:val="TOC3"/>
            <w:tabs>
              <w:tab w:val="left" w:pos="1320"/>
              <w:tab w:val="right" w:leader="underscore" w:pos="9350"/>
            </w:tabs>
            <w:rPr>
              <w:rFonts w:eastAsiaTheme="minorEastAsia"/>
              <w:noProof/>
            </w:rPr>
          </w:pPr>
          <w:hyperlink w:anchor="_Toc53357703" w:history="1">
            <w:r w:rsidR="00977F3B" w:rsidRPr="00333E17">
              <w:rPr>
                <w:rStyle w:val="Hyperlink"/>
                <w:b/>
                <w:noProof/>
              </w:rPr>
              <w:t>5.2.2</w:t>
            </w:r>
            <w:r w:rsidR="00977F3B">
              <w:rPr>
                <w:rFonts w:eastAsiaTheme="minorEastAsia"/>
                <w:noProof/>
              </w:rPr>
              <w:tab/>
            </w:r>
            <w:r w:rsidR="00977F3B" w:rsidRPr="00333E17">
              <w:rPr>
                <w:rStyle w:val="Hyperlink"/>
                <w:b/>
                <w:noProof/>
                <w:shd w:val="clear" w:color="auto" w:fill="FFFFFF"/>
              </w:rPr>
              <w:t>STATUTORY LIQUIDITY RATIO</w:t>
            </w:r>
            <w:r w:rsidR="00977F3B">
              <w:rPr>
                <w:noProof/>
                <w:webHidden/>
              </w:rPr>
              <w:tab/>
            </w:r>
            <w:r w:rsidR="00977F3B">
              <w:rPr>
                <w:noProof/>
                <w:webHidden/>
              </w:rPr>
              <w:fldChar w:fldCharType="begin"/>
            </w:r>
            <w:r w:rsidR="00977F3B">
              <w:rPr>
                <w:noProof/>
                <w:webHidden/>
              </w:rPr>
              <w:instrText xml:space="preserve"> PAGEREF _Toc53357703 \h </w:instrText>
            </w:r>
            <w:r w:rsidR="00977F3B">
              <w:rPr>
                <w:noProof/>
                <w:webHidden/>
              </w:rPr>
            </w:r>
            <w:r w:rsidR="00977F3B">
              <w:rPr>
                <w:noProof/>
                <w:webHidden/>
              </w:rPr>
              <w:fldChar w:fldCharType="separate"/>
            </w:r>
            <w:r w:rsidR="00977F3B">
              <w:rPr>
                <w:noProof/>
                <w:webHidden/>
              </w:rPr>
              <w:t>22</w:t>
            </w:r>
            <w:r w:rsidR="00977F3B">
              <w:rPr>
                <w:noProof/>
                <w:webHidden/>
              </w:rPr>
              <w:fldChar w:fldCharType="end"/>
            </w:r>
          </w:hyperlink>
        </w:p>
        <w:p w14:paraId="35FF90CB" w14:textId="77777777" w:rsidR="00977F3B" w:rsidRDefault="00816F2C">
          <w:pPr>
            <w:pStyle w:val="TOC3"/>
            <w:tabs>
              <w:tab w:val="left" w:pos="1320"/>
              <w:tab w:val="right" w:leader="underscore" w:pos="9350"/>
            </w:tabs>
            <w:rPr>
              <w:rFonts w:eastAsiaTheme="minorEastAsia"/>
              <w:noProof/>
            </w:rPr>
          </w:pPr>
          <w:hyperlink w:anchor="_Toc53357704" w:history="1">
            <w:r w:rsidR="00977F3B" w:rsidRPr="00333E17">
              <w:rPr>
                <w:rStyle w:val="Hyperlink"/>
                <w:b/>
                <w:noProof/>
              </w:rPr>
              <w:t>5.2.3</w:t>
            </w:r>
            <w:r w:rsidR="00977F3B">
              <w:rPr>
                <w:rFonts w:eastAsiaTheme="minorEastAsia"/>
                <w:noProof/>
              </w:rPr>
              <w:tab/>
            </w:r>
            <w:r w:rsidR="00977F3B" w:rsidRPr="00333E17">
              <w:rPr>
                <w:rStyle w:val="Hyperlink"/>
                <w:b/>
                <w:noProof/>
                <w:shd w:val="clear" w:color="auto" w:fill="FFFFFF"/>
              </w:rPr>
              <w:t>NON-PERFORMING LOANS TO TOTAL LOANS AND ADVANCES</w:t>
            </w:r>
            <w:r w:rsidR="00977F3B">
              <w:rPr>
                <w:noProof/>
                <w:webHidden/>
              </w:rPr>
              <w:tab/>
            </w:r>
            <w:r w:rsidR="00977F3B">
              <w:rPr>
                <w:noProof/>
                <w:webHidden/>
              </w:rPr>
              <w:fldChar w:fldCharType="begin"/>
            </w:r>
            <w:r w:rsidR="00977F3B">
              <w:rPr>
                <w:noProof/>
                <w:webHidden/>
              </w:rPr>
              <w:instrText xml:space="preserve"> PAGEREF _Toc53357704 \h </w:instrText>
            </w:r>
            <w:r w:rsidR="00977F3B">
              <w:rPr>
                <w:noProof/>
                <w:webHidden/>
              </w:rPr>
            </w:r>
            <w:r w:rsidR="00977F3B">
              <w:rPr>
                <w:noProof/>
                <w:webHidden/>
              </w:rPr>
              <w:fldChar w:fldCharType="separate"/>
            </w:r>
            <w:r w:rsidR="00977F3B">
              <w:rPr>
                <w:noProof/>
                <w:webHidden/>
              </w:rPr>
              <w:t>23</w:t>
            </w:r>
            <w:r w:rsidR="00977F3B">
              <w:rPr>
                <w:noProof/>
                <w:webHidden/>
              </w:rPr>
              <w:fldChar w:fldCharType="end"/>
            </w:r>
          </w:hyperlink>
        </w:p>
        <w:p w14:paraId="28629849" w14:textId="77777777" w:rsidR="00977F3B" w:rsidRDefault="00816F2C">
          <w:pPr>
            <w:pStyle w:val="TOC3"/>
            <w:tabs>
              <w:tab w:val="left" w:pos="1320"/>
              <w:tab w:val="right" w:leader="underscore" w:pos="9350"/>
            </w:tabs>
            <w:rPr>
              <w:rFonts w:eastAsiaTheme="minorEastAsia"/>
              <w:noProof/>
            </w:rPr>
          </w:pPr>
          <w:hyperlink w:anchor="_Toc53357705" w:history="1">
            <w:r w:rsidR="00977F3B" w:rsidRPr="00333E17">
              <w:rPr>
                <w:rStyle w:val="Hyperlink"/>
                <w:b/>
                <w:noProof/>
              </w:rPr>
              <w:t>5.2.4</w:t>
            </w:r>
            <w:r w:rsidR="00977F3B">
              <w:rPr>
                <w:rFonts w:eastAsiaTheme="minorEastAsia"/>
                <w:noProof/>
              </w:rPr>
              <w:tab/>
            </w:r>
            <w:r w:rsidR="00977F3B" w:rsidRPr="00333E17">
              <w:rPr>
                <w:rStyle w:val="Hyperlink"/>
                <w:b/>
                <w:noProof/>
                <w:shd w:val="clear" w:color="auto" w:fill="FFFFFF"/>
              </w:rPr>
              <w:t>PERCENTAGE OF CLASSIFIED LOANS AGAINST TOTAL LOANS AND ADVANCES</w:t>
            </w:r>
            <w:r w:rsidR="00977F3B">
              <w:rPr>
                <w:noProof/>
                <w:webHidden/>
              </w:rPr>
              <w:tab/>
            </w:r>
            <w:r w:rsidR="00977F3B">
              <w:rPr>
                <w:noProof/>
                <w:webHidden/>
              </w:rPr>
              <w:fldChar w:fldCharType="begin"/>
            </w:r>
            <w:r w:rsidR="00977F3B">
              <w:rPr>
                <w:noProof/>
                <w:webHidden/>
              </w:rPr>
              <w:instrText xml:space="preserve"> PAGEREF _Toc53357705 \h </w:instrText>
            </w:r>
            <w:r w:rsidR="00977F3B">
              <w:rPr>
                <w:noProof/>
                <w:webHidden/>
              </w:rPr>
            </w:r>
            <w:r w:rsidR="00977F3B">
              <w:rPr>
                <w:noProof/>
                <w:webHidden/>
              </w:rPr>
              <w:fldChar w:fldCharType="separate"/>
            </w:r>
            <w:r w:rsidR="00977F3B">
              <w:rPr>
                <w:noProof/>
                <w:webHidden/>
              </w:rPr>
              <w:t>23</w:t>
            </w:r>
            <w:r w:rsidR="00977F3B">
              <w:rPr>
                <w:noProof/>
                <w:webHidden/>
              </w:rPr>
              <w:fldChar w:fldCharType="end"/>
            </w:r>
          </w:hyperlink>
        </w:p>
        <w:p w14:paraId="6978E882" w14:textId="77777777" w:rsidR="00977F3B" w:rsidRDefault="00816F2C">
          <w:pPr>
            <w:pStyle w:val="TOC3"/>
            <w:tabs>
              <w:tab w:val="left" w:pos="1320"/>
              <w:tab w:val="right" w:leader="underscore" w:pos="9350"/>
            </w:tabs>
            <w:rPr>
              <w:rFonts w:eastAsiaTheme="minorEastAsia"/>
              <w:noProof/>
            </w:rPr>
          </w:pPr>
          <w:hyperlink w:anchor="_Toc53357706" w:history="1">
            <w:r w:rsidR="00977F3B" w:rsidRPr="00333E17">
              <w:rPr>
                <w:rStyle w:val="Hyperlink"/>
                <w:b/>
                <w:noProof/>
              </w:rPr>
              <w:t>5.2.5</w:t>
            </w:r>
            <w:r w:rsidR="00977F3B">
              <w:rPr>
                <w:rFonts w:eastAsiaTheme="minorEastAsia"/>
                <w:noProof/>
              </w:rPr>
              <w:tab/>
            </w:r>
            <w:r w:rsidR="00977F3B" w:rsidRPr="00333E17">
              <w:rPr>
                <w:rStyle w:val="Hyperlink"/>
                <w:b/>
                <w:noProof/>
                <w:shd w:val="clear" w:color="auto" w:fill="FFFFFF"/>
              </w:rPr>
              <w:t>CREDIT DEPOSIT RATIO</w:t>
            </w:r>
            <w:r w:rsidR="00977F3B">
              <w:rPr>
                <w:noProof/>
                <w:webHidden/>
              </w:rPr>
              <w:tab/>
            </w:r>
            <w:r w:rsidR="00977F3B">
              <w:rPr>
                <w:noProof/>
                <w:webHidden/>
              </w:rPr>
              <w:fldChar w:fldCharType="begin"/>
            </w:r>
            <w:r w:rsidR="00977F3B">
              <w:rPr>
                <w:noProof/>
                <w:webHidden/>
              </w:rPr>
              <w:instrText xml:space="preserve"> PAGEREF _Toc53357706 \h </w:instrText>
            </w:r>
            <w:r w:rsidR="00977F3B">
              <w:rPr>
                <w:noProof/>
                <w:webHidden/>
              </w:rPr>
            </w:r>
            <w:r w:rsidR="00977F3B">
              <w:rPr>
                <w:noProof/>
                <w:webHidden/>
              </w:rPr>
              <w:fldChar w:fldCharType="separate"/>
            </w:r>
            <w:r w:rsidR="00977F3B">
              <w:rPr>
                <w:noProof/>
                <w:webHidden/>
              </w:rPr>
              <w:t>24</w:t>
            </w:r>
            <w:r w:rsidR="00977F3B">
              <w:rPr>
                <w:noProof/>
                <w:webHidden/>
              </w:rPr>
              <w:fldChar w:fldCharType="end"/>
            </w:r>
          </w:hyperlink>
        </w:p>
        <w:p w14:paraId="5E7CA1B6" w14:textId="77777777" w:rsidR="00977F3B" w:rsidRDefault="00816F2C">
          <w:pPr>
            <w:pStyle w:val="TOC2"/>
            <w:tabs>
              <w:tab w:val="left" w:pos="880"/>
              <w:tab w:val="right" w:leader="underscore" w:pos="9350"/>
            </w:tabs>
            <w:rPr>
              <w:rFonts w:eastAsiaTheme="minorEastAsia"/>
              <w:noProof/>
            </w:rPr>
          </w:pPr>
          <w:hyperlink w:anchor="_Toc53357707" w:history="1">
            <w:r w:rsidR="00977F3B" w:rsidRPr="00333E17">
              <w:rPr>
                <w:rStyle w:val="Hyperlink"/>
                <w:b/>
                <w:noProof/>
              </w:rPr>
              <w:t>5.3</w:t>
            </w:r>
            <w:r w:rsidR="00977F3B">
              <w:rPr>
                <w:rFonts w:eastAsiaTheme="minorEastAsia"/>
                <w:noProof/>
              </w:rPr>
              <w:tab/>
            </w:r>
            <w:r w:rsidR="00977F3B" w:rsidRPr="00333E17">
              <w:rPr>
                <w:rStyle w:val="Hyperlink"/>
                <w:b/>
                <w:noProof/>
                <w:shd w:val="clear" w:color="auto" w:fill="FFFFFF"/>
              </w:rPr>
              <w:t>SOLVENCY RATIOS</w:t>
            </w:r>
            <w:r w:rsidR="00977F3B">
              <w:rPr>
                <w:noProof/>
                <w:webHidden/>
              </w:rPr>
              <w:tab/>
            </w:r>
            <w:r w:rsidR="00977F3B">
              <w:rPr>
                <w:noProof/>
                <w:webHidden/>
              </w:rPr>
              <w:fldChar w:fldCharType="begin"/>
            </w:r>
            <w:r w:rsidR="00977F3B">
              <w:rPr>
                <w:noProof/>
                <w:webHidden/>
              </w:rPr>
              <w:instrText xml:space="preserve"> PAGEREF _Toc53357707 \h </w:instrText>
            </w:r>
            <w:r w:rsidR="00977F3B">
              <w:rPr>
                <w:noProof/>
                <w:webHidden/>
              </w:rPr>
            </w:r>
            <w:r w:rsidR="00977F3B">
              <w:rPr>
                <w:noProof/>
                <w:webHidden/>
              </w:rPr>
              <w:fldChar w:fldCharType="separate"/>
            </w:r>
            <w:r w:rsidR="00977F3B">
              <w:rPr>
                <w:noProof/>
                <w:webHidden/>
              </w:rPr>
              <w:t>26</w:t>
            </w:r>
            <w:r w:rsidR="00977F3B">
              <w:rPr>
                <w:noProof/>
                <w:webHidden/>
              </w:rPr>
              <w:fldChar w:fldCharType="end"/>
            </w:r>
          </w:hyperlink>
        </w:p>
        <w:p w14:paraId="6E549ED4" w14:textId="77777777" w:rsidR="00977F3B" w:rsidRDefault="00816F2C">
          <w:pPr>
            <w:pStyle w:val="TOC3"/>
            <w:tabs>
              <w:tab w:val="left" w:pos="1320"/>
              <w:tab w:val="right" w:leader="underscore" w:pos="9350"/>
            </w:tabs>
            <w:rPr>
              <w:rFonts w:eastAsiaTheme="minorEastAsia"/>
              <w:noProof/>
            </w:rPr>
          </w:pPr>
          <w:hyperlink w:anchor="_Toc53357708" w:history="1">
            <w:r w:rsidR="00977F3B" w:rsidRPr="00333E17">
              <w:rPr>
                <w:rStyle w:val="Hyperlink"/>
                <w:b/>
                <w:noProof/>
              </w:rPr>
              <w:t>5.3.1</w:t>
            </w:r>
            <w:r w:rsidR="00977F3B">
              <w:rPr>
                <w:rFonts w:eastAsiaTheme="minorEastAsia"/>
                <w:noProof/>
              </w:rPr>
              <w:tab/>
            </w:r>
            <w:r w:rsidR="00977F3B" w:rsidRPr="00333E17">
              <w:rPr>
                <w:rStyle w:val="Hyperlink"/>
                <w:b/>
                <w:noProof/>
                <w:shd w:val="clear" w:color="auto" w:fill="FFFFFF"/>
              </w:rPr>
              <w:t>DEBT TO EQUITY RATIO</w:t>
            </w:r>
            <w:r w:rsidR="00977F3B">
              <w:rPr>
                <w:noProof/>
                <w:webHidden/>
              </w:rPr>
              <w:tab/>
            </w:r>
            <w:r w:rsidR="00977F3B">
              <w:rPr>
                <w:noProof/>
                <w:webHidden/>
              </w:rPr>
              <w:fldChar w:fldCharType="begin"/>
            </w:r>
            <w:r w:rsidR="00977F3B">
              <w:rPr>
                <w:noProof/>
                <w:webHidden/>
              </w:rPr>
              <w:instrText xml:space="preserve"> PAGEREF _Toc53357708 \h </w:instrText>
            </w:r>
            <w:r w:rsidR="00977F3B">
              <w:rPr>
                <w:noProof/>
                <w:webHidden/>
              </w:rPr>
            </w:r>
            <w:r w:rsidR="00977F3B">
              <w:rPr>
                <w:noProof/>
                <w:webHidden/>
              </w:rPr>
              <w:fldChar w:fldCharType="separate"/>
            </w:r>
            <w:r w:rsidR="00977F3B">
              <w:rPr>
                <w:noProof/>
                <w:webHidden/>
              </w:rPr>
              <w:t>27</w:t>
            </w:r>
            <w:r w:rsidR="00977F3B">
              <w:rPr>
                <w:noProof/>
                <w:webHidden/>
              </w:rPr>
              <w:fldChar w:fldCharType="end"/>
            </w:r>
          </w:hyperlink>
        </w:p>
        <w:p w14:paraId="3F5E1171" w14:textId="77777777" w:rsidR="00977F3B" w:rsidRDefault="00816F2C">
          <w:pPr>
            <w:pStyle w:val="TOC3"/>
            <w:tabs>
              <w:tab w:val="left" w:pos="1320"/>
              <w:tab w:val="right" w:leader="underscore" w:pos="9350"/>
            </w:tabs>
            <w:rPr>
              <w:rFonts w:eastAsiaTheme="minorEastAsia"/>
              <w:noProof/>
            </w:rPr>
          </w:pPr>
          <w:hyperlink w:anchor="_Toc53357709" w:history="1">
            <w:r w:rsidR="00977F3B" w:rsidRPr="00333E17">
              <w:rPr>
                <w:rStyle w:val="Hyperlink"/>
                <w:b/>
                <w:noProof/>
              </w:rPr>
              <w:t>5.3.2</w:t>
            </w:r>
            <w:r w:rsidR="00977F3B">
              <w:rPr>
                <w:rFonts w:eastAsiaTheme="minorEastAsia"/>
                <w:noProof/>
              </w:rPr>
              <w:tab/>
            </w:r>
            <w:r w:rsidR="00977F3B" w:rsidRPr="00333E17">
              <w:rPr>
                <w:rStyle w:val="Hyperlink"/>
                <w:b/>
                <w:noProof/>
                <w:shd w:val="clear" w:color="auto" w:fill="FFFFFF"/>
              </w:rPr>
              <w:t>EQUITY MULTIPLIER RATIO</w:t>
            </w:r>
            <w:r w:rsidR="00977F3B">
              <w:rPr>
                <w:noProof/>
                <w:webHidden/>
              </w:rPr>
              <w:tab/>
            </w:r>
            <w:r w:rsidR="00977F3B">
              <w:rPr>
                <w:noProof/>
                <w:webHidden/>
              </w:rPr>
              <w:fldChar w:fldCharType="begin"/>
            </w:r>
            <w:r w:rsidR="00977F3B">
              <w:rPr>
                <w:noProof/>
                <w:webHidden/>
              </w:rPr>
              <w:instrText xml:space="preserve"> PAGEREF _Toc53357709 \h </w:instrText>
            </w:r>
            <w:r w:rsidR="00977F3B">
              <w:rPr>
                <w:noProof/>
                <w:webHidden/>
              </w:rPr>
            </w:r>
            <w:r w:rsidR="00977F3B">
              <w:rPr>
                <w:noProof/>
                <w:webHidden/>
              </w:rPr>
              <w:fldChar w:fldCharType="separate"/>
            </w:r>
            <w:r w:rsidR="00977F3B">
              <w:rPr>
                <w:noProof/>
                <w:webHidden/>
              </w:rPr>
              <w:t>27</w:t>
            </w:r>
            <w:r w:rsidR="00977F3B">
              <w:rPr>
                <w:noProof/>
                <w:webHidden/>
              </w:rPr>
              <w:fldChar w:fldCharType="end"/>
            </w:r>
          </w:hyperlink>
        </w:p>
        <w:p w14:paraId="16D00195" w14:textId="77777777" w:rsidR="00977F3B" w:rsidRDefault="00816F2C">
          <w:pPr>
            <w:pStyle w:val="TOC3"/>
            <w:tabs>
              <w:tab w:val="left" w:pos="1320"/>
              <w:tab w:val="right" w:leader="underscore" w:pos="9350"/>
            </w:tabs>
            <w:rPr>
              <w:rFonts w:eastAsiaTheme="minorEastAsia"/>
              <w:noProof/>
            </w:rPr>
          </w:pPr>
          <w:hyperlink w:anchor="_Toc53357710" w:history="1">
            <w:r w:rsidR="00977F3B" w:rsidRPr="00333E17">
              <w:rPr>
                <w:rStyle w:val="Hyperlink"/>
                <w:b/>
                <w:noProof/>
              </w:rPr>
              <w:t>5.3.3</w:t>
            </w:r>
            <w:r w:rsidR="00977F3B">
              <w:rPr>
                <w:rFonts w:eastAsiaTheme="minorEastAsia"/>
                <w:noProof/>
              </w:rPr>
              <w:tab/>
            </w:r>
            <w:r w:rsidR="00977F3B" w:rsidRPr="00333E17">
              <w:rPr>
                <w:rStyle w:val="Hyperlink"/>
                <w:b/>
                <w:noProof/>
                <w:shd w:val="clear" w:color="auto" w:fill="FFFFFF"/>
              </w:rPr>
              <w:t>DEBT TO CAPITAL</w:t>
            </w:r>
            <w:r w:rsidR="00977F3B">
              <w:rPr>
                <w:noProof/>
                <w:webHidden/>
              </w:rPr>
              <w:tab/>
            </w:r>
            <w:r w:rsidR="00977F3B">
              <w:rPr>
                <w:noProof/>
                <w:webHidden/>
              </w:rPr>
              <w:fldChar w:fldCharType="begin"/>
            </w:r>
            <w:r w:rsidR="00977F3B">
              <w:rPr>
                <w:noProof/>
                <w:webHidden/>
              </w:rPr>
              <w:instrText xml:space="preserve"> PAGEREF _Toc53357710 \h </w:instrText>
            </w:r>
            <w:r w:rsidR="00977F3B">
              <w:rPr>
                <w:noProof/>
                <w:webHidden/>
              </w:rPr>
            </w:r>
            <w:r w:rsidR="00977F3B">
              <w:rPr>
                <w:noProof/>
                <w:webHidden/>
              </w:rPr>
              <w:fldChar w:fldCharType="separate"/>
            </w:r>
            <w:r w:rsidR="00977F3B">
              <w:rPr>
                <w:noProof/>
                <w:webHidden/>
              </w:rPr>
              <w:t>28</w:t>
            </w:r>
            <w:r w:rsidR="00977F3B">
              <w:rPr>
                <w:noProof/>
                <w:webHidden/>
              </w:rPr>
              <w:fldChar w:fldCharType="end"/>
            </w:r>
          </w:hyperlink>
        </w:p>
        <w:p w14:paraId="44D96953" w14:textId="77777777" w:rsidR="00977F3B" w:rsidRDefault="00816F2C">
          <w:pPr>
            <w:pStyle w:val="TOC3"/>
            <w:tabs>
              <w:tab w:val="left" w:pos="1320"/>
              <w:tab w:val="right" w:leader="underscore" w:pos="9350"/>
            </w:tabs>
            <w:rPr>
              <w:rFonts w:eastAsiaTheme="minorEastAsia"/>
              <w:noProof/>
            </w:rPr>
          </w:pPr>
          <w:hyperlink w:anchor="_Toc53357711" w:history="1">
            <w:r w:rsidR="00977F3B" w:rsidRPr="00333E17">
              <w:rPr>
                <w:rStyle w:val="Hyperlink"/>
                <w:b/>
                <w:noProof/>
              </w:rPr>
              <w:t>5.3.4</w:t>
            </w:r>
            <w:r w:rsidR="00977F3B">
              <w:rPr>
                <w:rFonts w:eastAsiaTheme="minorEastAsia"/>
                <w:noProof/>
              </w:rPr>
              <w:tab/>
            </w:r>
            <w:r w:rsidR="00977F3B" w:rsidRPr="00333E17">
              <w:rPr>
                <w:rStyle w:val="Hyperlink"/>
                <w:b/>
                <w:noProof/>
                <w:shd w:val="clear" w:color="auto" w:fill="FFFFFF"/>
              </w:rPr>
              <w:t>CAPITAL ADEQUACY RATIO</w:t>
            </w:r>
            <w:r w:rsidR="00977F3B">
              <w:rPr>
                <w:noProof/>
                <w:webHidden/>
              </w:rPr>
              <w:tab/>
            </w:r>
            <w:r w:rsidR="00977F3B">
              <w:rPr>
                <w:noProof/>
                <w:webHidden/>
              </w:rPr>
              <w:fldChar w:fldCharType="begin"/>
            </w:r>
            <w:r w:rsidR="00977F3B">
              <w:rPr>
                <w:noProof/>
                <w:webHidden/>
              </w:rPr>
              <w:instrText xml:space="preserve"> PAGEREF _Toc53357711 \h </w:instrText>
            </w:r>
            <w:r w:rsidR="00977F3B">
              <w:rPr>
                <w:noProof/>
                <w:webHidden/>
              </w:rPr>
            </w:r>
            <w:r w:rsidR="00977F3B">
              <w:rPr>
                <w:noProof/>
                <w:webHidden/>
              </w:rPr>
              <w:fldChar w:fldCharType="separate"/>
            </w:r>
            <w:r w:rsidR="00977F3B">
              <w:rPr>
                <w:noProof/>
                <w:webHidden/>
              </w:rPr>
              <w:t>29</w:t>
            </w:r>
            <w:r w:rsidR="00977F3B">
              <w:rPr>
                <w:noProof/>
                <w:webHidden/>
              </w:rPr>
              <w:fldChar w:fldCharType="end"/>
            </w:r>
          </w:hyperlink>
        </w:p>
        <w:p w14:paraId="63AA77D5" w14:textId="77777777" w:rsidR="00977F3B" w:rsidRDefault="00816F2C">
          <w:pPr>
            <w:pStyle w:val="TOC2"/>
            <w:tabs>
              <w:tab w:val="left" w:pos="880"/>
              <w:tab w:val="right" w:leader="underscore" w:pos="9350"/>
            </w:tabs>
            <w:rPr>
              <w:rFonts w:eastAsiaTheme="minorEastAsia"/>
              <w:noProof/>
            </w:rPr>
          </w:pPr>
          <w:hyperlink w:anchor="_Toc53357712" w:history="1">
            <w:r w:rsidR="00977F3B" w:rsidRPr="00333E17">
              <w:rPr>
                <w:rStyle w:val="Hyperlink"/>
                <w:b/>
                <w:noProof/>
              </w:rPr>
              <w:t>5.4</w:t>
            </w:r>
            <w:r w:rsidR="00977F3B">
              <w:rPr>
                <w:rFonts w:eastAsiaTheme="minorEastAsia"/>
                <w:noProof/>
              </w:rPr>
              <w:tab/>
            </w:r>
            <w:r w:rsidR="00977F3B" w:rsidRPr="00333E17">
              <w:rPr>
                <w:rStyle w:val="Hyperlink"/>
                <w:b/>
                <w:noProof/>
                <w:shd w:val="clear" w:color="auto" w:fill="FFFFFF"/>
              </w:rPr>
              <w:t>MARKET PROSPECT RATIOS</w:t>
            </w:r>
            <w:r w:rsidR="00977F3B">
              <w:rPr>
                <w:noProof/>
                <w:webHidden/>
              </w:rPr>
              <w:tab/>
            </w:r>
            <w:r w:rsidR="00977F3B">
              <w:rPr>
                <w:noProof/>
                <w:webHidden/>
              </w:rPr>
              <w:fldChar w:fldCharType="begin"/>
            </w:r>
            <w:r w:rsidR="00977F3B">
              <w:rPr>
                <w:noProof/>
                <w:webHidden/>
              </w:rPr>
              <w:instrText xml:space="preserve"> PAGEREF _Toc53357712 \h </w:instrText>
            </w:r>
            <w:r w:rsidR="00977F3B">
              <w:rPr>
                <w:noProof/>
                <w:webHidden/>
              </w:rPr>
            </w:r>
            <w:r w:rsidR="00977F3B">
              <w:rPr>
                <w:noProof/>
                <w:webHidden/>
              </w:rPr>
              <w:fldChar w:fldCharType="separate"/>
            </w:r>
            <w:r w:rsidR="00977F3B">
              <w:rPr>
                <w:noProof/>
                <w:webHidden/>
              </w:rPr>
              <w:t>30</w:t>
            </w:r>
            <w:r w:rsidR="00977F3B">
              <w:rPr>
                <w:noProof/>
                <w:webHidden/>
              </w:rPr>
              <w:fldChar w:fldCharType="end"/>
            </w:r>
          </w:hyperlink>
        </w:p>
        <w:p w14:paraId="1DC408B0" w14:textId="77777777" w:rsidR="00977F3B" w:rsidRDefault="00816F2C">
          <w:pPr>
            <w:pStyle w:val="TOC3"/>
            <w:tabs>
              <w:tab w:val="left" w:pos="1320"/>
              <w:tab w:val="right" w:leader="underscore" w:pos="9350"/>
            </w:tabs>
            <w:rPr>
              <w:rFonts w:eastAsiaTheme="minorEastAsia"/>
              <w:noProof/>
            </w:rPr>
          </w:pPr>
          <w:hyperlink w:anchor="_Toc53357713" w:history="1">
            <w:r w:rsidR="00977F3B" w:rsidRPr="00333E17">
              <w:rPr>
                <w:rStyle w:val="Hyperlink"/>
                <w:b/>
                <w:noProof/>
              </w:rPr>
              <w:t>5.4.1</w:t>
            </w:r>
            <w:r w:rsidR="00977F3B">
              <w:rPr>
                <w:rFonts w:eastAsiaTheme="minorEastAsia"/>
                <w:noProof/>
              </w:rPr>
              <w:tab/>
            </w:r>
            <w:r w:rsidR="00977F3B" w:rsidRPr="00333E17">
              <w:rPr>
                <w:rStyle w:val="Hyperlink"/>
                <w:b/>
                <w:noProof/>
                <w:shd w:val="clear" w:color="auto" w:fill="FFFFFF"/>
              </w:rPr>
              <w:t>MARKET PRICE PER SHARE</w:t>
            </w:r>
            <w:r w:rsidR="00977F3B">
              <w:rPr>
                <w:noProof/>
                <w:webHidden/>
              </w:rPr>
              <w:tab/>
            </w:r>
            <w:r w:rsidR="00977F3B">
              <w:rPr>
                <w:noProof/>
                <w:webHidden/>
              </w:rPr>
              <w:fldChar w:fldCharType="begin"/>
            </w:r>
            <w:r w:rsidR="00977F3B">
              <w:rPr>
                <w:noProof/>
                <w:webHidden/>
              </w:rPr>
              <w:instrText xml:space="preserve"> PAGEREF _Toc53357713 \h </w:instrText>
            </w:r>
            <w:r w:rsidR="00977F3B">
              <w:rPr>
                <w:noProof/>
                <w:webHidden/>
              </w:rPr>
            </w:r>
            <w:r w:rsidR="00977F3B">
              <w:rPr>
                <w:noProof/>
                <w:webHidden/>
              </w:rPr>
              <w:fldChar w:fldCharType="separate"/>
            </w:r>
            <w:r w:rsidR="00977F3B">
              <w:rPr>
                <w:noProof/>
                <w:webHidden/>
              </w:rPr>
              <w:t>31</w:t>
            </w:r>
            <w:r w:rsidR="00977F3B">
              <w:rPr>
                <w:noProof/>
                <w:webHidden/>
              </w:rPr>
              <w:fldChar w:fldCharType="end"/>
            </w:r>
          </w:hyperlink>
        </w:p>
        <w:p w14:paraId="048E0768" w14:textId="77777777" w:rsidR="00977F3B" w:rsidRDefault="00816F2C">
          <w:pPr>
            <w:pStyle w:val="TOC3"/>
            <w:tabs>
              <w:tab w:val="left" w:pos="1320"/>
              <w:tab w:val="right" w:leader="underscore" w:pos="9350"/>
            </w:tabs>
            <w:rPr>
              <w:rFonts w:eastAsiaTheme="minorEastAsia"/>
              <w:noProof/>
            </w:rPr>
          </w:pPr>
          <w:hyperlink w:anchor="_Toc53357714" w:history="1">
            <w:r w:rsidR="00977F3B" w:rsidRPr="00333E17">
              <w:rPr>
                <w:rStyle w:val="Hyperlink"/>
                <w:b/>
                <w:noProof/>
              </w:rPr>
              <w:t>5.4.2</w:t>
            </w:r>
            <w:r w:rsidR="00977F3B">
              <w:rPr>
                <w:rFonts w:eastAsiaTheme="minorEastAsia"/>
                <w:noProof/>
              </w:rPr>
              <w:tab/>
            </w:r>
            <w:r w:rsidR="00977F3B" w:rsidRPr="00333E17">
              <w:rPr>
                <w:rStyle w:val="Hyperlink"/>
                <w:b/>
                <w:noProof/>
                <w:shd w:val="clear" w:color="auto" w:fill="FFFFFF"/>
              </w:rPr>
              <w:t>EARNINGS PER SHARE</w:t>
            </w:r>
            <w:r w:rsidR="00977F3B">
              <w:rPr>
                <w:noProof/>
                <w:webHidden/>
              </w:rPr>
              <w:tab/>
            </w:r>
            <w:r w:rsidR="00977F3B">
              <w:rPr>
                <w:noProof/>
                <w:webHidden/>
              </w:rPr>
              <w:fldChar w:fldCharType="begin"/>
            </w:r>
            <w:r w:rsidR="00977F3B">
              <w:rPr>
                <w:noProof/>
                <w:webHidden/>
              </w:rPr>
              <w:instrText xml:space="preserve"> PAGEREF _Toc53357714 \h </w:instrText>
            </w:r>
            <w:r w:rsidR="00977F3B">
              <w:rPr>
                <w:noProof/>
                <w:webHidden/>
              </w:rPr>
            </w:r>
            <w:r w:rsidR="00977F3B">
              <w:rPr>
                <w:noProof/>
                <w:webHidden/>
              </w:rPr>
              <w:fldChar w:fldCharType="separate"/>
            </w:r>
            <w:r w:rsidR="00977F3B">
              <w:rPr>
                <w:noProof/>
                <w:webHidden/>
              </w:rPr>
              <w:t>31</w:t>
            </w:r>
            <w:r w:rsidR="00977F3B">
              <w:rPr>
                <w:noProof/>
                <w:webHidden/>
              </w:rPr>
              <w:fldChar w:fldCharType="end"/>
            </w:r>
          </w:hyperlink>
        </w:p>
        <w:p w14:paraId="57BECE7D" w14:textId="77777777" w:rsidR="00977F3B" w:rsidRDefault="00816F2C">
          <w:pPr>
            <w:pStyle w:val="TOC3"/>
            <w:tabs>
              <w:tab w:val="left" w:pos="1320"/>
              <w:tab w:val="right" w:leader="underscore" w:pos="9350"/>
            </w:tabs>
            <w:rPr>
              <w:rFonts w:eastAsiaTheme="minorEastAsia"/>
              <w:noProof/>
            </w:rPr>
          </w:pPr>
          <w:hyperlink w:anchor="_Toc53357715" w:history="1">
            <w:r w:rsidR="00977F3B" w:rsidRPr="00333E17">
              <w:rPr>
                <w:rStyle w:val="Hyperlink"/>
                <w:b/>
                <w:noProof/>
              </w:rPr>
              <w:t>5.4.3</w:t>
            </w:r>
            <w:r w:rsidR="00977F3B">
              <w:rPr>
                <w:rFonts w:eastAsiaTheme="minorEastAsia"/>
                <w:noProof/>
              </w:rPr>
              <w:tab/>
            </w:r>
            <w:r w:rsidR="00977F3B" w:rsidRPr="00333E17">
              <w:rPr>
                <w:rStyle w:val="Hyperlink"/>
                <w:b/>
                <w:noProof/>
                <w:shd w:val="clear" w:color="auto" w:fill="FFFFFF"/>
              </w:rPr>
              <w:t>PRICE TO EARNINGS RATIO</w:t>
            </w:r>
            <w:r w:rsidR="00977F3B">
              <w:rPr>
                <w:noProof/>
                <w:webHidden/>
              </w:rPr>
              <w:tab/>
            </w:r>
            <w:r w:rsidR="00977F3B">
              <w:rPr>
                <w:noProof/>
                <w:webHidden/>
              </w:rPr>
              <w:fldChar w:fldCharType="begin"/>
            </w:r>
            <w:r w:rsidR="00977F3B">
              <w:rPr>
                <w:noProof/>
                <w:webHidden/>
              </w:rPr>
              <w:instrText xml:space="preserve"> PAGEREF _Toc53357715 \h </w:instrText>
            </w:r>
            <w:r w:rsidR="00977F3B">
              <w:rPr>
                <w:noProof/>
                <w:webHidden/>
              </w:rPr>
            </w:r>
            <w:r w:rsidR="00977F3B">
              <w:rPr>
                <w:noProof/>
                <w:webHidden/>
              </w:rPr>
              <w:fldChar w:fldCharType="separate"/>
            </w:r>
            <w:r w:rsidR="00977F3B">
              <w:rPr>
                <w:noProof/>
                <w:webHidden/>
              </w:rPr>
              <w:t>32</w:t>
            </w:r>
            <w:r w:rsidR="00977F3B">
              <w:rPr>
                <w:noProof/>
                <w:webHidden/>
              </w:rPr>
              <w:fldChar w:fldCharType="end"/>
            </w:r>
          </w:hyperlink>
        </w:p>
        <w:p w14:paraId="4E04639B" w14:textId="77777777" w:rsidR="00977F3B" w:rsidRDefault="00816F2C">
          <w:pPr>
            <w:pStyle w:val="TOC3"/>
            <w:tabs>
              <w:tab w:val="left" w:pos="1320"/>
              <w:tab w:val="right" w:leader="underscore" w:pos="9350"/>
            </w:tabs>
            <w:rPr>
              <w:rFonts w:eastAsiaTheme="minorEastAsia"/>
              <w:noProof/>
            </w:rPr>
          </w:pPr>
          <w:hyperlink w:anchor="_Toc53357716" w:history="1">
            <w:r w:rsidR="00977F3B" w:rsidRPr="00333E17">
              <w:rPr>
                <w:rStyle w:val="Hyperlink"/>
                <w:b/>
                <w:noProof/>
              </w:rPr>
              <w:t>5.4.4</w:t>
            </w:r>
            <w:r w:rsidR="00977F3B">
              <w:rPr>
                <w:rFonts w:eastAsiaTheme="minorEastAsia"/>
                <w:noProof/>
              </w:rPr>
              <w:tab/>
            </w:r>
            <w:r w:rsidR="00977F3B" w:rsidRPr="00333E17">
              <w:rPr>
                <w:rStyle w:val="Hyperlink"/>
                <w:b/>
                <w:noProof/>
                <w:shd w:val="clear" w:color="auto" w:fill="FFFFFF"/>
              </w:rPr>
              <w:t>NET ASSETS VALUE PER SHARE</w:t>
            </w:r>
            <w:r w:rsidR="00977F3B">
              <w:rPr>
                <w:noProof/>
                <w:webHidden/>
              </w:rPr>
              <w:tab/>
            </w:r>
            <w:r w:rsidR="00977F3B">
              <w:rPr>
                <w:noProof/>
                <w:webHidden/>
              </w:rPr>
              <w:fldChar w:fldCharType="begin"/>
            </w:r>
            <w:r w:rsidR="00977F3B">
              <w:rPr>
                <w:noProof/>
                <w:webHidden/>
              </w:rPr>
              <w:instrText xml:space="preserve"> PAGEREF _Toc53357716 \h </w:instrText>
            </w:r>
            <w:r w:rsidR="00977F3B">
              <w:rPr>
                <w:noProof/>
                <w:webHidden/>
              </w:rPr>
            </w:r>
            <w:r w:rsidR="00977F3B">
              <w:rPr>
                <w:noProof/>
                <w:webHidden/>
              </w:rPr>
              <w:fldChar w:fldCharType="separate"/>
            </w:r>
            <w:r w:rsidR="00977F3B">
              <w:rPr>
                <w:noProof/>
                <w:webHidden/>
              </w:rPr>
              <w:t>33</w:t>
            </w:r>
            <w:r w:rsidR="00977F3B">
              <w:rPr>
                <w:noProof/>
                <w:webHidden/>
              </w:rPr>
              <w:fldChar w:fldCharType="end"/>
            </w:r>
          </w:hyperlink>
        </w:p>
        <w:p w14:paraId="196E151E" w14:textId="77777777" w:rsidR="00977F3B" w:rsidRDefault="00816F2C">
          <w:pPr>
            <w:pStyle w:val="TOC3"/>
            <w:tabs>
              <w:tab w:val="left" w:pos="1320"/>
              <w:tab w:val="right" w:leader="underscore" w:pos="9350"/>
            </w:tabs>
            <w:rPr>
              <w:rFonts w:eastAsiaTheme="minorEastAsia"/>
              <w:noProof/>
            </w:rPr>
          </w:pPr>
          <w:hyperlink w:anchor="_Toc53357717" w:history="1">
            <w:r w:rsidR="00977F3B" w:rsidRPr="00333E17">
              <w:rPr>
                <w:rStyle w:val="Hyperlink"/>
                <w:b/>
                <w:noProof/>
              </w:rPr>
              <w:t>5.4.5</w:t>
            </w:r>
            <w:r w:rsidR="00977F3B">
              <w:rPr>
                <w:rFonts w:eastAsiaTheme="minorEastAsia"/>
                <w:noProof/>
              </w:rPr>
              <w:tab/>
            </w:r>
            <w:r w:rsidR="00977F3B" w:rsidRPr="00333E17">
              <w:rPr>
                <w:rStyle w:val="Hyperlink"/>
                <w:b/>
                <w:noProof/>
                <w:shd w:val="clear" w:color="auto" w:fill="FFFFFF"/>
              </w:rPr>
              <w:t>DIVIDEND COVERAGE RATIO</w:t>
            </w:r>
            <w:r w:rsidR="00977F3B">
              <w:rPr>
                <w:noProof/>
                <w:webHidden/>
              </w:rPr>
              <w:tab/>
            </w:r>
            <w:r w:rsidR="00977F3B">
              <w:rPr>
                <w:noProof/>
                <w:webHidden/>
              </w:rPr>
              <w:fldChar w:fldCharType="begin"/>
            </w:r>
            <w:r w:rsidR="00977F3B">
              <w:rPr>
                <w:noProof/>
                <w:webHidden/>
              </w:rPr>
              <w:instrText xml:space="preserve"> PAGEREF _Toc53357717 \h </w:instrText>
            </w:r>
            <w:r w:rsidR="00977F3B">
              <w:rPr>
                <w:noProof/>
                <w:webHidden/>
              </w:rPr>
            </w:r>
            <w:r w:rsidR="00977F3B">
              <w:rPr>
                <w:noProof/>
                <w:webHidden/>
              </w:rPr>
              <w:fldChar w:fldCharType="separate"/>
            </w:r>
            <w:r w:rsidR="00977F3B">
              <w:rPr>
                <w:noProof/>
                <w:webHidden/>
              </w:rPr>
              <w:t>33</w:t>
            </w:r>
            <w:r w:rsidR="00977F3B">
              <w:rPr>
                <w:noProof/>
                <w:webHidden/>
              </w:rPr>
              <w:fldChar w:fldCharType="end"/>
            </w:r>
          </w:hyperlink>
        </w:p>
        <w:p w14:paraId="2F2CD147" w14:textId="77777777" w:rsidR="00977F3B" w:rsidRDefault="00816F2C">
          <w:pPr>
            <w:pStyle w:val="TOC3"/>
            <w:tabs>
              <w:tab w:val="left" w:pos="1320"/>
              <w:tab w:val="right" w:leader="underscore" w:pos="9350"/>
            </w:tabs>
            <w:rPr>
              <w:rFonts w:eastAsiaTheme="minorEastAsia"/>
              <w:noProof/>
            </w:rPr>
          </w:pPr>
          <w:hyperlink w:anchor="_Toc53357718" w:history="1">
            <w:r w:rsidR="00977F3B" w:rsidRPr="00333E17">
              <w:rPr>
                <w:rStyle w:val="Hyperlink"/>
                <w:b/>
                <w:noProof/>
              </w:rPr>
              <w:t>5.4.6</w:t>
            </w:r>
            <w:r w:rsidR="00977F3B">
              <w:rPr>
                <w:rFonts w:eastAsiaTheme="minorEastAsia"/>
                <w:noProof/>
              </w:rPr>
              <w:tab/>
            </w:r>
            <w:r w:rsidR="00977F3B" w:rsidRPr="00333E17">
              <w:rPr>
                <w:rStyle w:val="Hyperlink"/>
                <w:b/>
                <w:noProof/>
                <w:shd w:val="clear" w:color="auto" w:fill="FFFFFF"/>
              </w:rPr>
              <w:t>OPERATING PROFIT PER SHARE</w:t>
            </w:r>
            <w:r w:rsidR="00977F3B">
              <w:rPr>
                <w:noProof/>
                <w:webHidden/>
              </w:rPr>
              <w:tab/>
            </w:r>
            <w:r w:rsidR="00977F3B">
              <w:rPr>
                <w:noProof/>
                <w:webHidden/>
              </w:rPr>
              <w:fldChar w:fldCharType="begin"/>
            </w:r>
            <w:r w:rsidR="00977F3B">
              <w:rPr>
                <w:noProof/>
                <w:webHidden/>
              </w:rPr>
              <w:instrText xml:space="preserve"> PAGEREF _Toc53357718 \h </w:instrText>
            </w:r>
            <w:r w:rsidR="00977F3B">
              <w:rPr>
                <w:noProof/>
                <w:webHidden/>
              </w:rPr>
            </w:r>
            <w:r w:rsidR="00977F3B">
              <w:rPr>
                <w:noProof/>
                <w:webHidden/>
              </w:rPr>
              <w:fldChar w:fldCharType="separate"/>
            </w:r>
            <w:r w:rsidR="00977F3B">
              <w:rPr>
                <w:noProof/>
                <w:webHidden/>
              </w:rPr>
              <w:t>34</w:t>
            </w:r>
            <w:r w:rsidR="00977F3B">
              <w:rPr>
                <w:noProof/>
                <w:webHidden/>
              </w:rPr>
              <w:fldChar w:fldCharType="end"/>
            </w:r>
          </w:hyperlink>
        </w:p>
        <w:p w14:paraId="65655F2A" w14:textId="77777777" w:rsidR="00977F3B" w:rsidRDefault="00816F2C">
          <w:pPr>
            <w:pStyle w:val="TOC3"/>
            <w:tabs>
              <w:tab w:val="left" w:pos="1320"/>
              <w:tab w:val="right" w:leader="underscore" w:pos="9350"/>
            </w:tabs>
            <w:rPr>
              <w:rFonts w:eastAsiaTheme="minorEastAsia"/>
              <w:noProof/>
            </w:rPr>
          </w:pPr>
          <w:hyperlink w:anchor="_Toc53357719" w:history="1">
            <w:r w:rsidR="00977F3B" w:rsidRPr="00333E17">
              <w:rPr>
                <w:rStyle w:val="Hyperlink"/>
                <w:b/>
                <w:noProof/>
              </w:rPr>
              <w:t>5.4.7</w:t>
            </w:r>
            <w:r w:rsidR="00977F3B">
              <w:rPr>
                <w:rFonts w:eastAsiaTheme="minorEastAsia"/>
                <w:noProof/>
              </w:rPr>
              <w:tab/>
            </w:r>
            <w:r w:rsidR="00977F3B" w:rsidRPr="00333E17">
              <w:rPr>
                <w:rStyle w:val="Hyperlink"/>
                <w:b/>
                <w:noProof/>
                <w:shd w:val="clear" w:color="auto" w:fill="FFFFFF"/>
              </w:rPr>
              <w:t>NET OPERATING CASH FLOW PER SHARE</w:t>
            </w:r>
            <w:r w:rsidR="00977F3B">
              <w:rPr>
                <w:noProof/>
                <w:webHidden/>
              </w:rPr>
              <w:tab/>
            </w:r>
            <w:r w:rsidR="00977F3B">
              <w:rPr>
                <w:noProof/>
                <w:webHidden/>
              </w:rPr>
              <w:fldChar w:fldCharType="begin"/>
            </w:r>
            <w:r w:rsidR="00977F3B">
              <w:rPr>
                <w:noProof/>
                <w:webHidden/>
              </w:rPr>
              <w:instrText xml:space="preserve"> PAGEREF _Toc53357719 \h </w:instrText>
            </w:r>
            <w:r w:rsidR="00977F3B">
              <w:rPr>
                <w:noProof/>
                <w:webHidden/>
              </w:rPr>
            </w:r>
            <w:r w:rsidR="00977F3B">
              <w:rPr>
                <w:noProof/>
                <w:webHidden/>
              </w:rPr>
              <w:fldChar w:fldCharType="separate"/>
            </w:r>
            <w:r w:rsidR="00977F3B">
              <w:rPr>
                <w:noProof/>
                <w:webHidden/>
              </w:rPr>
              <w:t>35</w:t>
            </w:r>
            <w:r w:rsidR="00977F3B">
              <w:rPr>
                <w:noProof/>
                <w:webHidden/>
              </w:rPr>
              <w:fldChar w:fldCharType="end"/>
            </w:r>
          </w:hyperlink>
        </w:p>
        <w:p w14:paraId="7D00CE4F" w14:textId="77777777" w:rsidR="00977F3B" w:rsidRDefault="00816F2C">
          <w:pPr>
            <w:pStyle w:val="TOC3"/>
            <w:tabs>
              <w:tab w:val="left" w:pos="1320"/>
              <w:tab w:val="right" w:leader="underscore" w:pos="9350"/>
            </w:tabs>
            <w:rPr>
              <w:rFonts w:eastAsiaTheme="minorEastAsia"/>
              <w:noProof/>
            </w:rPr>
          </w:pPr>
          <w:hyperlink w:anchor="_Toc53357720" w:history="1">
            <w:r w:rsidR="00977F3B" w:rsidRPr="00333E17">
              <w:rPr>
                <w:rStyle w:val="Hyperlink"/>
                <w:b/>
                <w:noProof/>
              </w:rPr>
              <w:t>5.4.8</w:t>
            </w:r>
            <w:r w:rsidR="00977F3B">
              <w:rPr>
                <w:rFonts w:eastAsiaTheme="minorEastAsia"/>
                <w:noProof/>
              </w:rPr>
              <w:tab/>
            </w:r>
            <w:r w:rsidR="00977F3B" w:rsidRPr="00333E17">
              <w:rPr>
                <w:rStyle w:val="Hyperlink"/>
                <w:b/>
                <w:noProof/>
                <w:shd w:val="clear" w:color="auto" w:fill="FFFFFF"/>
              </w:rPr>
              <w:t>DIVIDEND YIELD RATIO</w:t>
            </w:r>
            <w:r w:rsidR="00977F3B">
              <w:rPr>
                <w:noProof/>
                <w:webHidden/>
              </w:rPr>
              <w:tab/>
            </w:r>
            <w:r w:rsidR="00977F3B">
              <w:rPr>
                <w:noProof/>
                <w:webHidden/>
              </w:rPr>
              <w:fldChar w:fldCharType="begin"/>
            </w:r>
            <w:r w:rsidR="00977F3B">
              <w:rPr>
                <w:noProof/>
                <w:webHidden/>
              </w:rPr>
              <w:instrText xml:space="preserve"> PAGEREF _Toc53357720 \h </w:instrText>
            </w:r>
            <w:r w:rsidR="00977F3B">
              <w:rPr>
                <w:noProof/>
                <w:webHidden/>
              </w:rPr>
            </w:r>
            <w:r w:rsidR="00977F3B">
              <w:rPr>
                <w:noProof/>
                <w:webHidden/>
              </w:rPr>
              <w:fldChar w:fldCharType="separate"/>
            </w:r>
            <w:r w:rsidR="00977F3B">
              <w:rPr>
                <w:noProof/>
                <w:webHidden/>
              </w:rPr>
              <w:t>35</w:t>
            </w:r>
            <w:r w:rsidR="00977F3B">
              <w:rPr>
                <w:noProof/>
                <w:webHidden/>
              </w:rPr>
              <w:fldChar w:fldCharType="end"/>
            </w:r>
          </w:hyperlink>
        </w:p>
        <w:p w14:paraId="22F796CD" w14:textId="77777777" w:rsidR="00977F3B" w:rsidRDefault="00816F2C">
          <w:pPr>
            <w:pStyle w:val="TOC3"/>
            <w:tabs>
              <w:tab w:val="left" w:pos="1320"/>
              <w:tab w:val="right" w:leader="underscore" w:pos="9350"/>
            </w:tabs>
            <w:rPr>
              <w:rFonts w:eastAsiaTheme="minorEastAsia"/>
              <w:noProof/>
            </w:rPr>
          </w:pPr>
          <w:hyperlink w:anchor="_Toc53357721" w:history="1">
            <w:r w:rsidR="00977F3B" w:rsidRPr="00333E17">
              <w:rPr>
                <w:rStyle w:val="Hyperlink"/>
                <w:b/>
                <w:noProof/>
              </w:rPr>
              <w:t>5.4.9</w:t>
            </w:r>
            <w:r w:rsidR="00977F3B">
              <w:rPr>
                <w:rFonts w:eastAsiaTheme="minorEastAsia"/>
                <w:noProof/>
              </w:rPr>
              <w:tab/>
            </w:r>
            <w:r w:rsidR="00977F3B" w:rsidRPr="00333E17">
              <w:rPr>
                <w:rStyle w:val="Hyperlink"/>
                <w:b/>
                <w:noProof/>
                <w:shd w:val="clear" w:color="auto" w:fill="FFFFFF"/>
              </w:rPr>
              <w:t>DIVIDEND PAYOUT RATIO</w:t>
            </w:r>
            <w:r w:rsidR="00977F3B">
              <w:rPr>
                <w:noProof/>
                <w:webHidden/>
              </w:rPr>
              <w:tab/>
            </w:r>
            <w:r w:rsidR="00977F3B">
              <w:rPr>
                <w:noProof/>
                <w:webHidden/>
              </w:rPr>
              <w:fldChar w:fldCharType="begin"/>
            </w:r>
            <w:r w:rsidR="00977F3B">
              <w:rPr>
                <w:noProof/>
                <w:webHidden/>
              </w:rPr>
              <w:instrText xml:space="preserve"> PAGEREF _Toc53357721 \h </w:instrText>
            </w:r>
            <w:r w:rsidR="00977F3B">
              <w:rPr>
                <w:noProof/>
                <w:webHidden/>
              </w:rPr>
            </w:r>
            <w:r w:rsidR="00977F3B">
              <w:rPr>
                <w:noProof/>
                <w:webHidden/>
              </w:rPr>
              <w:fldChar w:fldCharType="separate"/>
            </w:r>
            <w:r w:rsidR="00977F3B">
              <w:rPr>
                <w:noProof/>
                <w:webHidden/>
              </w:rPr>
              <w:t>36</w:t>
            </w:r>
            <w:r w:rsidR="00977F3B">
              <w:rPr>
                <w:noProof/>
                <w:webHidden/>
              </w:rPr>
              <w:fldChar w:fldCharType="end"/>
            </w:r>
          </w:hyperlink>
        </w:p>
        <w:p w14:paraId="0F60F1BF" w14:textId="77777777" w:rsidR="00977F3B" w:rsidRDefault="00816F2C">
          <w:pPr>
            <w:pStyle w:val="TOC1"/>
            <w:tabs>
              <w:tab w:val="left" w:pos="440"/>
              <w:tab w:val="right" w:leader="underscore" w:pos="9350"/>
            </w:tabs>
            <w:rPr>
              <w:rFonts w:eastAsiaTheme="minorEastAsia"/>
              <w:noProof/>
            </w:rPr>
          </w:pPr>
          <w:hyperlink w:anchor="_Toc53357722" w:history="1">
            <w:r w:rsidR="00977F3B" w:rsidRPr="00333E17">
              <w:rPr>
                <w:rStyle w:val="Hyperlink"/>
                <w:b/>
                <w:noProof/>
              </w:rPr>
              <w:t>6</w:t>
            </w:r>
            <w:r w:rsidR="00977F3B">
              <w:rPr>
                <w:rFonts w:eastAsiaTheme="minorEastAsia"/>
                <w:noProof/>
              </w:rPr>
              <w:tab/>
            </w:r>
            <w:r w:rsidR="00977F3B" w:rsidRPr="00333E17">
              <w:rPr>
                <w:rStyle w:val="Hyperlink"/>
                <w:b/>
                <w:noProof/>
              </w:rPr>
              <w:t>CONCLUSIONS AND RECOMMENDATIONS</w:t>
            </w:r>
            <w:r w:rsidR="00977F3B">
              <w:rPr>
                <w:noProof/>
                <w:webHidden/>
              </w:rPr>
              <w:tab/>
            </w:r>
            <w:r w:rsidR="00977F3B">
              <w:rPr>
                <w:noProof/>
                <w:webHidden/>
              </w:rPr>
              <w:fldChar w:fldCharType="begin"/>
            </w:r>
            <w:r w:rsidR="00977F3B">
              <w:rPr>
                <w:noProof/>
                <w:webHidden/>
              </w:rPr>
              <w:instrText xml:space="preserve"> PAGEREF _Toc53357722 \h </w:instrText>
            </w:r>
            <w:r w:rsidR="00977F3B">
              <w:rPr>
                <w:noProof/>
                <w:webHidden/>
              </w:rPr>
            </w:r>
            <w:r w:rsidR="00977F3B">
              <w:rPr>
                <w:noProof/>
                <w:webHidden/>
              </w:rPr>
              <w:fldChar w:fldCharType="separate"/>
            </w:r>
            <w:r w:rsidR="00977F3B">
              <w:rPr>
                <w:noProof/>
                <w:webHidden/>
              </w:rPr>
              <w:t>41</w:t>
            </w:r>
            <w:r w:rsidR="00977F3B">
              <w:rPr>
                <w:noProof/>
                <w:webHidden/>
              </w:rPr>
              <w:fldChar w:fldCharType="end"/>
            </w:r>
          </w:hyperlink>
        </w:p>
        <w:p w14:paraId="1526D381" w14:textId="77777777" w:rsidR="00977F3B" w:rsidRDefault="00816F2C">
          <w:pPr>
            <w:pStyle w:val="TOC2"/>
            <w:tabs>
              <w:tab w:val="left" w:pos="880"/>
              <w:tab w:val="right" w:leader="underscore" w:pos="9350"/>
            </w:tabs>
            <w:rPr>
              <w:rFonts w:eastAsiaTheme="minorEastAsia"/>
              <w:noProof/>
            </w:rPr>
          </w:pPr>
          <w:hyperlink w:anchor="_Toc53357723" w:history="1">
            <w:r w:rsidR="00977F3B" w:rsidRPr="00333E17">
              <w:rPr>
                <w:rStyle w:val="Hyperlink"/>
                <w:b/>
                <w:noProof/>
              </w:rPr>
              <w:t>6.1</w:t>
            </w:r>
            <w:r w:rsidR="00977F3B">
              <w:rPr>
                <w:rFonts w:eastAsiaTheme="minorEastAsia"/>
                <w:noProof/>
              </w:rPr>
              <w:tab/>
            </w:r>
            <w:r w:rsidR="00977F3B" w:rsidRPr="00333E17">
              <w:rPr>
                <w:rStyle w:val="Hyperlink"/>
                <w:b/>
                <w:noProof/>
              </w:rPr>
              <w:t>CONCLUSIONS</w:t>
            </w:r>
            <w:r w:rsidR="00977F3B">
              <w:rPr>
                <w:noProof/>
                <w:webHidden/>
              </w:rPr>
              <w:tab/>
            </w:r>
            <w:r w:rsidR="00977F3B">
              <w:rPr>
                <w:noProof/>
                <w:webHidden/>
              </w:rPr>
              <w:fldChar w:fldCharType="begin"/>
            </w:r>
            <w:r w:rsidR="00977F3B">
              <w:rPr>
                <w:noProof/>
                <w:webHidden/>
              </w:rPr>
              <w:instrText xml:space="preserve"> PAGEREF _Toc53357723 \h </w:instrText>
            </w:r>
            <w:r w:rsidR="00977F3B">
              <w:rPr>
                <w:noProof/>
                <w:webHidden/>
              </w:rPr>
            </w:r>
            <w:r w:rsidR="00977F3B">
              <w:rPr>
                <w:noProof/>
                <w:webHidden/>
              </w:rPr>
              <w:fldChar w:fldCharType="separate"/>
            </w:r>
            <w:r w:rsidR="00977F3B">
              <w:rPr>
                <w:noProof/>
                <w:webHidden/>
              </w:rPr>
              <w:t>42</w:t>
            </w:r>
            <w:r w:rsidR="00977F3B">
              <w:rPr>
                <w:noProof/>
                <w:webHidden/>
              </w:rPr>
              <w:fldChar w:fldCharType="end"/>
            </w:r>
          </w:hyperlink>
        </w:p>
        <w:p w14:paraId="0D8CA84D" w14:textId="77777777" w:rsidR="00977F3B" w:rsidRDefault="00816F2C">
          <w:pPr>
            <w:pStyle w:val="TOC2"/>
            <w:tabs>
              <w:tab w:val="left" w:pos="880"/>
              <w:tab w:val="right" w:leader="underscore" w:pos="9350"/>
            </w:tabs>
            <w:rPr>
              <w:rFonts w:eastAsiaTheme="minorEastAsia"/>
              <w:noProof/>
            </w:rPr>
          </w:pPr>
          <w:hyperlink w:anchor="_Toc53357724" w:history="1">
            <w:r w:rsidR="00977F3B" w:rsidRPr="00333E17">
              <w:rPr>
                <w:rStyle w:val="Hyperlink"/>
                <w:b/>
                <w:noProof/>
              </w:rPr>
              <w:t>6.2</w:t>
            </w:r>
            <w:r w:rsidR="00977F3B">
              <w:rPr>
                <w:rFonts w:eastAsiaTheme="minorEastAsia"/>
                <w:noProof/>
              </w:rPr>
              <w:tab/>
            </w:r>
            <w:r w:rsidR="00977F3B" w:rsidRPr="00333E17">
              <w:rPr>
                <w:rStyle w:val="Hyperlink"/>
                <w:b/>
                <w:noProof/>
              </w:rPr>
              <w:t>RECOMMENDATIONS</w:t>
            </w:r>
            <w:r w:rsidR="00977F3B">
              <w:rPr>
                <w:noProof/>
                <w:webHidden/>
              </w:rPr>
              <w:tab/>
            </w:r>
            <w:r w:rsidR="00977F3B">
              <w:rPr>
                <w:noProof/>
                <w:webHidden/>
              </w:rPr>
              <w:fldChar w:fldCharType="begin"/>
            </w:r>
            <w:r w:rsidR="00977F3B">
              <w:rPr>
                <w:noProof/>
                <w:webHidden/>
              </w:rPr>
              <w:instrText xml:space="preserve"> PAGEREF _Toc53357724 \h </w:instrText>
            </w:r>
            <w:r w:rsidR="00977F3B">
              <w:rPr>
                <w:noProof/>
                <w:webHidden/>
              </w:rPr>
            </w:r>
            <w:r w:rsidR="00977F3B">
              <w:rPr>
                <w:noProof/>
                <w:webHidden/>
              </w:rPr>
              <w:fldChar w:fldCharType="separate"/>
            </w:r>
            <w:r w:rsidR="00977F3B">
              <w:rPr>
                <w:noProof/>
                <w:webHidden/>
              </w:rPr>
              <w:t>44</w:t>
            </w:r>
            <w:r w:rsidR="00977F3B">
              <w:rPr>
                <w:noProof/>
                <w:webHidden/>
              </w:rPr>
              <w:fldChar w:fldCharType="end"/>
            </w:r>
          </w:hyperlink>
        </w:p>
        <w:p w14:paraId="68213A6F" w14:textId="77777777" w:rsidR="00977F3B" w:rsidRDefault="00816F2C">
          <w:pPr>
            <w:pStyle w:val="TOC1"/>
            <w:tabs>
              <w:tab w:val="right" w:leader="underscore" w:pos="9350"/>
            </w:tabs>
            <w:rPr>
              <w:rFonts w:eastAsiaTheme="minorEastAsia"/>
              <w:noProof/>
            </w:rPr>
          </w:pPr>
          <w:hyperlink w:anchor="_Toc53357725" w:history="1">
            <w:r w:rsidR="00977F3B" w:rsidRPr="00977F3B">
              <w:rPr>
                <w:rStyle w:val="Hyperlink"/>
                <w:b/>
                <w:noProof/>
                <w:color w:val="auto"/>
              </w:rPr>
              <w:t>REFERENCES</w:t>
            </w:r>
            <w:r w:rsidR="00977F3B">
              <w:rPr>
                <w:noProof/>
                <w:webHidden/>
              </w:rPr>
              <w:tab/>
            </w:r>
            <w:r w:rsidR="00977F3B">
              <w:rPr>
                <w:noProof/>
                <w:webHidden/>
              </w:rPr>
              <w:fldChar w:fldCharType="begin"/>
            </w:r>
            <w:r w:rsidR="00977F3B">
              <w:rPr>
                <w:noProof/>
                <w:webHidden/>
              </w:rPr>
              <w:instrText xml:space="preserve"> PAGEREF _Toc53357725 \h </w:instrText>
            </w:r>
            <w:r w:rsidR="00977F3B">
              <w:rPr>
                <w:noProof/>
                <w:webHidden/>
              </w:rPr>
            </w:r>
            <w:r w:rsidR="00977F3B">
              <w:rPr>
                <w:noProof/>
                <w:webHidden/>
              </w:rPr>
              <w:fldChar w:fldCharType="separate"/>
            </w:r>
            <w:r w:rsidR="00977F3B">
              <w:rPr>
                <w:noProof/>
                <w:webHidden/>
              </w:rPr>
              <w:t>viii</w:t>
            </w:r>
            <w:r w:rsidR="00977F3B">
              <w:rPr>
                <w:noProof/>
                <w:webHidden/>
              </w:rPr>
              <w:fldChar w:fldCharType="end"/>
            </w:r>
          </w:hyperlink>
        </w:p>
        <w:p w14:paraId="5DCB9175" w14:textId="77777777" w:rsidR="00827820" w:rsidRDefault="00827820">
          <w:r>
            <w:rPr>
              <w:b/>
              <w:bCs/>
              <w:noProof/>
            </w:rPr>
            <w:fldChar w:fldCharType="end"/>
          </w:r>
        </w:p>
      </w:sdtContent>
    </w:sdt>
    <w:p w14:paraId="65982D3D" w14:textId="77777777" w:rsidR="00FF1328" w:rsidRPr="00FF1328" w:rsidRDefault="00FF1328" w:rsidP="00FF1328"/>
    <w:p w14:paraId="1A0C610B" w14:textId="77777777" w:rsidR="008737FE" w:rsidRDefault="008737FE" w:rsidP="00AD3DCA">
      <w:pPr>
        <w:spacing w:line="360" w:lineRule="auto"/>
        <w:jc w:val="both"/>
        <w:rPr>
          <w:sz w:val="28"/>
          <w:szCs w:val="28"/>
        </w:rPr>
      </w:pPr>
    </w:p>
    <w:p w14:paraId="67F39B57" w14:textId="77777777" w:rsidR="003250F6" w:rsidRDefault="003250F6">
      <w:pPr>
        <w:rPr>
          <w:sz w:val="28"/>
          <w:szCs w:val="28"/>
        </w:rPr>
      </w:pPr>
      <w:r>
        <w:rPr>
          <w:sz w:val="28"/>
          <w:szCs w:val="28"/>
        </w:rPr>
        <w:br w:type="page"/>
      </w:r>
    </w:p>
    <w:p w14:paraId="079B493A" w14:textId="77777777" w:rsidR="003250F6" w:rsidRDefault="003250F6" w:rsidP="00585906">
      <w:pPr>
        <w:pStyle w:val="Heading1"/>
        <w:numPr>
          <w:ilvl w:val="0"/>
          <w:numId w:val="0"/>
        </w:numPr>
        <w:ind w:left="432" w:hanging="432"/>
        <w:rPr>
          <w:b/>
        </w:rPr>
      </w:pPr>
      <w:bookmarkStart w:id="4" w:name="_Toc53357681"/>
      <w:r w:rsidRPr="00585906">
        <w:rPr>
          <w:b/>
        </w:rPr>
        <w:lastRenderedPageBreak/>
        <w:t>LIST OF TABLES</w:t>
      </w:r>
      <w:bookmarkEnd w:id="4"/>
      <w:r w:rsidRPr="00585906">
        <w:rPr>
          <w:b/>
        </w:rPr>
        <w:t xml:space="preserve"> </w:t>
      </w:r>
    </w:p>
    <w:p w14:paraId="6B54E9C5" w14:textId="77777777" w:rsidR="00A64961" w:rsidRDefault="00A64961">
      <w:pPr>
        <w:pStyle w:val="TableofFigures"/>
        <w:tabs>
          <w:tab w:val="right" w:leader="dot" w:pos="9350"/>
        </w:tabs>
        <w:rPr>
          <w:rFonts w:eastAsiaTheme="minorEastAsia"/>
          <w:noProof/>
        </w:rPr>
      </w:pPr>
      <w:r>
        <w:fldChar w:fldCharType="begin"/>
      </w:r>
      <w:r>
        <w:instrText xml:space="preserve"> TOC \h \z \c "Table" </w:instrText>
      </w:r>
      <w:r>
        <w:fldChar w:fldCharType="separate"/>
      </w:r>
      <w:hyperlink w:anchor="_Toc53355885" w:history="1">
        <w:r w:rsidRPr="00CA44B9">
          <w:rPr>
            <w:rStyle w:val="Hyperlink"/>
            <w:noProof/>
          </w:rPr>
          <w:t>Table 1: Average ROE                   Table 2: Average NIM                    Table 3: Average Cost to Income   Table 4: Average ROI</w:t>
        </w:r>
        <w:r>
          <w:rPr>
            <w:noProof/>
            <w:webHidden/>
          </w:rPr>
          <w:tab/>
        </w:r>
        <w:r>
          <w:rPr>
            <w:noProof/>
            <w:webHidden/>
          </w:rPr>
          <w:fldChar w:fldCharType="begin"/>
        </w:r>
        <w:r>
          <w:rPr>
            <w:noProof/>
            <w:webHidden/>
          </w:rPr>
          <w:instrText xml:space="preserve"> PAGEREF _Toc53355885 \h </w:instrText>
        </w:r>
        <w:r>
          <w:rPr>
            <w:noProof/>
            <w:webHidden/>
          </w:rPr>
        </w:r>
        <w:r>
          <w:rPr>
            <w:noProof/>
            <w:webHidden/>
          </w:rPr>
          <w:fldChar w:fldCharType="separate"/>
        </w:r>
        <w:r>
          <w:rPr>
            <w:noProof/>
            <w:webHidden/>
          </w:rPr>
          <w:t>20</w:t>
        </w:r>
        <w:r>
          <w:rPr>
            <w:noProof/>
            <w:webHidden/>
          </w:rPr>
          <w:fldChar w:fldCharType="end"/>
        </w:r>
      </w:hyperlink>
    </w:p>
    <w:p w14:paraId="33991125" w14:textId="77777777" w:rsidR="00A64961" w:rsidRDefault="00816F2C">
      <w:pPr>
        <w:pStyle w:val="TableofFigures"/>
        <w:tabs>
          <w:tab w:val="right" w:leader="dot" w:pos="9350"/>
        </w:tabs>
        <w:rPr>
          <w:rFonts w:eastAsiaTheme="minorEastAsia"/>
          <w:noProof/>
        </w:rPr>
      </w:pPr>
      <w:hyperlink w:anchor="_Toc53355886" w:history="1">
        <w:r w:rsidR="00A64961" w:rsidRPr="00CA44B9">
          <w:rPr>
            <w:rStyle w:val="Hyperlink"/>
            <w:noProof/>
          </w:rPr>
          <w:t>Table 5: Average CRR                                  Table 6: Average SLR                           Table 7: Average NPL to Total loans and Advances</w:t>
        </w:r>
        <w:r w:rsidR="00A64961">
          <w:rPr>
            <w:noProof/>
            <w:webHidden/>
          </w:rPr>
          <w:tab/>
        </w:r>
        <w:r w:rsidR="00A64961">
          <w:rPr>
            <w:noProof/>
            <w:webHidden/>
          </w:rPr>
          <w:fldChar w:fldCharType="begin"/>
        </w:r>
        <w:r w:rsidR="00A64961">
          <w:rPr>
            <w:noProof/>
            <w:webHidden/>
          </w:rPr>
          <w:instrText xml:space="preserve"> PAGEREF _Toc53355886 \h </w:instrText>
        </w:r>
        <w:r w:rsidR="00A64961">
          <w:rPr>
            <w:noProof/>
            <w:webHidden/>
          </w:rPr>
        </w:r>
        <w:r w:rsidR="00A64961">
          <w:rPr>
            <w:noProof/>
            <w:webHidden/>
          </w:rPr>
          <w:fldChar w:fldCharType="separate"/>
        </w:r>
        <w:r w:rsidR="00A64961">
          <w:rPr>
            <w:noProof/>
            <w:webHidden/>
          </w:rPr>
          <w:t>26</w:t>
        </w:r>
        <w:r w:rsidR="00A64961">
          <w:rPr>
            <w:noProof/>
            <w:webHidden/>
          </w:rPr>
          <w:fldChar w:fldCharType="end"/>
        </w:r>
      </w:hyperlink>
    </w:p>
    <w:p w14:paraId="1233858C" w14:textId="77777777" w:rsidR="00A64961" w:rsidRDefault="00816F2C">
      <w:pPr>
        <w:pStyle w:val="TableofFigures"/>
        <w:tabs>
          <w:tab w:val="right" w:leader="dot" w:pos="9350"/>
        </w:tabs>
        <w:rPr>
          <w:rFonts w:eastAsiaTheme="minorEastAsia"/>
          <w:noProof/>
        </w:rPr>
      </w:pPr>
      <w:hyperlink w:anchor="_Toc53355887" w:history="1">
        <w:r w:rsidR="00A64961" w:rsidRPr="00CA44B9">
          <w:rPr>
            <w:rStyle w:val="Hyperlink"/>
            <w:noProof/>
          </w:rPr>
          <w:t>Table 8: Average Percentage of CL against Total Loans and Advances Table 9: Average Credit Deposit Ratio</w:t>
        </w:r>
        <w:r w:rsidR="00A64961">
          <w:rPr>
            <w:noProof/>
            <w:webHidden/>
          </w:rPr>
          <w:tab/>
        </w:r>
        <w:r w:rsidR="00A64961">
          <w:rPr>
            <w:noProof/>
            <w:webHidden/>
          </w:rPr>
          <w:fldChar w:fldCharType="begin"/>
        </w:r>
        <w:r w:rsidR="00A64961">
          <w:rPr>
            <w:noProof/>
            <w:webHidden/>
          </w:rPr>
          <w:instrText xml:space="preserve"> PAGEREF _Toc53355887 \h </w:instrText>
        </w:r>
        <w:r w:rsidR="00A64961">
          <w:rPr>
            <w:noProof/>
            <w:webHidden/>
          </w:rPr>
        </w:r>
        <w:r w:rsidR="00A64961">
          <w:rPr>
            <w:noProof/>
            <w:webHidden/>
          </w:rPr>
          <w:fldChar w:fldCharType="separate"/>
        </w:r>
        <w:r w:rsidR="00A64961">
          <w:rPr>
            <w:noProof/>
            <w:webHidden/>
          </w:rPr>
          <w:t>26</w:t>
        </w:r>
        <w:r w:rsidR="00A64961">
          <w:rPr>
            <w:noProof/>
            <w:webHidden/>
          </w:rPr>
          <w:fldChar w:fldCharType="end"/>
        </w:r>
      </w:hyperlink>
    </w:p>
    <w:p w14:paraId="5D96FBD0" w14:textId="77777777" w:rsidR="00A64961" w:rsidRDefault="00816F2C">
      <w:pPr>
        <w:pStyle w:val="TableofFigures"/>
        <w:tabs>
          <w:tab w:val="right" w:leader="dot" w:pos="9350"/>
        </w:tabs>
        <w:rPr>
          <w:rFonts w:eastAsiaTheme="minorEastAsia"/>
          <w:noProof/>
        </w:rPr>
      </w:pPr>
      <w:hyperlink w:anchor="_Toc53355888" w:history="1">
        <w:r w:rsidR="00A64961" w:rsidRPr="00CA44B9">
          <w:rPr>
            <w:rStyle w:val="Hyperlink"/>
            <w:noProof/>
          </w:rPr>
          <w:t>Table 10:  Average D/E Ratio    Table 11:  Average Equity Multiplier Table 12: Average Debt/Capital Ratio Table 13: Average Capital Adequacy Ratio</w:t>
        </w:r>
        <w:r w:rsidR="00A64961">
          <w:rPr>
            <w:noProof/>
            <w:webHidden/>
          </w:rPr>
          <w:tab/>
        </w:r>
        <w:r w:rsidR="00A64961">
          <w:rPr>
            <w:noProof/>
            <w:webHidden/>
          </w:rPr>
          <w:fldChar w:fldCharType="begin"/>
        </w:r>
        <w:r w:rsidR="00A64961">
          <w:rPr>
            <w:noProof/>
            <w:webHidden/>
          </w:rPr>
          <w:instrText xml:space="preserve"> PAGEREF _Toc53355888 \h </w:instrText>
        </w:r>
        <w:r w:rsidR="00A64961">
          <w:rPr>
            <w:noProof/>
            <w:webHidden/>
          </w:rPr>
        </w:r>
        <w:r w:rsidR="00A64961">
          <w:rPr>
            <w:noProof/>
            <w:webHidden/>
          </w:rPr>
          <w:fldChar w:fldCharType="separate"/>
        </w:r>
        <w:r w:rsidR="00A64961">
          <w:rPr>
            <w:noProof/>
            <w:webHidden/>
          </w:rPr>
          <w:t>30</w:t>
        </w:r>
        <w:r w:rsidR="00A64961">
          <w:rPr>
            <w:noProof/>
            <w:webHidden/>
          </w:rPr>
          <w:fldChar w:fldCharType="end"/>
        </w:r>
      </w:hyperlink>
    </w:p>
    <w:p w14:paraId="04473DFF" w14:textId="77777777" w:rsidR="00A64961" w:rsidRDefault="00816F2C">
      <w:pPr>
        <w:pStyle w:val="TableofFigures"/>
        <w:tabs>
          <w:tab w:val="right" w:leader="dot" w:pos="9350"/>
        </w:tabs>
        <w:rPr>
          <w:rFonts w:eastAsiaTheme="minorEastAsia"/>
          <w:noProof/>
        </w:rPr>
      </w:pPr>
      <w:hyperlink w:anchor="_Toc53355889" w:history="1">
        <w:r w:rsidR="00A64961" w:rsidRPr="00CA44B9">
          <w:rPr>
            <w:rStyle w:val="Hyperlink"/>
            <w:noProof/>
          </w:rPr>
          <w:t>Table 14: Average Market Price per Share Table 15: Average Earnings per Share   Table 16:  Average Price Earnings Ratio (Times)</w:t>
        </w:r>
        <w:r w:rsidR="00A64961">
          <w:rPr>
            <w:noProof/>
            <w:webHidden/>
          </w:rPr>
          <w:tab/>
        </w:r>
        <w:r w:rsidR="00A64961">
          <w:rPr>
            <w:noProof/>
            <w:webHidden/>
          </w:rPr>
          <w:fldChar w:fldCharType="begin"/>
        </w:r>
        <w:r w:rsidR="00A64961">
          <w:rPr>
            <w:noProof/>
            <w:webHidden/>
          </w:rPr>
          <w:instrText xml:space="preserve"> PAGEREF _Toc53355889 \h </w:instrText>
        </w:r>
        <w:r w:rsidR="00A64961">
          <w:rPr>
            <w:noProof/>
            <w:webHidden/>
          </w:rPr>
        </w:r>
        <w:r w:rsidR="00A64961">
          <w:rPr>
            <w:noProof/>
            <w:webHidden/>
          </w:rPr>
          <w:fldChar w:fldCharType="separate"/>
        </w:r>
        <w:r w:rsidR="00A64961">
          <w:rPr>
            <w:noProof/>
            <w:webHidden/>
          </w:rPr>
          <w:t>38</w:t>
        </w:r>
        <w:r w:rsidR="00A64961">
          <w:rPr>
            <w:noProof/>
            <w:webHidden/>
          </w:rPr>
          <w:fldChar w:fldCharType="end"/>
        </w:r>
      </w:hyperlink>
    </w:p>
    <w:p w14:paraId="3C221489" w14:textId="77777777" w:rsidR="00A64961" w:rsidRDefault="00816F2C">
      <w:pPr>
        <w:pStyle w:val="TableofFigures"/>
        <w:tabs>
          <w:tab w:val="right" w:leader="dot" w:pos="9350"/>
        </w:tabs>
        <w:rPr>
          <w:rFonts w:eastAsiaTheme="minorEastAsia"/>
          <w:noProof/>
        </w:rPr>
      </w:pPr>
      <w:hyperlink w:anchor="_Toc53355890" w:history="1">
        <w:r w:rsidR="00A64961" w:rsidRPr="00CA44B9">
          <w:rPr>
            <w:rStyle w:val="Hyperlink"/>
            <w:noProof/>
          </w:rPr>
          <w:t>Table 17:  Average NAV per Share        Table 18:  Average Operating Profit per Share Table 19:  Average Dividend Coverage Ratio</w:t>
        </w:r>
        <w:r w:rsidR="00A64961">
          <w:rPr>
            <w:noProof/>
            <w:webHidden/>
          </w:rPr>
          <w:tab/>
        </w:r>
        <w:r w:rsidR="00A64961">
          <w:rPr>
            <w:noProof/>
            <w:webHidden/>
          </w:rPr>
          <w:fldChar w:fldCharType="begin"/>
        </w:r>
        <w:r w:rsidR="00A64961">
          <w:rPr>
            <w:noProof/>
            <w:webHidden/>
          </w:rPr>
          <w:instrText xml:space="preserve"> PAGEREF _Toc53355890 \h </w:instrText>
        </w:r>
        <w:r w:rsidR="00A64961">
          <w:rPr>
            <w:noProof/>
            <w:webHidden/>
          </w:rPr>
        </w:r>
        <w:r w:rsidR="00A64961">
          <w:rPr>
            <w:noProof/>
            <w:webHidden/>
          </w:rPr>
          <w:fldChar w:fldCharType="separate"/>
        </w:r>
        <w:r w:rsidR="00A64961">
          <w:rPr>
            <w:noProof/>
            <w:webHidden/>
          </w:rPr>
          <w:t>39</w:t>
        </w:r>
        <w:r w:rsidR="00A64961">
          <w:rPr>
            <w:noProof/>
            <w:webHidden/>
          </w:rPr>
          <w:fldChar w:fldCharType="end"/>
        </w:r>
      </w:hyperlink>
    </w:p>
    <w:p w14:paraId="027AAEC1" w14:textId="77777777" w:rsidR="00A64961" w:rsidRDefault="00816F2C">
      <w:pPr>
        <w:pStyle w:val="TableofFigures"/>
        <w:tabs>
          <w:tab w:val="right" w:leader="dot" w:pos="9350"/>
        </w:tabs>
        <w:rPr>
          <w:rFonts w:eastAsiaTheme="minorEastAsia"/>
          <w:noProof/>
        </w:rPr>
      </w:pPr>
      <w:hyperlink w:anchor="_Toc53355891" w:history="1">
        <w:r w:rsidR="00A64961" w:rsidRPr="00CA44B9">
          <w:rPr>
            <w:rStyle w:val="Hyperlink"/>
            <w:noProof/>
          </w:rPr>
          <w:t>Table 20:  Average NOCF per Share               Table 21: Average Dividend Yield                   Table 22: Average Dividend Payout Ratio</w:t>
        </w:r>
        <w:r w:rsidR="00A64961">
          <w:rPr>
            <w:noProof/>
            <w:webHidden/>
          </w:rPr>
          <w:tab/>
        </w:r>
        <w:r w:rsidR="00A64961">
          <w:rPr>
            <w:noProof/>
            <w:webHidden/>
          </w:rPr>
          <w:fldChar w:fldCharType="begin"/>
        </w:r>
        <w:r w:rsidR="00A64961">
          <w:rPr>
            <w:noProof/>
            <w:webHidden/>
          </w:rPr>
          <w:instrText xml:space="preserve"> PAGEREF _Toc53355891 \h </w:instrText>
        </w:r>
        <w:r w:rsidR="00A64961">
          <w:rPr>
            <w:noProof/>
            <w:webHidden/>
          </w:rPr>
        </w:r>
        <w:r w:rsidR="00A64961">
          <w:rPr>
            <w:noProof/>
            <w:webHidden/>
          </w:rPr>
          <w:fldChar w:fldCharType="separate"/>
        </w:r>
        <w:r w:rsidR="00A64961">
          <w:rPr>
            <w:noProof/>
            <w:webHidden/>
          </w:rPr>
          <w:t>40</w:t>
        </w:r>
        <w:r w:rsidR="00A64961">
          <w:rPr>
            <w:noProof/>
            <w:webHidden/>
          </w:rPr>
          <w:fldChar w:fldCharType="end"/>
        </w:r>
      </w:hyperlink>
    </w:p>
    <w:p w14:paraId="378ED391" w14:textId="77777777" w:rsidR="00A64961" w:rsidRPr="00A64961" w:rsidRDefault="00A64961" w:rsidP="00A64961">
      <w:r>
        <w:fldChar w:fldCharType="end"/>
      </w:r>
    </w:p>
    <w:p w14:paraId="7D573705" w14:textId="77777777" w:rsidR="006944A1" w:rsidRPr="006944A1" w:rsidRDefault="006944A1" w:rsidP="006944A1"/>
    <w:p w14:paraId="15E6A764" w14:textId="77777777" w:rsidR="003250F6" w:rsidRDefault="003250F6" w:rsidP="00585906">
      <w:pPr>
        <w:pStyle w:val="Heading1"/>
        <w:numPr>
          <w:ilvl w:val="0"/>
          <w:numId w:val="0"/>
        </w:numPr>
        <w:ind w:left="432" w:hanging="432"/>
        <w:rPr>
          <w:b/>
        </w:rPr>
      </w:pPr>
      <w:bookmarkStart w:id="5" w:name="_Toc53357682"/>
      <w:r w:rsidRPr="00585906">
        <w:rPr>
          <w:b/>
        </w:rPr>
        <w:t>LIST OF FIGURES</w:t>
      </w:r>
      <w:bookmarkEnd w:id="5"/>
      <w:r w:rsidRPr="00585906">
        <w:rPr>
          <w:b/>
        </w:rPr>
        <w:t xml:space="preserve"> </w:t>
      </w:r>
    </w:p>
    <w:p w14:paraId="4CB06272" w14:textId="77777777" w:rsidR="003E1CE5" w:rsidRDefault="003E1CE5">
      <w:pPr>
        <w:pStyle w:val="TableofFigures"/>
        <w:tabs>
          <w:tab w:val="right" w:leader="underscore" w:pos="9350"/>
        </w:tabs>
        <w:rPr>
          <w:rFonts w:eastAsiaTheme="minorEastAsia" w:cstheme="minorBidi"/>
          <w:i w:val="0"/>
          <w:iCs w:val="0"/>
          <w:noProof/>
          <w:sz w:val="22"/>
          <w:szCs w:val="22"/>
        </w:rPr>
      </w:pPr>
      <w:r>
        <w:rPr>
          <w:b/>
          <w:bCs/>
          <w:i w:val="0"/>
          <w:iCs w:val="0"/>
        </w:rPr>
        <w:fldChar w:fldCharType="begin"/>
      </w:r>
      <w:r>
        <w:rPr>
          <w:b/>
          <w:bCs/>
          <w:i w:val="0"/>
          <w:iCs w:val="0"/>
        </w:rPr>
        <w:instrText xml:space="preserve"> TOC \h \z \c "Figure" </w:instrText>
      </w:r>
      <w:r>
        <w:rPr>
          <w:b/>
          <w:bCs/>
          <w:i w:val="0"/>
          <w:iCs w:val="0"/>
        </w:rPr>
        <w:fldChar w:fldCharType="separate"/>
      </w:r>
      <w:hyperlink w:anchor="_Toc53356060" w:history="1">
        <w:r w:rsidRPr="00F43EBD">
          <w:rPr>
            <w:rStyle w:val="Hyperlink"/>
            <w:noProof/>
          </w:rPr>
          <w:t>Figure 1- List of Ratios</w:t>
        </w:r>
        <w:r>
          <w:rPr>
            <w:noProof/>
            <w:webHidden/>
          </w:rPr>
          <w:tab/>
        </w:r>
        <w:r>
          <w:rPr>
            <w:noProof/>
            <w:webHidden/>
          </w:rPr>
          <w:fldChar w:fldCharType="begin"/>
        </w:r>
        <w:r>
          <w:rPr>
            <w:noProof/>
            <w:webHidden/>
          </w:rPr>
          <w:instrText xml:space="preserve"> PAGEREF _Toc53356060 \h </w:instrText>
        </w:r>
        <w:r>
          <w:rPr>
            <w:noProof/>
            <w:webHidden/>
          </w:rPr>
        </w:r>
        <w:r>
          <w:rPr>
            <w:noProof/>
            <w:webHidden/>
          </w:rPr>
          <w:fldChar w:fldCharType="separate"/>
        </w:r>
        <w:r>
          <w:rPr>
            <w:noProof/>
            <w:webHidden/>
          </w:rPr>
          <w:t>16</w:t>
        </w:r>
        <w:r>
          <w:rPr>
            <w:noProof/>
            <w:webHidden/>
          </w:rPr>
          <w:fldChar w:fldCharType="end"/>
        </w:r>
      </w:hyperlink>
    </w:p>
    <w:p w14:paraId="25BD9552"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61" w:history="1">
        <w:r w:rsidR="003E1CE5" w:rsidRPr="00F43EBD">
          <w:rPr>
            <w:rStyle w:val="Hyperlink"/>
            <w:noProof/>
          </w:rPr>
          <w:t>Figure 2: Average ROE</w:t>
        </w:r>
        <w:r w:rsidR="003E1CE5">
          <w:rPr>
            <w:noProof/>
            <w:webHidden/>
          </w:rPr>
          <w:tab/>
        </w:r>
        <w:r w:rsidR="003E1CE5">
          <w:rPr>
            <w:noProof/>
            <w:webHidden/>
          </w:rPr>
          <w:fldChar w:fldCharType="begin"/>
        </w:r>
        <w:r w:rsidR="003E1CE5">
          <w:rPr>
            <w:noProof/>
            <w:webHidden/>
          </w:rPr>
          <w:instrText xml:space="preserve"> PAGEREF _Toc53356061 \h </w:instrText>
        </w:r>
        <w:r w:rsidR="003E1CE5">
          <w:rPr>
            <w:noProof/>
            <w:webHidden/>
          </w:rPr>
        </w:r>
        <w:r w:rsidR="003E1CE5">
          <w:rPr>
            <w:noProof/>
            <w:webHidden/>
          </w:rPr>
          <w:fldChar w:fldCharType="separate"/>
        </w:r>
        <w:r w:rsidR="003E1CE5">
          <w:rPr>
            <w:noProof/>
            <w:webHidden/>
          </w:rPr>
          <w:t>17</w:t>
        </w:r>
        <w:r w:rsidR="003E1CE5">
          <w:rPr>
            <w:noProof/>
            <w:webHidden/>
          </w:rPr>
          <w:fldChar w:fldCharType="end"/>
        </w:r>
      </w:hyperlink>
    </w:p>
    <w:p w14:paraId="75161F76"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62" w:history="1">
        <w:r w:rsidR="003E1CE5" w:rsidRPr="00F43EBD">
          <w:rPr>
            <w:rStyle w:val="Hyperlink"/>
            <w:noProof/>
          </w:rPr>
          <w:t>Figure 3: Average NIM</w:t>
        </w:r>
        <w:r w:rsidR="003E1CE5">
          <w:rPr>
            <w:noProof/>
            <w:webHidden/>
          </w:rPr>
          <w:tab/>
        </w:r>
        <w:r w:rsidR="003E1CE5">
          <w:rPr>
            <w:noProof/>
            <w:webHidden/>
          </w:rPr>
          <w:fldChar w:fldCharType="begin"/>
        </w:r>
        <w:r w:rsidR="003E1CE5">
          <w:rPr>
            <w:noProof/>
            <w:webHidden/>
          </w:rPr>
          <w:instrText xml:space="preserve"> PAGEREF _Toc53356062 \h </w:instrText>
        </w:r>
        <w:r w:rsidR="003E1CE5">
          <w:rPr>
            <w:noProof/>
            <w:webHidden/>
          </w:rPr>
        </w:r>
        <w:r w:rsidR="003E1CE5">
          <w:rPr>
            <w:noProof/>
            <w:webHidden/>
          </w:rPr>
          <w:fldChar w:fldCharType="separate"/>
        </w:r>
        <w:r w:rsidR="003E1CE5">
          <w:rPr>
            <w:noProof/>
            <w:webHidden/>
          </w:rPr>
          <w:t>18</w:t>
        </w:r>
        <w:r w:rsidR="003E1CE5">
          <w:rPr>
            <w:noProof/>
            <w:webHidden/>
          </w:rPr>
          <w:fldChar w:fldCharType="end"/>
        </w:r>
      </w:hyperlink>
    </w:p>
    <w:p w14:paraId="6CC1E64E"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63" w:history="1">
        <w:r w:rsidR="003E1CE5" w:rsidRPr="00F43EBD">
          <w:rPr>
            <w:rStyle w:val="Hyperlink"/>
            <w:noProof/>
          </w:rPr>
          <w:t>Figure 4: Average Cost to Income</w:t>
        </w:r>
        <w:r w:rsidR="003E1CE5">
          <w:rPr>
            <w:noProof/>
            <w:webHidden/>
          </w:rPr>
          <w:tab/>
        </w:r>
        <w:r w:rsidR="003E1CE5">
          <w:rPr>
            <w:noProof/>
            <w:webHidden/>
          </w:rPr>
          <w:fldChar w:fldCharType="begin"/>
        </w:r>
        <w:r w:rsidR="003E1CE5">
          <w:rPr>
            <w:noProof/>
            <w:webHidden/>
          </w:rPr>
          <w:instrText xml:space="preserve"> PAGEREF _Toc53356063 \h </w:instrText>
        </w:r>
        <w:r w:rsidR="003E1CE5">
          <w:rPr>
            <w:noProof/>
            <w:webHidden/>
          </w:rPr>
        </w:r>
        <w:r w:rsidR="003E1CE5">
          <w:rPr>
            <w:noProof/>
            <w:webHidden/>
          </w:rPr>
          <w:fldChar w:fldCharType="separate"/>
        </w:r>
        <w:r w:rsidR="003E1CE5">
          <w:rPr>
            <w:noProof/>
            <w:webHidden/>
          </w:rPr>
          <w:t>19</w:t>
        </w:r>
        <w:r w:rsidR="003E1CE5">
          <w:rPr>
            <w:noProof/>
            <w:webHidden/>
          </w:rPr>
          <w:fldChar w:fldCharType="end"/>
        </w:r>
      </w:hyperlink>
    </w:p>
    <w:p w14:paraId="65AD22AA"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64" w:history="1">
        <w:r w:rsidR="003E1CE5" w:rsidRPr="00F43EBD">
          <w:rPr>
            <w:rStyle w:val="Hyperlink"/>
            <w:noProof/>
          </w:rPr>
          <w:t>Figure 5: Average ROI</w:t>
        </w:r>
        <w:r w:rsidR="003E1CE5">
          <w:rPr>
            <w:noProof/>
            <w:webHidden/>
          </w:rPr>
          <w:tab/>
        </w:r>
        <w:r w:rsidR="003E1CE5">
          <w:rPr>
            <w:noProof/>
            <w:webHidden/>
          </w:rPr>
          <w:fldChar w:fldCharType="begin"/>
        </w:r>
        <w:r w:rsidR="003E1CE5">
          <w:rPr>
            <w:noProof/>
            <w:webHidden/>
          </w:rPr>
          <w:instrText xml:space="preserve"> PAGEREF _Toc53356064 \h </w:instrText>
        </w:r>
        <w:r w:rsidR="003E1CE5">
          <w:rPr>
            <w:noProof/>
            <w:webHidden/>
          </w:rPr>
        </w:r>
        <w:r w:rsidR="003E1CE5">
          <w:rPr>
            <w:noProof/>
            <w:webHidden/>
          </w:rPr>
          <w:fldChar w:fldCharType="separate"/>
        </w:r>
        <w:r w:rsidR="003E1CE5">
          <w:rPr>
            <w:noProof/>
            <w:webHidden/>
          </w:rPr>
          <w:t>19</w:t>
        </w:r>
        <w:r w:rsidR="003E1CE5">
          <w:rPr>
            <w:noProof/>
            <w:webHidden/>
          </w:rPr>
          <w:fldChar w:fldCharType="end"/>
        </w:r>
      </w:hyperlink>
    </w:p>
    <w:p w14:paraId="3E17B5FD"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65" w:history="1">
        <w:r w:rsidR="003E1CE5" w:rsidRPr="00F43EBD">
          <w:rPr>
            <w:rStyle w:val="Hyperlink"/>
            <w:noProof/>
          </w:rPr>
          <w:t>Figure 6: Average CRR</w:t>
        </w:r>
        <w:r w:rsidR="003E1CE5">
          <w:rPr>
            <w:noProof/>
            <w:webHidden/>
          </w:rPr>
          <w:tab/>
        </w:r>
        <w:r w:rsidR="003E1CE5">
          <w:rPr>
            <w:noProof/>
            <w:webHidden/>
          </w:rPr>
          <w:fldChar w:fldCharType="begin"/>
        </w:r>
        <w:r w:rsidR="003E1CE5">
          <w:rPr>
            <w:noProof/>
            <w:webHidden/>
          </w:rPr>
          <w:instrText xml:space="preserve"> PAGEREF _Toc53356065 \h </w:instrText>
        </w:r>
        <w:r w:rsidR="003E1CE5">
          <w:rPr>
            <w:noProof/>
            <w:webHidden/>
          </w:rPr>
        </w:r>
        <w:r w:rsidR="003E1CE5">
          <w:rPr>
            <w:noProof/>
            <w:webHidden/>
          </w:rPr>
          <w:fldChar w:fldCharType="separate"/>
        </w:r>
        <w:r w:rsidR="003E1CE5">
          <w:rPr>
            <w:noProof/>
            <w:webHidden/>
          </w:rPr>
          <w:t>22</w:t>
        </w:r>
        <w:r w:rsidR="003E1CE5">
          <w:rPr>
            <w:noProof/>
            <w:webHidden/>
          </w:rPr>
          <w:fldChar w:fldCharType="end"/>
        </w:r>
      </w:hyperlink>
    </w:p>
    <w:p w14:paraId="2EAD89C5"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66" w:history="1">
        <w:r w:rsidR="003E1CE5" w:rsidRPr="00F43EBD">
          <w:rPr>
            <w:rStyle w:val="Hyperlink"/>
            <w:noProof/>
          </w:rPr>
          <w:t>Figure 7: Average SLR</w:t>
        </w:r>
        <w:r w:rsidR="003E1CE5">
          <w:rPr>
            <w:noProof/>
            <w:webHidden/>
          </w:rPr>
          <w:tab/>
        </w:r>
        <w:r w:rsidR="003E1CE5">
          <w:rPr>
            <w:noProof/>
            <w:webHidden/>
          </w:rPr>
          <w:fldChar w:fldCharType="begin"/>
        </w:r>
        <w:r w:rsidR="003E1CE5">
          <w:rPr>
            <w:noProof/>
            <w:webHidden/>
          </w:rPr>
          <w:instrText xml:space="preserve"> PAGEREF _Toc53356066 \h </w:instrText>
        </w:r>
        <w:r w:rsidR="003E1CE5">
          <w:rPr>
            <w:noProof/>
            <w:webHidden/>
          </w:rPr>
        </w:r>
        <w:r w:rsidR="003E1CE5">
          <w:rPr>
            <w:noProof/>
            <w:webHidden/>
          </w:rPr>
          <w:fldChar w:fldCharType="separate"/>
        </w:r>
        <w:r w:rsidR="003E1CE5">
          <w:rPr>
            <w:noProof/>
            <w:webHidden/>
          </w:rPr>
          <w:t>22</w:t>
        </w:r>
        <w:r w:rsidR="003E1CE5">
          <w:rPr>
            <w:noProof/>
            <w:webHidden/>
          </w:rPr>
          <w:fldChar w:fldCharType="end"/>
        </w:r>
      </w:hyperlink>
    </w:p>
    <w:p w14:paraId="528B22C2"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67" w:history="1">
        <w:r w:rsidR="003E1CE5" w:rsidRPr="00F43EBD">
          <w:rPr>
            <w:rStyle w:val="Hyperlink"/>
            <w:noProof/>
          </w:rPr>
          <w:t>Figure 8: Average NPL to Total Loans and Advances</w:t>
        </w:r>
        <w:r w:rsidR="003E1CE5">
          <w:rPr>
            <w:noProof/>
            <w:webHidden/>
          </w:rPr>
          <w:tab/>
        </w:r>
        <w:r w:rsidR="003E1CE5">
          <w:rPr>
            <w:noProof/>
            <w:webHidden/>
          </w:rPr>
          <w:fldChar w:fldCharType="begin"/>
        </w:r>
        <w:r w:rsidR="003E1CE5">
          <w:rPr>
            <w:noProof/>
            <w:webHidden/>
          </w:rPr>
          <w:instrText xml:space="preserve"> PAGEREF _Toc53356067 \h </w:instrText>
        </w:r>
        <w:r w:rsidR="003E1CE5">
          <w:rPr>
            <w:noProof/>
            <w:webHidden/>
          </w:rPr>
        </w:r>
        <w:r w:rsidR="003E1CE5">
          <w:rPr>
            <w:noProof/>
            <w:webHidden/>
          </w:rPr>
          <w:fldChar w:fldCharType="separate"/>
        </w:r>
        <w:r w:rsidR="003E1CE5">
          <w:rPr>
            <w:noProof/>
            <w:webHidden/>
          </w:rPr>
          <w:t>23</w:t>
        </w:r>
        <w:r w:rsidR="003E1CE5">
          <w:rPr>
            <w:noProof/>
            <w:webHidden/>
          </w:rPr>
          <w:fldChar w:fldCharType="end"/>
        </w:r>
      </w:hyperlink>
    </w:p>
    <w:p w14:paraId="3EC13E4C"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68" w:history="1">
        <w:r w:rsidR="003E1CE5" w:rsidRPr="00F43EBD">
          <w:rPr>
            <w:rStyle w:val="Hyperlink"/>
            <w:noProof/>
          </w:rPr>
          <w:t>Figure 9: Average percentage of Classified Loans against Total Loans and Advances</w:t>
        </w:r>
        <w:r w:rsidR="003E1CE5">
          <w:rPr>
            <w:noProof/>
            <w:webHidden/>
          </w:rPr>
          <w:tab/>
        </w:r>
        <w:r w:rsidR="003E1CE5">
          <w:rPr>
            <w:noProof/>
            <w:webHidden/>
          </w:rPr>
          <w:fldChar w:fldCharType="begin"/>
        </w:r>
        <w:r w:rsidR="003E1CE5">
          <w:rPr>
            <w:noProof/>
            <w:webHidden/>
          </w:rPr>
          <w:instrText xml:space="preserve"> PAGEREF _Toc53356068 \h </w:instrText>
        </w:r>
        <w:r w:rsidR="003E1CE5">
          <w:rPr>
            <w:noProof/>
            <w:webHidden/>
          </w:rPr>
        </w:r>
        <w:r w:rsidR="003E1CE5">
          <w:rPr>
            <w:noProof/>
            <w:webHidden/>
          </w:rPr>
          <w:fldChar w:fldCharType="separate"/>
        </w:r>
        <w:r w:rsidR="003E1CE5">
          <w:rPr>
            <w:noProof/>
            <w:webHidden/>
          </w:rPr>
          <w:t>24</w:t>
        </w:r>
        <w:r w:rsidR="003E1CE5">
          <w:rPr>
            <w:noProof/>
            <w:webHidden/>
          </w:rPr>
          <w:fldChar w:fldCharType="end"/>
        </w:r>
      </w:hyperlink>
    </w:p>
    <w:p w14:paraId="167FD0F0"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69" w:history="1">
        <w:r w:rsidR="003E1CE5" w:rsidRPr="00F43EBD">
          <w:rPr>
            <w:rStyle w:val="Hyperlink"/>
            <w:noProof/>
          </w:rPr>
          <w:t>Figure 10: Average Credit Deposit Ratio</w:t>
        </w:r>
        <w:r w:rsidR="003E1CE5">
          <w:rPr>
            <w:noProof/>
            <w:webHidden/>
          </w:rPr>
          <w:tab/>
        </w:r>
        <w:r w:rsidR="003E1CE5">
          <w:rPr>
            <w:noProof/>
            <w:webHidden/>
          </w:rPr>
          <w:fldChar w:fldCharType="begin"/>
        </w:r>
        <w:r w:rsidR="003E1CE5">
          <w:rPr>
            <w:noProof/>
            <w:webHidden/>
          </w:rPr>
          <w:instrText xml:space="preserve"> PAGEREF _Toc53356069 \h </w:instrText>
        </w:r>
        <w:r w:rsidR="003E1CE5">
          <w:rPr>
            <w:noProof/>
            <w:webHidden/>
          </w:rPr>
        </w:r>
        <w:r w:rsidR="003E1CE5">
          <w:rPr>
            <w:noProof/>
            <w:webHidden/>
          </w:rPr>
          <w:fldChar w:fldCharType="separate"/>
        </w:r>
        <w:r w:rsidR="003E1CE5">
          <w:rPr>
            <w:noProof/>
            <w:webHidden/>
          </w:rPr>
          <w:t>25</w:t>
        </w:r>
        <w:r w:rsidR="003E1CE5">
          <w:rPr>
            <w:noProof/>
            <w:webHidden/>
          </w:rPr>
          <w:fldChar w:fldCharType="end"/>
        </w:r>
      </w:hyperlink>
    </w:p>
    <w:p w14:paraId="407F4D2C"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70" w:history="1">
        <w:r w:rsidR="003E1CE5" w:rsidRPr="00F43EBD">
          <w:rPr>
            <w:rStyle w:val="Hyperlink"/>
            <w:noProof/>
          </w:rPr>
          <w:t>Figure 11: Average Debt to Equity Ratio</w:t>
        </w:r>
        <w:r w:rsidR="003E1CE5">
          <w:rPr>
            <w:noProof/>
            <w:webHidden/>
          </w:rPr>
          <w:tab/>
        </w:r>
        <w:r w:rsidR="003E1CE5">
          <w:rPr>
            <w:noProof/>
            <w:webHidden/>
          </w:rPr>
          <w:fldChar w:fldCharType="begin"/>
        </w:r>
        <w:r w:rsidR="003E1CE5">
          <w:rPr>
            <w:noProof/>
            <w:webHidden/>
          </w:rPr>
          <w:instrText xml:space="preserve"> PAGEREF _Toc53356070 \h </w:instrText>
        </w:r>
        <w:r w:rsidR="003E1CE5">
          <w:rPr>
            <w:noProof/>
            <w:webHidden/>
          </w:rPr>
        </w:r>
        <w:r w:rsidR="003E1CE5">
          <w:rPr>
            <w:noProof/>
            <w:webHidden/>
          </w:rPr>
          <w:fldChar w:fldCharType="separate"/>
        </w:r>
        <w:r w:rsidR="003E1CE5">
          <w:rPr>
            <w:noProof/>
            <w:webHidden/>
          </w:rPr>
          <w:t>27</w:t>
        </w:r>
        <w:r w:rsidR="003E1CE5">
          <w:rPr>
            <w:noProof/>
            <w:webHidden/>
          </w:rPr>
          <w:fldChar w:fldCharType="end"/>
        </w:r>
      </w:hyperlink>
    </w:p>
    <w:p w14:paraId="6EC05D7C"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71" w:history="1">
        <w:r w:rsidR="003E1CE5" w:rsidRPr="00F43EBD">
          <w:rPr>
            <w:rStyle w:val="Hyperlink"/>
            <w:noProof/>
          </w:rPr>
          <w:t>Figure 12: Average Equity Multiplier</w:t>
        </w:r>
        <w:r w:rsidR="003E1CE5">
          <w:rPr>
            <w:noProof/>
            <w:webHidden/>
          </w:rPr>
          <w:tab/>
        </w:r>
        <w:r w:rsidR="003E1CE5">
          <w:rPr>
            <w:noProof/>
            <w:webHidden/>
          </w:rPr>
          <w:fldChar w:fldCharType="begin"/>
        </w:r>
        <w:r w:rsidR="003E1CE5">
          <w:rPr>
            <w:noProof/>
            <w:webHidden/>
          </w:rPr>
          <w:instrText xml:space="preserve"> PAGEREF _Toc53356071 \h </w:instrText>
        </w:r>
        <w:r w:rsidR="003E1CE5">
          <w:rPr>
            <w:noProof/>
            <w:webHidden/>
          </w:rPr>
        </w:r>
        <w:r w:rsidR="003E1CE5">
          <w:rPr>
            <w:noProof/>
            <w:webHidden/>
          </w:rPr>
          <w:fldChar w:fldCharType="separate"/>
        </w:r>
        <w:r w:rsidR="003E1CE5">
          <w:rPr>
            <w:noProof/>
            <w:webHidden/>
          </w:rPr>
          <w:t>28</w:t>
        </w:r>
        <w:r w:rsidR="003E1CE5">
          <w:rPr>
            <w:noProof/>
            <w:webHidden/>
          </w:rPr>
          <w:fldChar w:fldCharType="end"/>
        </w:r>
      </w:hyperlink>
    </w:p>
    <w:p w14:paraId="64CF4958"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72" w:history="1">
        <w:r w:rsidR="003E1CE5" w:rsidRPr="00F43EBD">
          <w:rPr>
            <w:rStyle w:val="Hyperlink"/>
            <w:noProof/>
          </w:rPr>
          <w:t>Figure 13: Average Debt to Capital Ratio</w:t>
        </w:r>
        <w:r w:rsidR="003E1CE5">
          <w:rPr>
            <w:noProof/>
            <w:webHidden/>
          </w:rPr>
          <w:tab/>
        </w:r>
        <w:r w:rsidR="003E1CE5">
          <w:rPr>
            <w:noProof/>
            <w:webHidden/>
          </w:rPr>
          <w:fldChar w:fldCharType="begin"/>
        </w:r>
        <w:r w:rsidR="003E1CE5">
          <w:rPr>
            <w:noProof/>
            <w:webHidden/>
          </w:rPr>
          <w:instrText xml:space="preserve"> PAGEREF _Toc53356072 \h </w:instrText>
        </w:r>
        <w:r w:rsidR="003E1CE5">
          <w:rPr>
            <w:noProof/>
            <w:webHidden/>
          </w:rPr>
        </w:r>
        <w:r w:rsidR="003E1CE5">
          <w:rPr>
            <w:noProof/>
            <w:webHidden/>
          </w:rPr>
          <w:fldChar w:fldCharType="separate"/>
        </w:r>
        <w:r w:rsidR="003E1CE5">
          <w:rPr>
            <w:noProof/>
            <w:webHidden/>
          </w:rPr>
          <w:t>29</w:t>
        </w:r>
        <w:r w:rsidR="003E1CE5">
          <w:rPr>
            <w:noProof/>
            <w:webHidden/>
          </w:rPr>
          <w:fldChar w:fldCharType="end"/>
        </w:r>
      </w:hyperlink>
    </w:p>
    <w:p w14:paraId="7F3D9300"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73" w:history="1">
        <w:r w:rsidR="003E1CE5" w:rsidRPr="00F43EBD">
          <w:rPr>
            <w:rStyle w:val="Hyperlink"/>
            <w:noProof/>
          </w:rPr>
          <w:t>Figure 14: Average Capital Adequacy Ratio</w:t>
        </w:r>
        <w:r w:rsidR="003E1CE5">
          <w:rPr>
            <w:noProof/>
            <w:webHidden/>
          </w:rPr>
          <w:tab/>
        </w:r>
        <w:r w:rsidR="003E1CE5">
          <w:rPr>
            <w:noProof/>
            <w:webHidden/>
          </w:rPr>
          <w:fldChar w:fldCharType="begin"/>
        </w:r>
        <w:r w:rsidR="003E1CE5">
          <w:rPr>
            <w:noProof/>
            <w:webHidden/>
          </w:rPr>
          <w:instrText xml:space="preserve"> PAGEREF _Toc53356073 \h </w:instrText>
        </w:r>
        <w:r w:rsidR="003E1CE5">
          <w:rPr>
            <w:noProof/>
            <w:webHidden/>
          </w:rPr>
        </w:r>
        <w:r w:rsidR="003E1CE5">
          <w:rPr>
            <w:noProof/>
            <w:webHidden/>
          </w:rPr>
          <w:fldChar w:fldCharType="separate"/>
        </w:r>
        <w:r w:rsidR="003E1CE5">
          <w:rPr>
            <w:noProof/>
            <w:webHidden/>
          </w:rPr>
          <w:t>29</w:t>
        </w:r>
        <w:r w:rsidR="003E1CE5">
          <w:rPr>
            <w:noProof/>
            <w:webHidden/>
          </w:rPr>
          <w:fldChar w:fldCharType="end"/>
        </w:r>
      </w:hyperlink>
    </w:p>
    <w:p w14:paraId="783D65A0"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74" w:history="1">
        <w:r w:rsidR="003E1CE5" w:rsidRPr="00F43EBD">
          <w:rPr>
            <w:rStyle w:val="Hyperlink"/>
            <w:noProof/>
          </w:rPr>
          <w:t>Figure 15: Average Market Price per Share</w:t>
        </w:r>
        <w:r w:rsidR="003E1CE5">
          <w:rPr>
            <w:noProof/>
            <w:webHidden/>
          </w:rPr>
          <w:tab/>
        </w:r>
        <w:r w:rsidR="003E1CE5">
          <w:rPr>
            <w:noProof/>
            <w:webHidden/>
          </w:rPr>
          <w:fldChar w:fldCharType="begin"/>
        </w:r>
        <w:r w:rsidR="003E1CE5">
          <w:rPr>
            <w:noProof/>
            <w:webHidden/>
          </w:rPr>
          <w:instrText xml:space="preserve"> PAGEREF _Toc53356074 \h </w:instrText>
        </w:r>
        <w:r w:rsidR="003E1CE5">
          <w:rPr>
            <w:noProof/>
            <w:webHidden/>
          </w:rPr>
        </w:r>
        <w:r w:rsidR="003E1CE5">
          <w:rPr>
            <w:noProof/>
            <w:webHidden/>
          </w:rPr>
          <w:fldChar w:fldCharType="separate"/>
        </w:r>
        <w:r w:rsidR="003E1CE5">
          <w:rPr>
            <w:noProof/>
            <w:webHidden/>
          </w:rPr>
          <w:t>31</w:t>
        </w:r>
        <w:r w:rsidR="003E1CE5">
          <w:rPr>
            <w:noProof/>
            <w:webHidden/>
          </w:rPr>
          <w:fldChar w:fldCharType="end"/>
        </w:r>
      </w:hyperlink>
    </w:p>
    <w:p w14:paraId="6670AA6D"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75" w:history="1">
        <w:r w:rsidR="003E1CE5" w:rsidRPr="00F43EBD">
          <w:rPr>
            <w:rStyle w:val="Hyperlink"/>
            <w:noProof/>
          </w:rPr>
          <w:t>Figure 16: Average Earning per Share</w:t>
        </w:r>
        <w:r w:rsidR="003E1CE5">
          <w:rPr>
            <w:noProof/>
            <w:webHidden/>
          </w:rPr>
          <w:tab/>
        </w:r>
        <w:r w:rsidR="003E1CE5">
          <w:rPr>
            <w:noProof/>
            <w:webHidden/>
          </w:rPr>
          <w:fldChar w:fldCharType="begin"/>
        </w:r>
        <w:r w:rsidR="003E1CE5">
          <w:rPr>
            <w:noProof/>
            <w:webHidden/>
          </w:rPr>
          <w:instrText xml:space="preserve"> PAGEREF _Toc53356075 \h </w:instrText>
        </w:r>
        <w:r w:rsidR="003E1CE5">
          <w:rPr>
            <w:noProof/>
            <w:webHidden/>
          </w:rPr>
        </w:r>
        <w:r w:rsidR="003E1CE5">
          <w:rPr>
            <w:noProof/>
            <w:webHidden/>
          </w:rPr>
          <w:fldChar w:fldCharType="separate"/>
        </w:r>
        <w:r w:rsidR="003E1CE5">
          <w:rPr>
            <w:noProof/>
            <w:webHidden/>
          </w:rPr>
          <w:t>32</w:t>
        </w:r>
        <w:r w:rsidR="003E1CE5">
          <w:rPr>
            <w:noProof/>
            <w:webHidden/>
          </w:rPr>
          <w:fldChar w:fldCharType="end"/>
        </w:r>
      </w:hyperlink>
    </w:p>
    <w:p w14:paraId="0B4708D1"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76" w:history="1">
        <w:r w:rsidR="003E1CE5" w:rsidRPr="00F43EBD">
          <w:rPr>
            <w:rStyle w:val="Hyperlink"/>
            <w:noProof/>
          </w:rPr>
          <w:t>Figure 17: Average P/E Ratio</w:t>
        </w:r>
        <w:r w:rsidR="003E1CE5">
          <w:rPr>
            <w:noProof/>
            <w:webHidden/>
          </w:rPr>
          <w:tab/>
        </w:r>
        <w:r w:rsidR="003E1CE5">
          <w:rPr>
            <w:noProof/>
            <w:webHidden/>
          </w:rPr>
          <w:fldChar w:fldCharType="begin"/>
        </w:r>
        <w:r w:rsidR="003E1CE5">
          <w:rPr>
            <w:noProof/>
            <w:webHidden/>
          </w:rPr>
          <w:instrText xml:space="preserve"> PAGEREF _Toc53356076 \h </w:instrText>
        </w:r>
        <w:r w:rsidR="003E1CE5">
          <w:rPr>
            <w:noProof/>
            <w:webHidden/>
          </w:rPr>
        </w:r>
        <w:r w:rsidR="003E1CE5">
          <w:rPr>
            <w:noProof/>
            <w:webHidden/>
          </w:rPr>
          <w:fldChar w:fldCharType="separate"/>
        </w:r>
        <w:r w:rsidR="003E1CE5">
          <w:rPr>
            <w:noProof/>
            <w:webHidden/>
          </w:rPr>
          <w:t>33</w:t>
        </w:r>
        <w:r w:rsidR="003E1CE5">
          <w:rPr>
            <w:noProof/>
            <w:webHidden/>
          </w:rPr>
          <w:fldChar w:fldCharType="end"/>
        </w:r>
      </w:hyperlink>
    </w:p>
    <w:p w14:paraId="3F29FF03"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77" w:history="1">
        <w:r w:rsidR="003E1CE5" w:rsidRPr="00F43EBD">
          <w:rPr>
            <w:rStyle w:val="Hyperlink"/>
            <w:noProof/>
          </w:rPr>
          <w:t>Figure 18: Average Net Asset Value per share</w:t>
        </w:r>
        <w:r w:rsidR="003E1CE5">
          <w:rPr>
            <w:noProof/>
            <w:webHidden/>
          </w:rPr>
          <w:tab/>
        </w:r>
        <w:r w:rsidR="003E1CE5">
          <w:rPr>
            <w:noProof/>
            <w:webHidden/>
          </w:rPr>
          <w:fldChar w:fldCharType="begin"/>
        </w:r>
        <w:r w:rsidR="003E1CE5">
          <w:rPr>
            <w:noProof/>
            <w:webHidden/>
          </w:rPr>
          <w:instrText xml:space="preserve"> PAGEREF _Toc53356077 \h </w:instrText>
        </w:r>
        <w:r w:rsidR="003E1CE5">
          <w:rPr>
            <w:noProof/>
            <w:webHidden/>
          </w:rPr>
        </w:r>
        <w:r w:rsidR="003E1CE5">
          <w:rPr>
            <w:noProof/>
            <w:webHidden/>
          </w:rPr>
          <w:fldChar w:fldCharType="separate"/>
        </w:r>
        <w:r w:rsidR="003E1CE5">
          <w:rPr>
            <w:noProof/>
            <w:webHidden/>
          </w:rPr>
          <w:t>33</w:t>
        </w:r>
        <w:r w:rsidR="003E1CE5">
          <w:rPr>
            <w:noProof/>
            <w:webHidden/>
          </w:rPr>
          <w:fldChar w:fldCharType="end"/>
        </w:r>
      </w:hyperlink>
    </w:p>
    <w:p w14:paraId="4928DBB3"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78" w:history="1">
        <w:r w:rsidR="003E1CE5" w:rsidRPr="00F43EBD">
          <w:rPr>
            <w:rStyle w:val="Hyperlink"/>
            <w:noProof/>
          </w:rPr>
          <w:t>Figure 19: Average Dividend Coverage Ratio</w:t>
        </w:r>
        <w:r w:rsidR="003E1CE5">
          <w:rPr>
            <w:noProof/>
            <w:webHidden/>
          </w:rPr>
          <w:tab/>
        </w:r>
        <w:r w:rsidR="003E1CE5">
          <w:rPr>
            <w:noProof/>
            <w:webHidden/>
          </w:rPr>
          <w:fldChar w:fldCharType="begin"/>
        </w:r>
        <w:r w:rsidR="003E1CE5">
          <w:rPr>
            <w:noProof/>
            <w:webHidden/>
          </w:rPr>
          <w:instrText xml:space="preserve"> PAGEREF _Toc53356078 \h </w:instrText>
        </w:r>
        <w:r w:rsidR="003E1CE5">
          <w:rPr>
            <w:noProof/>
            <w:webHidden/>
          </w:rPr>
        </w:r>
        <w:r w:rsidR="003E1CE5">
          <w:rPr>
            <w:noProof/>
            <w:webHidden/>
          </w:rPr>
          <w:fldChar w:fldCharType="separate"/>
        </w:r>
        <w:r w:rsidR="003E1CE5">
          <w:rPr>
            <w:noProof/>
            <w:webHidden/>
          </w:rPr>
          <w:t>34</w:t>
        </w:r>
        <w:r w:rsidR="003E1CE5">
          <w:rPr>
            <w:noProof/>
            <w:webHidden/>
          </w:rPr>
          <w:fldChar w:fldCharType="end"/>
        </w:r>
      </w:hyperlink>
    </w:p>
    <w:p w14:paraId="3F81320D"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79" w:history="1">
        <w:r w:rsidR="003E1CE5" w:rsidRPr="00F43EBD">
          <w:rPr>
            <w:rStyle w:val="Hyperlink"/>
            <w:noProof/>
          </w:rPr>
          <w:t>Figure 20: Average Operating Profit per Share</w:t>
        </w:r>
        <w:r w:rsidR="003E1CE5">
          <w:rPr>
            <w:noProof/>
            <w:webHidden/>
          </w:rPr>
          <w:tab/>
        </w:r>
        <w:r w:rsidR="003E1CE5">
          <w:rPr>
            <w:noProof/>
            <w:webHidden/>
          </w:rPr>
          <w:fldChar w:fldCharType="begin"/>
        </w:r>
        <w:r w:rsidR="003E1CE5">
          <w:rPr>
            <w:noProof/>
            <w:webHidden/>
          </w:rPr>
          <w:instrText xml:space="preserve"> PAGEREF _Toc53356079 \h </w:instrText>
        </w:r>
        <w:r w:rsidR="003E1CE5">
          <w:rPr>
            <w:noProof/>
            <w:webHidden/>
          </w:rPr>
        </w:r>
        <w:r w:rsidR="003E1CE5">
          <w:rPr>
            <w:noProof/>
            <w:webHidden/>
          </w:rPr>
          <w:fldChar w:fldCharType="separate"/>
        </w:r>
        <w:r w:rsidR="003E1CE5">
          <w:rPr>
            <w:noProof/>
            <w:webHidden/>
          </w:rPr>
          <w:t>35</w:t>
        </w:r>
        <w:r w:rsidR="003E1CE5">
          <w:rPr>
            <w:noProof/>
            <w:webHidden/>
          </w:rPr>
          <w:fldChar w:fldCharType="end"/>
        </w:r>
      </w:hyperlink>
    </w:p>
    <w:p w14:paraId="5A69F643"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80" w:history="1">
        <w:r w:rsidR="003E1CE5" w:rsidRPr="00F43EBD">
          <w:rPr>
            <w:rStyle w:val="Hyperlink"/>
            <w:noProof/>
          </w:rPr>
          <w:t>Figure 21: Average Net Operating Cash Flow per Share</w:t>
        </w:r>
        <w:r w:rsidR="003E1CE5">
          <w:rPr>
            <w:noProof/>
            <w:webHidden/>
          </w:rPr>
          <w:tab/>
        </w:r>
        <w:r w:rsidR="003E1CE5">
          <w:rPr>
            <w:noProof/>
            <w:webHidden/>
          </w:rPr>
          <w:fldChar w:fldCharType="begin"/>
        </w:r>
        <w:r w:rsidR="003E1CE5">
          <w:rPr>
            <w:noProof/>
            <w:webHidden/>
          </w:rPr>
          <w:instrText xml:space="preserve"> PAGEREF _Toc53356080 \h </w:instrText>
        </w:r>
        <w:r w:rsidR="003E1CE5">
          <w:rPr>
            <w:noProof/>
            <w:webHidden/>
          </w:rPr>
        </w:r>
        <w:r w:rsidR="003E1CE5">
          <w:rPr>
            <w:noProof/>
            <w:webHidden/>
          </w:rPr>
          <w:fldChar w:fldCharType="separate"/>
        </w:r>
        <w:r w:rsidR="003E1CE5">
          <w:rPr>
            <w:noProof/>
            <w:webHidden/>
          </w:rPr>
          <w:t>35</w:t>
        </w:r>
        <w:r w:rsidR="003E1CE5">
          <w:rPr>
            <w:noProof/>
            <w:webHidden/>
          </w:rPr>
          <w:fldChar w:fldCharType="end"/>
        </w:r>
      </w:hyperlink>
    </w:p>
    <w:p w14:paraId="2E194481"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81" w:history="1">
        <w:r w:rsidR="003E1CE5" w:rsidRPr="00F43EBD">
          <w:rPr>
            <w:rStyle w:val="Hyperlink"/>
            <w:noProof/>
          </w:rPr>
          <w:t>Figure 22: Average Dividend Yield</w:t>
        </w:r>
        <w:r w:rsidR="003E1CE5">
          <w:rPr>
            <w:noProof/>
            <w:webHidden/>
          </w:rPr>
          <w:tab/>
        </w:r>
        <w:r w:rsidR="003E1CE5">
          <w:rPr>
            <w:noProof/>
            <w:webHidden/>
          </w:rPr>
          <w:fldChar w:fldCharType="begin"/>
        </w:r>
        <w:r w:rsidR="003E1CE5">
          <w:rPr>
            <w:noProof/>
            <w:webHidden/>
          </w:rPr>
          <w:instrText xml:space="preserve"> PAGEREF _Toc53356081 \h </w:instrText>
        </w:r>
        <w:r w:rsidR="003E1CE5">
          <w:rPr>
            <w:noProof/>
            <w:webHidden/>
          </w:rPr>
        </w:r>
        <w:r w:rsidR="003E1CE5">
          <w:rPr>
            <w:noProof/>
            <w:webHidden/>
          </w:rPr>
          <w:fldChar w:fldCharType="separate"/>
        </w:r>
        <w:r w:rsidR="003E1CE5">
          <w:rPr>
            <w:noProof/>
            <w:webHidden/>
          </w:rPr>
          <w:t>36</w:t>
        </w:r>
        <w:r w:rsidR="003E1CE5">
          <w:rPr>
            <w:noProof/>
            <w:webHidden/>
          </w:rPr>
          <w:fldChar w:fldCharType="end"/>
        </w:r>
      </w:hyperlink>
    </w:p>
    <w:p w14:paraId="1A65CC60" w14:textId="77777777" w:rsidR="003E1CE5" w:rsidRDefault="00816F2C">
      <w:pPr>
        <w:pStyle w:val="TableofFigures"/>
        <w:tabs>
          <w:tab w:val="right" w:leader="underscore" w:pos="9350"/>
        </w:tabs>
        <w:rPr>
          <w:rFonts w:eastAsiaTheme="minorEastAsia" w:cstheme="minorBidi"/>
          <w:i w:val="0"/>
          <w:iCs w:val="0"/>
          <w:noProof/>
          <w:sz w:val="22"/>
          <w:szCs w:val="22"/>
        </w:rPr>
      </w:pPr>
      <w:hyperlink w:anchor="_Toc53356082" w:history="1">
        <w:r w:rsidR="003E1CE5" w:rsidRPr="00F43EBD">
          <w:rPr>
            <w:rStyle w:val="Hyperlink"/>
            <w:noProof/>
          </w:rPr>
          <w:t>Figure 23: Average Payout Ratio</w:t>
        </w:r>
        <w:r w:rsidR="003E1CE5">
          <w:rPr>
            <w:noProof/>
            <w:webHidden/>
          </w:rPr>
          <w:tab/>
        </w:r>
        <w:r w:rsidR="003E1CE5">
          <w:rPr>
            <w:noProof/>
            <w:webHidden/>
          </w:rPr>
          <w:fldChar w:fldCharType="begin"/>
        </w:r>
        <w:r w:rsidR="003E1CE5">
          <w:rPr>
            <w:noProof/>
            <w:webHidden/>
          </w:rPr>
          <w:instrText xml:space="preserve"> PAGEREF _Toc53356082 \h </w:instrText>
        </w:r>
        <w:r w:rsidR="003E1CE5">
          <w:rPr>
            <w:noProof/>
            <w:webHidden/>
          </w:rPr>
        </w:r>
        <w:r w:rsidR="003E1CE5">
          <w:rPr>
            <w:noProof/>
            <w:webHidden/>
          </w:rPr>
          <w:fldChar w:fldCharType="separate"/>
        </w:r>
        <w:r w:rsidR="003E1CE5">
          <w:rPr>
            <w:noProof/>
            <w:webHidden/>
          </w:rPr>
          <w:t>37</w:t>
        </w:r>
        <w:r w:rsidR="003E1CE5">
          <w:rPr>
            <w:noProof/>
            <w:webHidden/>
          </w:rPr>
          <w:fldChar w:fldCharType="end"/>
        </w:r>
      </w:hyperlink>
    </w:p>
    <w:p w14:paraId="4E5E4B9A" w14:textId="77777777" w:rsidR="003E1CE5" w:rsidRPr="003E1CE5" w:rsidRDefault="003E1CE5" w:rsidP="003E1CE5">
      <w:r>
        <w:rPr>
          <w:rFonts w:cstheme="minorHAnsi"/>
          <w:b/>
          <w:bCs/>
          <w:i/>
          <w:iCs/>
          <w:sz w:val="20"/>
          <w:szCs w:val="20"/>
        </w:rPr>
        <w:fldChar w:fldCharType="end"/>
      </w:r>
    </w:p>
    <w:p w14:paraId="12872CCA" w14:textId="77777777" w:rsidR="00A64961" w:rsidRPr="00A64961" w:rsidRDefault="00A64961" w:rsidP="00A64961"/>
    <w:p w14:paraId="66CDECB0" w14:textId="77777777" w:rsidR="00151C68" w:rsidRPr="00977F3B" w:rsidRDefault="003250F6" w:rsidP="002D5105">
      <w:pPr>
        <w:pStyle w:val="Heading1"/>
        <w:numPr>
          <w:ilvl w:val="0"/>
          <w:numId w:val="0"/>
        </w:numPr>
        <w:ind w:left="432" w:hanging="432"/>
        <w:rPr>
          <w:b/>
        </w:rPr>
      </w:pPr>
      <w:r>
        <w:rPr>
          <w:sz w:val="28"/>
          <w:szCs w:val="28"/>
        </w:rPr>
        <w:br w:type="page"/>
      </w:r>
      <w:bookmarkStart w:id="6" w:name="_Toc53357683"/>
      <w:r w:rsidRPr="00977F3B">
        <w:rPr>
          <w:b/>
          <w:color w:val="244061" w:themeColor="accent1" w:themeShade="80"/>
        </w:rPr>
        <w:lastRenderedPageBreak/>
        <w:t>ABSTRACT</w:t>
      </w:r>
      <w:bookmarkEnd w:id="6"/>
      <w:r w:rsidRPr="00977F3B">
        <w:rPr>
          <w:b/>
        </w:rPr>
        <w:t xml:space="preserve"> </w:t>
      </w:r>
    </w:p>
    <w:p w14:paraId="04FE1BB2" w14:textId="77777777" w:rsidR="0049285C" w:rsidRPr="0049285C" w:rsidRDefault="0049285C" w:rsidP="002D5105">
      <w:pPr>
        <w:spacing w:line="360" w:lineRule="auto"/>
        <w:jc w:val="both"/>
      </w:pPr>
    </w:p>
    <w:p w14:paraId="23792387" w14:textId="0338D748" w:rsidR="00151C68" w:rsidRPr="00151C68" w:rsidRDefault="00151C68" w:rsidP="002D5105">
      <w:pPr>
        <w:spacing w:line="360" w:lineRule="auto"/>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The main objective of this report is to discover and understand </w:t>
      </w:r>
      <w:r w:rsidRPr="00151C68">
        <w:rPr>
          <w:rFonts w:ascii="Times New Roman" w:hAnsi="Times New Roman" w:cs="Times New Roman"/>
          <w:sz w:val="24"/>
          <w:szCs w:val="24"/>
          <w:lang w:val="en-SG"/>
        </w:rPr>
        <w:t>the financial perfo</w:t>
      </w:r>
      <w:r>
        <w:rPr>
          <w:rFonts w:ascii="Times New Roman" w:hAnsi="Times New Roman" w:cs="Times New Roman"/>
          <w:sz w:val="24"/>
          <w:szCs w:val="24"/>
          <w:lang w:val="en-SG"/>
        </w:rPr>
        <w:t>rmances and situations of different listed private banks of Bangladesh over five (5</w:t>
      </w:r>
      <w:r w:rsidRPr="00151C68">
        <w:rPr>
          <w:rFonts w:ascii="Times New Roman" w:hAnsi="Times New Roman" w:cs="Times New Roman"/>
          <w:sz w:val="24"/>
          <w:szCs w:val="24"/>
          <w:lang w:val="en-SG"/>
        </w:rPr>
        <w:t xml:space="preserve">) years with the aid </w:t>
      </w:r>
      <w:r w:rsidR="008737FE">
        <w:rPr>
          <w:rFonts w:ascii="Times New Roman" w:hAnsi="Times New Roman" w:cs="Times New Roman"/>
          <w:sz w:val="24"/>
          <w:szCs w:val="24"/>
          <w:lang w:val="en-SG"/>
        </w:rPr>
        <w:t xml:space="preserve">of ratio analysis of </w:t>
      </w:r>
      <w:r w:rsidR="009F71F1">
        <w:rPr>
          <w:rFonts w:ascii="Times New Roman" w:hAnsi="Times New Roman" w:cs="Times New Roman"/>
          <w:sz w:val="24"/>
          <w:szCs w:val="24"/>
          <w:lang w:val="en-SG"/>
        </w:rPr>
        <w:t>twenty-two</w:t>
      </w:r>
      <w:r w:rsidR="008737FE">
        <w:rPr>
          <w:rFonts w:ascii="Times New Roman" w:hAnsi="Times New Roman" w:cs="Times New Roman"/>
          <w:sz w:val="24"/>
          <w:szCs w:val="24"/>
          <w:lang w:val="en-SG"/>
        </w:rPr>
        <w:t xml:space="preserve"> (22) </w:t>
      </w:r>
      <w:r w:rsidRPr="00151C68">
        <w:rPr>
          <w:rFonts w:ascii="Times New Roman" w:hAnsi="Times New Roman" w:cs="Times New Roman"/>
          <w:sz w:val="24"/>
          <w:szCs w:val="24"/>
          <w:lang w:val="en-SG"/>
        </w:rPr>
        <w:t>different ratios. There were scopes and limitations as well while assembling this report.</w:t>
      </w:r>
    </w:p>
    <w:p w14:paraId="7954BDCB" w14:textId="7BBBF21C" w:rsidR="00151C68" w:rsidRPr="00151C68" w:rsidRDefault="00151C68" w:rsidP="002D5105">
      <w:pPr>
        <w:spacing w:line="360" w:lineRule="auto"/>
        <w:jc w:val="both"/>
        <w:rPr>
          <w:rFonts w:ascii="Times New Roman" w:hAnsi="Times New Roman" w:cs="Times New Roman"/>
          <w:sz w:val="24"/>
          <w:szCs w:val="24"/>
          <w:lang w:val="en-SG"/>
        </w:rPr>
      </w:pPr>
      <w:r w:rsidRPr="00151C68">
        <w:rPr>
          <w:rFonts w:ascii="Times New Roman" w:hAnsi="Times New Roman" w:cs="Times New Roman"/>
          <w:sz w:val="24"/>
          <w:szCs w:val="24"/>
          <w:lang w:val="en-SG"/>
        </w:rPr>
        <w:t xml:space="preserve">The Literature review in this study describes what Financial Statement </w:t>
      </w:r>
      <w:r>
        <w:rPr>
          <w:rFonts w:ascii="Times New Roman" w:hAnsi="Times New Roman" w:cs="Times New Roman"/>
          <w:sz w:val="24"/>
          <w:szCs w:val="24"/>
          <w:lang w:val="en-SG"/>
        </w:rPr>
        <w:t xml:space="preserve">is and how and why we analysis a financial statement. I have taken this data from some books and journals wrote by famous writers who have </w:t>
      </w:r>
      <w:r w:rsidR="00E12463">
        <w:rPr>
          <w:rFonts w:ascii="Times New Roman" w:hAnsi="Times New Roman" w:cs="Times New Roman"/>
          <w:sz w:val="24"/>
          <w:szCs w:val="24"/>
          <w:lang w:val="en-SG"/>
        </w:rPr>
        <w:t>great deal of knowledge about the topic</w:t>
      </w:r>
      <w:r w:rsidRPr="00151C68">
        <w:rPr>
          <w:rFonts w:ascii="Times New Roman" w:hAnsi="Times New Roman" w:cs="Times New Roman"/>
          <w:sz w:val="24"/>
          <w:szCs w:val="24"/>
          <w:lang w:val="en-SG"/>
        </w:rPr>
        <w:t xml:space="preserve">. </w:t>
      </w:r>
      <w:r w:rsidR="00D27FA3">
        <w:rPr>
          <w:rFonts w:ascii="Times New Roman" w:hAnsi="Times New Roman" w:cs="Times New Roman"/>
          <w:sz w:val="24"/>
          <w:szCs w:val="24"/>
          <w:lang w:val="en-SG"/>
        </w:rPr>
        <w:t>Different</w:t>
      </w:r>
      <w:r w:rsidR="00E12463">
        <w:rPr>
          <w:rFonts w:ascii="Times New Roman" w:hAnsi="Times New Roman" w:cs="Times New Roman"/>
          <w:sz w:val="24"/>
          <w:szCs w:val="24"/>
          <w:lang w:val="en-SG"/>
        </w:rPr>
        <w:t xml:space="preserve"> figures and information </w:t>
      </w:r>
      <w:r w:rsidR="009F71F1">
        <w:rPr>
          <w:rFonts w:ascii="Times New Roman" w:hAnsi="Times New Roman" w:cs="Times New Roman"/>
          <w:sz w:val="24"/>
          <w:szCs w:val="24"/>
          <w:lang w:val="en-SG"/>
        </w:rPr>
        <w:t>have</w:t>
      </w:r>
      <w:r w:rsidR="00E12463">
        <w:rPr>
          <w:rFonts w:ascii="Times New Roman" w:hAnsi="Times New Roman" w:cs="Times New Roman"/>
          <w:sz w:val="24"/>
          <w:szCs w:val="24"/>
          <w:lang w:val="en-SG"/>
        </w:rPr>
        <w:t xml:space="preserve"> been taken from the annual reports of the banks given by themselves in their website</w:t>
      </w:r>
      <w:r w:rsidR="00B11B5E">
        <w:rPr>
          <w:rFonts w:ascii="Times New Roman" w:hAnsi="Times New Roman" w:cs="Times New Roman"/>
          <w:sz w:val="24"/>
          <w:szCs w:val="24"/>
          <w:lang w:val="en-SG"/>
        </w:rPr>
        <w:t>s</w:t>
      </w:r>
      <w:r w:rsidR="00E12463">
        <w:rPr>
          <w:rFonts w:ascii="Times New Roman" w:hAnsi="Times New Roman" w:cs="Times New Roman"/>
          <w:sz w:val="24"/>
          <w:szCs w:val="24"/>
          <w:lang w:val="en-SG"/>
        </w:rPr>
        <w:t xml:space="preserve">. </w:t>
      </w:r>
    </w:p>
    <w:p w14:paraId="43020716" w14:textId="77777777" w:rsidR="00151C68" w:rsidRDefault="00151C68" w:rsidP="002D5105">
      <w:pPr>
        <w:spacing w:line="360" w:lineRule="auto"/>
        <w:jc w:val="both"/>
        <w:rPr>
          <w:rFonts w:ascii="Times New Roman" w:hAnsi="Times New Roman" w:cs="Times New Roman"/>
          <w:sz w:val="24"/>
          <w:szCs w:val="24"/>
          <w:lang w:val="en-SG"/>
        </w:rPr>
      </w:pPr>
      <w:r w:rsidRPr="00151C68">
        <w:rPr>
          <w:rFonts w:ascii="Times New Roman" w:hAnsi="Times New Roman" w:cs="Times New Roman"/>
          <w:sz w:val="24"/>
          <w:szCs w:val="24"/>
          <w:lang w:val="en-SG"/>
        </w:rPr>
        <w:t>In th</w:t>
      </w:r>
      <w:r w:rsidR="00B11B5E">
        <w:rPr>
          <w:rFonts w:ascii="Times New Roman" w:hAnsi="Times New Roman" w:cs="Times New Roman"/>
          <w:sz w:val="24"/>
          <w:szCs w:val="24"/>
          <w:lang w:val="en-SG"/>
        </w:rPr>
        <w:t xml:space="preserve">e Findings and Analysis section is the main segment of the study where different ratios and their meaning </w:t>
      </w:r>
      <w:r w:rsidRPr="00151C68">
        <w:rPr>
          <w:rFonts w:ascii="Times New Roman" w:hAnsi="Times New Roman" w:cs="Times New Roman"/>
          <w:sz w:val="24"/>
          <w:szCs w:val="24"/>
          <w:lang w:val="en-SG"/>
        </w:rPr>
        <w:t>has been</w:t>
      </w:r>
      <w:r w:rsidR="00B11B5E">
        <w:rPr>
          <w:rFonts w:ascii="Times New Roman" w:hAnsi="Times New Roman" w:cs="Times New Roman"/>
          <w:sz w:val="24"/>
          <w:szCs w:val="24"/>
          <w:lang w:val="en-SG"/>
        </w:rPr>
        <w:t xml:space="preserve"> described and </w:t>
      </w:r>
      <w:r w:rsidRPr="00151C68">
        <w:rPr>
          <w:rFonts w:ascii="Times New Roman" w:hAnsi="Times New Roman" w:cs="Times New Roman"/>
          <w:sz w:val="24"/>
          <w:szCs w:val="24"/>
          <w:lang w:val="en-SG"/>
        </w:rPr>
        <w:t xml:space="preserve">graphically </w:t>
      </w:r>
      <w:r w:rsidR="00B11B5E">
        <w:rPr>
          <w:rFonts w:ascii="Times New Roman" w:hAnsi="Times New Roman" w:cs="Times New Roman"/>
          <w:sz w:val="24"/>
          <w:szCs w:val="24"/>
          <w:lang w:val="en-SG"/>
        </w:rPr>
        <w:t>presented and analysed. So that we can</w:t>
      </w:r>
      <w:r w:rsidR="002D2A6A">
        <w:rPr>
          <w:rFonts w:ascii="Times New Roman" w:hAnsi="Times New Roman" w:cs="Times New Roman"/>
          <w:sz w:val="24"/>
          <w:szCs w:val="24"/>
          <w:lang w:val="en-SG"/>
        </w:rPr>
        <w:t xml:space="preserve"> understand the</w:t>
      </w:r>
      <w:r w:rsidR="00B11B5E">
        <w:rPr>
          <w:rFonts w:ascii="Times New Roman" w:hAnsi="Times New Roman" w:cs="Times New Roman"/>
          <w:sz w:val="24"/>
          <w:szCs w:val="24"/>
          <w:lang w:val="en-SG"/>
        </w:rPr>
        <w:t xml:space="preserve"> banks financial performance over the five years.  </w:t>
      </w:r>
    </w:p>
    <w:p w14:paraId="3FD6B806" w14:textId="7132C0F3" w:rsidR="00045F70" w:rsidRPr="00151C68" w:rsidRDefault="00045F70" w:rsidP="002D5105">
      <w:pPr>
        <w:spacing w:line="360" w:lineRule="auto"/>
        <w:jc w:val="both"/>
        <w:rPr>
          <w:rFonts w:ascii="Times New Roman" w:hAnsi="Times New Roman" w:cs="Times New Roman"/>
          <w:sz w:val="24"/>
          <w:szCs w:val="24"/>
          <w:lang w:val="en-SG"/>
        </w:rPr>
      </w:pPr>
      <w:r>
        <w:rPr>
          <w:rFonts w:ascii="Times New Roman" w:hAnsi="Times New Roman" w:cs="Times New Roman"/>
          <w:sz w:val="24"/>
          <w:szCs w:val="24"/>
          <w:lang w:val="en-SG"/>
        </w:rPr>
        <w:t xml:space="preserve">Conclusion includes a summarized decision about how banks’ financials performance </w:t>
      </w:r>
      <w:r w:rsidR="009F71F1">
        <w:rPr>
          <w:rFonts w:ascii="Times New Roman" w:hAnsi="Times New Roman" w:cs="Times New Roman"/>
          <w:sz w:val="24"/>
          <w:szCs w:val="24"/>
          <w:lang w:val="en-SG"/>
        </w:rPr>
        <w:t>was</w:t>
      </w:r>
      <w:r>
        <w:rPr>
          <w:rFonts w:ascii="Times New Roman" w:hAnsi="Times New Roman" w:cs="Times New Roman"/>
          <w:sz w:val="24"/>
          <w:szCs w:val="24"/>
          <w:lang w:val="en-SG"/>
        </w:rPr>
        <w:t xml:space="preserve"> in last five years and how they can improve the situation. </w:t>
      </w:r>
    </w:p>
    <w:p w14:paraId="2B5EA0A3" w14:textId="77777777" w:rsidR="003A7A94" w:rsidRDefault="00151C68" w:rsidP="002D5105">
      <w:pPr>
        <w:spacing w:line="360" w:lineRule="auto"/>
        <w:jc w:val="both"/>
        <w:rPr>
          <w:rFonts w:ascii="Times New Roman" w:hAnsi="Times New Roman" w:cs="Times New Roman"/>
          <w:sz w:val="24"/>
          <w:szCs w:val="24"/>
          <w:lang w:val="en-SG"/>
        </w:rPr>
      </w:pPr>
      <w:r w:rsidRPr="00151C68">
        <w:rPr>
          <w:rFonts w:ascii="Times New Roman" w:hAnsi="Times New Roman" w:cs="Times New Roman"/>
          <w:sz w:val="24"/>
          <w:szCs w:val="24"/>
          <w:lang w:val="en-SG"/>
        </w:rPr>
        <w:t>Key words: Financi</w:t>
      </w:r>
      <w:r w:rsidR="00045F70">
        <w:rPr>
          <w:rFonts w:ascii="Times New Roman" w:hAnsi="Times New Roman" w:cs="Times New Roman"/>
          <w:sz w:val="24"/>
          <w:szCs w:val="24"/>
          <w:lang w:val="en-SG"/>
        </w:rPr>
        <w:t>al Statement Analysis, Financial Statement, Ratio Analysis, Ratio Analysis, Financial Position.</w:t>
      </w:r>
    </w:p>
    <w:p w14:paraId="68455A9D" w14:textId="77777777" w:rsidR="003A7A94" w:rsidRDefault="003A7A94" w:rsidP="003A7A94">
      <w:pPr>
        <w:spacing w:line="360" w:lineRule="auto"/>
        <w:jc w:val="both"/>
        <w:rPr>
          <w:rFonts w:ascii="Times New Roman" w:hAnsi="Times New Roman" w:cs="Times New Roman"/>
          <w:sz w:val="24"/>
          <w:szCs w:val="24"/>
          <w:lang w:val="en-SG"/>
        </w:rPr>
      </w:pPr>
    </w:p>
    <w:p w14:paraId="47B22B3A" w14:textId="77777777" w:rsidR="003A7A94" w:rsidRDefault="003A7A94" w:rsidP="003A7A94">
      <w:pPr>
        <w:spacing w:line="360" w:lineRule="auto"/>
        <w:jc w:val="both"/>
        <w:rPr>
          <w:rFonts w:ascii="Times New Roman" w:hAnsi="Times New Roman" w:cs="Times New Roman"/>
          <w:sz w:val="24"/>
          <w:szCs w:val="24"/>
          <w:lang w:val="en-SG"/>
        </w:rPr>
      </w:pPr>
    </w:p>
    <w:p w14:paraId="19312305" w14:textId="77777777" w:rsidR="003A7A94" w:rsidRDefault="003A7A94" w:rsidP="003A7A94">
      <w:pPr>
        <w:spacing w:line="360" w:lineRule="auto"/>
        <w:jc w:val="both"/>
        <w:rPr>
          <w:rFonts w:ascii="Times New Roman" w:hAnsi="Times New Roman" w:cs="Times New Roman"/>
          <w:sz w:val="24"/>
          <w:szCs w:val="24"/>
          <w:lang w:val="en-SG"/>
        </w:rPr>
      </w:pPr>
    </w:p>
    <w:p w14:paraId="0D192D38" w14:textId="77777777" w:rsidR="003A7A94" w:rsidRDefault="003A7A94" w:rsidP="003A7A94">
      <w:pPr>
        <w:spacing w:line="360" w:lineRule="auto"/>
        <w:jc w:val="both"/>
        <w:rPr>
          <w:rFonts w:ascii="Times New Roman" w:hAnsi="Times New Roman" w:cs="Times New Roman"/>
          <w:sz w:val="24"/>
          <w:szCs w:val="24"/>
          <w:lang w:val="en-SG"/>
        </w:rPr>
      </w:pPr>
    </w:p>
    <w:p w14:paraId="19E86BE0" w14:textId="77777777" w:rsidR="003A7A94" w:rsidRDefault="003A7A94" w:rsidP="003A7A94">
      <w:pPr>
        <w:spacing w:line="360" w:lineRule="auto"/>
        <w:jc w:val="both"/>
        <w:rPr>
          <w:rFonts w:ascii="Times New Roman" w:hAnsi="Times New Roman" w:cs="Times New Roman"/>
          <w:sz w:val="24"/>
          <w:szCs w:val="24"/>
          <w:lang w:val="en-SG"/>
        </w:rPr>
      </w:pPr>
    </w:p>
    <w:p w14:paraId="047F4280" w14:textId="77777777" w:rsidR="003A7A94" w:rsidRDefault="003A7A94" w:rsidP="003A7A94">
      <w:pPr>
        <w:spacing w:line="360" w:lineRule="auto"/>
        <w:jc w:val="both"/>
        <w:rPr>
          <w:rFonts w:ascii="Times New Roman" w:hAnsi="Times New Roman" w:cs="Times New Roman"/>
          <w:sz w:val="24"/>
          <w:szCs w:val="24"/>
          <w:lang w:val="en-SG"/>
        </w:rPr>
      </w:pPr>
    </w:p>
    <w:p w14:paraId="2126DEFA" w14:textId="77777777" w:rsidR="003A7A94" w:rsidRDefault="003A7A94" w:rsidP="003A7A94">
      <w:pPr>
        <w:spacing w:line="360" w:lineRule="auto"/>
        <w:jc w:val="both"/>
        <w:rPr>
          <w:rFonts w:ascii="Times New Roman" w:hAnsi="Times New Roman" w:cs="Times New Roman"/>
          <w:sz w:val="24"/>
          <w:szCs w:val="24"/>
          <w:lang w:val="en-SG"/>
        </w:rPr>
      </w:pPr>
    </w:p>
    <w:p w14:paraId="6B44D251" w14:textId="77777777" w:rsidR="008017AB" w:rsidRDefault="008017AB" w:rsidP="0049285C">
      <w:pPr>
        <w:pStyle w:val="Title"/>
        <w:rPr>
          <w:b/>
          <w:color w:val="365F91" w:themeColor="accent1" w:themeShade="BF"/>
          <w:sz w:val="72"/>
          <w:szCs w:val="72"/>
        </w:rPr>
        <w:sectPr w:rsidR="008017AB" w:rsidSect="008017AB">
          <w:footerReference w:type="default" r:id="rId10"/>
          <w:pgSz w:w="12240" w:h="15840"/>
          <w:pgMar w:top="1440" w:right="1440" w:bottom="1440" w:left="1440" w:header="720" w:footer="720" w:gutter="0"/>
          <w:pgNumType w:fmt="lowerRoman" w:start="0"/>
          <w:cols w:space="720"/>
          <w:titlePg/>
          <w:docGrid w:linePitch="360"/>
        </w:sectPr>
      </w:pPr>
    </w:p>
    <w:p w14:paraId="4A4561CA" w14:textId="77777777" w:rsidR="00AF18E5" w:rsidRDefault="00AF18E5" w:rsidP="0049285C">
      <w:pPr>
        <w:pStyle w:val="Title"/>
        <w:rPr>
          <w:b/>
          <w:color w:val="365F91" w:themeColor="accent1" w:themeShade="BF"/>
          <w:sz w:val="72"/>
          <w:szCs w:val="72"/>
        </w:rPr>
      </w:pPr>
    </w:p>
    <w:p w14:paraId="62C55FAB" w14:textId="77777777" w:rsidR="00AF18E5" w:rsidRDefault="00AF18E5" w:rsidP="0049285C">
      <w:pPr>
        <w:pStyle w:val="Title"/>
        <w:rPr>
          <w:b/>
          <w:color w:val="365F91" w:themeColor="accent1" w:themeShade="BF"/>
          <w:sz w:val="72"/>
          <w:szCs w:val="72"/>
        </w:rPr>
      </w:pPr>
    </w:p>
    <w:p w14:paraId="48F4026E" w14:textId="77777777" w:rsidR="00AF18E5" w:rsidRDefault="00AF18E5" w:rsidP="0049285C">
      <w:pPr>
        <w:pStyle w:val="Title"/>
        <w:rPr>
          <w:b/>
          <w:color w:val="365F91" w:themeColor="accent1" w:themeShade="BF"/>
          <w:sz w:val="72"/>
          <w:szCs w:val="72"/>
        </w:rPr>
      </w:pPr>
    </w:p>
    <w:p w14:paraId="540E1199" w14:textId="77777777" w:rsidR="00AF18E5" w:rsidRDefault="00AF18E5" w:rsidP="0049285C">
      <w:pPr>
        <w:pStyle w:val="Title"/>
        <w:rPr>
          <w:b/>
          <w:color w:val="365F91" w:themeColor="accent1" w:themeShade="BF"/>
          <w:sz w:val="72"/>
          <w:szCs w:val="72"/>
        </w:rPr>
      </w:pPr>
    </w:p>
    <w:p w14:paraId="3AC5FA0B" w14:textId="77777777" w:rsidR="00AF18E5" w:rsidRDefault="00AF18E5" w:rsidP="0049285C">
      <w:pPr>
        <w:pStyle w:val="Title"/>
        <w:rPr>
          <w:b/>
          <w:color w:val="365F91" w:themeColor="accent1" w:themeShade="BF"/>
          <w:sz w:val="72"/>
          <w:szCs w:val="72"/>
        </w:rPr>
      </w:pPr>
    </w:p>
    <w:p w14:paraId="58163B35" w14:textId="77777777" w:rsidR="003A7A94" w:rsidRPr="005125F2" w:rsidRDefault="005125F2" w:rsidP="005125F2">
      <w:pPr>
        <w:pStyle w:val="Heading1"/>
        <w:jc w:val="right"/>
        <w:rPr>
          <w:b/>
          <w:sz w:val="96"/>
          <w:szCs w:val="96"/>
        </w:rPr>
      </w:pPr>
      <w:r>
        <w:rPr>
          <w:b/>
          <w:sz w:val="96"/>
          <w:szCs w:val="96"/>
        </w:rPr>
        <w:t xml:space="preserve">   </w:t>
      </w:r>
      <w:bookmarkStart w:id="7" w:name="_Toc53357684"/>
      <w:r w:rsidR="003A7A94" w:rsidRPr="005125F2">
        <w:rPr>
          <w:b/>
          <w:sz w:val="96"/>
          <w:szCs w:val="96"/>
        </w:rPr>
        <w:t>INTRODUCTION</w:t>
      </w:r>
      <w:bookmarkEnd w:id="7"/>
    </w:p>
    <w:p w14:paraId="67EA3778" w14:textId="77777777" w:rsidR="003A7A94" w:rsidRPr="00AF18E5" w:rsidRDefault="003A7A94" w:rsidP="00AA2409">
      <w:pPr>
        <w:pStyle w:val="Title"/>
        <w:numPr>
          <w:ilvl w:val="0"/>
          <w:numId w:val="33"/>
        </w:numPr>
        <w:jc w:val="right"/>
        <w:rPr>
          <w:b/>
          <w:color w:val="365F91" w:themeColor="accent1" w:themeShade="BF"/>
          <w:sz w:val="52"/>
          <w:szCs w:val="52"/>
        </w:rPr>
      </w:pPr>
      <w:r w:rsidRPr="00AF18E5">
        <w:rPr>
          <w:b/>
          <w:color w:val="365F91" w:themeColor="accent1" w:themeShade="BF"/>
          <w:sz w:val="52"/>
          <w:szCs w:val="52"/>
        </w:rPr>
        <w:t>The Objective of the Report</w:t>
      </w:r>
    </w:p>
    <w:p w14:paraId="1F5EE0EB" w14:textId="77777777" w:rsidR="003A7A94" w:rsidRPr="00AF18E5" w:rsidRDefault="003A7A94" w:rsidP="00AA2409">
      <w:pPr>
        <w:pStyle w:val="Title"/>
        <w:numPr>
          <w:ilvl w:val="0"/>
          <w:numId w:val="33"/>
        </w:numPr>
        <w:jc w:val="right"/>
        <w:rPr>
          <w:b/>
          <w:color w:val="365F91" w:themeColor="accent1" w:themeShade="BF"/>
          <w:sz w:val="52"/>
          <w:szCs w:val="52"/>
        </w:rPr>
      </w:pPr>
      <w:r w:rsidRPr="00AF18E5">
        <w:rPr>
          <w:b/>
          <w:color w:val="365F91" w:themeColor="accent1" w:themeShade="BF"/>
          <w:sz w:val="52"/>
          <w:szCs w:val="52"/>
        </w:rPr>
        <w:t xml:space="preserve">Scope </w:t>
      </w:r>
      <w:r w:rsidR="000D56A1" w:rsidRPr="00AF18E5">
        <w:rPr>
          <w:b/>
          <w:color w:val="365F91" w:themeColor="accent1" w:themeShade="BF"/>
          <w:sz w:val="52"/>
          <w:szCs w:val="52"/>
        </w:rPr>
        <w:t xml:space="preserve">and Limitation </w:t>
      </w:r>
      <w:r w:rsidRPr="00AF18E5">
        <w:rPr>
          <w:b/>
          <w:color w:val="365F91" w:themeColor="accent1" w:themeShade="BF"/>
          <w:sz w:val="52"/>
          <w:szCs w:val="52"/>
        </w:rPr>
        <w:t>of the Report</w:t>
      </w:r>
    </w:p>
    <w:p w14:paraId="15E7678C" w14:textId="77777777" w:rsidR="003A7A94" w:rsidRPr="000D56A1" w:rsidRDefault="003A7A94" w:rsidP="000D56A1">
      <w:pPr>
        <w:pStyle w:val="Default"/>
        <w:rPr>
          <w:sz w:val="28"/>
          <w:szCs w:val="28"/>
        </w:rPr>
      </w:pPr>
    </w:p>
    <w:p w14:paraId="697C26F8" w14:textId="77777777" w:rsidR="00AF18E5" w:rsidRDefault="00AF18E5">
      <w:pPr>
        <w:rPr>
          <w:sz w:val="28"/>
          <w:szCs w:val="28"/>
        </w:rPr>
      </w:pPr>
    </w:p>
    <w:p w14:paraId="5AEFF260" w14:textId="77777777" w:rsidR="00AF18E5" w:rsidRDefault="00AF18E5">
      <w:pPr>
        <w:rPr>
          <w:sz w:val="28"/>
          <w:szCs w:val="28"/>
        </w:rPr>
      </w:pPr>
    </w:p>
    <w:p w14:paraId="42323780" w14:textId="77777777" w:rsidR="00AF18E5" w:rsidRDefault="00AF18E5">
      <w:pPr>
        <w:rPr>
          <w:sz w:val="28"/>
          <w:szCs w:val="28"/>
        </w:rPr>
      </w:pPr>
    </w:p>
    <w:p w14:paraId="1B87EF30" w14:textId="77777777" w:rsidR="00AF18E5" w:rsidRDefault="00AF18E5">
      <w:pPr>
        <w:rPr>
          <w:sz w:val="28"/>
          <w:szCs w:val="28"/>
        </w:rPr>
      </w:pPr>
    </w:p>
    <w:p w14:paraId="48EFB511" w14:textId="77777777" w:rsidR="00AF18E5" w:rsidRDefault="00AF18E5">
      <w:pPr>
        <w:rPr>
          <w:sz w:val="28"/>
          <w:szCs w:val="28"/>
        </w:rPr>
      </w:pPr>
    </w:p>
    <w:p w14:paraId="2F022298" w14:textId="77777777" w:rsidR="00AF18E5" w:rsidRDefault="00AF18E5">
      <w:pPr>
        <w:rPr>
          <w:sz w:val="28"/>
          <w:szCs w:val="28"/>
        </w:rPr>
      </w:pPr>
    </w:p>
    <w:p w14:paraId="7FF5FDC0" w14:textId="77777777" w:rsidR="00AF18E5" w:rsidRDefault="00AF18E5">
      <w:pPr>
        <w:rPr>
          <w:sz w:val="28"/>
          <w:szCs w:val="28"/>
        </w:rPr>
      </w:pPr>
    </w:p>
    <w:p w14:paraId="1B14BB78" w14:textId="77777777" w:rsidR="00AF18E5" w:rsidRDefault="00AF18E5">
      <w:pPr>
        <w:rPr>
          <w:sz w:val="28"/>
          <w:szCs w:val="28"/>
        </w:rPr>
      </w:pPr>
    </w:p>
    <w:p w14:paraId="0568A2DE" w14:textId="77777777" w:rsidR="00AF18E5" w:rsidRDefault="00AF18E5">
      <w:pPr>
        <w:rPr>
          <w:sz w:val="28"/>
          <w:szCs w:val="28"/>
        </w:rPr>
      </w:pPr>
    </w:p>
    <w:p w14:paraId="1A3CE1F0" w14:textId="77777777" w:rsidR="009650F1" w:rsidRDefault="009650F1">
      <w:pPr>
        <w:rPr>
          <w:sz w:val="28"/>
          <w:szCs w:val="28"/>
        </w:rPr>
      </w:pPr>
    </w:p>
    <w:p w14:paraId="2CB46C03" w14:textId="77777777" w:rsidR="00AF18E5" w:rsidRDefault="00AF18E5">
      <w:pPr>
        <w:rPr>
          <w:sz w:val="28"/>
          <w:szCs w:val="28"/>
        </w:rPr>
      </w:pPr>
    </w:p>
    <w:p w14:paraId="20A06EEE" w14:textId="77777777" w:rsidR="003A7A94" w:rsidRDefault="003A7A94" w:rsidP="005125F2">
      <w:pPr>
        <w:pStyle w:val="Heading2"/>
        <w:rPr>
          <w:b/>
          <w:sz w:val="28"/>
        </w:rPr>
      </w:pPr>
      <w:bookmarkStart w:id="8" w:name="_Toc53357685"/>
      <w:r w:rsidRPr="005125F2">
        <w:rPr>
          <w:b/>
          <w:sz w:val="28"/>
        </w:rPr>
        <w:t>THE OBJECTIVE OF THE REPORT</w:t>
      </w:r>
      <w:bookmarkEnd w:id="8"/>
    </w:p>
    <w:p w14:paraId="45CC7102" w14:textId="77777777" w:rsidR="005125F2" w:rsidRPr="005125F2" w:rsidRDefault="005125F2" w:rsidP="005125F2"/>
    <w:p w14:paraId="4F183DAE" w14:textId="77777777" w:rsidR="004E3658" w:rsidRPr="005125F2" w:rsidRDefault="004E3658" w:rsidP="001533AE">
      <w:pPr>
        <w:rPr>
          <w:rFonts w:ascii="Times New Roman" w:hAnsi="Times New Roman" w:cs="Times New Roman"/>
          <w:b/>
          <w:color w:val="365F91" w:themeColor="accent1" w:themeShade="BF"/>
          <w:sz w:val="24"/>
          <w:szCs w:val="24"/>
          <w:lang w:val="en-SG"/>
        </w:rPr>
      </w:pPr>
      <w:r w:rsidRPr="005125F2">
        <w:rPr>
          <w:rFonts w:ascii="Times New Roman" w:hAnsi="Times New Roman" w:cs="Times New Roman"/>
          <w:b/>
          <w:color w:val="365F91" w:themeColor="accent1" w:themeShade="BF"/>
          <w:sz w:val="24"/>
          <w:szCs w:val="24"/>
          <w:lang w:val="en-SG"/>
        </w:rPr>
        <w:t>Primary Objectives</w:t>
      </w:r>
    </w:p>
    <w:p w14:paraId="700321E3" w14:textId="77777777" w:rsidR="001533AE" w:rsidRPr="004E3658" w:rsidRDefault="004E3658" w:rsidP="002D5105">
      <w:pPr>
        <w:pStyle w:val="ListParagraph"/>
        <w:numPr>
          <w:ilvl w:val="0"/>
          <w:numId w:val="8"/>
        </w:numPr>
        <w:spacing w:line="360" w:lineRule="auto"/>
        <w:jc w:val="both"/>
        <w:rPr>
          <w:rFonts w:ascii="Times New Roman" w:hAnsi="Times New Roman" w:cs="Times New Roman"/>
          <w:sz w:val="24"/>
          <w:szCs w:val="24"/>
          <w:lang w:val="en-SG"/>
        </w:rPr>
      </w:pPr>
      <w:r>
        <w:rPr>
          <w:rFonts w:ascii="Times New Roman" w:hAnsi="Times New Roman" w:cs="Times New Roman"/>
          <w:sz w:val="24"/>
          <w:szCs w:val="24"/>
          <w:lang w:val="en-SG"/>
        </w:rPr>
        <w:t>Analysing</w:t>
      </w:r>
      <w:r w:rsidR="001533AE" w:rsidRPr="004E3658">
        <w:rPr>
          <w:rFonts w:ascii="Times New Roman" w:hAnsi="Times New Roman" w:cs="Times New Roman"/>
          <w:sz w:val="24"/>
          <w:szCs w:val="24"/>
          <w:lang w:val="en-SG"/>
        </w:rPr>
        <w:t xml:space="preserve"> the financial statements of listed conventional banks of Bangladesh</w:t>
      </w:r>
      <w:r w:rsidRPr="004E3658">
        <w:rPr>
          <w:rFonts w:ascii="Times New Roman" w:hAnsi="Times New Roman" w:cs="Times New Roman"/>
          <w:sz w:val="24"/>
          <w:szCs w:val="24"/>
          <w:lang w:val="en-SG"/>
        </w:rPr>
        <w:t xml:space="preserve"> to evaluate their performance in the last five </w:t>
      </w:r>
      <w:r w:rsidR="001533AE" w:rsidRPr="004E3658">
        <w:rPr>
          <w:rFonts w:ascii="Times New Roman" w:hAnsi="Times New Roman" w:cs="Times New Roman"/>
          <w:sz w:val="24"/>
          <w:szCs w:val="24"/>
          <w:lang w:val="en-SG"/>
        </w:rPr>
        <w:t xml:space="preserve">years </w:t>
      </w:r>
      <w:r w:rsidRPr="004E3658">
        <w:rPr>
          <w:rFonts w:ascii="Times New Roman" w:hAnsi="Times New Roman" w:cs="Times New Roman"/>
          <w:sz w:val="24"/>
          <w:szCs w:val="24"/>
          <w:lang w:val="en-SG"/>
        </w:rPr>
        <w:t>using the ratio analysis</w:t>
      </w:r>
      <w:r w:rsidR="001533AE" w:rsidRPr="004E3658">
        <w:rPr>
          <w:rFonts w:ascii="Times New Roman" w:hAnsi="Times New Roman" w:cs="Times New Roman"/>
          <w:sz w:val="24"/>
          <w:szCs w:val="24"/>
          <w:lang w:val="en-SG"/>
        </w:rPr>
        <w:t>.</w:t>
      </w:r>
    </w:p>
    <w:p w14:paraId="4337EDF6" w14:textId="77777777" w:rsidR="004E3658" w:rsidRPr="005125F2" w:rsidRDefault="004E3658" w:rsidP="001533AE">
      <w:pPr>
        <w:rPr>
          <w:rFonts w:ascii="Times New Roman" w:hAnsi="Times New Roman" w:cs="Times New Roman"/>
          <w:b/>
          <w:color w:val="365F91" w:themeColor="accent1" w:themeShade="BF"/>
          <w:sz w:val="24"/>
          <w:szCs w:val="24"/>
          <w:lang w:val="en-SG"/>
        </w:rPr>
      </w:pPr>
      <w:r w:rsidRPr="005125F2">
        <w:rPr>
          <w:rFonts w:ascii="Times New Roman" w:hAnsi="Times New Roman" w:cs="Times New Roman"/>
          <w:b/>
          <w:color w:val="365F91" w:themeColor="accent1" w:themeShade="BF"/>
          <w:sz w:val="24"/>
          <w:szCs w:val="24"/>
          <w:lang w:val="en-SG"/>
        </w:rPr>
        <w:t>Secondary Objectives</w:t>
      </w:r>
    </w:p>
    <w:p w14:paraId="53B0D0CE" w14:textId="77777777" w:rsidR="004E3658" w:rsidRPr="006D0198" w:rsidRDefault="004E3658" w:rsidP="002D5105">
      <w:pPr>
        <w:pStyle w:val="ListParagraph"/>
        <w:numPr>
          <w:ilvl w:val="0"/>
          <w:numId w:val="9"/>
        </w:numPr>
        <w:spacing w:line="360" w:lineRule="auto"/>
        <w:jc w:val="both"/>
        <w:rPr>
          <w:rFonts w:ascii="Times New Roman" w:hAnsi="Times New Roman" w:cs="Times New Roman"/>
          <w:sz w:val="24"/>
          <w:szCs w:val="24"/>
          <w:lang w:val="en-SG"/>
        </w:rPr>
      </w:pPr>
      <w:r w:rsidRPr="006D0198">
        <w:rPr>
          <w:rFonts w:ascii="Times New Roman" w:hAnsi="Times New Roman" w:cs="Times New Roman"/>
          <w:sz w:val="24"/>
          <w:szCs w:val="24"/>
          <w:lang w:val="en-SG"/>
        </w:rPr>
        <w:t xml:space="preserve">Knowing about the banks and their financial position </w:t>
      </w:r>
    </w:p>
    <w:p w14:paraId="414751E4" w14:textId="77777777" w:rsidR="004E3658" w:rsidRPr="006D0198" w:rsidRDefault="004E3658" w:rsidP="002D5105">
      <w:pPr>
        <w:pStyle w:val="ListParagraph"/>
        <w:numPr>
          <w:ilvl w:val="0"/>
          <w:numId w:val="9"/>
        </w:numPr>
        <w:spacing w:line="360" w:lineRule="auto"/>
        <w:jc w:val="both"/>
        <w:rPr>
          <w:rFonts w:ascii="Times New Roman" w:hAnsi="Times New Roman" w:cs="Times New Roman"/>
          <w:sz w:val="24"/>
          <w:szCs w:val="24"/>
          <w:lang w:val="en-SG"/>
        </w:rPr>
      </w:pPr>
      <w:r w:rsidRPr="006D0198">
        <w:rPr>
          <w:rFonts w:ascii="Times New Roman" w:hAnsi="Times New Roman" w:cs="Times New Roman"/>
          <w:sz w:val="24"/>
          <w:szCs w:val="24"/>
          <w:lang w:val="en-SG"/>
        </w:rPr>
        <w:t>Understanding how banks differently measure their financial position than manufacturing and service companies</w:t>
      </w:r>
    </w:p>
    <w:p w14:paraId="681D769C" w14:textId="77777777" w:rsidR="004E3658" w:rsidRPr="006D0198" w:rsidRDefault="004E3658" w:rsidP="002D5105">
      <w:pPr>
        <w:pStyle w:val="ListParagraph"/>
        <w:numPr>
          <w:ilvl w:val="0"/>
          <w:numId w:val="9"/>
        </w:numPr>
        <w:spacing w:line="360" w:lineRule="auto"/>
        <w:jc w:val="both"/>
        <w:rPr>
          <w:rFonts w:ascii="Times New Roman" w:hAnsi="Times New Roman" w:cs="Times New Roman"/>
          <w:sz w:val="24"/>
          <w:szCs w:val="24"/>
          <w:lang w:val="en-SG"/>
        </w:rPr>
      </w:pPr>
      <w:r w:rsidRPr="006D0198">
        <w:rPr>
          <w:rFonts w:ascii="Times New Roman" w:hAnsi="Times New Roman" w:cs="Times New Roman"/>
          <w:sz w:val="24"/>
          <w:szCs w:val="24"/>
          <w:lang w:val="en-SG"/>
        </w:rPr>
        <w:t>Having the knowledge how banks treat accounting components differently in financial statement</w:t>
      </w:r>
    </w:p>
    <w:p w14:paraId="4D5C3642" w14:textId="77777777" w:rsidR="001430AC" w:rsidRDefault="006D0198" w:rsidP="002D5105">
      <w:pPr>
        <w:pStyle w:val="ListParagraph"/>
        <w:numPr>
          <w:ilvl w:val="0"/>
          <w:numId w:val="9"/>
        </w:numPr>
        <w:spacing w:line="360" w:lineRule="auto"/>
        <w:jc w:val="both"/>
        <w:rPr>
          <w:rFonts w:ascii="Times New Roman" w:hAnsi="Times New Roman" w:cs="Times New Roman"/>
          <w:sz w:val="24"/>
          <w:szCs w:val="24"/>
          <w:lang w:val="en-SG"/>
        </w:rPr>
      </w:pPr>
      <w:r w:rsidRPr="006D0198">
        <w:rPr>
          <w:rFonts w:ascii="Times New Roman" w:hAnsi="Times New Roman" w:cs="Times New Roman"/>
          <w:sz w:val="24"/>
          <w:szCs w:val="24"/>
          <w:lang w:val="en-SG"/>
        </w:rPr>
        <w:t>Seeing the ratios to tell about the financial status of the banks.</w:t>
      </w:r>
    </w:p>
    <w:p w14:paraId="659A57EB" w14:textId="77777777" w:rsidR="00E07DC2" w:rsidRPr="00E07DC2" w:rsidRDefault="00E07DC2" w:rsidP="00E07DC2">
      <w:pPr>
        <w:rPr>
          <w:rFonts w:ascii="Times New Roman" w:hAnsi="Times New Roman" w:cs="Times New Roman"/>
          <w:sz w:val="24"/>
          <w:szCs w:val="24"/>
          <w:lang w:val="en-SG"/>
        </w:rPr>
      </w:pPr>
    </w:p>
    <w:p w14:paraId="6D2BB952" w14:textId="77777777" w:rsidR="003A7A94" w:rsidRDefault="00E07DC2" w:rsidP="005125F2">
      <w:pPr>
        <w:pStyle w:val="Heading2"/>
        <w:rPr>
          <w:b/>
          <w:sz w:val="28"/>
        </w:rPr>
      </w:pPr>
      <w:bookmarkStart w:id="9" w:name="_Toc53357686"/>
      <w:r w:rsidRPr="005125F2">
        <w:rPr>
          <w:b/>
          <w:sz w:val="28"/>
        </w:rPr>
        <w:t>Scope and Limitation of the Report</w:t>
      </w:r>
      <w:bookmarkEnd w:id="9"/>
    </w:p>
    <w:p w14:paraId="41716EA8" w14:textId="77777777" w:rsidR="005125F2" w:rsidRPr="005125F2" w:rsidRDefault="005125F2" w:rsidP="005125F2"/>
    <w:p w14:paraId="37AF0437" w14:textId="77777777" w:rsidR="00E07DC2" w:rsidRPr="005125F2" w:rsidRDefault="00E07DC2" w:rsidP="00E07DC2">
      <w:pPr>
        <w:rPr>
          <w:rFonts w:ascii="Times New Roman" w:hAnsi="Times New Roman" w:cs="Times New Roman"/>
          <w:b/>
          <w:color w:val="365F91" w:themeColor="accent1" w:themeShade="BF"/>
          <w:sz w:val="24"/>
          <w:szCs w:val="24"/>
          <w:lang w:val="en-SG"/>
        </w:rPr>
      </w:pPr>
      <w:r w:rsidRPr="005125F2">
        <w:rPr>
          <w:rFonts w:ascii="Times New Roman" w:hAnsi="Times New Roman" w:cs="Times New Roman"/>
          <w:b/>
          <w:color w:val="365F91" w:themeColor="accent1" w:themeShade="BF"/>
          <w:sz w:val="24"/>
          <w:szCs w:val="24"/>
          <w:lang w:val="en-SG"/>
        </w:rPr>
        <w:t>Scope:</w:t>
      </w:r>
    </w:p>
    <w:p w14:paraId="50417C02" w14:textId="7243E204" w:rsidR="00E07DC2" w:rsidRPr="00E07DC2" w:rsidRDefault="00E07DC2" w:rsidP="002D5105">
      <w:pPr>
        <w:spacing w:line="360" w:lineRule="auto"/>
        <w:jc w:val="both"/>
        <w:rPr>
          <w:rFonts w:ascii="Times New Roman" w:hAnsi="Times New Roman" w:cs="Times New Roman"/>
          <w:sz w:val="24"/>
          <w:szCs w:val="24"/>
          <w:lang w:val="en-SG"/>
        </w:rPr>
      </w:pPr>
      <w:r w:rsidRPr="00E07DC2">
        <w:rPr>
          <w:rFonts w:ascii="Times New Roman" w:hAnsi="Times New Roman" w:cs="Times New Roman"/>
          <w:sz w:val="24"/>
          <w:szCs w:val="24"/>
          <w:lang w:val="en-SG"/>
        </w:rPr>
        <w:t>The report contents almost all important and correct info</w:t>
      </w:r>
      <w:r>
        <w:rPr>
          <w:rFonts w:ascii="Times New Roman" w:hAnsi="Times New Roman" w:cs="Times New Roman"/>
          <w:sz w:val="24"/>
          <w:szCs w:val="24"/>
          <w:lang w:val="en-SG"/>
        </w:rPr>
        <w:t xml:space="preserve">rmation of listed conventional banks of </w:t>
      </w:r>
      <w:r w:rsidR="005B348F">
        <w:rPr>
          <w:rFonts w:ascii="Times New Roman" w:hAnsi="Times New Roman" w:cs="Times New Roman"/>
          <w:sz w:val="24"/>
          <w:szCs w:val="24"/>
          <w:lang w:val="en-SG"/>
        </w:rPr>
        <w:t>Bangladesh</w:t>
      </w:r>
      <w:r>
        <w:rPr>
          <w:rFonts w:ascii="Times New Roman" w:hAnsi="Times New Roman" w:cs="Times New Roman"/>
          <w:sz w:val="24"/>
          <w:szCs w:val="24"/>
          <w:lang w:val="en-SG"/>
        </w:rPr>
        <w:t xml:space="preserve">. I </w:t>
      </w:r>
      <w:r w:rsidRPr="00E07DC2">
        <w:rPr>
          <w:rFonts w:ascii="Times New Roman" w:hAnsi="Times New Roman" w:cs="Times New Roman"/>
          <w:sz w:val="24"/>
          <w:szCs w:val="24"/>
          <w:lang w:val="en-SG"/>
        </w:rPr>
        <w:t xml:space="preserve">have tried to elaborate </w:t>
      </w:r>
      <w:r w:rsidR="009F71F1" w:rsidRPr="00E07DC2">
        <w:rPr>
          <w:rFonts w:ascii="Times New Roman" w:hAnsi="Times New Roman" w:cs="Times New Roman"/>
          <w:sz w:val="24"/>
          <w:szCs w:val="24"/>
          <w:lang w:val="en-SG"/>
        </w:rPr>
        <w:t>every</w:t>
      </w:r>
      <w:r>
        <w:rPr>
          <w:rFonts w:ascii="Times New Roman" w:hAnsi="Times New Roman" w:cs="Times New Roman"/>
          <w:sz w:val="24"/>
          <w:szCs w:val="24"/>
          <w:lang w:val="en-SG"/>
        </w:rPr>
        <w:t xml:space="preserve"> significant area of banks’ financial statement and related ratios</w:t>
      </w:r>
      <w:r w:rsidRPr="00E07DC2">
        <w:rPr>
          <w:rFonts w:ascii="Times New Roman" w:hAnsi="Times New Roman" w:cs="Times New Roman"/>
          <w:sz w:val="24"/>
          <w:szCs w:val="24"/>
          <w:lang w:val="en-SG"/>
        </w:rPr>
        <w:t xml:space="preserve"> and hope that it will help people</w:t>
      </w:r>
      <w:r>
        <w:rPr>
          <w:rFonts w:ascii="Times New Roman" w:hAnsi="Times New Roman" w:cs="Times New Roman"/>
          <w:sz w:val="24"/>
          <w:szCs w:val="24"/>
          <w:lang w:val="en-SG"/>
        </w:rPr>
        <w:t xml:space="preserve"> to understand a bank’s </w:t>
      </w:r>
      <w:r w:rsidR="009369F1">
        <w:rPr>
          <w:rFonts w:ascii="Times New Roman" w:hAnsi="Times New Roman" w:cs="Times New Roman"/>
          <w:sz w:val="24"/>
          <w:szCs w:val="24"/>
          <w:lang w:val="en-SG"/>
        </w:rPr>
        <w:t>overall financial activity and position</w:t>
      </w:r>
      <w:r w:rsidR="00C9055E">
        <w:rPr>
          <w:rFonts w:ascii="Times New Roman" w:hAnsi="Times New Roman" w:cs="Times New Roman"/>
          <w:sz w:val="24"/>
          <w:szCs w:val="24"/>
          <w:lang w:val="en-SG"/>
        </w:rPr>
        <w:t>. It will also help them by</w:t>
      </w:r>
    </w:p>
    <w:p w14:paraId="7B3F443F" w14:textId="77777777" w:rsidR="00E07DC2" w:rsidRPr="00AD0CA2" w:rsidRDefault="00C9055E" w:rsidP="002D5105">
      <w:pPr>
        <w:pStyle w:val="ListParagraph"/>
        <w:numPr>
          <w:ilvl w:val="0"/>
          <w:numId w:val="11"/>
        </w:numPr>
        <w:spacing w:line="360" w:lineRule="auto"/>
        <w:jc w:val="both"/>
        <w:rPr>
          <w:rFonts w:ascii="Times New Roman" w:hAnsi="Times New Roman" w:cs="Times New Roman"/>
          <w:sz w:val="24"/>
          <w:szCs w:val="24"/>
          <w:lang w:val="en-SG"/>
        </w:rPr>
      </w:pPr>
      <w:r w:rsidRPr="00AD0CA2">
        <w:rPr>
          <w:rFonts w:ascii="Times New Roman" w:hAnsi="Times New Roman" w:cs="Times New Roman"/>
          <w:sz w:val="24"/>
          <w:szCs w:val="24"/>
          <w:lang w:val="en-SG"/>
        </w:rPr>
        <w:t>giving them an idea on banking sector</w:t>
      </w:r>
    </w:p>
    <w:p w14:paraId="452A17D4" w14:textId="3D979646" w:rsidR="00E07DC2" w:rsidRPr="00AD0CA2" w:rsidRDefault="002A14D0" w:rsidP="002D5105">
      <w:pPr>
        <w:pStyle w:val="ListParagraph"/>
        <w:numPr>
          <w:ilvl w:val="0"/>
          <w:numId w:val="11"/>
        </w:numPr>
        <w:spacing w:line="360" w:lineRule="auto"/>
        <w:jc w:val="both"/>
        <w:rPr>
          <w:rFonts w:ascii="Times New Roman" w:hAnsi="Times New Roman" w:cs="Times New Roman"/>
          <w:sz w:val="24"/>
          <w:szCs w:val="24"/>
          <w:lang w:val="en-SG"/>
        </w:rPr>
      </w:pPr>
      <w:r w:rsidRPr="00AD0CA2">
        <w:rPr>
          <w:rFonts w:ascii="Times New Roman" w:hAnsi="Times New Roman" w:cs="Times New Roman"/>
          <w:sz w:val="24"/>
          <w:szCs w:val="24"/>
          <w:lang w:val="en-SG"/>
        </w:rPr>
        <w:t xml:space="preserve">telling what are the important </w:t>
      </w:r>
      <w:r w:rsidR="000E2EFE" w:rsidRPr="00AD0CA2">
        <w:rPr>
          <w:rFonts w:ascii="Times New Roman" w:hAnsi="Times New Roman" w:cs="Times New Roman"/>
          <w:sz w:val="24"/>
          <w:szCs w:val="24"/>
          <w:lang w:val="en-SG"/>
        </w:rPr>
        <w:t xml:space="preserve">tools for banks to evaluate their profitability, liquidity, </w:t>
      </w:r>
      <w:r w:rsidR="009F71F1" w:rsidRPr="00AD0CA2">
        <w:rPr>
          <w:rFonts w:ascii="Times New Roman" w:hAnsi="Times New Roman" w:cs="Times New Roman"/>
          <w:sz w:val="24"/>
          <w:szCs w:val="24"/>
          <w:lang w:val="en-SG"/>
        </w:rPr>
        <w:t>solvency,</w:t>
      </w:r>
      <w:r w:rsidR="000E2EFE" w:rsidRPr="00AD0CA2">
        <w:rPr>
          <w:rFonts w:ascii="Times New Roman" w:hAnsi="Times New Roman" w:cs="Times New Roman"/>
          <w:sz w:val="24"/>
          <w:szCs w:val="24"/>
          <w:lang w:val="en-SG"/>
        </w:rPr>
        <w:t xml:space="preserve"> and market position</w:t>
      </w:r>
    </w:p>
    <w:p w14:paraId="7AE0EC11" w14:textId="77777777" w:rsidR="00E07DC2" w:rsidRPr="00AD0CA2" w:rsidRDefault="00AD1070" w:rsidP="002D5105">
      <w:pPr>
        <w:pStyle w:val="ListParagraph"/>
        <w:numPr>
          <w:ilvl w:val="0"/>
          <w:numId w:val="11"/>
        </w:numPr>
        <w:spacing w:line="360" w:lineRule="auto"/>
        <w:jc w:val="both"/>
        <w:rPr>
          <w:rFonts w:ascii="Times New Roman" w:hAnsi="Times New Roman" w:cs="Times New Roman"/>
          <w:sz w:val="24"/>
          <w:szCs w:val="24"/>
          <w:lang w:val="en-SG"/>
        </w:rPr>
      </w:pPr>
      <w:r w:rsidRPr="00AD0CA2">
        <w:rPr>
          <w:rFonts w:ascii="Times New Roman" w:hAnsi="Times New Roman" w:cs="Times New Roman"/>
          <w:sz w:val="24"/>
          <w:szCs w:val="24"/>
          <w:lang w:val="en-SG"/>
        </w:rPr>
        <w:t xml:space="preserve">showing what conventional banks improved over the years and what banks faced losses. </w:t>
      </w:r>
    </w:p>
    <w:p w14:paraId="21CD3007" w14:textId="77777777" w:rsidR="00E07DC2" w:rsidRPr="005125F2" w:rsidRDefault="00E07DC2" w:rsidP="00E07DC2">
      <w:pPr>
        <w:rPr>
          <w:rFonts w:ascii="Times New Roman" w:hAnsi="Times New Roman" w:cs="Times New Roman"/>
          <w:b/>
          <w:color w:val="365F91" w:themeColor="accent1" w:themeShade="BF"/>
          <w:sz w:val="24"/>
          <w:szCs w:val="24"/>
          <w:lang w:val="en-SG"/>
        </w:rPr>
      </w:pPr>
      <w:r w:rsidRPr="005125F2">
        <w:rPr>
          <w:rFonts w:ascii="Times New Roman" w:hAnsi="Times New Roman" w:cs="Times New Roman"/>
          <w:b/>
          <w:color w:val="365F91" w:themeColor="accent1" w:themeShade="BF"/>
          <w:sz w:val="24"/>
          <w:szCs w:val="24"/>
          <w:lang w:val="en-SG"/>
        </w:rPr>
        <w:t>Limitation:</w:t>
      </w:r>
    </w:p>
    <w:p w14:paraId="57B84D17" w14:textId="77777777" w:rsidR="00E07DC2" w:rsidRPr="00E07DC2" w:rsidRDefault="00E07DC2" w:rsidP="002D5105">
      <w:pPr>
        <w:spacing w:line="360" w:lineRule="auto"/>
        <w:jc w:val="both"/>
        <w:rPr>
          <w:rFonts w:ascii="Times New Roman" w:hAnsi="Times New Roman" w:cs="Times New Roman"/>
          <w:sz w:val="24"/>
          <w:szCs w:val="24"/>
          <w:lang w:val="en-SG"/>
        </w:rPr>
      </w:pPr>
      <w:r w:rsidRPr="00E07DC2">
        <w:rPr>
          <w:rFonts w:ascii="Times New Roman" w:hAnsi="Times New Roman" w:cs="Times New Roman"/>
          <w:sz w:val="24"/>
          <w:szCs w:val="24"/>
          <w:lang w:val="en-SG"/>
        </w:rPr>
        <w:lastRenderedPageBreak/>
        <w:t>Besides scopes, this report has some limitation as well. Here we enlist the limitation of the</w:t>
      </w:r>
      <w:r w:rsidR="00AD0CA2">
        <w:rPr>
          <w:rFonts w:ascii="Times New Roman" w:hAnsi="Times New Roman" w:cs="Times New Roman"/>
          <w:sz w:val="24"/>
          <w:szCs w:val="24"/>
          <w:lang w:val="en-SG"/>
        </w:rPr>
        <w:t xml:space="preserve"> </w:t>
      </w:r>
      <w:r w:rsidRPr="00E07DC2">
        <w:rPr>
          <w:rFonts w:ascii="Times New Roman" w:hAnsi="Times New Roman" w:cs="Times New Roman"/>
          <w:sz w:val="24"/>
          <w:szCs w:val="24"/>
          <w:lang w:val="en-SG"/>
        </w:rPr>
        <w:t>report:</w:t>
      </w:r>
    </w:p>
    <w:p w14:paraId="54724F4F" w14:textId="77777777" w:rsidR="00E07DC2" w:rsidRPr="00AD0CA2" w:rsidRDefault="00AD0CA2" w:rsidP="002D5105">
      <w:pPr>
        <w:pStyle w:val="ListParagraph"/>
        <w:numPr>
          <w:ilvl w:val="0"/>
          <w:numId w:val="10"/>
        </w:numPr>
        <w:spacing w:line="360" w:lineRule="auto"/>
        <w:jc w:val="both"/>
        <w:rPr>
          <w:rFonts w:ascii="Times New Roman" w:hAnsi="Times New Roman" w:cs="Times New Roman"/>
          <w:sz w:val="24"/>
          <w:szCs w:val="24"/>
          <w:lang w:val="en-SG"/>
        </w:rPr>
      </w:pPr>
      <w:r>
        <w:rPr>
          <w:rFonts w:ascii="Times New Roman" w:hAnsi="Times New Roman" w:cs="Times New Roman"/>
          <w:sz w:val="24"/>
          <w:szCs w:val="24"/>
          <w:lang w:val="en-SG"/>
        </w:rPr>
        <w:t>The</w:t>
      </w:r>
      <w:r w:rsidR="00E07DC2" w:rsidRPr="00AD0CA2">
        <w:rPr>
          <w:rFonts w:ascii="Times New Roman" w:hAnsi="Times New Roman" w:cs="Times New Roman"/>
          <w:sz w:val="24"/>
          <w:szCs w:val="24"/>
          <w:lang w:val="en-SG"/>
        </w:rPr>
        <w:t xml:space="preserve"> repor</w:t>
      </w:r>
      <w:r w:rsidR="00AD1070" w:rsidRPr="00AD0CA2">
        <w:rPr>
          <w:rFonts w:ascii="Times New Roman" w:hAnsi="Times New Roman" w:cs="Times New Roman"/>
          <w:sz w:val="24"/>
          <w:szCs w:val="24"/>
          <w:lang w:val="en-SG"/>
        </w:rPr>
        <w:t xml:space="preserve">t contains only the ratio analysis of the financial statement. There are traditional analysis and forecasting by which we could analysis an organization financial position more broadly.  </w:t>
      </w:r>
    </w:p>
    <w:p w14:paraId="40596F61" w14:textId="75463926" w:rsidR="00E07DC2" w:rsidRPr="00AD0CA2" w:rsidRDefault="00AD0CA2" w:rsidP="002D5105">
      <w:pPr>
        <w:pStyle w:val="ListParagraph"/>
        <w:numPr>
          <w:ilvl w:val="0"/>
          <w:numId w:val="10"/>
        </w:numPr>
        <w:spacing w:line="360" w:lineRule="auto"/>
        <w:jc w:val="both"/>
        <w:rPr>
          <w:rFonts w:ascii="Times New Roman" w:hAnsi="Times New Roman" w:cs="Times New Roman"/>
          <w:sz w:val="24"/>
          <w:szCs w:val="24"/>
          <w:lang w:val="en-SG"/>
        </w:rPr>
      </w:pPr>
      <w:r>
        <w:rPr>
          <w:rFonts w:ascii="Times New Roman" w:hAnsi="Times New Roman" w:cs="Times New Roman"/>
          <w:sz w:val="24"/>
          <w:szCs w:val="24"/>
          <w:lang w:val="en-SG"/>
        </w:rPr>
        <w:t>I</w:t>
      </w:r>
      <w:r w:rsidR="00E07DC2" w:rsidRPr="00AD0CA2">
        <w:rPr>
          <w:rFonts w:ascii="Times New Roman" w:hAnsi="Times New Roman" w:cs="Times New Roman"/>
          <w:sz w:val="24"/>
          <w:szCs w:val="24"/>
          <w:lang w:val="en-SG"/>
        </w:rPr>
        <w:t xml:space="preserve"> </w:t>
      </w:r>
      <w:r w:rsidR="009F71F1" w:rsidRPr="00AD0CA2">
        <w:rPr>
          <w:rFonts w:ascii="Times New Roman" w:hAnsi="Times New Roman" w:cs="Times New Roman"/>
          <w:sz w:val="24"/>
          <w:szCs w:val="24"/>
          <w:lang w:val="en-SG"/>
        </w:rPr>
        <w:t>could not</w:t>
      </w:r>
      <w:r w:rsidR="00E07DC2" w:rsidRPr="00AD0CA2">
        <w:rPr>
          <w:rFonts w:ascii="Times New Roman" w:hAnsi="Times New Roman" w:cs="Times New Roman"/>
          <w:sz w:val="24"/>
          <w:szCs w:val="24"/>
          <w:lang w:val="en-SG"/>
        </w:rPr>
        <w:t xml:space="preserve"> find enough information on different issues covered in this report.</w:t>
      </w:r>
      <w:r w:rsidR="00AD1070" w:rsidRPr="00AD0CA2">
        <w:rPr>
          <w:rFonts w:ascii="Times New Roman" w:hAnsi="Times New Roman" w:cs="Times New Roman"/>
          <w:sz w:val="24"/>
          <w:szCs w:val="24"/>
          <w:lang w:val="en-SG"/>
        </w:rPr>
        <w:t xml:space="preserve"> I failed to manage some informa</w:t>
      </w:r>
      <w:r w:rsidR="00614910" w:rsidRPr="00AD0CA2">
        <w:rPr>
          <w:rFonts w:ascii="Times New Roman" w:hAnsi="Times New Roman" w:cs="Times New Roman"/>
          <w:sz w:val="24"/>
          <w:szCs w:val="24"/>
          <w:lang w:val="en-SG"/>
        </w:rPr>
        <w:t xml:space="preserve">tion of banks that they did not publish yet in their websites. </w:t>
      </w:r>
    </w:p>
    <w:p w14:paraId="4212A25F" w14:textId="005B629A" w:rsidR="00E07DC2" w:rsidRPr="00AD0CA2" w:rsidRDefault="00AD0CA2" w:rsidP="002D5105">
      <w:pPr>
        <w:pStyle w:val="ListParagraph"/>
        <w:numPr>
          <w:ilvl w:val="0"/>
          <w:numId w:val="10"/>
        </w:numPr>
        <w:spacing w:line="360" w:lineRule="auto"/>
        <w:jc w:val="both"/>
        <w:rPr>
          <w:rFonts w:ascii="Times New Roman" w:hAnsi="Times New Roman" w:cs="Times New Roman"/>
          <w:sz w:val="24"/>
          <w:szCs w:val="24"/>
          <w:lang w:val="en-SG"/>
        </w:rPr>
      </w:pPr>
      <w:r>
        <w:rPr>
          <w:rFonts w:ascii="Times New Roman" w:hAnsi="Times New Roman" w:cs="Times New Roman"/>
          <w:sz w:val="24"/>
          <w:szCs w:val="24"/>
          <w:lang w:val="en-SG"/>
        </w:rPr>
        <w:t>There</w:t>
      </w:r>
      <w:r w:rsidR="00E07DC2" w:rsidRPr="00AD0CA2">
        <w:rPr>
          <w:rFonts w:ascii="Times New Roman" w:hAnsi="Times New Roman" w:cs="Times New Roman"/>
          <w:sz w:val="24"/>
          <w:szCs w:val="24"/>
          <w:lang w:val="en-SG"/>
        </w:rPr>
        <w:t xml:space="preserve"> may be some printing mistakes, some syntax </w:t>
      </w:r>
      <w:r w:rsidR="009F71F1" w:rsidRPr="00AD0CA2">
        <w:rPr>
          <w:rFonts w:ascii="Times New Roman" w:hAnsi="Times New Roman" w:cs="Times New Roman"/>
          <w:sz w:val="24"/>
          <w:szCs w:val="24"/>
          <w:lang w:val="en-SG"/>
        </w:rPr>
        <w:t>error,</w:t>
      </w:r>
      <w:r w:rsidR="00E07DC2" w:rsidRPr="00AD0CA2">
        <w:rPr>
          <w:rFonts w:ascii="Times New Roman" w:hAnsi="Times New Roman" w:cs="Times New Roman"/>
          <w:sz w:val="24"/>
          <w:szCs w:val="24"/>
          <w:lang w:val="en-SG"/>
        </w:rPr>
        <w:t xml:space="preserve"> and other defects.</w:t>
      </w:r>
    </w:p>
    <w:p w14:paraId="5FEBF0F3" w14:textId="77777777" w:rsidR="006814A0" w:rsidRDefault="00E07DC2" w:rsidP="002D5105">
      <w:pPr>
        <w:spacing w:line="360" w:lineRule="auto"/>
        <w:jc w:val="both"/>
        <w:rPr>
          <w:rFonts w:ascii="Times New Roman" w:hAnsi="Times New Roman" w:cs="Times New Roman"/>
          <w:sz w:val="24"/>
          <w:szCs w:val="24"/>
          <w:lang w:val="en-SG"/>
        </w:rPr>
      </w:pPr>
      <w:r w:rsidRPr="00E07DC2">
        <w:rPr>
          <w:rFonts w:ascii="Times New Roman" w:hAnsi="Times New Roman" w:cs="Times New Roman"/>
          <w:sz w:val="24"/>
          <w:szCs w:val="24"/>
          <w:lang w:val="en-SG"/>
        </w:rPr>
        <w:t>Despite of these limitations, I tried to make this report as informa</w:t>
      </w:r>
      <w:r w:rsidR="009C3688">
        <w:rPr>
          <w:rFonts w:ascii="Times New Roman" w:hAnsi="Times New Roman" w:cs="Times New Roman"/>
          <w:sz w:val="24"/>
          <w:szCs w:val="24"/>
          <w:lang w:val="en-SG"/>
        </w:rPr>
        <w:t xml:space="preserve">tive and analytical as possible </w:t>
      </w:r>
      <w:r w:rsidRPr="00E07DC2">
        <w:rPr>
          <w:rFonts w:ascii="Times New Roman" w:hAnsi="Times New Roman" w:cs="Times New Roman"/>
          <w:sz w:val="24"/>
          <w:szCs w:val="24"/>
          <w:lang w:val="en-SG"/>
        </w:rPr>
        <w:t xml:space="preserve">and I hope that report will be able to give one a </w:t>
      </w:r>
      <w:r w:rsidR="009C3688">
        <w:rPr>
          <w:rFonts w:ascii="Times New Roman" w:hAnsi="Times New Roman" w:cs="Times New Roman"/>
          <w:sz w:val="24"/>
          <w:szCs w:val="24"/>
          <w:lang w:val="en-SG"/>
        </w:rPr>
        <w:t xml:space="preserve">brief knowledge about conventional banks and their financial status. </w:t>
      </w:r>
    </w:p>
    <w:p w14:paraId="79877D54" w14:textId="77777777" w:rsidR="006814A0" w:rsidRDefault="006814A0" w:rsidP="006814A0">
      <w:pPr>
        <w:rPr>
          <w:lang w:val="en-SG"/>
        </w:rPr>
      </w:pPr>
      <w:r>
        <w:rPr>
          <w:lang w:val="en-SG"/>
        </w:rPr>
        <w:br w:type="page"/>
      </w:r>
    </w:p>
    <w:p w14:paraId="5DE004A9" w14:textId="77777777" w:rsidR="00E07DC2" w:rsidRDefault="00E07DC2" w:rsidP="00E07DC2">
      <w:pPr>
        <w:rPr>
          <w:rFonts w:ascii="Times New Roman" w:hAnsi="Times New Roman" w:cs="Times New Roman"/>
          <w:sz w:val="24"/>
          <w:szCs w:val="24"/>
          <w:lang w:val="en-SG"/>
        </w:rPr>
      </w:pPr>
    </w:p>
    <w:p w14:paraId="761FBF0D" w14:textId="77777777" w:rsidR="008D384F" w:rsidRDefault="008D384F" w:rsidP="00E07DC2">
      <w:pPr>
        <w:rPr>
          <w:rFonts w:ascii="Times New Roman" w:hAnsi="Times New Roman" w:cs="Times New Roman"/>
          <w:sz w:val="24"/>
          <w:szCs w:val="24"/>
          <w:lang w:val="en-SG"/>
        </w:rPr>
      </w:pPr>
    </w:p>
    <w:p w14:paraId="3AF158FF" w14:textId="77777777" w:rsidR="00D27504" w:rsidRDefault="00D27504" w:rsidP="00E07DC2">
      <w:pPr>
        <w:rPr>
          <w:rFonts w:ascii="Times New Roman" w:hAnsi="Times New Roman" w:cs="Times New Roman"/>
          <w:sz w:val="24"/>
          <w:szCs w:val="24"/>
          <w:lang w:val="en-SG"/>
        </w:rPr>
      </w:pPr>
    </w:p>
    <w:p w14:paraId="57F01177" w14:textId="77777777" w:rsidR="00D27504" w:rsidRDefault="00D27504" w:rsidP="00E07DC2">
      <w:pPr>
        <w:rPr>
          <w:rFonts w:ascii="Times New Roman" w:hAnsi="Times New Roman" w:cs="Times New Roman"/>
          <w:sz w:val="24"/>
          <w:szCs w:val="24"/>
          <w:lang w:val="en-SG"/>
        </w:rPr>
      </w:pPr>
    </w:p>
    <w:p w14:paraId="2FDAF279" w14:textId="77777777" w:rsidR="00D27504" w:rsidRDefault="00D27504" w:rsidP="00E07DC2">
      <w:pPr>
        <w:rPr>
          <w:rFonts w:ascii="Times New Roman" w:hAnsi="Times New Roman" w:cs="Times New Roman"/>
          <w:sz w:val="24"/>
          <w:szCs w:val="24"/>
          <w:lang w:val="en-SG"/>
        </w:rPr>
      </w:pPr>
    </w:p>
    <w:p w14:paraId="7D94E98A" w14:textId="77777777" w:rsidR="00D27504" w:rsidRDefault="00D27504" w:rsidP="00E07DC2">
      <w:pPr>
        <w:rPr>
          <w:rFonts w:ascii="Times New Roman" w:hAnsi="Times New Roman" w:cs="Times New Roman"/>
          <w:sz w:val="24"/>
          <w:szCs w:val="24"/>
          <w:lang w:val="en-SG"/>
        </w:rPr>
      </w:pPr>
    </w:p>
    <w:p w14:paraId="54D04E50" w14:textId="77777777" w:rsidR="00D27504" w:rsidRDefault="00D27504" w:rsidP="00E07DC2">
      <w:pPr>
        <w:rPr>
          <w:rFonts w:ascii="Times New Roman" w:hAnsi="Times New Roman" w:cs="Times New Roman"/>
          <w:sz w:val="24"/>
          <w:szCs w:val="24"/>
          <w:lang w:val="en-SG"/>
        </w:rPr>
      </w:pPr>
    </w:p>
    <w:p w14:paraId="56594494" w14:textId="77777777" w:rsidR="00D27504" w:rsidRDefault="00D27504" w:rsidP="00E07DC2">
      <w:pPr>
        <w:rPr>
          <w:rFonts w:ascii="Times New Roman" w:hAnsi="Times New Roman" w:cs="Times New Roman"/>
          <w:sz w:val="24"/>
          <w:szCs w:val="24"/>
          <w:lang w:val="en-SG"/>
        </w:rPr>
      </w:pPr>
    </w:p>
    <w:p w14:paraId="39A8C2B9" w14:textId="77777777" w:rsidR="00D27504" w:rsidRDefault="00D27504" w:rsidP="00E07DC2">
      <w:pPr>
        <w:rPr>
          <w:rFonts w:ascii="Times New Roman" w:hAnsi="Times New Roman" w:cs="Times New Roman"/>
          <w:sz w:val="24"/>
          <w:szCs w:val="24"/>
          <w:lang w:val="en-SG"/>
        </w:rPr>
      </w:pPr>
    </w:p>
    <w:p w14:paraId="1A430EB2" w14:textId="77777777" w:rsidR="008D384F" w:rsidRPr="006814A0" w:rsidRDefault="006814A0" w:rsidP="006814A0">
      <w:pPr>
        <w:pStyle w:val="Heading1"/>
        <w:jc w:val="right"/>
        <w:rPr>
          <w:b/>
          <w:sz w:val="72"/>
          <w:szCs w:val="72"/>
        </w:rPr>
      </w:pPr>
      <w:r>
        <w:rPr>
          <w:b/>
          <w:sz w:val="72"/>
          <w:szCs w:val="72"/>
        </w:rPr>
        <w:t xml:space="preserve">  </w:t>
      </w:r>
      <w:bookmarkStart w:id="10" w:name="_Toc53357687"/>
      <w:r w:rsidR="008D384F" w:rsidRPr="006814A0">
        <w:rPr>
          <w:b/>
          <w:sz w:val="72"/>
          <w:szCs w:val="72"/>
        </w:rPr>
        <w:t>LITERATURE REVIEW</w:t>
      </w:r>
      <w:bookmarkEnd w:id="10"/>
      <w:r w:rsidR="008D384F" w:rsidRPr="006814A0">
        <w:rPr>
          <w:b/>
          <w:sz w:val="72"/>
          <w:szCs w:val="72"/>
        </w:rPr>
        <w:t xml:space="preserve"> </w:t>
      </w:r>
    </w:p>
    <w:p w14:paraId="19979430" w14:textId="77777777" w:rsidR="008D384F" w:rsidRPr="00AA2409" w:rsidRDefault="00AA2409" w:rsidP="00D27504">
      <w:pPr>
        <w:pStyle w:val="ListParagraph"/>
        <w:numPr>
          <w:ilvl w:val="1"/>
          <w:numId w:val="32"/>
        </w:numPr>
        <w:autoSpaceDE w:val="0"/>
        <w:autoSpaceDN w:val="0"/>
        <w:adjustRightInd w:val="0"/>
        <w:spacing w:after="219" w:line="240" w:lineRule="auto"/>
        <w:jc w:val="right"/>
        <w:rPr>
          <w:rFonts w:ascii="Calibri" w:hAnsi="Calibri" w:cs="Calibri"/>
          <w:b/>
          <w:color w:val="365F91" w:themeColor="accent1" w:themeShade="BF"/>
          <w:sz w:val="52"/>
          <w:szCs w:val="52"/>
        </w:rPr>
      </w:pPr>
      <w:r w:rsidRPr="00AA2409">
        <w:rPr>
          <w:rFonts w:ascii="Calibri" w:hAnsi="Calibri" w:cs="Calibri"/>
          <w:b/>
          <w:color w:val="365F91" w:themeColor="accent1" w:themeShade="BF"/>
          <w:sz w:val="52"/>
          <w:szCs w:val="52"/>
        </w:rPr>
        <w:t>FINANCIAL STATEMENT</w:t>
      </w:r>
    </w:p>
    <w:p w14:paraId="671CC0E3" w14:textId="77777777" w:rsidR="008D384F" w:rsidRPr="00AA2409" w:rsidRDefault="00AA2409" w:rsidP="00D27504">
      <w:pPr>
        <w:pStyle w:val="ListParagraph"/>
        <w:numPr>
          <w:ilvl w:val="1"/>
          <w:numId w:val="32"/>
        </w:numPr>
        <w:autoSpaceDE w:val="0"/>
        <w:autoSpaceDN w:val="0"/>
        <w:adjustRightInd w:val="0"/>
        <w:spacing w:after="219" w:line="240" w:lineRule="auto"/>
        <w:jc w:val="right"/>
        <w:rPr>
          <w:rFonts w:ascii="Calibri" w:hAnsi="Calibri" w:cs="Calibri"/>
          <w:b/>
          <w:color w:val="365F91" w:themeColor="accent1" w:themeShade="BF"/>
          <w:sz w:val="52"/>
          <w:szCs w:val="52"/>
        </w:rPr>
      </w:pPr>
      <w:r w:rsidRPr="00AA2409">
        <w:rPr>
          <w:rFonts w:ascii="Calibri" w:hAnsi="Calibri" w:cs="Calibri"/>
          <w:b/>
          <w:color w:val="365F91" w:themeColor="accent1" w:themeShade="BF"/>
          <w:sz w:val="52"/>
          <w:szCs w:val="52"/>
        </w:rPr>
        <w:t>FINANCIAL STATEMENT ANALYSIS</w:t>
      </w:r>
      <w:r w:rsidR="008D384F" w:rsidRPr="00AA2409">
        <w:rPr>
          <w:rFonts w:ascii="Calibri" w:hAnsi="Calibri" w:cs="Calibri"/>
          <w:b/>
          <w:color w:val="365F91" w:themeColor="accent1" w:themeShade="BF"/>
          <w:sz w:val="52"/>
          <w:szCs w:val="52"/>
        </w:rPr>
        <w:t xml:space="preserve"> </w:t>
      </w:r>
    </w:p>
    <w:p w14:paraId="5520C14B" w14:textId="77777777" w:rsidR="008D384F" w:rsidRPr="00AA2409" w:rsidRDefault="00AA2409" w:rsidP="00D27504">
      <w:pPr>
        <w:pStyle w:val="ListParagraph"/>
        <w:numPr>
          <w:ilvl w:val="1"/>
          <w:numId w:val="32"/>
        </w:numPr>
        <w:autoSpaceDE w:val="0"/>
        <w:autoSpaceDN w:val="0"/>
        <w:adjustRightInd w:val="0"/>
        <w:spacing w:after="0" w:line="240" w:lineRule="auto"/>
        <w:jc w:val="right"/>
        <w:rPr>
          <w:rFonts w:ascii="Calibri" w:hAnsi="Calibri" w:cs="Calibri"/>
          <w:color w:val="000000"/>
          <w:sz w:val="52"/>
          <w:szCs w:val="52"/>
        </w:rPr>
      </w:pPr>
      <w:r>
        <w:rPr>
          <w:rFonts w:ascii="Calibri" w:hAnsi="Calibri" w:cs="Calibri"/>
          <w:b/>
          <w:color w:val="365F91" w:themeColor="accent1" w:themeShade="BF"/>
          <w:sz w:val="52"/>
          <w:szCs w:val="52"/>
        </w:rPr>
        <w:t>RATIO ANALYSIS</w:t>
      </w:r>
    </w:p>
    <w:p w14:paraId="64A44B9C" w14:textId="77777777" w:rsidR="003A7A94" w:rsidRDefault="003A7A94">
      <w:pPr>
        <w:rPr>
          <w:rFonts w:ascii="Times New Roman" w:hAnsi="Times New Roman" w:cs="Times New Roman"/>
          <w:sz w:val="24"/>
          <w:szCs w:val="24"/>
          <w:lang w:val="en-SG"/>
        </w:rPr>
      </w:pPr>
    </w:p>
    <w:p w14:paraId="0DF5990F" w14:textId="77777777" w:rsidR="00AA2409" w:rsidRDefault="00AA2409" w:rsidP="00AA2409">
      <w:pPr>
        <w:rPr>
          <w:rFonts w:ascii="Times New Roman" w:hAnsi="Times New Roman" w:cs="Times New Roman"/>
          <w:sz w:val="24"/>
          <w:szCs w:val="24"/>
          <w:lang w:val="en-SG"/>
        </w:rPr>
      </w:pPr>
    </w:p>
    <w:p w14:paraId="21FD91D1" w14:textId="77777777" w:rsidR="00AA2409" w:rsidRDefault="00AA2409" w:rsidP="00AA2409">
      <w:pPr>
        <w:rPr>
          <w:rFonts w:ascii="Times New Roman" w:hAnsi="Times New Roman" w:cs="Times New Roman"/>
          <w:sz w:val="24"/>
          <w:szCs w:val="24"/>
          <w:lang w:val="en-SG"/>
        </w:rPr>
      </w:pPr>
    </w:p>
    <w:p w14:paraId="17CFCFB4" w14:textId="77777777" w:rsidR="00AA2409" w:rsidRDefault="00AA2409" w:rsidP="00AA2409">
      <w:pPr>
        <w:rPr>
          <w:rFonts w:ascii="Times New Roman" w:hAnsi="Times New Roman" w:cs="Times New Roman"/>
          <w:sz w:val="24"/>
          <w:szCs w:val="24"/>
          <w:lang w:val="en-SG"/>
        </w:rPr>
      </w:pPr>
    </w:p>
    <w:p w14:paraId="1A5FD887" w14:textId="77777777" w:rsidR="00AA2409" w:rsidRDefault="00AA2409" w:rsidP="00AA2409">
      <w:pPr>
        <w:rPr>
          <w:rFonts w:ascii="Times New Roman" w:hAnsi="Times New Roman" w:cs="Times New Roman"/>
          <w:sz w:val="24"/>
          <w:szCs w:val="24"/>
          <w:lang w:val="en-SG"/>
        </w:rPr>
      </w:pPr>
    </w:p>
    <w:p w14:paraId="6A0265FE" w14:textId="77777777" w:rsidR="00AA2409" w:rsidRDefault="00AA2409" w:rsidP="00AA2409">
      <w:pPr>
        <w:rPr>
          <w:rFonts w:ascii="Times New Roman" w:hAnsi="Times New Roman" w:cs="Times New Roman"/>
          <w:sz w:val="24"/>
          <w:szCs w:val="24"/>
          <w:lang w:val="en-SG"/>
        </w:rPr>
      </w:pPr>
    </w:p>
    <w:p w14:paraId="790FAEE4" w14:textId="77777777" w:rsidR="00AA2409" w:rsidRDefault="00AA2409" w:rsidP="00AA2409">
      <w:pPr>
        <w:rPr>
          <w:rFonts w:ascii="Times New Roman" w:hAnsi="Times New Roman" w:cs="Times New Roman"/>
          <w:sz w:val="24"/>
          <w:szCs w:val="24"/>
          <w:lang w:val="en-SG"/>
        </w:rPr>
      </w:pPr>
    </w:p>
    <w:p w14:paraId="69B55710" w14:textId="77777777" w:rsidR="00AA2409" w:rsidRDefault="00AA2409" w:rsidP="00AA2409">
      <w:pPr>
        <w:rPr>
          <w:rFonts w:ascii="Times New Roman" w:hAnsi="Times New Roman" w:cs="Times New Roman"/>
          <w:sz w:val="24"/>
          <w:szCs w:val="24"/>
          <w:lang w:val="en-SG"/>
        </w:rPr>
      </w:pPr>
    </w:p>
    <w:p w14:paraId="6CD9F2ED" w14:textId="77777777" w:rsidR="00AA2409" w:rsidRDefault="00AA2409" w:rsidP="00AA2409">
      <w:pPr>
        <w:rPr>
          <w:rFonts w:ascii="Times New Roman" w:hAnsi="Times New Roman" w:cs="Times New Roman"/>
          <w:sz w:val="24"/>
          <w:szCs w:val="24"/>
          <w:lang w:val="en-SG"/>
        </w:rPr>
      </w:pPr>
    </w:p>
    <w:p w14:paraId="00496071" w14:textId="77777777" w:rsidR="00B01CDA" w:rsidRPr="00947996" w:rsidRDefault="00B01CDA" w:rsidP="00AA2409">
      <w:pPr>
        <w:spacing w:line="360" w:lineRule="auto"/>
        <w:jc w:val="both"/>
        <w:rPr>
          <w:rFonts w:ascii="Times New Roman" w:hAnsi="Times New Roman" w:cs="Times New Roman"/>
          <w:sz w:val="24"/>
          <w:szCs w:val="24"/>
          <w:lang w:val="en-SG"/>
        </w:rPr>
      </w:pPr>
      <w:r w:rsidRPr="00947996">
        <w:rPr>
          <w:rFonts w:ascii="Times New Roman" w:hAnsi="Times New Roman" w:cs="Times New Roman"/>
          <w:sz w:val="24"/>
          <w:szCs w:val="24"/>
          <w:lang w:val="en-SG"/>
        </w:rPr>
        <w:lastRenderedPageBreak/>
        <w:t>The formal record of financial activities and position of an entity is called financial statement. It highlights all the financial events during the accounting period of the entity. There are five components of financial statement.</w:t>
      </w:r>
    </w:p>
    <w:p w14:paraId="1A0589B9" w14:textId="77777777" w:rsidR="00B01CDA" w:rsidRPr="00947996" w:rsidRDefault="00B01CDA" w:rsidP="00AA2409">
      <w:pPr>
        <w:pStyle w:val="ListParagraph"/>
        <w:numPr>
          <w:ilvl w:val="0"/>
          <w:numId w:val="1"/>
        </w:numPr>
        <w:spacing w:line="360" w:lineRule="auto"/>
        <w:jc w:val="both"/>
        <w:rPr>
          <w:rFonts w:ascii="Times New Roman" w:hAnsi="Times New Roman" w:cs="Times New Roman"/>
          <w:sz w:val="24"/>
          <w:szCs w:val="24"/>
          <w:lang w:val="en-SG"/>
        </w:rPr>
      </w:pPr>
      <w:r w:rsidRPr="00947996">
        <w:rPr>
          <w:rFonts w:ascii="Times New Roman" w:hAnsi="Times New Roman" w:cs="Times New Roman"/>
          <w:sz w:val="24"/>
          <w:szCs w:val="24"/>
          <w:lang w:val="en-SG"/>
        </w:rPr>
        <w:t>Statement of Financial Position</w:t>
      </w:r>
    </w:p>
    <w:p w14:paraId="61813A4D" w14:textId="77777777" w:rsidR="00B01CDA" w:rsidRPr="00947996" w:rsidRDefault="00B01CDA" w:rsidP="00AA2409">
      <w:pPr>
        <w:pStyle w:val="ListParagraph"/>
        <w:numPr>
          <w:ilvl w:val="0"/>
          <w:numId w:val="1"/>
        </w:numPr>
        <w:spacing w:line="360" w:lineRule="auto"/>
        <w:jc w:val="both"/>
        <w:rPr>
          <w:rFonts w:ascii="Times New Roman" w:hAnsi="Times New Roman" w:cs="Times New Roman"/>
          <w:sz w:val="24"/>
          <w:szCs w:val="24"/>
          <w:lang w:val="en-SG"/>
        </w:rPr>
      </w:pPr>
      <w:r w:rsidRPr="00947996">
        <w:rPr>
          <w:rFonts w:ascii="Times New Roman" w:hAnsi="Times New Roman" w:cs="Times New Roman"/>
          <w:sz w:val="24"/>
          <w:szCs w:val="24"/>
          <w:lang w:val="en-SG"/>
        </w:rPr>
        <w:t>Statement of Comprehensive Income</w:t>
      </w:r>
    </w:p>
    <w:p w14:paraId="35A677BE" w14:textId="77777777" w:rsidR="00B01CDA" w:rsidRPr="00947996" w:rsidRDefault="00B01CDA" w:rsidP="00AA2409">
      <w:pPr>
        <w:pStyle w:val="ListParagraph"/>
        <w:numPr>
          <w:ilvl w:val="0"/>
          <w:numId w:val="1"/>
        </w:numPr>
        <w:spacing w:line="360" w:lineRule="auto"/>
        <w:jc w:val="both"/>
        <w:rPr>
          <w:rFonts w:ascii="Times New Roman" w:hAnsi="Times New Roman" w:cs="Times New Roman"/>
          <w:sz w:val="24"/>
          <w:szCs w:val="24"/>
          <w:lang w:val="en-SG"/>
        </w:rPr>
      </w:pPr>
      <w:r w:rsidRPr="00947996">
        <w:rPr>
          <w:rFonts w:ascii="Times New Roman" w:hAnsi="Times New Roman" w:cs="Times New Roman"/>
          <w:sz w:val="24"/>
          <w:szCs w:val="24"/>
          <w:lang w:val="en-SG"/>
        </w:rPr>
        <w:t>Statement of Change in Equity</w:t>
      </w:r>
    </w:p>
    <w:p w14:paraId="4E4C82EC" w14:textId="77777777" w:rsidR="00B01CDA" w:rsidRPr="00947996" w:rsidRDefault="00B01CDA" w:rsidP="00AA2409">
      <w:pPr>
        <w:pStyle w:val="ListParagraph"/>
        <w:numPr>
          <w:ilvl w:val="0"/>
          <w:numId w:val="1"/>
        </w:numPr>
        <w:spacing w:line="360" w:lineRule="auto"/>
        <w:jc w:val="both"/>
        <w:rPr>
          <w:rFonts w:ascii="Times New Roman" w:hAnsi="Times New Roman" w:cs="Times New Roman"/>
          <w:sz w:val="24"/>
          <w:szCs w:val="24"/>
          <w:lang w:val="en-SG"/>
        </w:rPr>
      </w:pPr>
      <w:r w:rsidRPr="00947996">
        <w:rPr>
          <w:rFonts w:ascii="Times New Roman" w:hAnsi="Times New Roman" w:cs="Times New Roman"/>
          <w:sz w:val="24"/>
          <w:szCs w:val="24"/>
          <w:lang w:val="en-SG"/>
        </w:rPr>
        <w:t>Statement of Cash Flow</w:t>
      </w:r>
    </w:p>
    <w:p w14:paraId="68477BD6" w14:textId="77777777" w:rsidR="00B01CDA" w:rsidRPr="00947996" w:rsidRDefault="00B01CDA" w:rsidP="00AA2409">
      <w:pPr>
        <w:pStyle w:val="ListParagraph"/>
        <w:numPr>
          <w:ilvl w:val="0"/>
          <w:numId w:val="1"/>
        </w:numPr>
        <w:spacing w:line="360" w:lineRule="auto"/>
        <w:jc w:val="both"/>
        <w:rPr>
          <w:rFonts w:ascii="Times New Roman" w:hAnsi="Times New Roman" w:cs="Times New Roman"/>
          <w:sz w:val="24"/>
          <w:szCs w:val="24"/>
          <w:lang w:val="en-SG"/>
        </w:rPr>
      </w:pPr>
      <w:r w:rsidRPr="00947996">
        <w:rPr>
          <w:rFonts w:ascii="Times New Roman" w:hAnsi="Times New Roman" w:cs="Times New Roman"/>
          <w:sz w:val="24"/>
          <w:szCs w:val="24"/>
          <w:lang w:val="en-SG"/>
        </w:rPr>
        <w:t>Statement of Notes and Disclosure</w:t>
      </w:r>
    </w:p>
    <w:p w14:paraId="1966B45C" w14:textId="799045D7" w:rsidR="00B01CDA" w:rsidRPr="00947996" w:rsidRDefault="00B01CDA" w:rsidP="00AA2409">
      <w:pPr>
        <w:spacing w:line="360" w:lineRule="auto"/>
        <w:jc w:val="both"/>
        <w:rPr>
          <w:rFonts w:ascii="Times New Roman" w:hAnsi="Times New Roman" w:cs="Times New Roman"/>
          <w:sz w:val="24"/>
          <w:szCs w:val="24"/>
        </w:rPr>
      </w:pPr>
      <w:r w:rsidRPr="00947996">
        <w:rPr>
          <w:rFonts w:ascii="Times New Roman" w:hAnsi="Times New Roman" w:cs="Times New Roman"/>
          <w:sz w:val="24"/>
          <w:szCs w:val="24"/>
        </w:rPr>
        <w:t xml:space="preserve">Company’s accountant put all the financial transactions and events in </w:t>
      </w:r>
      <w:r w:rsidR="009F71F1" w:rsidRPr="00947996">
        <w:rPr>
          <w:rFonts w:ascii="Times New Roman" w:hAnsi="Times New Roman" w:cs="Times New Roman"/>
          <w:sz w:val="24"/>
          <w:szCs w:val="24"/>
        </w:rPr>
        <w:t>these statements</w:t>
      </w:r>
      <w:r w:rsidRPr="00947996">
        <w:rPr>
          <w:rFonts w:ascii="Times New Roman" w:hAnsi="Times New Roman" w:cs="Times New Roman"/>
          <w:sz w:val="24"/>
          <w:szCs w:val="24"/>
        </w:rPr>
        <w:t xml:space="preserve">. The purpose is to communicate the company’s financial position to the internal and external user of financial statement. So that the users can take decision like managers can take decision about company’s liquidity, debt, </w:t>
      </w:r>
      <w:r w:rsidR="009F71F1" w:rsidRPr="00947996">
        <w:rPr>
          <w:rFonts w:ascii="Times New Roman" w:hAnsi="Times New Roman" w:cs="Times New Roman"/>
          <w:sz w:val="24"/>
          <w:szCs w:val="24"/>
        </w:rPr>
        <w:t>assets,</w:t>
      </w:r>
      <w:r w:rsidRPr="00947996">
        <w:rPr>
          <w:rFonts w:ascii="Times New Roman" w:hAnsi="Times New Roman" w:cs="Times New Roman"/>
          <w:sz w:val="24"/>
          <w:szCs w:val="24"/>
        </w:rPr>
        <w:t xml:space="preserve"> and other things. In the same way an investor can decide if he/she should invest in this company and if yes then how much. Government authority can have the knowledge if the company is paying taxes properly. </w:t>
      </w:r>
    </w:p>
    <w:p w14:paraId="1421EB51" w14:textId="01E1B9D6" w:rsidR="00B01CDA" w:rsidRPr="00947996" w:rsidRDefault="00B01CDA" w:rsidP="00B01CDA">
      <w:pPr>
        <w:spacing w:line="360" w:lineRule="auto"/>
        <w:jc w:val="both"/>
        <w:rPr>
          <w:rFonts w:ascii="Times New Roman" w:hAnsi="Times New Roman" w:cs="Times New Roman"/>
          <w:sz w:val="24"/>
          <w:szCs w:val="24"/>
        </w:rPr>
      </w:pPr>
      <w:r w:rsidRPr="00947996">
        <w:rPr>
          <w:rFonts w:ascii="Times New Roman" w:hAnsi="Times New Roman" w:cs="Times New Roman"/>
          <w:sz w:val="24"/>
          <w:szCs w:val="24"/>
        </w:rPr>
        <w:t xml:space="preserve">But taking </w:t>
      </w:r>
      <w:r w:rsidR="009F71F1" w:rsidRPr="00947996">
        <w:rPr>
          <w:rFonts w:ascii="Times New Roman" w:hAnsi="Times New Roman" w:cs="Times New Roman"/>
          <w:sz w:val="24"/>
          <w:szCs w:val="24"/>
        </w:rPr>
        <w:t>these kinds of decisions</w:t>
      </w:r>
      <w:r w:rsidRPr="00947996">
        <w:rPr>
          <w:rFonts w:ascii="Times New Roman" w:hAnsi="Times New Roman" w:cs="Times New Roman"/>
          <w:sz w:val="24"/>
          <w:szCs w:val="24"/>
        </w:rPr>
        <w:t xml:space="preserve"> are not easy to take just seeing some amounts in the financial statement. We need to know what the amounts actually represent and what are the relation between the financial events? That is where we need financial statement analysis. Financial statement analysis is an extraordinarily powerful tool for the different types of users of financial statements. Financial statements draw a picture of the business that is brought into focus with financial statement analysis</w:t>
      </w:r>
      <w:sdt>
        <w:sdtPr>
          <w:rPr>
            <w:rFonts w:ascii="Times New Roman" w:hAnsi="Times New Roman" w:cs="Times New Roman"/>
            <w:sz w:val="24"/>
            <w:szCs w:val="24"/>
          </w:rPr>
          <w:id w:val="-1218277440"/>
          <w:citation/>
        </w:sdtPr>
        <w:sdtContent>
          <w:r w:rsidR="00C977B0">
            <w:rPr>
              <w:rFonts w:ascii="Times New Roman" w:hAnsi="Times New Roman" w:cs="Times New Roman"/>
              <w:sz w:val="24"/>
              <w:szCs w:val="24"/>
            </w:rPr>
            <w:fldChar w:fldCharType="begin"/>
          </w:r>
          <w:r w:rsidR="00C977B0">
            <w:rPr>
              <w:rFonts w:ascii="Times New Roman" w:hAnsi="Times New Roman" w:cs="Times New Roman"/>
              <w:sz w:val="24"/>
              <w:szCs w:val="24"/>
              <w:lang w:val="en-SG"/>
            </w:rPr>
            <w:instrText xml:space="preserve"> CITATION Pen13 \l 18441 </w:instrText>
          </w:r>
          <w:r w:rsidR="00C977B0">
            <w:rPr>
              <w:rFonts w:ascii="Times New Roman" w:hAnsi="Times New Roman" w:cs="Times New Roman"/>
              <w:sz w:val="24"/>
              <w:szCs w:val="24"/>
            </w:rPr>
            <w:fldChar w:fldCharType="separate"/>
          </w:r>
          <w:r w:rsidR="007C5EAF">
            <w:rPr>
              <w:rFonts w:ascii="Times New Roman" w:hAnsi="Times New Roman" w:cs="Times New Roman"/>
              <w:noProof/>
              <w:sz w:val="24"/>
              <w:szCs w:val="24"/>
              <w:lang w:val="en-SG"/>
            </w:rPr>
            <w:t xml:space="preserve"> </w:t>
          </w:r>
          <w:r w:rsidR="007C5EAF" w:rsidRPr="007C5EAF">
            <w:rPr>
              <w:rFonts w:ascii="Times New Roman" w:hAnsi="Times New Roman" w:cs="Times New Roman"/>
              <w:noProof/>
              <w:sz w:val="24"/>
              <w:szCs w:val="24"/>
              <w:lang w:val="en-SG"/>
            </w:rPr>
            <w:t>(Penman, 2013)</w:t>
          </w:r>
          <w:r w:rsidR="00C977B0">
            <w:rPr>
              <w:rFonts w:ascii="Times New Roman" w:hAnsi="Times New Roman" w:cs="Times New Roman"/>
              <w:sz w:val="24"/>
              <w:szCs w:val="24"/>
            </w:rPr>
            <w:fldChar w:fldCharType="end"/>
          </w:r>
        </w:sdtContent>
      </w:sdt>
      <w:r w:rsidR="00B85BCF">
        <w:rPr>
          <w:rFonts w:ascii="Times New Roman" w:hAnsi="Times New Roman" w:cs="Times New Roman"/>
          <w:sz w:val="24"/>
          <w:szCs w:val="24"/>
        </w:rPr>
        <w:t xml:space="preserve">. </w:t>
      </w:r>
    </w:p>
    <w:p w14:paraId="744D373F" w14:textId="77777777" w:rsidR="00B01CDA" w:rsidRPr="00947996" w:rsidRDefault="00B01CDA" w:rsidP="00B01CDA">
      <w:pPr>
        <w:spacing w:line="360" w:lineRule="auto"/>
        <w:jc w:val="both"/>
        <w:rPr>
          <w:rFonts w:ascii="Times New Roman" w:hAnsi="Times New Roman" w:cs="Times New Roman"/>
          <w:sz w:val="24"/>
          <w:szCs w:val="24"/>
        </w:rPr>
      </w:pPr>
      <w:r w:rsidRPr="00947996">
        <w:rPr>
          <w:rFonts w:ascii="Times New Roman" w:hAnsi="Times New Roman" w:cs="Times New Roman"/>
          <w:sz w:val="24"/>
          <w:szCs w:val="24"/>
        </w:rPr>
        <w:t>The process of studying the performance of a company in the context of its industry and economic environment is called financial analysis. The purpose is to arrive a</w:t>
      </w:r>
      <w:r>
        <w:rPr>
          <w:rFonts w:ascii="Times New Roman" w:hAnsi="Times New Roman" w:cs="Times New Roman"/>
          <w:sz w:val="24"/>
          <w:szCs w:val="24"/>
        </w:rPr>
        <w:t>t a decision or recommendation</w:t>
      </w:r>
      <w:sdt>
        <w:sdtPr>
          <w:rPr>
            <w:rFonts w:ascii="Times New Roman" w:hAnsi="Times New Roman" w:cs="Times New Roman"/>
            <w:sz w:val="24"/>
            <w:szCs w:val="24"/>
          </w:rPr>
          <w:id w:val="-414712765"/>
          <w:citation/>
        </w:sdtPr>
        <w:sdtContent>
          <w:r w:rsidR="00C4397E">
            <w:rPr>
              <w:rFonts w:ascii="Times New Roman" w:hAnsi="Times New Roman" w:cs="Times New Roman"/>
              <w:sz w:val="24"/>
              <w:szCs w:val="24"/>
            </w:rPr>
            <w:fldChar w:fldCharType="begin"/>
          </w:r>
          <w:r w:rsidR="00C4397E">
            <w:rPr>
              <w:rFonts w:ascii="Times New Roman" w:hAnsi="Times New Roman" w:cs="Times New Roman"/>
              <w:sz w:val="24"/>
              <w:szCs w:val="24"/>
              <w:lang w:val="en-SG"/>
            </w:rPr>
            <w:instrText xml:space="preserve">CITATION CFA \l 18441 </w:instrText>
          </w:r>
          <w:r w:rsidR="00C4397E">
            <w:rPr>
              <w:rFonts w:ascii="Times New Roman" w:hAnsi="Times New Roman" w:cs="Times New Roman"/>
              <w:sz w:val="24"/>
              <w:szCs w:val="24"/>
            </w:rPr>
            <w:fldChar w:fldCharType="separate"/>
          </w:r>
          <w:r w:rsidR="007C5EAF">
            <w:rPr>
              <w:rFonts w:ascii="Times New Roman" w:hAnsi="Times New Roman" w:cs="Times New Roman"/>
              <w:noProof/>
              <w:sz w:val="24"/>
              <w:szCs w:val="24"/>
              <w:lang w:val="en-SG"/>
            </w:rPr>
            <w:t xml:space="preserve"> </w:t>
          </w:r>
          <w:r w:rsidR="007C5EAF" w:rsidRPr="007C5EAF">
            <w:rPr>
              <w:rFonts w:ascii="Times New Roman" w:hAnsi="Times New Roman" w:cs="Times New Roman"/>
              <w:noProof/>
              <w:sz w:val="24"/>
              <w:szCs w:val="24"/>
              <w:lang w:val="en-SG"/>
            </w:rPr>
            <w:t>(CFA Institute, n.d.)</w:t>
          </w:r>
          <w:r w:rsidR="00C4397E">
            <w:rPr>
              <w:rFonts w:ascii="Times New Roman" w:hAnsi="Times New Roman" w:cs="Times New Roman"/>
              <w:sz w:val="24"/>
              <w:szCs w:val="24"/>
            </w:rPr>
            <w:fldChar w:fldCharType="end"/>
          </w:r>
        </w:sdtContent>
      </w:sdt>
      <w:r>
        <w:rPr>
          <w:rFonts w:ascii="Times New Roman" w:hAnsi="Times New Roman" w:cs="Times New Roman"/>
          <w:sz w:val="24"/>
          <w:szCs w:val="24"/>
        </w:rPr>
        <w:t>.</w:t>
      </w:r>
      <w:r w:rsidR="00C4397E">
        <w:rPr>
          <w:rFonts w:ascii="Times New Roman" w:hAnsi="Times New Roman" w:cs="Times New Roman"/>
          <w:sz w:val="24"/>
          <w:szCs w:val="24"/>
        </w:rPr>
        <w:t xml:space="preserve"> </w:t>
      </w:r>
      <w:r w:rsidRPr="00947996">
        <w:rPr>
          <w:rFonts w:ascii="Times New Roman" w:hAnsi="Times New Roman" w:cs="Times New Roman"/>
          <w:sz w:val="24"/>
          <w:szCs w:val="24"/>
        </w:rPr>
        <w:t>It involves reviewing a company’s financial reports and obtaining an understandi</w:t>
      </w:r>
      <w:r w:rsidR="00C4397E">
        <w:rPr>
          <w:rFonts w:ascii="Times New Roman" w:hAnsi="Times New Roman" w:cs="Times New Roman"/>
          <w:sz w:val="24"/>
          <w:szCs w:val="24"/>
        </w:rPr>
        <w:t>ng of its financial situation</w:t>
      </w:r>
      <w:sdt>
        <w:sdtPr>
          <w:rPr>
            <w:rFonts w:ascii="Times New Roman" w:hAnsi="Times New Roman" w:cs="Times New Roman"/>
            <w:sz w:val="24"/>
            <w:szCs w:val="24"/>
          </w:rPr>
          <w:id w:val="610016992"/>
          <w:citation/>
        </w:sdtPr>
        <w:sdtContent>
          <w:r w:rsidR="00C4397E">
            <w:rPr>
              <w:rFonts w:ascii="Times New Roman" w:hAnsi="Times New Roman" w:cs="Times New Roman"/>
              <w:sz w:val="24"/>
              <w:szCs w:val="24"/>
            </w:rPr>
            <w:fldChar w:fldCharType="begin"/>
          </w:r>
          <w:r w:rsidR="00C4397E">
            <w:rPr>
              <w:rFonts w:ascii="Times New Roman" w:hAnsi="Times New Roman" w:cs="Times New Roman"/>
              <w:sz w:val="24"/>
              <w:szCs w:val="24"/>
              <w:lang w:val="en-SG"/>
            </w:rPr>
            <w:instrText xml:space="preserve"> CITATION Ste19 \l 18441 </w:instrText>
          </w:r>
          <w:r w:rsidR="00C4397E">
            <w:rPr>
              <w:rFonts w:ascii="Times New Roman" w:hAnsi="Times New Roman" w:cs="Times New Roman"/>
              <w:sz w:val="24"/>
              <w:szCs w:val="24"/>
            </w:rPr>
            <w:fldChar w:fldCharType="separate"/>
          </w:r>
          <w:r w:rsidR="007C5EAF">
            <w:rPr>
              <w:rFonts w:ascii="Times New Roman" w:hAnsi="Times New Roman" w:cs="Times New Roman"/>
              <w:noProof/>
              <w:sz w:val="24"/>
              <w:szCs w:val="24"/>
              <w:lang w:val="en-SG"/>
            </w:rPr>
            <w:t xml:space="preserve"> </w:t>
          </w:r>
          <w:r w:rsidR="007C5EAF" w:rsidRPr="007C5EAF">
            <w:rPr>
              <w:rFonts w:ascii="Times New Roman" w:hAnsi="Times New Roman" w:cs="Times New Roman"/>
              <w:noProof/>
              <w:sz w:val="24"/>
              <w:szCs w:val="24"/>
              <w:lang w:val="en-SG"/>
            </w:rPr>
            <w:t>(Bragg, 2019)</w:t>
          </w:r>
          <w:r w:rsidR="00C4397E">
            <w:rPr>
              <w:rFonts w:ascii="Times New Roman" w:hAnsi="Times New Roman" w:cs="Times New Roman"/>
              <w:sz w:val="24"/>
              <w:szCs w:val="24"/>
            </w:rPr>
            <w:fldChar w:fldCharType="end"/>
          </w:r>
        </w:sdtContent>
      </w:sdt>
      <w:r w:rsidRPr="00947996">
        <w:rPr>
          <w:rFonts w:ascii="Times New Roman" w:hAnsi="Times New Roman" w:cs="Times New Roman"/>
          <w:sz w:val="24"/>
          <w:szCs w:val="24"/>
        </w:rPr>
        <w:t>.</w:t>
      </w:r>
    </w:p>
    <w:p w14:paraId="514D6E43" w14:textId="77777777" w:rsidR="00B01CDA" w:rsidRPr="00947996" w:rsidRDefault="00B01CDA" w:rsidP="00B01CDA">
      <w:pPr>
        <w:spacing w:line="360" w:lineRule="auto"/>
        <w:jc w:val="both"/>
        <w:rPr>
          <w:rFonts w:ascii="Times New Roman" w:hAnsi="Times New Roman" w:cs="Times New Roman"/>
          <w:sz w:val="24"/>
          <w:szCs w:val="24"/>
        </w:rPr>
      </w:pPr>
      <w:r w:rsidRPr="00947996">
        <w:rPr>
          <w:rFonts w:ascii="Times New Roman" w:hAnsi="Times New Roman" w:cs="Times New Roman"/>
          <w:sz w:val="24"/>
          <w:szCs w:val="24"/>
        </w:rPr>
        <w:t xml:space="preserve">This review concern about identifying the following items for a company's financial statements over a series of reporting periods: </w:t>
      </w:r>
    </w:p>
    <w:p w14:paraId="228BDC47" w14:textId="77777777" w:rsidR="00B01CDA" w:rsidRPr="00947996" w:rsidRDefault="00B01CDA" w:rsidP="00B01CDA">
      <w:pPr>
        <w:spacing w:line="360" w:lineRule="auto"/>
        <w:jc w:val="both"/>
        <w:rPr>
          <w:rFonts w:ascii="Times New Roman" w:hAnsi="Times New Roman" w:cs="Times New Roman"/>
          <w:sz w:val="24"/>
          <w:szCs w:val="24"/>
        </w:rPr>
      </w:pPr>
    </w:p>
    <w:p w14:paraId="6A8E64C2" w14:textId="1BDD7423" w:rsidR="00B01CDA" w:rsidRPr="00947996" w:rsidRDefault="00B01CDA" w:rsidP="00B01CDA">
      <w:pPr>
        <w:pStyle w:val="ListParagraph"/>
        <w:numPr>
          <w:ilvl w:val="0"/>
          <w:numId w:val="2"/>
        </w:numPr>
        <w:spacing w:line="360" w:lineRule="auto"/>
        <w:jc w:val="both"/>
        <w:rPr>
          <w:rFonts w:ascii="Times New Roman" w:hAnsi="Times New Roman" w:cs="Times New Roman"/>
          <w:sz w:val="24"/>
          <w:szCs w:val="24"/>
        </w:rPr>
      </w:pPr>
      <w:r w:rsidRPr="00947996">
        <w:rPr>
          <w:rFonts w:ascii="Times New Roman" w:hAnsi="Times New Roman" w:cs="Times New Roman"/>
          <w:b/>
          <w:sz w:val="24"/>
          <w:szCs w:val="24"/>
        </w:rPr>
        <w:lastRenderedPageBreak/>
        <w:t>Trends-</w:t>
      </w:r>
      <w:r w:rsidRPr="00947996">
        <w:rPr>
          <w:rFonts w:ascii="Times New Roman" w:hAnsi="Times New Roman" w:cs="Times New Roman"/>
          <w:sz w:val="24"/>
          <w:szCs w:val="24"/>
        </w:rPr>
        <w:t xml:space="preserve"> Financial statement analysis create trend lines for the key items of the financial statements over multiple time periods. It </w:t>
      </w:r>
      <w:r w:rsidR="009F71F1" w:rsidRPr="00947996">
        <w:rPr>
          <w:rFonts w:ascii="Times New Roman" w:hAnsi="Times New Roman" w:cs="Times New Roman"/>
          <w:sz w:val="24"/>
          <w:szCs w:val="24"/>
        </w:rPr>
        <w:t>helps</w:t>
      </w:r>
      <w:r w:rsidRPr="00947996">
        <w:rPr>
          <w:rFonts w:ascii="Times New Roman" w:hAnsi="Times New Roman" w:cs="Times New Roman"/>
          <w:sz w:val="24"/>
          <w:szCs w:val="24"/>
        </w:rPr>
        <w:t xml:space="preserve"> us to see how the company is performing. Typical trend lines are for revenue, the gross margin, net profits, cash, accounts receivable, and debt.</w:t>
      </w:r>
    </w:p>
    <w:p w14:paraId="73BC65ED" w14:textId="77777777" w:rsidR="00B01CDA" w:rsidRPr="00947996" w:rsidRDefault="00B01CDA" w:rsidP="00B01CDA">
      <w:pPr>
        <w:pStyle w:val="ListParagraph"/>
        <w:numPr>
          <w:ilvl w:val="0"/>
          <w:numId w:val="2"/>
        </w:numPr>
        <w:spacing w:line="360" w:lineRule="auto"/>
        <w:jc w:val="both"/>
        <w:rPr>
          <w:rFonts w:ascii="Times New Roman" w:hAnsi="Times New Roman" w:cs="Times New Roman"/>
          <w:sz w:val="24"/>
          <w:szCs w:val="24"/>
        </w:rPr>
      </w:pPr>
      <w:r w:rsidRPr="00947996">
        <w:rPr>
          <w:rFonts w:ascii="Times New Roman" w:hAnsi="Times New Roman" w:cs="Times New Roman"/>
          <w:b/>
          <w:sz w:val="24"/>
          <w:szCs w:val="24"/>
        </w:rPr>
        <w:t>Proportion Analysis</w:t>
      </w:r>
      <w:r w:rsidRPr="00947996">
        <w:rPr>
          <w:rFonts w:ascii="Times New Roman" w:hAnsi="Times New Roman" w:cs="Times New Roman"/>
          <w:sz w:val="24"/>
          <w:szCs w:val="24"/>
        </w:rPr>
        <w:t>- A group of ratios are available for enlightened the relationship between the sizes of various accounts in the financial statements. For example, we can calculate a company's quick ratio to estimate its ability to pay its immediate debt, or its debt to equity ratio to see if it has taken on too much debt. These analyses are frequently between the revenues and expenses listed on the income statement and the assets, liabilities, and equity accounts listed on the balance sheet.</w:t>
      </w:r>
    </w:p>
    <w:p w14:paraId="1D9F342E" w14:textId="77777777" w:rsidR="00B01CDA" w:rsidRPr="007D7E06" w:rsidRDefault="00B01CDA" w:rsidP="00B01CDA">
      <w:pPr>
        <w:spacing w:line="360" w:lineRule="auto"/>
        <w:jc w:val="both"/>
        <w:rPr>
          <w:rFonts w:ascii="Times New Roman" w:hAnsi="Times New Roman" w:cs="Times New Roman"/>
          <w:b/>
          <w:color w:val="365F91" w:themeColor="accent1" w:themeShade="BF"/>
          <w:sz w:val="24"/>
          <w:szCs w:val="24"/>
        </w:rPr>
      </w:pPr>
      <w:r w:rsidRPr="007D7E06">
        <w:rPr>
          <w:rFonts w:ascii="Times New Roman" w:hAnsi="Times New Roman" w:cs="Times New Roman"/>
          <w:b/>
          <w:color w:val="365F91" w:themeColor="accent1" w:themeShade="BF"/>
          <w:sz w:val="24"/>
          <w:szCs w:val="24"/>
        </w:rPr>
        <w:t>Comparative Analysis</w:t>
      </w:r>
    </w:p>
    <w:p w14:paraId="7FA17E95" w14:textId="6F26D704" w:rsidR="00B01CDA" w:rsidRPr="00947996" w:rsidRDefault="00B01CDA" w:rsidP="00B01CDA">
      <w:pPr>
        <w:spacing w:line="360" w:lineRule="auto"/>
        <w:jc w:val="both"/>
        <w:rPr>
          <w:rFonts w:ascii="Times New Roman" w:hAnsi="Times New Roman" w:cs="Times New Roman"/>
          <w:sz w:val="24"/>
          <w:szCs w:val="24"/>
        </w:rPr>
      </w:pPr>
      <w:r w:rsidRPr="00947996">
        <w:rPr>
          <w:rFonts w:ascii="Times New Roman" w:hAnsi="Times New Roman" w:cs="Times New Roman"/>
          <w:sz w:val="24"/>
          <w:szCs w:val="24"/>
        </w:rPr>
        <w:t>Each element reported in a financial statement is important. But how do we know that what really the amount of these element</w:t>
      </w:r>
      <w:r w:rsidR="009F71F1">
        <w:rPr>
          <w:rFonts w:ascii="Times New Roman" w:hAnsi="Times New Roman" w:cs="Times New Roman"/>
          <w:sz w:val="24"/>
          <w:szCs w:val="24"/>
        </w:rPr>
        <w:t>s</w:t>
      </w:r>
      <w:r w:rsidRPr="00947996">
        <w:rPr>
          <w:rFonts w:ascii="Times New Roman" w:hAnsi="Times New Roman" w:cs="Times New Roman"/>
          <w:sz w:val="24"/>
          <w:szCs w:val="24"/>
        </w:rPr>
        <w:t xml:space="preserve"> represent? What is the relation between this year’s amount and prior year’s amount? To understand these </w:t>
      </w:r>
      <w:r w:rsidR="009F71F1" w:rsidRPr="00947996">
        <w:rPr>
          <w:rFonts w:ascii="Times New Roman" w:hAnsi="Times New Roman" w:cs="Times New Roman"/>
          <w:sz w:val="24"/>
          <w:szCs w:val="24"/>
        </w:rPr>
        <w:t>issues,</w:t>
      </w:r>
      <w:r w:rsidRPr="00947996">
        <w:rPr>
          <w:rFonts w:ascii="Times New Roman" w:hAnsi="Times New Roman" w:cs="Times New Roman"/>
          <w:sz w:val="24"/>
          <w:szCs w:val="24"/>
        </w:rPr>
        <w:t xml:space="preserve"> we need to compare one amount with other financial data. Financial statement analysis helps us in this comparison. There is a number of bases on which comparison can be done. </w:t>
      </w:r>
    </w:p>
    <w:p w14:paraId="71820AF8" w14:textId="22018C4D" w:rsidR="00B01CDA" w:rsidRPr="00947996" w:rsidRDefault="00B01CDA" w:rsidP="00B01CDA">
      <w:pPr>
        <w:pStyle w:val="ListParagraph"/>
        <w:numPr>
          <w:ilvl w:val="0"/>
          <w:numId w:val="3"/>
        </w:numPr>
        <w:spacing w:line="360" w:lineRule="auto"/>
        <w:jc w:val="both"/>
        <w:rPr>
          <w:rFonts w:ascii="Times New Roman" w:hAnsi="Times New Roman" w:cs="Times New Roman"/>
          <w:b/>
          <w:sz w:val="24"/>
          <w:szCs w:val="24"/>
        </w:rPr>
      </w:pPr>
      <w:r w:rsidRPr="00947996">
        <w:rPr>
          <w:rFonts w:ascii="Times New Roman" w:hAnsi="Times New Roman" w:cs="Times New Roman"/>
          <w:b/>
          <w:sz w:val="24"/>
          <w:szCs w:val="24"/>
        </w:rPr>
        <w:t xml:space="preserve">Intracompany Basis: </w:t>
      </w:r>
      <w:r w:rsidRPr="00947996">
        <w:rPr>
          <w:rFonts w:ascii="Times New Roman" w:hAnsi="Times New Roman" w:cs="Times New Roman"/>
          <w:sz w:val="24"/>
          <w:szCs w:val="24"/>
        </w:rPr>
        <w:t xml:space="preserve">To mark and understand any changes in trend of financial position, comparison within the company is necessary. This comparison </w:t>
      </w:r>
      <w:r w:rsidR="009F71F1" w:rsidRPr="00947996">
        <w:rPr>
          <w:rFonts w:ascii="Times New Roman" w:hAnsi="Times New Roman" w:cs="Times New Roman"/>
          <w:sz w:val="24"/>
          <w:szCs w:val="24"/>
        </w:rPr>
        <w:t>helps</w:t>
      </w:r>
      <w:r w:rsidRPr="00947996">
        <w:rPr>
          <w:rFonts w:ascii="Times New Roman" w:hAnsi="Times New Roman" w:cs="Times New Roman"/>
          <w:sz w:val="24"/>
          <w:szCs w:val="24"/>
        </w:rPr>
        <w:t xml:space="preserve"> us to understand if our company is having more or less success than the prior years and in which point company is making profit or which is the trouble area.</w:t>
      </w:r>
    </w:p>
    <w:p w14:paraId="24EBBB37" w14:textId="77777777" w:rsidR="00B01CDA" w:rsidRPr="00947996" w:rsidRDefault="00B01CDA" w:rsidP="00B01CDA">
      <w:pPr>
        <w:pStyle w:val="ListParagraph"/>
        <w:numPr>
          <w:ilvl w:val="0"/>
          <w:numId w:val="3"/>
        </w:numPr>
        <w:spacing w:line="360" w:lineRule="auto"/>
        <w:jc w:val="both"/>
        <w:rPr>
          <w:rFonts w:ascii="Times New Roman" w:hAnsi="Times New Roman" w:cs="Times New Roman"/>
          <w:b/>
          <w:sz w:val="24"/>
          <w:szCs w:val="24"/>
        </w:rPr>
      </w:pPr>
      <w:r w:rsidRPr="00947996">
        <w:rPr>
          <w:rFonts w:ascii="Times New Roman" w:hAnsi="Times New Roman" w:cs="Times New Roman"/>
          <w:b/>
          <w:sz w:val="24"/>
          <w:szCs w:val="24"/>
        </w:rPr>
        <w:t xml:space="preserve">Industry Basis: </w:t>
      </w:r>
      <w:r w:rsidRPr="00947996">
        <w:rPr>
          <w:rFonts w:ascii="Times New Roman" w:hAnsi="Times New Roman" w:cs="Times New Roman"/>
          <w:sz w:val="24"/>
          <w:szCs w:val="24"/>
        </w:rPr>
        <w:t>Here we compare company’s amounts with industry average. This tells us our company’s position within the industry. If our company can maintain the industry’s standard or it can gain more than that or it can not touch it.</w:t>
      </w:r>
    </w:p>
    <w:p w14:paraId="0279EED9" w14:textId="77777777" w:rsidR="00B01CDA" w:rsidRPr="00947996" w:rsidRDefault="00B01CDA" w:rsidP="00B01CDA">
      <w:pPr>
        <w:pStyle w:val="ListParagraph"/>
        <w:numPr>
          <w:ilvl w:val="0"/>
          <w:numId w:val="3"/>
        </w:numPr>
        <w:spacing w:line="360" w:lineRule="auto"/>
        <w:jc w:val="both"/>
        <w:rPr>
          <w:rFonts w:ascii="Times New Roman" w:hAnsi="Times New Roman" w:cs="Times New Roman"/>
          <w:sz w:val="24"/>
          <w:szCs w:val="24"/>
        </w:rPr>
      </w:pPr>
      <w:r w:rsidRPr="00947996">
        <w:rPr>
          <w:rFonts w:ascii="Times New Roman" w:hAnsi="Times New Roman" w:cs="Times New Roman"/>
          <w:b/>
          <w:sz w:val="24"/>
          <w:szCs w:val="24"/>
        </w:rPr>
        <w:t xml:space="preserve">Intercompany Basis: </w:t>
      </w:r>
      <w:r w:rsidRPr="00947996">
        <w:rPr>
          <w:rFonts w:ascii="Times New Roman" w:hAnsi="Times New Roman" w:cs="Times New Roman"/>
          <w:sz w:val="24"/>
          <w:szCs w:val="24"/>
        </w:rPr>
        <w:t>Comparing our company with others is important. It helps us to understand the competition. Investors can know in which company he/she should invest</w:t>
      </w:r>
      <w:sdt>
        <w:sdtPr>
          <w:rPr>
            <w:rFonts w:ascii="Times New Roman" w:hAnsi="Times New Roman" w:cs="Times New Roman"/>
            <w:sz w:val="24"/>
            <w:szCs w:val="24"/>
          </w:rPr>
          <w:id w:val="-1328053873"/>
          <w:citation/>
        </w:sdtPr>
        <w:sdtContent>
          <w:r w:rsidR="00B85BCF">
            <w:rPr>
              <w:rFonts w:ascii="Times New Roman" w:hAnsi="Times New Roman" w:cs="Times New Roman"/>
              <w:sz w:val="24"/>
              <w:szCs w:val="24"/>
            </w:rPr>
            <w:fldChar w:fldCharType="begin"/>
          </w:r>
          <w:r w:rsidR="00B85BCF">
            <w:rPr>
              <w:rFonts w:ascii="Times New Roman" w:hAnsi="Times New Roman" w:cs="Times New Roman"/>
              <w:sz w:val="24"/>
              <w:szCs w:val="24"/>
              <w:lang w:val="en-SG"/>
            </w:rPr>
            <w:instrText xml:space="preserve">CITATION Placeholder1 \l 18441 </w:instrText>
          </w:r>
          <w:r w:rsidR="00B85BCF">
            <w:rPr>
              <w:rFonts w:ascii="Times New Roman" w:hAnsi="Times New Roman" w:cs="Times New Roman"/>
              <w:sz w:val="24"/>
              <w:szCs w:val="24"/>
            </w:rPr>
            <w:fldChar w:fldCharType="separate"/>
          </w:r>
          <w:r w:rsidR="007C5EAF">
            <w:rPr>
              <w:rFonts w:ascii="Times New Roman" w:hAnsi="Times New Roman" w:cs="Times New Roman"/>
              <w:noProof/>
              <w:sz w:val="24"/>
              <w:szCs w:val="24"/>
              <w:lang w:val="en-SG"/>
            </w:rPr>
            <w:t xml:space="preserve"> </w:t>
          </w:r>
          <w:r w:rsidR="007C5EAF" w:rsidRPr="007C5EAF">
            <w:rPr>
              <w:rFonts w:ascii="Times New Roman" w:hAnsi="Times New Roman" w:cs="Times New Roman"/>
              <w:noProof/>
              <w:sz w:val="24"/>
              <w:szCs w:val="24"/>
              <w:lang w:val="en-SG"/>
            </w:rPr>
            <w:t>(Jerry J. Weygandt)</w:t>
          </w:r>
          <w:r w:rsidR="00B85BCF">
            <w:rPr>
              <w:rFonts w:ascii="Times New Roman" w:hAnsi="Times New Roman" w:cs="Times New Roman"/>
              <w:sz w:val="24"/>
              <w:szCs w:val="24"/>
            </w:rPr>
            <w:fldChar w:fldCharType="end"/>
          </w:r>
        </w:sdtContent>
      </w:sdt>
      <w:r w:rsidRPr="00947996">
        <w:rPr>
          <w:rFonts w:ascii="Times New Roman" w:hAnsi="Times New Roman" w:cs="Times New Roman"/>
          <w:sz w:val="24"/>
          <w:szCs w:val="24"/>
        </w:rPr>
        <w:t>.</w:t>
      </w:r>
    </w:p>
    <w:p w14:paraId="1ACCA159" w14:textId="77777777" w:rsidR="00B01CDA" w:rsidRPr="007D7E06" w:rsidRDefault="00B01CDA" w:rsidP="00B01CDA">
      <w:pPr>
        <w:spacing w:line="360" w:lineRule="auto"/>
        <w:jc w:val="both"/>
        <w:rPr>
          <w:rFonts w:ascii="Times New Roman" w:hAnsi="Times New Roman" w:cs="Times New Roman"/>
          <w:b/>
          <w:color w:val="365F91" w:themeColor="accent1" w:themeShade="BF"/>
          <w:sz w:val="24"/>
          <w:szCs w:val="24"/>
        </w:rPr>
      </w:pPr>
      <w:r w:rsidRPr="007D7E06">
        <w:rPr>
          <w:rFonts w:ascii="Times New Roman" w:hAnsi="Times New Roman" w:cs="Times New Roman"/>
          <w:b/>
          <w:color w:val="365F91" w:themeColor="accent1" w:themeShade="BF"/>
          <w:sz w:val="24"/>
          <w:szCs w:val="24"/>
        </w:rPr>
        <w:t>Steps to an Effective Financial Statement Analysis</w:t>
      </w:r>
    </w:p>
    <w:p w14:paraId="375694BF" w14:textId="77777777" w:rsidR="00B01CDA" w:rsidRPr="00947996" w:rsidRDefault="00B01CDA" w:rsidP="00B01CDA">
      <w:pPr>
        <w:spacing w:line="360" w:lineRule="auto"/>
        <w:jc w:val="both"/>
        <w:rPr>
          <w:rFonts w:ascii="Times New Roman" w:hAnsi="Times New Roman" w:cs="Times New Roman"/>
          <w:sz w:val="24"/>
          <w:szCs w:val="24"/>
        </w:rPr>
      </w:pPr>
      <w:r w:rsidRPr="00947996">
        <w:rPr>
          <w:rFonts w:ascii="Times New Roman" w:hAnsi="Times New Roman" w:cs="Times New Roman"/>
          <w:sz w:val="24"/>
          <w:szCs w:val="24"/>
        </w:rPr>
        <w:t>For analyzing financial statement, it is important to know how to do it effectively so that we can get the accurate result from it. The effectiveness requires an understanding of three key areas:</w:t>
      </w:r>
    </w:p>
    <w:p w14:paraId="0F9543D3" w14:textId="77777777" w:rsidR="00B01CDA" w:rsidRPr="00947996" w:rsidRDefault="00B01CDA" w:rsidP="00B01CDA">
      <w:pPr>
        <w:pStyle w:val="ListParagraph"/>
        <w:numPr>
          <w:ilvl w:val="0"/>
          <w:numId w:val="6"/>
        </w:numPr>
        <w:spacing w:line="360" w:lineRule="auto"/>
        <w:jc w:val="both"/>
        <w:rPr>
          <w:rFonts w:ascii="Times New Roman" w:hAnsi="Times New Roman" w:cs="Times New Roman"/>
          <w:sz w:val="24"/>
          <w:szCs w:val="24"/>
        </w:rPr>
      </w:pPr>
      <w:r w:rsidRPr="00947996">
        <w:rPr>
          <w:rFonts w:ascii="Times New Roman" w:hAnsi="Times New Roman" w:cs="Times New Roman"/>
          <w:sz w:val="24"/>
          <w:szCs w:val="24"/>
        </w:rPr>
        <w:lastRenderedPageBreak/>
        <w:t>The structure of the financial statements</w:t>
      </w:r>
    </w:p>
    <w:p w14:paraId="6C57A05C" w14:textId="77777777" w:rsidR="00B01CDA" w:rsidRPr="00947996" w:rsidRDefault="00B01CDA" w:rsidP="00B01CDA">
      <w:pPr>
        <w:pStyle w:val="ListParagraph"/>
        <w:numPr>
          <w:ilvl w:val="0"/>
          <w:numId w:val="6"/>
        </w:numPr>
        <w:spacing w:line="360" w:lineRule="auto"/>
        <w:jc w:val="both"/>
        <w:rPr>
          <w:rFonts w:ascii="Times New Roman" w:hAnsi="Times New Roman" w:cs="Times New Roman"/>
          <w:sz w:val="24"/>
          <w:szCs w:val="24"/>
        </w:rPr>
      </w:pPr>
      <w:r w:rsidRPr="00947996">
        <w:rPr>
          <w:rFonts w:ascii="Times New Roman" w:hAnsi="Times New Roman" w:cs="Times New Roman"/>
          <w:sz w:val="24"/>
          <w:szCs w:val="24"/>
        </w:rPr>
        <w:t>The economic characteristics of the industry in which the firm operates and</w:t>
      </w:r>
    </w:p>
    <w:p w14:paraId="78AFD7CA" w14:textId="77777777" w:rsidR="00B01CDA" w:rsidRPr="00947996" w:rsidRDefault="00B01CDA" w:rsidP="00B01CDA">
      <w:pPr>
        <w:pStyle w:val="ListParagraph"/>
        <w:numPr>
          <w:ilvl w:val="0"/>
          <w:numId w:val="6"/>
        </w:numPr>
        <w:spacing w:line="360" w:lineRule="auto"/>
        <w:jc w:val="both"/>
        <w:rPr>
          <w:rFonts w:ascii="Times New Roman" w:hAnsi="Times New Roman" w:cs="Times New Roman"/>
          <w:sz w:val="24"/>
          <w:szCs w:val="24"/>
        </w:rPr>
      </w:pPr>
      <w:r w:rsidRPr="00947996">
        <w:rPr>
          <w:rFonts w:ascii="Times New Roman" w:hAnsi="Times New Roman" w:cs="Times New Roman"/>
          <w:sz w:val="24"/>
          <w:szCs w:val="24"/>
        </w:rPr>
        <w:t>The strategies the firm pursues to differentiate itself from its competitors.</w:t>
      </w:r>
    </w:p>
    <w:p w14:paraId="0CF64FA8" w14:textId="77777777" w:rsidR="00B01CDA" w:rsidRPr="00947996" w:rsidRDefault="00B01CDA" w:rsidP="00B01CDA">
      <w:pPr>
        <w:spacing w:line="360" w:lineRule="auto"/>
        <w:jc w:val="both"/>
        <w:rPr>
          <w:rFonts w:ascii="Times New Roman" w:hAnsi="Times New Roman" w:cs="Times New Roman"/>
          <w:b/>
          <w:sz w:val="24"/>
          <w:szCs w:val="24"/>
        </w:rPr>
      </w:pPr>
      <w:r w:rsidRPr="00947996">
        <w:rPr>
          <w:rFonts w:ascii="Times New Roman" w:hAnsi="Times New Roman" w:cs="Times New Roman"/>
          <w:sz w:val="24"/>
          <w:szCs w:val="24"/>
        </w:rPr>
        <w:t>There are generally six steps to developing an effective analysis of financial statements. They are</w:t>
      </w:r>
      <w:r w:rsidRPr="00947996">
        <w:rPr>
          <w:rFonts w:ascii="Times New Roman" w:hAnsi="Times New Roman" w:cs="Times New Roman"/>
          <w:b/>
          <w:sz w:val="24"/>
          <w:szCs w:val="24"/>
        </w:rPr>
        <w:t xml:space="preserve">- </w:t>
      </w:r>
    </w:p>
    <w:p w14:paraId="605A8977" w14:textId="7B1BEA66" w:rsidR="00B01CDA" w:rsidRPr="00947996" w:rsidRDefault="00B01CDA" w:rsidP="00B01CDA">
      <w:pPr>
        <w:pStyle w:val="ListParagraph"/>
        <w:numPr>
          <w:ilvl w:val="0"/>
          <w:numId w:val="5"/>
        </w:numPr>
        <w:spacing w:line="360" w:lineRule="auto"/>
        <w:jc w:val="both"/>
        <w:rPr>
          <w:rFonts w:ascii="Times New Roman" w:hAnsi="Times New Roman" w:cs="Times New Roman"/>
          <w:sz w:val="24"/>
          <w:szCs w:val="24"/>
        </w:rPr>
      </w:pPr>
      <w:r w:rsidRPr="00947996">
        <w:rPr>
          <w:rFonts w:ascii="Times New Roman" w:hAnsi="Times New Roman" w:cs="Times New Roman"/>
          <w:b/>
          <w:sz w:val="24"/>
          <w:szCs w:val="24"/>
        </w:rPr>
        <w:t xml:space="preserve">Identify the Industry Economic Characteristics: </w:t>
      </w:r>
      <w:r w:rsidRPr="00947996">
        <w:rPr>
          <w:rFonts w:ascii="Times New Roman" w:hAnsi="Times New Roman" w:cs="Times New Roman"/>
          <w:sz w:val="24"/>
          <w:szCs w:val="24"/>
        </w:rPr>
        <w:t xml:space="preserve">We need to determine a value chain analysis for the industry we are working. The chain of activities involved in the creation, </w:t>
      </w:r>
      <w:r w:rsidR="009F71F1" w:rsidRPr="00947996">
        <w:rPr>
          <w:rFonts w:ascii="Times New Roman" w:hAnsi="Times New Roman" w:cs="Times New Roman"/>
          <w:sz w:val="24"/>
          <w:szCs w:val="24"/>
        </w:rPr>
        <w:t>manufacture,</w:t>
      </w:r>
      <w:r w:rsidRPr="00947996">
        <w:rPr>
          <w:rFonts w:ascii="Times New Roman" w:hAnsi="Times New Roman" w:cs="Times New Roman"/>
          <w:sz w:val="24"/>
          <w:szCs w:val="24"/>
        </w:rPr>
        <w:t xml:space="preserve"> and distribution of the firm’s products and/or services. Knowing </w:t>
      </w:r>
      <w:r w:rsidRPr="00947996">
        <w:rPr>
          <w:rFonts w:ascii="Times New Roman" w:hAnsi="Times New Roman" w:cs="Times New Roman"/>
          <w:color w:val="222222"/>
          <w:sz w:val="24"/>
          <w:szCs w:val="24"/>
          <w:shd w:val="clear" w:color="auto" w:fill="FFFFFF"/>
        </w:rPr>
        <w:t xml:space="preserve">company's competitive rivals, potential new market entrants, suppliers, customers, and substitute products is necessary to understand firm’s position in the industry. </w:t>
      </w:r>
    </w:p>
    <w:p w14:paraId="0C58853B" w14:textId="77777777" w:rsidR="00B01CDA" w:rsidRPr="00947996" w:rsidRDefault="00B01CDA" w:rsidP="00B01CDA">
      <w:pPr>
        <w:pStyle w:val="ListParagraph"/>
        <w:numPr>
          <w:ilvl w:val="0"/>
          <w:numId w:val="5"/>
        </w:numPr>
        <w:spacing w:line="360" w:lineRule="auto"/>
        <w:jc w:val="both"/>
        <w:rPr>
          <w:rFonts w:ascii="Times New Roman" w:hAnsi="Times New Roman" w:cs="Times New Roman"/>
          <w:sz w:val="24"/>
          <w:szCs w:val="24"/>
        </w:rPr>
      </w:pPr>
      <w:r w:rsidRPr="00947996">
        <w:rPr>
          <w:rFonts w:ascii="Times New Roman" w:hAnsi="Times New Roman" w:cs="Times New Roman"/>
          <w:b/>
          <w:sz w:val="24"/>
          <w:szCs w:val="24"/>
        </w:rPr>
        <w:t xml:space="preserve">Identify Company Strategies: </w:t>
      </w:r>
      <w:r w:rsidRPr="00947996">
        <w:rPr>
          <w:rFonts w:ascii="Times New Roman" w:hAnsi="Times New Roman" w:cs="Times New Roman"/>
          <w:sz w:val="24"/>
          <w:szCs w:val="24"/>
        </w:rPr>
        <w:t xml:space="preserve">Next, we need to understand the company’s strategy by looking at the nature of the product/service being offered by the company, the uniqueness of product, level of profit margins, and creation of brand loyalty and control of costs. </w:t>
      </w:r>
    </w:p>
    <w:p w14:paraId="3AFBEA99" w14:textId="45826873" w:rsidR="00B01CDA" w:rsidRPr="00947996" w:rsidRDefault="00B01CDA" w:rsidP="00B01CDA">
      <w:pPr>
        <w:pStyle w:val="ListParagraph"/>
        <w:numPr>
          <w:ilvl w:val="0"/>
          <w:numId w:val="5"/>
        </w:numPr>
        <w:spacing w:line="360" w:lineRule="auto"/>
        <w:jc w:val="both"/>
        <w:rPr>
          <w:rFonts w:ascii="Times New Roman" w:hAnsi="Times New Roman" w:cs="Times New Roman"/>
          <w:sz w:val="24"/>
          <w:szCs w:val="24"/>
        </w:rPr>
      </w:pPr>
      <w:r w:rsidRPr="00947996">
        <w:rPr>
          <w:rFonts w:ascii="Times New Roman" w:hAnsi="Times New Roman" w:cs="Times New Roman"/>
          <w:b/>
          <w:sz w:val="24"/>
          <w:szCs w:val="24"/>
        </w:rPr>
        <w:t xml:space="preserve">Assess the Quality of the Firm’s Financial Statements: </w:t>
      </w:r>
      <w:r w:rsidRPr="00947996">
        <w:rPr>
          <w:rFonts w:ascii="Times New Roman" w:hAnsi="Times New Roman" w:cs="Times New Roman"/>
          <w:sz w:val="24"/>
          <w:szCs w:val="24"/>
        </w:rPr>
        <w:t xml:space="preserve">Here we analysis the key financial statements on the basis of the relevant accounting standards. In case of balance sheet </w:t>
      </w:r>
      <w:r w:rsidR="009F71F1" w:rsidRPr="00947996">
        <w:rPr>
          <w:rFonts w:ascii="Times New Roman" w:hAnsi="Times New Roman" w:cs="Times New Roman"/>
          <w:sz w:val="24"/>
          <w:szCs w:val="24"/>
        </w:rPr>
        <w:t>accounts,</w:t>
      </w:r>
      <w:r w:rsidRPr="00947996">
        <w:rPr>
          <w:rFonts w:ascii="Times New Roman" w:hAnsi="Times New Roman" w:cs="Times New Roman"/>
          <w:sz w:val="24"/>
          <w:szCs w:val="24"/>
        </w:rPr>
        <w:t xml:space="preserve"> we mainly evaluate issues such as recognition, </w:t>
      </w:r>
      <w:r w:rsidR="00B86648" w:rsidRPr="00947996">
        <w:rPr>
          <w:rFonts w:ascii="Times New Roman" w:hAnsi="Times New Roman" w:cs="Times New Roman"/>
          <w:sz w:val="24"/>
          <w:szCs w:val="24"/>
        </w:rPr>
        <w:t>valuation,</w:t>
      </w:r>
      <w:r w:rsidRPr="00947996">
        <w:rPr>
          <w:rFonts w:ascii="Times New Roman" w:hAnsi="Times New Roman" w:cs="Times New Roman"/>
          <w:sz w:val="24"/>
          <w:szCs w:val="24"/>
        </w:rPr>
        <w:t xml:space="preserve"> and classification. Our main concern is if the balance sheet completely representing firm’s economic position. And in case of the income statement we evaluate if it is </w:t>
      </w:r>
      <w:r w:rsidR="00B86648" w:rsidRPr="00947996">
        <w:rPr>
          <w:rFonts w:ascii="Times New Roman" w:hAnsi="Times New Roman" w:cs="Times New Roman"/>
          <w:sz w:val="24"/>
          <w:szCs w:val="24"/>
        </w:rPr>
        <w:t>accurately assessing</w:t>
      </w:r>
      <w:r w:rsidRPr="00947996">
        <w:rPr>
          <w:rFonts w:ascii="Times New Roman" w:hAnsi="Times New Roman" w:cs="Times New Roman"/>
          <w:sz w:val="24"/>
          <w:szCs w:val="24"/>
        </w:rPr>
        <w:t xml:space="preserve"> the quality of earnings and completely representing firm’s economic performance. Evaluating the statement of cash flows helps in understanding the impact of the firm’s liquidity position from its operations, </w:t>
      </w:r>
      <w:r w:rsidR="00B86648" w:rsidRPr="00947996">
        <w:rPr>
          <w:rFonts w:ascii="Times New Roman" w:hAnsi="Times New Roman" w:cs="Times New Roman"/>
          <w:sz w:val="24"/>
          <w:szCs w:val="24"/>
        </w:rPr>
        <w:t>investments,</w:t>
      </w:r>
      <w:r w:rsidRPr="00947996">
        <w:rPr>
          <w:rFonts w:ascii="Times New Roman" w:hAnsi="Times New Roman" w:cs="Times New Roman"/>
          <w:sz w:val="24"/>
          <w:szCs w:val="24"/>
        </w:rPr>
        <w:t xml:space="preserve"> and financial activities over the period. And </w:t>
      </w:r>
      <w:r w:rsidR="00B86648" w:rsidRPr="00947996">
        <w:rPr>
          <w:rFonts w:ascii="Times New Roman" w:hAnsi="Times New Roman" w:cs="Times New Roman"/>
          <w:sz w:val="24"/>
          <w:szCs w:val="24"/>
        </w:rPr>
        <w:t>also,</w:t>
      </w:r>
      <w:r w:rsidRPr="00947996">
        <w:rPr>
          <w:rFonts w:ascii="Times New Roman" w:hAnsi="Times New Roman" w:cs="Times New Roman"/>
          <w:sz w:val="24"/>
          <w:szCs w:val="24"/>
        </w:rPr>
        <w:t xml:space="preserve"> it let us know where funds came from, where they went, and how the overall liquidity of the firm was affected.</w:t>
      </w:r>
    </w:p>
    <w:p w14:paraId="6D63B1F7" w14:textId="77777777" w:rsidR="00B01CDA" w:rsidRPr="00947996" w:rsidRDefault="00B01CDA" w:rsidP="00B01CDA">
      <w:pPr>
        <w:pStyle w:val="ListParagraph"/>
        <w:numPr>
          <w:ilvl w:val="0"/>
          <w:numId w:val="5"/>
        </w:numPr>
        <w:spacing w:line="360" w:lineRule="auto"/>
        <w:jc w:val="both"/>
        <w:rPr>
          <w:rFonts w:ascii="Times New Roman" w:hAnsi="Times New Roman" w:cs="Times New Roman"/>
          <w:sz w:val="24"/>
          <w:szCs w:val="24"/>
        </w:rPr>
      </w:pPr>
      <w:r w:rsidRPr="00947996">
        <w:rPr>
          <w:rFonts w:ascii="Times New Roman" w:hAnsi="Times New Roman" w:cs="Times New Roman"/>
          <w:b/>
          <w:sz w:val="24"/>
          <w:szCs w:val="24"/>
        </w:rPr>
        <w:t xml:space="preserve">Analyze Current Profitability and Risk: </w:t>
      </w:r>
      <w:r w:rsidRPr="00947996">
        <w:rPr>
          <w:rFonts w:ascii="Times New Roman" w:hAnsi="Times New Roman" w:cs="Times New Roman"/>
          <w:sz w:val="24"/>
          <w:szCs w:val="24"/>
        </w:rPr>
        <w:t xml:space="preserve">In this step financial professionals can really add value in the evaluation of the firm and its financial statements. The most common analysis tools are key financial statement ratios relating to liquidity, asset management, profitability, debt management/coverage and risk/market valuation. Two broad questions we asked about profitability-  </w:t>
      </w:r>
    </w:p>
    <w:p w14:paraId="24AF4E63" w14:textId="77777777" w:rsidR="00B01CDA" w:rsidRPr="00947996" w:rsidRDefault="00B01CDA" w:rsidP="00B01CDA">
      <w:pPr>
        <w:pStyle w:val="ListParagraph"/>
        <w:numPr>
          <w:ilvl w:val="0"/>
          <w:numId w:val="7"/>
        </w:numPr>
        <w:spacing w:line="360" w:lineRule="auto"/>
        <w:jc w:val="both"/>
        <w:rPr>
          <w:rFonts w:ascii="Times New Roman" w:hAnsi="Times New Roman" w:cs="Times New Roman"/>
          <w:sz w:val="24"/>
          <w:szCs w:val="24"/>
        </w:rPr>
      </w:pPr>
      <w:r w:rsidRPr="00947996">
        <w:rPr>
          <w:rFonts w:ascii="Times New Roman" w:hAnsi="Times New Roman" w:cs="Times New Roman"/>
          <w:sz w:val="24"/>
          <w:szCs w:val="24"/>
        </w:rPr>
        <w:t>How profitable are the operations of the firm relative to its asset and how the firm finances those assets?</w:t>
      </w:r>
    </w:p>
    <w:p w14:paraId="745EF6F7" w14:textId="77777777" w:rsidR="00B01CDA" w:rsidRPr="00947996" w:rsidRDefault="00B01CDA" w:rsidP="00B01CDA">
      <w:pPr>
        <w:pStyle w:val="ListParagraph"/>
        <w:numPr>
          <w:ilvl w:val="0"/>
          <w:numId w:val="7"/>
        </w:numPr>
        <w:spacing w:line="360" w:lineRule="auto"/>
        <w:jc w:val="both"/>
        <w:rPr>
          <w:rFonts w:ascii="Times New Roman" w:hAnsi="Times New Roman" w:cs="Times New Roman"/>
          <w:sz w:val="24"/>
          <w:szCs w:val="24"/>
        </w:rPr>
      </w:pPr>
      <w:r w:rsidRPr="00947996">
        <w:rPr>
          <w:rFonts w:ascii="Times New Roman" w:hAnsi="Times New Roman" w:cs="Times New Roman"/>
          <w:sz w:val="24"/>
          <w:szCs w:val="24"/>
        </w:rPr>
        <w:lastRenderedPageBreak/>
        <w:t>How profitable is the firm from the perspective of the equity shareholders?</w:t>
      </w:r>
    </w:p>
    <w:p w14:paraId="7A355B1C" w14:textId="77777777" w:rsidR="00B01CDA" w:rsidRPr="00947996" w:rsidRDefault="00B01CDA" w:rsidP="00B01CDA">
      <w:pPr>
        <w:pStyle w:val="ListParagraph"/>
        <w:spacing w:line="360" w:lineRule="auto"/>
        <w:jc w:val="both"/>
        <w:rPr>
          <w:rFonts w:ascii="Times New Roman" w:hAnsi="Times New Roman" w:cs="Times New Roman"/>
          <w:sz w:val="24"/>
          <w:szCs w:val="24"/>
        </w:rPr>
      </w:pPr>
      <w:r w:rsidRPr="00947996">
        <w:rPr>
          <w:rFonts w:ascii="Times New Roman" w:hAnsi="Times New Roman" w:cs="Times New Roman"/>
          <w:sz w:val="24"/>
          <w:szCs w:val="24"/>
        </w:rPr>
        <w:t>It is also important to learn how to disaggregate return measures into primary impact factors. It is critical to analyze any financial statement ratios in a comparative manner, looking at the current ratios in relation to those from earlier periods or relative to other firms or industry averages.</w:t>
      </w:r>
    </w:p>
    <w:p w14:paraId="6BF54B43" w14:textId="77777777" w:rsidR="00B01CDA" w:rsidRPr="00947996" w:rsidRDefault="00B01CDA" w:rsidP="0069281A">
      <w:pPr>
        <w:pStyle w:val="ListParagraph"/>
        <w:numPr>
          <w:ilvl w:val="0"/>
          <w:numId w:val="5"/>
        </w:numPr>
        <w:spacing w:line="360" w:lineRule="auto"/>
        <w:jc w:val="both"/>
        <w:rPr>
          <w:rFonts w:ascii="Times New Roman" w:hAnsi="Times New Roman" w:cs="Times New Roman"/>
          <w:sz w:val="24"/>
          <w:szCs w:val="24"/>
        </w:rPr>
      </w:pPr>
      <w:r w:rsidRPr="00947996">
        <w:rPr>
          <w:rFonts w:ascii="Times New Roman" w:hAnsi="Times New Roman" w:cs="Times New Roman"/>
          <w:b/>
          <w:sz w:val="24"/>
          <w:szCs w:val="24"/>
        </w:rPr>
        <w:t xml:space="preserve">Prepare Forecasted Financial Statements: </w:t>
      </w:r>
      <w:r w:rsidRPr="00947996">
        <w:rPr>
          <w:rFonts w:ascii="Times New Roman" w:hAnsi="Times New Roman" w:cs="Times New Roman"/>
          <w:sz w:val="24"/>
          <w:szCs w:val="24"/>
        </w:rPr>
        <w:t>Financial professionals must make reasonable assumptions about the future of the firm and its industry. And they need to determine how these assumptions will impact both the cash flows and the funding. This often takes the form of pro-forma financial statem</w:t>
      </w:r>
      <w:r w:rsidR="0069281A">
        <w:rPr>
          <w:rFonts w:ascii="Times New Roman" w:hAnsi="Times New Roman" w:cs="Times New Roman"/>
          <w:sz w:val="24"/>
          <w:szCs w:val="24"/>
        </w:rPr>
        <w:t xml:space="preserve">ents. </w:t>
      </w:r>
      <w:r w:rsidR="0069281A" w:rsidRPr="0069281A">
        <w:rPr>
          <w:rFonts w:ascii="Times New Roman" w:hAnsi="Times New Roman" w:cs="Times New Roman"/>
          <w:sz w:val="24"/>
          <w:szCs w:val="24"/>
        </w:rPr>
        <w:t>Pro forma financial statements are based on certain assumptions and projections about the</w:t>
      </w:r>
      <w:r w:rsidR="0069281A">
        <w:rPr>
          <w:rFonts w:ascii="Times New Roman" w:hAnsi="Times New Roman" w:cs="Times New Roman"/>
          <w:sz w:val="24"/>
          <w:szCs w:val="24"/>
        </w:rPr>
        <w:t xml:space="preserve"> business. This allow us</w:t>
      </w:r>
      <w:r w:rsidR="0069281A" w:rsidRPr="0069281A">
        <w:rPr>
          <w:rFonts w:ascii="Times New Roman" w:hAnsi="Times New Roman" w:cs="Times New Roman"/>
          <w:sz w:val="24"/>
          <w:szCs w:val="24"/>
        </w:rPr>
        <w:t xml:space="preserve"> to compare actua</w:t>
      </w:r>
      <w:r w:rsidR="0069281A">
        <w:rPr>
          <w:rFonts w:ascii="Times New Roman" w:hAnsi="Times New Roman" w:cs="Times New Roman"/>
          <w:sz w:val="24"/>
          <w:szCs w:val="24"/>
        </w:rPr>
        <w:t xml:space="preserve">l financial events to </w:t>
      </w:r>
      <w:r w:rsidR="0069281A" w:rsidRPr="0069281A">
        <w:rPr>
          <w:rFonts w:ascii="Times New Roman" w:hAnsi="Times New Roman" w:cs="Times New Roman"/>
          <w:sz w:val="24"/>
          <w:szCs w:val="24"/>
        </w:rPr>
        <w:t>our financial plan and make any necessary adjustments throughout the year</w:t>
      </w:r>
      <w:sdt>
        <w:sdtPr>
          <w:rPr>
            <w:rFonts w:ascii="Times New Roman" w:hAnsi="Times New Roman" w:cs="Times New Roman"/>
            <w:sz w:val="24"/>
            <w:szCs w:val="24"/>
          </w:rPr>
          <w:id w:val="32009191"/>
          <w:citation/>
        </w:sdtPr>
        <w:sdtContent>
          <w:r w:rsidR="0069281A">
            <w:rPr>
              <w:rFonts w:ascii="Times New Roman" w:hAnsi="Times New Roman" w:cs="Times New Roman"/>
              <w:sz w:val="24"/>
              <w:szCs w:val="24"/>
            </w:rPr>
            <w:fldChar w:fldCharType="begin"/>
          </w:r>
          <w:r w:rsidR="0069281A">
            <w:rPr>
              <w:rFonts w:ascii="Times New Roman" w:hAnsi="Times New Roman" w:cs="Times New Roman"/>
              <w:sz w:val="24"/>
              <w:szCs w:val="24"/>
              <w:lang w:val="en-SG"/>
            </w:rPr>
            <w:instrText xml:space="preserve"> CITATION Fre \l 18441 </w:instrText>
          </w:r>
          <w:r w:rsidR="0069281A">
            <w:rPr>
              <w:rFonts w:ascii="Times New Roman" w:hAnsi="Times New Roman" w:cs="Times New Roman"/>
              <w:sz w:val="24"/>
              <w:szCs w:val="24"/>
            </w:rPr>
            <w:fldChar w:fldCharType="separate"/>
          </w:r>
          <w:r w:rsidR="007C5EAF">
            <w:rPr>
              <w:rFonts w:ascii="Times New Roman" w:hAnsi="Times New Roman" w:cs="Times New Roman"/>
              <w:noProof/>
              <w:sz w:val="24"/>
              <w:szCs w:val="24"/>
              <w:lang w:val="en-SG"/>
            </w:rPr>
            <w:t xml:space="preserve"> </w:t>
          </w:r>
          <w:r w:rsidR="007C5EAF" w:rsidRPr="007C5EAF">
            <w:rPr>
              <w:rFonts w:ascii="Times New Roman" w:hAnsi="Times New Roman" w:cs="Times New Roman"/>
              <w:noProof/>
              <w:sz w:val="24"/>
              <w:szCs w:val="24"/>
              <w:lang w:val="en-SG"/>
            </w:rPr>
            <w:t>(FreshBooks Cloud Accounting, n.d.)</w:t>
          </w:r>
          <w:r w:rsidR="0069281A">
            <w:rPr>
              <w:rFonts w:ascii="Times New Roman" w:hAnsi="Times New Roman" w:cs="Times New Roman"/>
              <w:sz w:val="24"/>
              <w:szCs w:val="24"/>
            </w:rPr>
            <w:fldChar w:fldCharType="end"/>
          </w:r>
        </w:sdtContent>
      </w:sdt>
      <w:r w:rsidR="0069281A">
        <w:rPr>
          <w:rFonts w:ascii="Times New Roman" w:hAnsi="Times New Roman" w:cs="Times New Roman"/>
          <w:sz w:val="24"/>
          <w:szCs w:val="24"/>
        </w:rPr>
        <w:t>.</w:t>
      </w:r>
    </w:p>
    <w:p w14:paraId="3C55408D" w14:textId="77777777" w:rsidR="00B01CDA" w:rsidRPr="00327DE8" w:rsidRDefault="00B01CDA" w:rsidP="00327DE8">
      <w:pPr>
        <w:pStyle w:val="ListParagraph"/>
        <w:numPr>
          <w:ilvl w:val="0"/>
          <w:numId w:val="5"/>
        </w:numPr>
        <w:spacing w:line="360" w:lineRule="auto"/>
        <w:jc w:val="both"/>
        <w:rPr>
          <w:rFonts w:ascii="Times New Roman" w:hAnsi="Times New Roman" w:cs="Times New Roman"/>
          <w:sz w:val="24"/>
          <w:szCs w:val="24"/>
        </w:rPr>
      </w:pPr>
      <w:r w:rsidRPr="00947996">
        <w:rPr>
          <w:rFonts w:ascii="Times New Roman" w:hAnsi="Times New Roman" w:cs="Times New Roman"/>
          <w:b/>
          <w:sz w:val="24"/>
          <w:szCs w:val="24"/>
        </w:rPr>
        <w:t xml:space="preserve">Value the Firm: </w:t>
      </w:r>
      <w:r w:rsidRPr="00947996">
        <w:rPr>
          <w:rFonts w:ascii="Times New Roman" w:hAnsi="Times New Roman" w:cs="Times New Roman"/>
          <w:sz w:val="24"/>
          <w:szCs w:val="24"/>
        </w:rPr>
        <w:t>There are many valuation approaches. But the most common among them is discounted cash flow methodology. These cash flows could be in the form of projected dividends, or more detailed techniques such as free cash flows to either the equity holders or on enterprise basis. Other approaches may include using relative valuation or accounting-based measures such as economic value added</w:t>
      </w:r>
      <w:sdt>
        <w:sdtPr>
          <w:rPr>
            <w:rFonts w:ascii="Times New Roman" w:hAnsi="Times New Roman" w:cs="Times New Roman"/>
            <w:sz w:val="24"/>
            <w:szCs w:val="24"/>
          </w:rPr>
          <w:id w:val="-1683194270"/>
          <w:citation/>
        </w:sdtPr>
        <w:sdtContent>
          <w:r w:rsidR="00327DE8">
            <w:rPr>
              <w:rFonts w:ascii="Times New Roman" w:hAnsi="Times New Roman" w:cs="Times New Roman"/>
              <w:sz w:val="24"/>
              <w:szCs w:val="24"/>
            </w:rPr>
            <w:fldChar w:fldCharType="begin"/>
          </w:r>
          <w:r w:rsidR="00327DE8">
            <w:rPr>
              <w:rFonts w:ascii="Times New Roman" w:hAnsi="Times New Roman" w:cs="Times New Roman"/>
              <w:sz w:val="24"/>
              <w:szCs w:val="24"/>
              <w:lang w:val="en-SG"/>
            </w:rPr>
            <w:instrText xml:space="preserve"> CITATION Dub18 \l 18441 </w:instrText>
          </w:r>
          <w:r w:rsidR="00327DE8">
            <w:rPr>
              <w:rFonts w:ascii="Times New Roman" w:hAnsi="Times New Roman" w:cs="Times New Roman"/>
              <w:sz w:val="24"/>
              <w:szCs w:val="24"/>
            </w:rPr>
            <w:fldChar w:fldCharType="separate"/>
          </w:r>
          <w:r w:rsidR="007C5EAF">
            <w:rPr>
              <w:rFonts w:ascii="Times New Roman" w:hAnsi="Times New Roman" w:cs="Times New Roman"/>
              <w:noProof/>
              <w:sz w:val="24"/>
              <w:szCs w:val="24"/>
              <w:lang w:val="en-SG"/>
            </w:rPr>
            <w:t xml:space="preserve"> </w:t>
          </w:r>
          <w:r w:rsidR="007C5EAF" w:rsidRPr="007C5EAF">
            <w:rPr>
              <w:rFonts w:ascii="Times New Roman" w:hAnsi="Times New Roman" w:cs="Times New Roman"/>
              <w:noProof/>
              <w:sz w:val="24"/>
              <w:szCs w:val="24"/>
              <w:lang w:val="en-SG"/>
            </w:rPr>
            <w:t>(Dubos J. Masson, 2018)</w:t>
          </w:r>
          <w:r w:rsidR="00327DE8">
            <w:rPr>
              <w:rFonts w:ascii="Times New Roman" w:hAnsi="Times New Roman" w:cs="Times New Roman"/>
              <w:sz w:val="24"/>
              <w:szCs w:val="24"/>
            </w:rPr>
            <w:fldChar w:fldCharType="end"/>
          </w:r>
        </w:sdtContent>
      </w:sdt>
      <w:r w:rsidRPr="00947996">
        <w:rPr>
          <w:rFonts w:ascii="Times New Roman" w:hAnsi="Times New Roman" w:cs="Times New Roman"/>
          <w:sz w:val="24"/>
          <w:szCs w:val="24"/>
        </w:rPr>
        <w:t>.</w:t>
      </w:r>
    </w:p>
    <w:p w14:paraId="2D9A3AC3" w14:textId="77777777" w:rsidR="00B01CDA" w:rsidRPr="007D7E06" w:rsidRDefault="00B01CDA" w:rsidP="00B01CDA">
      <w:pPr>
        <w:spacing w:line="360" w:lineRule="auto"/>
        <w:jc w:val="both"/>
        <w:rPr>
          <w:rFonts w:ascii="Times New Roman" w:hAnsi="Times New Roman" w:cs="Times New Roman"/>
          <w:b/>
          <w:color w:val="365F91" w:themeColor="accent1" w:themeShade="BF"/>
          <w:sz w:val="24"/>
          <w:szCs w:val="24"/>
        </w:rPr>
      </w:pPr>
      <w:r w:rsidRPr="007D7E06">
        <w:rPr>
          <w:rFonts w:ascii="Times New Roman" w:hAnsi="Times New Roman" w:cs="Times New Roman"/>
          <w:b/>
          <w:color w:val="365F91" w:themeColor="accent1" w:themeShade="BF"/>
          <w:sz w:val="24"/>
          <w:szCs w:val="24"/>
        </w:rPr>
        <w:t>Tools and Techniques of Financial Statement Analysis</w:t>
      </w:r>
    </w:p>
    <w:p w14:paraId="10CD2701" w14:textId="77777777" w:rsidR="00B01CDA" w:rsidRPr="00B01CDA" w:rsidRDefault="00B01CDA" w:rsidP="00B01CDA">
      <w:pPr>
        <w:pStyle w:val="ListParagraph"/>
        <w:numPr>
          <w:ilvl w:val="0"/>
          <w:numId w:val="4"/>
        </w:numPr>
        <w:spacing w:line="360" w:lineRule="auto"/>
        <w:jc w:val="both"/>
        <w:rPr>
          <w:rFonts w:ascii="Times New Roman" w:hAnsi="Times New Roman" w:cs="Times New Roman"/>
          <w:b/>
          <w:sz w:val="24"/>
          <w:szCs w:val="24"/>
        </w:rPr>
      </w:pPr>
      <w:r w:rsidRPr="00947996">
        <w:rPr>
          <w:rFonts w:ascii="Times New Roman" w:hAnsi="Times New Roman" w:cs="Times New Roman"/>
          <w:b/>
          <w:sz w:val="24"/>
          <w:szCs w:val="24"/>
        </w:rPr>
        <w:t xml:space="preserve">Horizontal Analysis: </w:t>
      </w:r>
      <w:r w:rsidRPr="00947996">
        <w:rPr>
          <w:rFonts w:ascii="Times New Roman" w:hAnsi="Times New Roman" w:cs="Times New Roman"/>
          <w:sz w:val="24"/>
          <w:szCs w:val="24"/>
        </w:rPr>
        <w:t>Horizontal analysis is the comparative analysis of the financial statement over multiple accounting periods. This analysis helps us to evaluate the trend situation. Financial statement of two or more periods are used in horizontal analysis. The earliest period is used as the base period and the items on the statements for all later periods are compared with items on the statements of the base period</w:t>
      </w:r>
      <w:sdt>
        <w:sdtPr>
          <w:rPr>
            <w:rFonts w:ascii="Times New Roman" w:hAnsi="Times New Roman" w:cs="Times New Roman"/>
            <w:sz w:val="24"/>
            <w:szCs w:val="24"/>
          </w:rPr>
          <w:id w:val="1150404614"/>
          <w:citation/>
        </w:sdtPr>
        <w:sdtContent>
          <w:r w:rsidR="00F861A3">
            <w:rPr>
              <w:rFonts w:ascii="Times New Roman" w:hAnsi="Times New Roman" w:cs="Times New Roman"/>
              <w:sz w:val="24"/>
              <w:szCs w:val="24"/>
            </w:rPr>
            <w:fldChar w:fldCharType="begin"/>
          </w:r>
          <w:r w:rsidR="00F861A3">
            <w:rPr>
              <w:rFonts w:ascii="Times New Roman" w:hAnsi="Times New Roman" w:cs="Times New Roman"/>
              <w:sz w:val="24"/>
              <w:szCs w:val="24"/>
              <w:lang w:val="en-SG"/>
            </w:rPr>
            <w:instrText xml:space="preserve"> CITATION ACC2 \l 18441 </w:instrText>
          </w:r>
          <w:r w:rsidR="00F861A3">
            <w:rPr>
              <w:rFonts w:ascii="Times New Roman" w:hAnsi="Times New Roman" w:cs="Times New Roman"/>
              <w:sz w:val="24"/>
              <w:szCs w:val="24"/>
            </w:rPr>
            <w:fldChar w:fldCharType="separate"/>
          </w:r>
          <w:r w:rsidR="007C5EAF">
            <w:rPr>
              <w:rFonts w:ascii="Times New Roman" w:hAnsi="Times New Roman" w:cs="Times New Roman"/>
              <w:noProof/>
              <w:sz w:val="24"/>
              <w:szCs w:val="24"/>
              <w:lang w:val="en-SG"/>
            </w:rPr>
            <w:t xml:space="preserve"> </w:t>
          </w:r>
          <w:r w:rsidR="007C5EAF" w:rsidRPr="007C5EAF">
            <w:rPr>
              <w:rFonts w:ascii="Times New Roman" w:hAnsi="Times New Roman" w:cs="Times New Roman"/>
              <w:noProof/>
              <w:sz w:val="24"/>
              <w:szCs w:val="24"/>
              <w:lang w:val="en-SG"/>
            </w:rPr>
            <w:t>(ACCOUNTING FOR MANAGEMENT.ORG, n.d.)</w:t>
          </w:r>
          <w:r w:rsidR="00F861A3">
            <w:rPr>
              <w:rFonts w:ascii="Times New Roman" w:hAnsi="Times New Roman" w:cs="Times New Roman"/>
              <w:sz w:val="24"/>
              <w:szCs w:val="24"/>
            </w:rPr>
            <w:fldChar w:fldCharType="end"/>
          </w:r>
        </w:sdtContent>
      </w:sdt>
      <w:r w:rsidRPr="00947996">
        <w:rPr>
          <w:rFonts w:ascii="Times New Roman" w:hAnsi="Times New Roman" w:cs="Times New Roman"/>
          <w:sz w:val="24"/>
          <w:szCs w:val="24"/>
        </w:rPr>
        <w:t>.</w:t>
      </w:r>
    </w:p>
    <w:p w14:paraId="295E14E0" w14:textId="77777777" w:rsidR="00F86D19" w:rsidRPr="00F86D19" w:rsidRDefault="00B01CDA" w:rsidP="00DD3E42">
      <w:pPr>
        <w:pStyle w:val="ListParagraph"/>
        <w:numPr>
          <w:ilvl w:val="0"/>
          <w:numId w:val="4"/>
        </w:numPr>
        <w:spacing w:line="360" w:lineRule="auto"/>
        <w:jc w:val="both"/>
        <w:rPr>
          <w:rFonts w:ascii="Times New Roman" w:hAnsi="Times New Roman" w:cs="Times New Roman"/>
          <w:b/>
          <w:sz w:val="24"/>
          <w:szCs w:val="24"/>
        </w:rPr>
      </w:pPr>
      <w:r w:rsidRPr="00F86D19">
        <w:rPr>
          <w:rFonts w:ascii="Times New Roman" w:hAnsi="Times New Roman" w:cs="Times New Roman"/>
          <w:b/>
          <w:sz w:val="24"/>
          <w:szCs w:val="24"/>
        </w:rPr>
        <w:t xml:space="preserve">Vertical Analysis: </w:t>
      </w:r>
      <w:r w:rsidRPr="00F86D19">
        <w:rPr>
          <w:rFonts w:ascii="Times New Roman" w:hAnsi="Times New Roman" w:cs="Times New Roman"/>
          <w:sz w:val="24"/>
          <w:szCs w:val="24"/>
        </w:rPr>
        <w:t>Vertical analysis is a method of analyzing financial statements that list each line item as a percentage of a base figure within the statement. The first line of the statement always shows the base figure at 100%, with each following line item representing a percentage of the whole</w:t>
      </w:r>
      <w:sdt>
        <w:sdtPr>
          <w:rPr>
            <w:rFonts w:ascii="Times New Roman" w:hAnsi="Times New Roman" w:cs="Times New Roman"/>
            <w:sz w:val="24"/>
            <w:szCs w:val="24"/>
          </w:rPr>
          <w:id w:val="1906261308"/>
          <w:citation/>
        </w:sdtPr>
        <w:sdtContent>
          <w:r w:rsidR="00F86D19" w:rsidRPr="00F86D19">
            <w:rPr>
              <w:rFonts w:ascii="Times New Roman" w:hAnsi="Times New Roman" w:cs="Times New Roman"/>
              <w:sz w:val="24"/>
              <w:szCs w:val="24"/>
            </w:rPr>
            <w:fldChar w:fldCharType="begin"/>
          </w:r>
          <w:r w:rsidR="00F86D19" w:rsidRPr="00F86D19">
            <w:rPr>
              <w:rFonts w:ascii="Times New Roman" w:hAnsi="Times New Roman" w:cs="Times New Roman"/>
              <w:sz w:val="24"/>
              <w:szCs w:val="24"/>
              <w:lang w:val="en-SG"/>
            </w:rPr>
            <w:instrText xml:space="preserve"> CITATION Ind20 \l 18441 </w:instrText>
          </w:r>
          <w:r w:rsidR="00F86D19" w:rsidRPr="00F86D19">
            <w:rPr>
              <w:rFonts w:ascii="Times New Roman" w:hAnsi="Times New Roman" w:cs="Times New Roman"/>
              <w:sz w:val="24"/>
              <w:szCs w:val="24"/>
            </w:rPr>
            <w:fldChar w:fldCharType="separate"/>
          </w:r>
          <w:r w:rsidR="007C5EAF">
            <w:rPr>
              <w:rFonts w:ascii="Times New Roman" w:hAnsi="Times New Roman" w:cs="Times New Roman"/>
              <w:noProof/>
              <w:sz w:val="24"/>
              <w:szCs w:val="24"/>
              <w:lang w:val="en-SG"/>
            </w:rPr>
            <w:t xml:space="preserve"> </w:t>
          </w:r>
          <w:r w:rsidR="007C5EAF" w:rsidRPr="007C5EAF">
            <w:rPr>
              <w:rFonts w:ascii="Times New Roman" w:hAnsi="Times New Roman" w:cs="Times New Roman"/>
              <w:noProof/>
              <w:sz w:val="24"/>
              <w:szCs w:val="24"/>
              <w:lang w:val="en-SG"/>
            </w:rPr>
            <w:t>(Indeed, 2020)</w:t>
          </w:r>
          <w:r w:rsidR="00F86D19" w:rsidRPr="00F86D19">
            <w:rPr>
              <w:rFonts w:ascii="Times New Roman" w:hAnsi="Times New Roman" w:cs="Times New Roman"/>
              <w:sz w:val="24"/>
              <w:szCs w:val="24"/>
            </w:rPr>
            <w:fldChar w:fldCharType="end"/>
          </w:r>
        </w:sdtContent>
      </w:sdt>
      <w:r w:rsidR="00F86D19" w:rsidRPr="00F86D19">
        <w:rPr>
          <w:rFonts w:ascii="Times New Roman" w:hAnsi="Times New Roman" w:cs="Times New Roman"/>
          <w:sz w:val="24"/>
          <w:szCs w:val="24"/>
        </w:rPr>
        <w:t xml:space="preserve">. </w:t>
      </w:r>
      <w:r w:rsidRPr="00F86D19">
        <w:rPr>
          <w:rFonts w:ascii="Times New Roman" w:hAnsi="Times New Roman" w:cs="Times New Roman"/>
          <w:sz w:val="24"/>
          <w:szCs w:val="24"/>
        </w:rPr>
        <w:t xml:space="preserve">It is applicable for internal </w:t>
      </w:r>
      <w:r w:rsidRPr="00F86D19">
        <w:rPr>
          <w:rFonts w:ascii="Times New Roman" w:hAnsi="Times New Roman" w:cs="Times New Roman"/>
          <w:sz w:val="24"/>
          <w:szCs w:val="24"/>
        </w:rPr>
        <w:lastRenderedPageBreak/>
        <w:t>performance review as well as for comparison to peers and bench-marking</w:t>
      </w:r>
      <w:sdt>
        <w:sdtPr>
          <w:rPr>
            <w:rFonts w:ascii="Times New Roman" w:hAnsi="Times New Roman" w:cs="Times New Roman"/>
            <w:sz w:val="24"/>
            <w:szCs w:val="24"/>
          </w:rPr>
          <w:id w:val="287238811"/>
          <w:citation/>
        </w:sdtPr>
        <w:sdtContent>
          <w:r w:rsidR="00F86D19" w:rsidRPr="00F86D19">
            <w:rPr>
              <w:rFonts w:ascii="Times New Roman" w:hAnsi="Times New Roman" w:cs="Times New Roman"/>
              <w:sz w:val="24"/>
              <w:szCs w:val="24"/>
            </w:rPr>
            <w:fldChar w:fldCharType="begin"/>
          </w:r>
          <w:r w:rsidR="00F86D19" w:rsidRPr="00F86D19">
            <w:rPr>
              <w:rFonts w:ascii="Times New Roman" w:hAnsi="Times New Roman" w:cs="Times New Roman"/>
              <w:sz w:val="24"/>
              <w:szCs w:val="24"/>
              <w:lang w:val="en-SG"/>
            </w:rPr>
            <w:instrText xml:space="preserve"> CITATION Vis15 \l 18441 </w:instrText>
          </w:r>
          <w:r w:rsidR="00F86D19" w:rsidRPr="00F86D19">
            <w:rPr>
              <w:rFonts w:ascii="Times New Roman" w:hAnsi="Times New Roman" w:cs="Times New Roman"/>
              <w:sz w:val="24"/>
              <w:szCs w:val="24"/>
            </w:rPr>
            <w:fldChar w:fldCharType="separate"/>
          </w:r>
          <w:r w:rsidR="007C5EAF">
            <w:rPr>
              <w:rFonts w:ascii="Times New Roman" w:hAnsi="Times New Roman" w:cs="Times New Roman"/>
              <w:noProof/>
              <w:sz w:val="24"/>
              <w:szCs w:val="24"/>
              <w:lang w:val="en-SG"/>
            </w:rPr>
            <w:t xml:space="preserve"> </w:t>
          </w:r>
          <w:r w:rsidR="007C5EAF" w:rsidRPr="007C5EAF">
            <w:rPr>
              <w:rFonts w:ascii="Times New Roman" w:hAnsi="Times New Roman" w:cs="Times New Roman"/>
              <w:noProof/>
              <w:sz w:val="24"/>
              <w:szCs w:val="24"/>
              <w:lang w:val="en-SG"/>
            </w:rPr>
            <w:t>(Vishal, 2015)</w:t>
          </w:r>
          <w:r w:rsidR="00F86D19" w:rsidRPr="00F86D19">
            <w:rPr>
              <w:rFonts w:ascii="Times New Roman" w:hAnsi="Times New Roman" w:cs="Times New Roman"/>
              <w:sz w:val="24"/>
              <w:szCs w:val="24"/>
            </w:rPr>
            <w:fldChar w:fldCharType="end"/>
          </w:r>
        </w:sdtContent>
      </w:sdt>
      <w:r w:rsidRPr="00F86D19">
        <w:rPr>
          <w:rFonts w:ascii="Times New Roman" w:hAnsi="Times New Roman" w:cs="Times New Roman"/>
          <w:sz w:val="24"/>
          <w:szCs w:val="24"/>
        </w:rPr>
        <w:t xml:space="preserve">. </w:t>
      </w:r>
    </w:p>
    <w:p w14:paraId="1953A21B" w14:textId="77777777" w:rsidR="00B01CDA" w:rsidRPr="005918EA" w:rsidRDefault="00B01CDA" w:rsidP="005918EA">
      <w:pPr>
        <w:pStyle w:val="ListParagraph"/>
        <w:numPr>
          <w:ilvl w:val="0"/>
          <w:numId w:val="4"/>
        </w:numPr>
        <w:spacing w:line="360" w:lineRule="auto"/>
        <w:jc w:val="both"/>
        <w:rPr>
          <w:rFonts w:ascii="Times New Roman" w:hAnsi="Times New Roman" w:cs="Times New Roman"/>
          <w:sz w:val="24"/>
          <w:szCs w:val="24"/>
        </w:rPr>
      </w:pPr>
      <w:r w:rsidRPr="00F86D19">
        <w:rPr>
          <w:rFonts w:ascii="Times New Roman" w:hAnsi="Times New Roman" w:cs="Times New Roman"/>
          <w:b/>
          <w:sz w:val="24"/>
          <w:szCs w:val="24"/>
        </w:rPr>
        <w:t xml:space="preserve">Ratio Analysis:  </w:t>
      </w:r>
      <w:r w:rsidRPr="00F86D19">
        <w:rPr>
          <w:rFonts w:ascii="Times New Roman" w:hAnsi="Times New Roman" w:cs="Times New Roman"/>
          <w:sz w:val="24"/>
          <w:szCs w:val="24"/>
        </w:rPr>
        <w:t>Ratio analysis refers to the analysis of various pieces of financial information in the financial statements of a business. They are used to determine various aspects of a business, such as its profitability, liquidity, and solvency</w:t>
      </w:r>
      <w:sdt>
        <w:sdtPr>
          <w:rPr>
            <w:rFonts w:ascii="Times New Roman" w:hAnsi="Times New Roman" w:cs="Times New Roman"/>
            <w:sz w:val="24"/>
            <w:szCs w:val="24"/>
          </w:rPr>
          <w:id w:val="-55711928"/>
          <w:citation/>
        </w:sdtPr>
        <w:sdtContent>
          <w:r w:rsidR="00B7254F">
            <w:rPr>
              <w:rFonts w:ascii="Times New Roman" w:hAnsi="Times New Roman" w:cs="Times New Roman"/>
              <w:sz w:val="24"/>
              <w:szCs w:val="24"/>
            </w:rPr>
            <w:fldChar w:fldCharType="begin"/>
          </w:r>
          <w:r w:rsidR="00B7254F">
            <w:rPr>
              <w:rFonts w:ascii="Times New Roman" w:hAnsi="Times New Roman" w:cs="Times New Roman"/>
              <w:sz w:val="24"/>
              <w:szCs w:val="24"/>
              <w:lang w:val="en-SG"/>
            </w:rPr>
            <w:instrText xml:space="preserve"> CITATION Cor \l 18441 </w:instrText>
          </w:r>
          <w:r w:rsidR="00B7254F">
            <w:rPr>
              <w:rFonts w:ascii="Times New Roman" w:hAnsi="Times New Roman" w:cs="Times New Roman"/>
              <w:sz w:val="24"/>
              <w:szCs w:val="24"/>
            </w:rPr>
            <w:fldChar w:fldCharType="separate"/>
          </w:r>
          <w:r w:rsidR="007C5EAF">
            <w:rPr>
              <w:rFonts w:ascii="Times New Roman" w:hAnsi="Times New Roman" w:cs="Times New Roman"/>
              <w:noProof/>
              <w:sz w:val="24"/>
              <w:szCs w:val="24"/>
              <w:lang w:val="en-SG"/>
            </w:rPr>
            <w:t xml:space="preserve"> </w:t>
          </w:r>
          <w:r w:rsidR="007C5EAF" w:rsidRPr="007C5EAF">
            <w:rPr>
              <w:rFonts w:ascii="Times New Roman" w:hAnsi="Times New Roman" w:cs="Times New Roman"/>
              <w:noProof/>
              <w:sz w:val="24"/>
              <w:szCs w:val="24"/>
              <w:lang w:val="en-SG"/>
            </w:rPr>
            <w:t>(Corporate Finance Institute, n.d.)</w:t>
          </w:r>
          <w:r w:rsidR="00B7254F">
            <w:rPr>
              <w:rFonts w:ascii="Times New Roman" w:hAnsi="Times New Roman" w:cs="Times New Roman"/>
              <w:sz w:val="24"/>
              <w:szCs w:val="24"/>
            </w:rPr>
            <w:fldChar w:fldCharType="end"/>
          </w:r>
        </w:sdtContent>
      </w:sdt>
      <w:r w:rsidRPr="00F86D19">
        <w:rPr>
          <w:rFonts w:ascii="Times New Roman" w:hAnsi="Times New Roman" w:cs="Times New Roman"/>
          <w:sz w:val="24"/>
          <w:szCs w:val="24"/>
        </w:rPr>
        <w:t xml:space="preserve">. </w:t>
      </w:r>
      <w:r w:rsidR="005918EA">
        <w:rPr>
          <w:rFonts w:ascii="Times New Roman" w:hAnsi="Times New Roman" w:cs="Times New Roman"/>
          <w:sz w:val="24"/>
          <w:szCs w:val="24"/>
        </w:rPr>
        <w:t xml:space="preserve">In </w:t>
      </w:r>
      <w:r w:rsidR="005918EA" w:rsidRPr="00D63B34">
        <w:rPr>
          <w:rFonts w:ascii="Times New Roman" w:hAnsi="Times New Roman" w:cs="Times New Roman"/>
          <w:sz w:val="24"/>
          <w:szCs w:val="24"/>
        </w:rPr>
        <w:t>financial ra</w:t>
      </w:r>
      <w:r w:rsidR="005918EA">
        <w:rPr>
          <w:rFonts w:ascii="Times New Roman" w:hAnsi="Times New Roman" w:cs="Times New Roman"/>
          <w:sz w:val="24"/>
          <w:szCs w:val="24"/>
        </w:rPr>
        <w:t xml:space="preserve">tio analysis, </w:t>
      </w:r>
      <w:r w:rsidR="005918EA" w:rsidRPr="00D63B34">
        <w:rPr>
          <w:rFonts w:ascii="Times New Roman" w:hAnsi="Times New Roman" w:cs="Times New Roman"/>
          <w:sz w:val="24"/>
          <w:szCs w:val="24"/>
        </w:rPr>
        <w:t>cash flow</w:t>
      </w:r>
      <w:r w:rsidR="005918EA">
        <w:rPr>
          <w:rFonts w:ascii="Times New Roman" w:hAnsi="Times New Roman" w:cs="Times New Roman"/>
          <w:sz w:val="24"/>
          <w:szCs w:val="24"/>
        </w:rPr>
        <w:t xml:space="preserve"> related ratios are</w:t>
      </w:r>
      <w:r w:rsidR="005918EA" w:rsidRPr="00D63B34">
        <w:rPr>
          <w:rFonts w:ascii="Times New Roman" w:hAnsi="Times New Roman" w:cs="Times New Roman"/>
          <w:sz w:val="24"/>
          <w:szCs w:val="24"/>
        </w:rPr>
        <w:t xml:space="preserve"> the most ignored by investors</w:t>
      </w:r>
      <w:r w:rsidR="005918EA">
        <w:rPr>
          <w:rFonts w:ascii="Times New Roman" w:hAnsi="Times New Roman" w:cs="Times New Roman"/>
          <w:sz w:val="24"/>
          <w:szCs w:val="24"/>
        </w:rPr>
        <w:t xml:space="preserve">. But how company deal with its cash is one of the most critical process. And to understand this process ratios help us </w:t>
      </w:r>
      <w:sdt>
        <w:sdtPr>
          <w:rPr>
            <w:rFonts w:ascii="Times New Roman" w:hAnsi="Times New Roman" w:cs="Times New Roman"/>
            <w:sz w:val="24"/>
            <w:szCs w:val="24"/>
          </w:rPr>
          <w:id w:val="-656600710"/>
          <w:citation/>
        </w:sdtPr>
        <w:sdtContent>
          <w:r w:rsidR="005918EA">
            <w:rPr>
              <w:rFonts w:ascii="Times New Roman" w:hAnsi="Times New Roman" w:cs="Times New Roman"/>
              <w:sz w:val="24"/>
              <w:szCs w:val="24"/>
            </w:rPr>
            <w:fldChar w:fldCharType="begin"/>
          </w:r>
          <w:r w:rsidR="005918EA">
            <w:rPr>
              <w:rFonts w:ascii="Times New Roman" w:hAnsi="Times New Roman" w:cs="Times New Roman"/>
              <w:sz w:val="24"/>
              <w:szCs w:val="24"/>
              <w:lang w:val="en-SG"/>
            </w:rPr>
            <w:instrText xml:space="preserve"> CITATION Ran16 \l 18441 </w:instrText>
          </w:r>
          <w:r w:rsidR="005918EA">
            <w:rPr>
              <w:rFonts w:ascii="Times New Roman" w:hAnsi="Times New Roman" w:cs="Times New Roman"/>
              <w:sz w:val="24"/>
              <w:szCs w:val="24"/>
            </w:rPr>
            <w:fldChar w:fldCharType="separate"/>
          </w:r>
          <w:r w:rsidR="007C5EAF" w:rsidRPr="007C5EAF">
            <w:rPr>
              <w:rFonts w:ascii="Times New Roman" w:hAnsi="Times New Roman" w:cs="Times New Roman"/>
              <w:noProof/>
              <w:sz w:val="24"/>
              <w:szCs w:val="24"/>
              <w:lang w:val="en-SG"/>
            </w:rPr>
            <w:t>(Shinde, 2016)</w:t>
          </w:r>
          <w:r w:rsidR="005918EA">
            <w:rPr>
              <w:rFonts w:ascii="Times New Roman" w:hAnsi="Times New Roman" w:cs="Times New Roman"/>
              <w:sz w:val="24"/>
              <w:szCs w:val="24"/>
            </w:rPr>
            <w:fldChar w:fldCharType="end"/>
          </w:r>
        </w:sdtContent>
      </w:sdt>
      <w:r w:rsidR="005918EA">
        <w:rPr>
          <w:rFonts w:ascii="Times New Roman" w:hAnsi="Times New Roman" w:cs="Times New Roman"/>
          <w:sz w:val="24"/>
          <w:szCs w:val="24"/>
        </w:rPr>
        <w:t xml:space="preserve">. </w:t>
      </w:r>
    </w:p>
    <w:p w14:paraId="387E9949" w14:textId="77777777" w:rsidR="00B01CDA" w:rsidRPr="00947996" w:rsidRDefault="00B01CDA" w:rsidP="00B01CDA">
      <w:pPr>
        <w:pStyle w:val="ListParagraph"/>
        <w:numPr>
          <w:ilvl w:val="0"/>
          <w:numId w:val="4"/>
        </w:numPr>
        <w:spacing w:line="360" w:lineRule="auto"/>
        <w:jc w:val="both"/>
        <w:rPr>
          <w:rFonts w:ascii="Times New Roman" w:hAnsi="Times New Roman" w:cs="Times New Roman"/>
          <w:sz w:val="24"/>
          <w:szCs w:val="24"/>
        </w:rPr>
      </w:pPr>
      <w:r w:rsidRPr="00947996">
        <w:rPr>
          <w:rFonts w:ascii="Times New Roman" w:hAnsi="Times New Roman" w:cs="Times New Roman"/>
          <w:b/>
          <w:sz w:val="24"/>
          <w:szCs w:val="24"/>
        </w:rPr>
        <w:t xml:space="preserve">Graphical Analysis: </w:t>
      </w:r>
      <w:r w:rsidRPr="00947996">
        <w:rPr>
          <w:rFonts w:ascii="Times New Roman" w:hAnsi="Times New Roman" w:cs="Times New Roman"/>
          <w:sz w:val="24"/>
          <w:szCs w:val="24"/>
        </w:rPr>
        <w:t>Graphs gives us the visual representation of the performance that can be easily compared over time. The graphs can be line graphs, column graphs or pie charts.</w:t>
      </w:r>
    </w:p>
    <w:p w14:paraId="6BCB5730" w14:textId="77777777" w:rsidR="00B01CDA" w:rsidRPr="00947996" w:rsidRDefault="00B01CDA" w:rsidP="0016040F">
      <w:pPr>
        <w:pStyle w:val="ListParagraph"/>
        <w:numPr>
          <w:ilvl w:val="0"/>
          <w:numId w:val="4"/>
        </w:numPr>
        <w:spacing w:line="360" w:lineRule="auto"/>
        <w:jc w:val="both"/>
        <w:rPr>
          <w:rFonts w:ascii="Times New Roman" w:hAnsi="Times New Roman" w:cs="Times New Roman"/>
          <w:sz w:val="24"/>
          <w:szCs w:val="24"/>
        </w:rPr>
      </w:pPr>
      <w:r w:rsidRPr="00947996">
        <w:rPr>
          <w:rFonts w:ascii="Times New Roman" w:hAnsi="Times New Roman" w:cs="Times New Roman"/>
          <w:b/>
          <w:sz w:val="24"/>
          <w:szCs w:val="24"/>
        </w:rPr>
        <w:t xml:space="preserve">Trend Analysis: </w:t>
      </w:r>
      <w:r w:rsidR="0016040F" w:rsidRPr="0016040F">
        <w:rPr>
          <w:rFonts w:ascii="Times New Roman" w:hAnsi="Times New Roman" w:cs="Times New Roman"/>
          <w:sz w:val="24"/>
          <w:szCs w:val="24"/>
        </w:rPr>
        <w:t>Trend analysis calculates the</w:t>
      </w:r>
      <w:r w:rsidR="0016040F">
        <w:rPr>
          <w:rFonts w:ascii="Times New Roman" w:hAnsi="Times New Roman" w:cs="Times New Roman"/>
          <w:sz w:val="24"/>
          <w:szCs w:val="24"/>
        </w:rPr>
        <w:t xml:space="preserve"> percentage change for one year</w:t>
      </w:r>
      <w:r w:rsidR="0016040F" w:rsidRPr="0016040F">
        <w:rPr>
          <w:rFonts w:ascii="Times New Roman" w:hAnsi="Times New Roman" w:cs="Times New Roman"/>
          <w:sz w:val="24"/>
          <w:szCs w:val="24"/>
        </w:rPr>
        <w:t xml:space="preserve"> over a period of time of two years or more</w:t>
      </w:r>
      <w:sdt>
        <w:sdtPr>
          <w:rPr>
            <w:rFonts w:ascii="Times New Roman" w:hAnsi="Times New Roman" w:cs="Times New Roman"/>
            <w:sz w:val="24"/>
            <w:szCs w:val="24"/>
          </w:rPr>
          <w:id w:val="859248964"/>
          <w:citation/>
        </w:sdtPr>
        <w:sdtContent>
          <w:r w:rsidR="0016040F">
            <w:rPr>
              <w:rFonts w:ascii="Times New Roman" w:hAnsi="Times New Roman" w:cs="Times New Roman"/>
              <w:sz w:val="24"/>
              <w:szCs w:val="24"/>
            </w:rPr>
            <w:fldChar w:fldCharType="begin"/>
          </w:r>
          <w:r w:rsidR="0016040F">
            <w:rPr>
              <w:rFonts w:ascii="Times New Roman" w:hAnsi="Times New Roman" w:cs="Times New Roman"/>
              <w:sz w:val="24"/>
              <w:szCs w:val="24"/>
              <w:lang w:val="en-SG"/>
            </w:rPr>
            <w:instrText xml:space="preserve"> CITATION Cli \l 18441 </w:instrText>
          </w:r>
          <w:r w:rsidR="0016040F">
            <w:rPr>
              <w:rFonts w:ascii="Times New Roman" w:hAnsi="Times New Roman" w:cs="Times New Roman"/>
              <w:sz w:val="24"/>
              <w:szCs w:val="24"/>
            </w:rPr>
            <w:fldChar w:fldCharType="separate"/>
          </w:r>
          <w:r w:rsidR="007C5EAF">
            <w:rPr>
              <w:rFonts w:ascii="Times New Roman" w:hAnsi="Times New Roman" w:cs="Times New Roman"/>
              <w:noProof/>
              <w:sz w:val="24"/>
              <w:szCs w:val="24"/>
              <w:lang w:val="en-SG"/>
            </w:rPr>
            <w:t xml:space="preserve"> </w:t>
          </w:r>
          <w:r w:rsidR="007C5EAF" w:rsidRPr="007C5EAF">
            <w:rPr>
              <w:rFonts w:ascii="Times New Roman" w:hAnsi="Times New Roman" w:cs="Times New Roman"/>
              <w:noProof/>
              <w:sz w:val="24"/>
              <w:szCs w:val="24"/>
              <w:lang w:val="en-SG"/>
            </w:rPr>
            <w:t>(Cliffs Notes, n.d.)</w:t>
          </w:r>
          <w:r w:rsidR="0016040F">
            <w:rPr>
              <w:rFonts w:ascii="Times New Roman" w:hAnsi="Times New Roman" w:cs="Times New Roman"/>
              <w:sz w:val="24"/>
              <w:szCs w:val="24"/>
            </w:rPr>
            <w:fldChar w:fldCharType="end"/>
          </w:r>
        </w:sdtContent>
      </w:sdt>
      <w:r w:rsidR="0016040F" w:rsidRPr="0016040F">
        <w:rPr>
          <w:rFonts w:ascii="Times New Roman" w:hAnsi="Times New Roman" w:cs="Times New Roman"/>
          <w:sz w:val="24"/>
          <w:szCs w:val="24"/>
        </w:rPr>
        <w:t>.</w:t>
      </w:r>
      <w:r w:rsidR="0016040F">
        <w:rPr>
          <w:rFonts w:ascii="Times New Roman" w:hAnsi="Times New Roman" w:cs="Times New Roman"/>
          <w:sz w:val="24"/>
          <w:szCs w:val="24"/>
        </w:rPr>
        <w:t xml:space="preserve"> </w:t>
      </w:r>
      <w:r w:rsidRPr="00947996">
        <w:rPr>
          <w:rFonts w:ascii="Times New Roman" w:hAnsi="Times New Roman" w:cs="Times New Roman"/>
          <w:sz w:val="24"/>
          <w:szCs w:val="24"/>
        </w:rPr>
        <w:t>Trend analysis reveal the trend of items with the passage of time and is generally used as a statistical tool. Trend analysis is used as combination of ratio analysis, horizontal and vertical analysis to spot a particular trend, explore the causes of the same and if required prepare future projections.</w:t>
      </w:r>
    </w:p>
    <w:p w14:paraId="72DCCC30" w14:textId="77777777" w:rsidR="00603390" w:rsidRDefault="00B01CDA" w:rsidP="00DD3E42">
      <w:pPr>
        <w:pStyle w:val="ListParagraph"/>
        <w:numPr>
          <w:ilvl w:val="0"/>
          <w:numId w:val="4"/>
        </w:numPr>
        <w:spacing w:line="360" w:lineRule="auto"/>
        <w:jc w:val="both"/>
        <w:rPr>
          <w:rFonts w:ascii="Times New Roman" w:hAnsi="Times New Roman" w:cs="Times New Roman"/>
          <w:color w:val="222222"/>
          <w:sz w:val="24"/>
          <w:szCs w:val="24"/>
          <w:shd w:val="clear" w:color="auto" w:fill="FFFFFF"/>
        </w:rPr>
      </w:pPr>
      <w:r w:rsidRPr="00803ABD">
        <w:rPr>
          <w:rFonts w:ascii="Times New Roman" w:hAnsi="Times New Roman" w:cs="Times New Roman"/>
          <w:b/>
          <w:sz w:val="24"/>
          <w:szCs w:val="24"/>
        </w:rPr>
        <w:t xml:space="preserve">Regression Analysis: </w:t>
      </w:r>
      <w:r w:rsidRPr="00803ABD">
        <w:rPr>
          <w:rFonts w:ascii="Times New Roman" w:hAnsi="Times New Roman" w:cs="Times New Roman"/>
          <w:color w:val="222222"/>
          <w:sz w:val="24"/>
          <w:szCs w:val="24"/>
          <w:shd w:val="clear" w:color="auto" w:fill="FFFFFF"/>
        </w:rPr>
        <w:t>Regression analysis is a statistical tool that we use to establish and estimate relationship among variables. Generally, the dependent variable is related to one or more independent variables</w:t>
      </w:r>
      <w:sdt>
        <w:sdtPr>
          <w:rPr>
            <w:rFonts w:ascii="Times New Roman" w:hAnsi="Times New Roman" w:cs="Times New Roman"/>
            <w:color w:val="222222"/>
            <w:sz w:val="24"/>
            <w:szCs w:val="24"/>
            <w:shd w:val="clear" w:color="auto" w:fill="FFFFFF"/>
          </w:rPr>
          <w:id w:val="1169060228"/>
          <w:citation/>
        </w:sdtPr>
        <w:sdtContent>
          <w:r w:rsidR="00803ABD">
            <w:rPr>
              <w:rFonts w:ascii="Times New Roman" w:hAnsi="Times New Roman" w:cs="Times New Roman"/>
              <w:color w:val="222222"/>
              <w:sz w:val="24"/>
              <w:szCs w:val="24"/>
              <w:shd w:val="clear" w:color="auto" w:fill="FFFFFF"/>
            </w:rPr>
            <w:fldChar w:fldCharType="begin"/>
          </w:r>
          <w:r w:rsidR="00803ABD">
            <w:rPr>
              <w:rFonts w:ascii="Times New Roman" w:hAnsi="Times New Roman" w:cs="Times New Roman"/>
              <w:color w:val="222222"/>
              <w:sz w:val="24"/>
              <w:szCs w:val="24"/>
              <w:shd w:val="clear" w:color="auto" w:fill="FFFFFF"/>
              <w:lang w:val="en-SG"/>
            </w:rPr>
            <w:instrText xml:space="preserve"> CITATION Vis15 \l 18441 </w:instrText>
          </w:r>
          <w:r w:rsidR="00803ABD">
            <w:rPr>
              <w:rFonts w:ascii="Times New Roman" w:hAnsi="Times New Roman" w:cs="Times New Roman"/>
              <w:color w:val="222222"/>
              <w:sz w:val="24"/>
              <w:szCs w:val="24"/>
              <w:shd w:val="clear" w:color="auto" w:fill="FFFFFF"/>
            </w:rPr>
            <w:fldChar w:fldCharType="separate"/>
          </w:r>
          <w:r w:rsidR="007C5EAF">
            <w:rPr>
              <w:rFonts w:ascii="Times New Roman" w:hAnsi="Times New Roman" w:cs="Times New Roman"/>
              <w:noProof/>
              <w:color w:val="222222"/>
              <w:sz w:val="24"/>
              <w:szCs w:val="24"/>
              <w:shd w:val="clear" w:color="auto" w:fill="FFFFFF"/>
              <w:lang w:val="en-SG"/>
            </w:rPr>
            <w:t xml:space="preserve"> </w:t>
          </w:r>
          <w:r w:rsidR="007C5EAF" w:rsidRPr="007C5EAF">
            <w:rPr>
              <w:rFonts w:ascii="Times New Roman" w:hAnsi="Times New Roman" w:cs="Times New Roman"/>
              <w:noProof/>
              <w:color w:val="222222"/>
              <w:sz w:val="24"/>
              <w:szCs w:val="24"/>
              <w:shd w:val="clear" w:color="auto" w:fill="FFFFFF"/>
              <w:lang w:val="en-SG"/>
            </w:rPr>
            <w:t>(Vishal, 2015)</w:t>
          </w:r>
          <w:r w:rsidR="00803ABD">
            <w:rPr>
              <w:rFonts w:ascii="Times New Roman" w:hAnsi="Times New Roman" w:cs="Times New Roman"/>
              <w:color w:val="222222"/>
              <w:sz w:val="24"/>
              <w:szCs w:val="24"/>
              <w:shd w:val="clear" w:color="auto" w:fill="FFFFFF"/>
            </w:rPr>
            <w:fldChar w:fldCharType="end"/>
          </w:r>
        </w:sdtContent>
      </w:sdt>
      <w:r w:rsidR="00803ABD">
        <w:rPr>
          <w:rFonts w:ascii="Times New Roman" w:hAnsi="Times New Roman" w:cs="Times New Roman"/>
          <w:color w:val="222222"/>
          <w:sz w:val="24"/>
          <w:szCs w:val="24"/>
          <w:shd w:val="clear" w:color="auto" w:fill="FFFFFF"/>
        </w:rPr>
        <w:t>.</w:t>
      </w:r>
    </w:p>
    <w:p w14:paraId="1B92421A" w14:textId="77777777" w:rsidR="008D384F" w:rsidRDefault="008D384F" w:rsidP="008D384F">
      <w:pPr>
        <w:spacing w:line="360" w:lineRule="auto"/>
        <w:jc w:val="both"/>
        <w:rPr>
          <w:rFonts w:ascii="Times New Roman" w:hAnsi="Times New Roman" w:cs="Times New Roman"/>
          <w:color w:val="222222"/>
          <w:sz w:val="24"/>
          <w:szCs w:val="24"/>
          <w:shd w:val="clear" w:color="auto" w:fill="FFFFFF"/>
        </w:rPr>
      </w:pPr>
    </w:p>
    <w:p w14:paraId="54FEB23D"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4A08C359"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4D3B0A78"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6D0D6EF7"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3766DD9C"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00508876"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2C8FC1BA"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2207D284"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2123E0EE"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7878CF2B"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4DB0941D"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0A2F012B"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484C7FEC" w14:textId="77777777" w:rsidR="00436A11" w:rsidRDefault="00436A11" w:rsidP="008D384F">
      <w:pPr>
        <w:spacing w:line="360" w:lineRule="auto"/>
        <w:jc w:val="both"/>
        <w:rPr>
          <w:rFonts w:ascii="Times New Roman" w:hAnsi="Times New Roman" w:cs="Times New Roman"/>
          <w:color w:val="222222"/>
          <w:sz w:val="24"/>
          <w:szCs w:val="24"/>
          <w:shd w:val="clear" w:color="auto" w:fill="FFFFFF"/>
        </w:rPr>
      </w:pPr>
    </w:p>
    <w:p w14:paraId="39D46E81" w14:textId="77777777" w:rsidR="008D384F" w:rsidRPr="008D384F" w:rsidRDefault="008D384F" w:rsidP="008D384F">
      <w:pPr>
        <w:spacing w:line="360" w:lineRule="auto"/>
        <w:jc w:val="both"/>
        <w:rPr>
          <w:rFonts w:ascii="Times New Roman" w:hAnsi="Times New Roman" w:cs="Times New Roman"/>
          <w:color w:val="222222"/>
          <w:sz w:val="24"/>
          <w:szCs w:val="24"/>
          <w:shd w:val="clear" w:color="auto" w:fill="FFFFFF"/>
        </w:rPr>
      </w:pPr>
    </w:p>
    <w:p w14:paraId="25A028AD" w14:textId="77777777" w:rsidR="008D384F" w:rsidRPr="00071CA2" w:rsidRDefault="00071CA2" w:rsidP="00071CA2">
      <w:pPr>
        <w:pStyle w:val="Heading1"/>
        <w:jc w:val="right"/>
        <w:rPr>
          <w:b/>
          <w:sz w:val="72"/>
          <w:szCs w:val="72"/>
        </w:rPr>
      </w:pPr>
      <w:r>
        <w:rPr>
          <w:b/>
          <w:sz w:val="72"/>
          <w:szCs w:val="72"/>
        </w:rPr>
        <w:t xml:space="preserve">  </w:t>
      </w:r>
      <w:bookmarkStart w:id="11" w:name="_Toc53357688"/>
      <w:r w:rsidR="008D384F" w:rsidRPr="00071CA2">
        <w:rPr>
          <w:b/>
          <w:sz w:val="72"/>
          <w:szCs w:val="72"/>
        </w:rPr>
        <w:t>METHODOLOGY</w:t>
      </w:r>
      <w:bookmarkEnd w:id="11"/>
      <w:r w:rsidR="008D384F" w:rsidRPr="00071CA2">
        <w:rPr>
          <w:b/>
          <w:sz w:val="72"/>
          <w:szCs w:val="72"/>
        </w:rPr>
        <w:t xml:space="preserve"> </w:t>
      </w:r>
    </w:p>
    <w:p w14:paraId="0C453836" w14:textId="77777777" w:rsidR="008D384F" w:rsidRPr="00071CA2" w:rsidRDefault="008D384F" w:rsidP="00071CA2">
      <w:pPr>
        <w:pStyle w:val="ListParagraph"/>
        <w:numPr>
          <w:ilvl w:val="1"/>
          <w:numId w:val="36"/>
        </w:numPr>
        <w:autoSpaceDE w:val="0"/>
        <w:autoSpaceDN w:val="0"/>
        <w:adjustRightInd w:val="0"/>
        <w:spacing w:after="219" w:line="240" w:lineRule="auto"/>
        <w:jc w:val="right"/>
        <w:rPr>
          <w:rFonts w:ascii="Calibri" w:hAnsi="Calibri" w:cs="Calibri"/>
          <w:b/>
          <w:color w:val="365F91" w:themeColor="accent1" w:themeShade="BF"/>
          <w:sz w:val="52"/>
          <w:szCs w:val="52"/>
        </w:rPr>
      </w:pPr>
      <w:r w:rsidRPr="00071CA2">
        <w:rPr>
          <w:rFonts w:ascii="Calibri" w:hAnsi="Calibri" w:cs="Calibri"/>
          <w:b/>
          <w:color w:val="365F91" w:themeColor="accent1" w:themeShade="BF"/>
          <w:sz w:val="52"/>
          <w:szCs w:val="52"/>
        </w:rPr>
        <w:t xml:space="preserve">Data Type </w:t>
      </w:r>
    </w:p>
    <w:p w14:paraId="568A2E68" w14:textId="77777777" w:rsidR="008D384F" w:rsidRPr="00071CA2" w:rsidRDefault="008D384F" w:rsidP="00071CA2">
      <w:pPr>
        <w:pStyle w:val="ListParagraph"/>
        <w:numPr>
          <w:ilvl w:val="1"/>
          <w:numId w:val="36"/>
        </w:numPr>
        <w:autoSpaceDE w:val="0"/>
        <w:autoSpaceDN w:val="0"/>
        <w:adjustRightInd w:val="0"/>
        <w:spacing w:after="219" w:line="240" w:lineRule="auto"/>
        <w:jc w:val="right"/>
        <w:rPr>
          <w:rFonts w:ascii="Calibri" w:hAnsi="Calibri" w:cs="Calibri"/>
          <w:b/>
          <w:color w:val="365F91" w:themeColor="accent1" w:themeShade="BF"/>
          <w:sz w:val="52"/>
          <w:szCs w:val="52"/>
        </w:rPr>
      </w:pPr>
      <w:r w:rsidRPr="00071CA2">
        <w:rPr>
          <w:rFonts w:ascii="Calibri" w:hAnsi="Calibri" w:cs="Calibri"/>
          <w:b/>
          <w:color w:val="365F91" w:themeColor="accent1" w:themeShade="BF"/>
          <w:sz w:val="52"/>
          <w:szCs w:val="52"/>
        </w:rPr>
        <w:t xml:space="preserve">Research Type </w:t>
      </w:r>
    </w:p>
    <w:p w14:paraId="0E232DDE" w14:textId="77777777" w:rsidR="008D384F" w:rsidRPr="00071CA2" w:rsidRDefault="008D384F" w:rsidP="00071CA2">
      <w:pPr>
        <w:pStyle w:val="ListParagraph"/>
        <w:numPr>
          <w:ilvl w:val="1"/>
          <w:numId w:val="36"/>
        </w:numPr>
        <w:autoSpaceDE w:val="0"/>
        <w:autoSpaceDN w:val="0"/>
        <w:adjustRightInd w:val="0"/>
        <w:spacing w:after="219" w:line="240" w:lineRule="auto"/>
        <w:jc w:val="right"/>
        <w:rPr>
          <w:rFonts w:ascii="Calibri" w:hAnsi="Calibri" w:cs="Calibri"/>
          <w:b/>
          <w:color w:val="365F91" w:themeColor="accent1" w:themeShade="BF"/>
          <w:sz w:val="52"/>
          <w:szCs w:val="52"/>
        </w:rPr>
      </w:pPr>
      <w:r w:rsidRPr="00071CA2">
        <w:rPr>
          <w:rFonts w:ascii="Calibri" w:hAnsi="Calibri" w:cs="Calibri"/>
          <w:b/>
          <w:color w:val="365F91" w:themeColor="accent1" w:themeShade="BF"/>
          <w:sz w:val="52"/>
          <w:szCs w:val="52"/>
        </w:rPr>
        <w:t xml:space="preserve">Sampling </w:t>
      </w:r>
    </w:p>
    <w:p w14:paraId="76A34834" w14:textId="77777777" w:rsidR="008D384F" w:rsidRPr="00071CA2" w:rsidRDefault="008D384F" w:rsidP="00071CA2">
      <w:pPr>
        <w:pStyle w:val="ListParagraph"/>
        <w:numPr>
          <w:ilvl w:val="1"/>
          <w:numId w:val="36"/>
        </w:numPr>
        <w:autoSpaceDE w:val="0"/>
        <w:autoSpaceDN w:val="0"/>
        <w:adjustRightInd w:val="0"/>
        <w:spacing w:after="219" w:line="240" w:lineRule="auto"/>
        <w:jc w:val="right"/>
        <w:rPr>
          <w:rFonts w:ascii="Calibri" w:hAnsi="Calibri" w:cs="Calibri"/>
          <w:b/>
          <w:color w:val="365F91" w:themeColor="accent1" w:themeShade="BF"/>
          <w:sz w:val="52"/>
          <w:szCs w:val="52"/>
        </w:rPr>
      </w:pPr>
      <w:r w:rsidRPr="00071CA2">
        <w:rPr>
          <w:rFonts w:ascii="Calibri" w:hAnsi="Calibri" w:cs="Calibri"/>
          <w:b/>
          <w:color w:val="365F91" w:themeColor="accent1" w:themeShade="BF"/>
          <w:sz w:val="52"/>
          <w:szCs w:val="52"/>
        </w:rPr>
        <w:t xml:space="preserve">Data Analysis Tools </w:t>
      </w:r>
    </w:p>
    <w:p w14:paraId="7115F9AF" w14:textId="77777777" w:rsidR="008D384F" w:rsidRPr="00071CA2" w:rsidRDefault="008D384F" w:rsidP="00071CA2">
      <w:pPr>
        <w:pStyle w:val="ListParagraph"/>
        <w:numPr>
          <w:ilvl w:val="1"/>
          <w:numId w:val="36"/>
        </w:numPr>
        <w:autoSpaceDE w:val="0"/>
        <w:autoSpaceDN w:val="0"/>
        <w:adjustRightInd w:val="0"/>
        <w:spacing w:after="0" w:line="240" w:lineRule="auto"/>
        <w:jc w:val="right"/>
        <w:rPr>
          <w:rFonts w:ascii="Calibri" w:hAnsi="Calibri" w:cs="Calibri"/>
          <w:b/>
          <w:color w:val="365F91" w:themeColor="accent1" w:themeShade="BF"/>
          <w:sz w:val="52"/>
          <w:szCs w:val="52"/>
        </w:rPr>
      </w:pPr>
      <w:r w:rsidRPr="00071CA2">
        <w:rPr>
          <w:rFonts w:ascii="Calibri" w:hAnsi="Calibri" w:cs="Calibri"/>
          <w:b/>
          <w:color w:val="365F91" w:themeColor="accent1" w:themeShade="BF"/>
          <w:sz w:val="52"/>
          <w:szCs w:val="52"/>
        </w:rPr>
        <w:t xml:space="preserve">Data Presentation </w:t>
      </w:r>
    </w:p>
    <w:p w14:paraId="7318A615" w14:textId="77777777" w:rsidR="008D384F" w:rsidRPr="00071CA2" w:rsidRDefault="008D384F" w:rsidP="00071CA2">
      <w:pPr>
        <w:autoSpaceDE w:val="0"/>
        <w:autoSpaceDN w:val="0"/>
        <w:adjustRightInd w:val="0"/>
        <w:spacing w:after="0" w:line="240" w:lineRule="auto"/>
        <w:jc w:val="right"/>
        <w:rPr>
          <w:rFonts w:ascii="Calibri" w:hAnsi="Calibri" w:cs="Calibri"/>
          <w:b/>
          <w:color w:val="365F91" w:themeColor="accent1" w:themeShade="BF"/>
          <w:sz w:val="52"/>
          <w:szCs w:val="52"/>
        </w:rPr>
      </w:pPr>
    </w:p>
    <w:p w14:paraId="13A8690B" w14:textId="77777777" w:rsidR="008D384F" w:rsidRPr="008D384F" w:rsidRDefault="008D384F" w:rsidP="008D384F">
      <w:pPr>
        <w:autoSpaceDE w:val="0"/>
        <w:autoSpaceDN w:val="0"/>
        <w:adjustRightInd w:val="0"/>
        <w:spacing w:after="0" w:line="240" w:lineRule="auto"/>
        <w:rPr>
          <w:rFonts w:ascii="Calibri" w:hAnsi="Calibri" w:cs="Calibri"/>
          <w:color w:val="000000"/>
          <w:sz w:val="28"/>
          <w:szCs w:val="28"/>
        </w:rPr>
      </w:pPr>
    </w:p>
    <w:p w14:paraId="3ED296C0" w14:textId="77777777" w:rsidR="00071CA2" w:rsidRDefault="00071CA2">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2FEE0FBB" w14:textId="77777777" w:rsidR="008D384F" w:rsidRDefault="008D384F" w:rsidP="000E5E89">
      <w:pPr>
        <w:pStyle w:val="Heading2"/>
        <w:rPr>
          <w:b/>
          <w:sz w:val="28"/>
          <w:shd w:val="clear" w:color="auto" w:fill="FFFFFF"/>
        </w:rPr>
      </w:pPr>
      <w:bookmarkStart w:id="12" w:name="_Toc53357689"/>
      <w:r w:rsidRPr="000E5E89">
        <w:rPr>
          <w:b/>
          <w:sz w:val="28"/>
          <w:shd w:val="clear" w:color="auto" w:fill="FFFFFF"/>
        </w:rPr>
        <w:lastRenderedPageBreak/>
        <w:t>DATA TYPE</w:t>
      </w:r>
      <w:bookmarkEnd w:id="12"/>
    </w:p>
    <w:p w14:paraId="5ADE3374" w14:textId="77777777" w:rsidR="000E5E89" w:rsidRPr="000E5E89" w:rsidRDefault="000E5E89" w:rsidP="002D5105">
      <w:pPr>
        <w:jc w:val="both"/>
      </w:pPr>
    </w:p>
    <w:p w14:paraId="1968BDAA" w14:textId="6733B98A" w:rsidR="00E060A0" w:rsidRDefault="003244BC" w:rsidP="002D5105">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All the data used in this report are secondary data. All the figures and most of the ratios are collected from banks’ annual reports that are published by themselves in their websites. And some concepts </w:t>
      </w:r>
      <w:r w:rsidR="00E060A0">
        <w:rPr>
          <w:rFonts w:ascii="Times New Roman" w:hAnsi="Times New Roman" w:cs="Times New Roman"/>
          <w:color w:val="222222"/>
          <w:sz w:val="24"/>
          <w:szCs w:val="24"/>
          <w:shd w:val="clear" w:color="auto" w:fill="FFFFFF"/>
        </w:rPr>
        <w:t xml:space="preserve">have been taken from different books, </w:t>
      </w:r>
      <w:r w:rsidR="00B86648">
        <w:rPr>
          <w:rFonts w:ascii="Times New Roman" w:hAnsi="Times New Roman" w:cs="Times New Roman"/>
          <w:color w:val="222222"/>
          <w:sz w:val="24"/>
          <w:szCs w:val="24"/>
          <w:shd w:val="clear" w:color="auto" w:fill="FFFFFF"/>
        </w:rPr>
        <w:t xml:space="preserve">journals, </w:t>
      </w:r>
      <w:r w:rsidR="00E060A0">
        <w:rPr>
          <w:rFonts w:ascii="Times New Roman" w:hAnsi="Times New Roman" w:cs="Times New Roman"/>
          <w:color w:val="222222"/>
          <w:sz w:val="24"/>
          <w:szCs w:val="24"/>
          <w:shd w:val="clear" w:color="auto" w:fill="FFFFFF"/>
        </w:rPr>
        <w:t>and</w:t>
      </w:r>
      <w:r w:rsidR="00B86648">
        <w:rPr>
          <w:rFonts w:ascii="Times New Roman" w:hAnsi="Times New Roman" w:cs="Times New Roman"/>
          <w:color w:val="222222"/>
          <w:sz w:val="24"/>
          <w:szCs w:val="24"/>
          <w:shd w:val="clear" w:color="auto" w:fill="FFFFFF"/>
        </w:rPr>
        <w:t xml:space="preserve"> </w:t>
      </w:r>
      <w:r w:rsidR="00E060A0">
        <w:rPr>
          <w:rFonts w:ascii="Times New Roman" w:hAnsi="Times New Roman" w:cs="Times New Roman"/>
          <w:color w:val="222222"/>
          <w:sz w:val="24"/>
          <w:szCs w:val="24"/>
          <w:shd w:val="clear" w:color="auto" w:fill="FFFFFF"/>
        </w:rPr>
        <w:t xml:space="preserve">articles. </w:t>
      </w:r>
      <w:r w:rsidR="00E060A0">
        <w:rPr>
          <w:rFonts w:ascii="Times New Roman" w:hAnsi="Times New Roman" w:cs="Times New Roman"/>
          <w:color w:val="222222"/>
          <w:sz w:val="24"/>
          <w:szCs w:val="24"/>
          <w:shd w:val="clear" w:color="auto" w:fill="FFFFFF"/>
        </w:rPr>
        <w:br/>
        <w:t xml:space="preserve">Some calculation needed to be done to find some ratios that are not included in the annual reports by the help of the raw figures given by banks. </w:t>
      </w:r>
    </w:p>
    <w:p w14:paraId="6240D209" w14:textId="77777777" w:rsidR="00CC06D8" w:rsidRDefault="00CC06D8" w:rsidP="000E5E89">
      <w:pPr>
        <w:pStyle w:val="Heading2"/>
        <w:rPr>
          <w:b/>
          <w:sz w:val="28"/>
          <w:shd w:val="clear" w:color="auto" w:fill="FFFFFF"/>
        </w:rPr>
      </w:pPr>
      <w:bookmarkStart w:id="13" w:name="_Toc53357690"/>
      <w:r w:rsidRPr="000E5E89">
        <w:rPr>
          <w:b/>
          <w:sz w:val="28"/>
          <w:shd w:val="clear" w:color="auto" w:fill="FFFFFF"/>
        </w:rPr>
        <w:t>RESEARCH TYPE</w:t>
      </w:r>
      <w:bookmarkEnd w:id="13"/>
    </w:p>
    <w:p w14:paraId="6BC694B5" w14:textId="77777777" w:rsidR="000E5E89" w:rsidRPr="000E5E89" w:rsidRDefault="000E5E89" w:rsidP="000E5E89"/>
    <w:p w14:paraId="3C43E41B" w14:textId="77777777" w:rsidR="00BB4C93" w:rsidRDefault="00BB4C93" w:rsidP="00E060A0">
      <w:pPr>
        <w:spacing w:line="360" w:lineRule="auto"/>
        <w:jc w:val="both"/>
        <w:rPr>
          <w:rFonts w:ascii="Times New Roman" w:hAnsi="Times New Roman" w:cs="Times New Roman"/>
          <w:color w:val="222222"/>
          <w:sz w:val="24"/>
          <w:szCs w:val="24"/>
          <w:shd w:val="clear" w:color="auto" w:fill="FFFFFF"/>
        </w:rPr>
      </w:pPr>
      <w:r w:rsidRPr="00BB4C93">
        <w:rPr>
          <w:rFonts w:ascii="Times New Roman" w:hAnsi="Times New Roman" w:cs="Times New Roman"/>
          <w:color w:val="222222"/>
          <w:sz w:val="24"/>
          <w:szCs w:val="24"/>
          <w:shd w:val="clear" w:color="auto" w:fill="FFFFFF"/>
        </w:rPr>
        <w:t>Quantitative research</w:t>
      </w:r>
      <w:r>
        <w:rPr>
          <w:rFonts w:ascii="Times New Roman" w:hAnsi="Times New Roman" w:cs="Times New Roman"/>
          <w:color w:val="222222"/>
          <w:sz w:val="24"/>
          <w:szCs w:val="24"/>
          <w:shd w:val="clear" w:color="auto" w:fill="FFFFFF"/>
        </w:rPr>
        <w:t xml:space="preserve"> has taken place in this report as figures and ratios </w:t>
      </w:r>
      <w:r w:rsidR="00B635CB">
        <w:rPr>
          <w:rFonts w:ascii="Times New Roman" w:hAnsi="Times New Roman" w:cs="Times New Roman"/>
          <w:color w:val="222222"/>
          <w:sz w:val="24"/>
          <w:szCs w:val="24"/>
          <w:shd w:val="clear" w:color="auto" w:fill="FFFFFF"/>
        </w:rPr>
        <w:t xml:space="preserve">has been used. </w:t>
      </w:r>
      <w:r w:rsidR="00355C04">
        <w:rPr>
          <w:rFonts w:ascii="Times New Roman" w:hAnsi="Times New Roman" w:cs="Times New Roman"/>
          <w:color w:val="222222"/>
          <w:sz w:val="24"/>
          <w:szCs w:val="24"/>
          <w:shd w:val="clear" w:color="auto" w:fill="FFFFFF"/>
        </w:rPr>
        <w:t>Average result of five years of every bank is presented by graphs.</w:t>
      </w:r>
    </w:p>
    <w:p w14:paraId="1392BF7F" w14:textId="03310046" w:rsidR="00455F5C" w:rsidRDefault="00E31F01" w:rsidP="00E060A0">
      <w:pPr>
        <w:spacing w:line="360" w:lineRule="auto"/>
        <w:jc w:val="both"/>
        <w:rPr>
          <w:rFonts w:ascii="Times New Roman" w:hAnsi="Times New Roman" w:cs="Times New Roman"/>
          <w:color w:val="222222"/>
          <w:sz w:val="24"/>
          <w:szCs w:val="24"/>
          <w:shd w:val="clear" w:color="auto" w:fill="FFFFFF"/>
        </w:rPr>
      </w:pPr>
      <w:r w:rsidRPr="00E31F01">
        <w:rPr>
          <w:rFonts w:ascii="Times New Roman" w:hAnsi="Times New Roman" w:cs="Times New Roman"/>
          <w:color w:val="222222"/>
          <w:sz w:val="24"/>
          <w:szCs w:val="24"/>
          <w:shd w:val="clear" w:color="auto" w:fill="FFFFFF"/>
        </w:rPr>
        <w:t>Qualitative research</w:t>
      </w:r>
      <w:r w:rsidR="00214EAD">
        <w:rPr>
          <w:rFonts w:ascii="Times New Roman" w:hAnsi="Times New Roman" w:cs="Times New Roman"/>
          <w:color w:val="222222"/>
          <w:sz w:val="24"/>
          <w:szCs w:val="24"/>
          <w:shd w:val="clear" w:color="auto" w:fill="FFFFFF"/>
        </w:rPr>
        <w:t xml:space="preserve"> has been done in this report</w:t>
      </w:r>
      <w:r w:rsidR="00ED3950">
        <w:rPr>
          <w:rFonts w:ascii="Times New Roman" w:hAnsi="Times New Roman" w:cs="Times New Roman"/>
          <w:color w:val="222222"/>
          <w:sz w:val="24"/>
          <w:szCs w:val="24"/>
          <w:shd w:val="clear" w:color="auto" w:fill="FFFFFF"/>
        </w:rPr>
        <w:t xml:space="preserve"> too. The report</w:t>
      </w:r>
      <w:r w:rsidR="00214EAD">
        <w:rPr>
          <w:rFonts w:ascii="Times New Roman" w:hAnsi="Times New Roman" w:cs="Times New Roman"/>
          <w:color w:val="222222"/>
          <w:sz w:val="24"/>
          <w:szCs w:val="24"/>
          <w:shd w:val="clear" w:color="auto" w:fill="FFFFFF"/>
        </w:rPr>
        <w:t xml:space="preserve"> tried to get the meaning of different ratios </w:t>
      </w:r>
      <w:r w:rsidR="00ED3950">
        <w:rPr>
          <w:rFonts w:ascii="Times New Roman" w:hAnsi="Times New Roman" w:cs="Times New Roman"/>
          <w:color w:val="222222"/>
          <w:sz w:val="24"/>
          <w:szCs w:val="24"/>
          <w:shd w:val="clear" w:color="auto" w:fill="FFFFFF"/>
        </w:rPr>
        <w:t xml:space="preserve">according to </w:t>
      </w:r>
      <w:r w:rsidR="00214EAD">
        <w:rPr>
          <w:rFonts w:ascii="Times New Roman" w:hAnsi="Times New Roman" w:cs="Times New Roman"/>
          <w:color w:val="222222"/>
          <w:sz w:val="24"/>
          <w:szCs w:val="24"/>
          <w:shd w:val="clear" w:color="auto" w:fill="FFFFFF"/>
        </w:rPr>
        <w:t xml:space="preserve">their effect on banks’ financial statement. It </w:t>
      </w:r>
      <w:r w:rsidR="00B86648">
        <w:rPr>
          <w:rFonts w:ascii="Times New Roman" w:hAnsi="Times New Roman" w:cs="Times New Roman"/>
          <w:color w:val="222222"/>
          <w:sz w:val="24"/>
          <w:szCs w:val="24"/>
          <w:shd w:val="clear" w:color="auto" w:fill="FFFFFF"/>
        </w:rPr>
        <w:t>includes</w:t>
      </w:r>
      <w:r w:rsidR="00214EAD">
        <w:rPr>
          <w:rFonts w:ascii="Times New Roman" w:hAnsi="Times New Roman" w:cs="Times New Roman"/>
          <w:color w:val="222222"/>
          <w:sz w:val="24"/>
          <w:szCs w:val="24"/>
          <w:shd w:val="clear" w:color="auto" w:fill="FFFFFF"/>
        </w:rPr>
        <w:t xml:space="preserve"> explaining the economic situation of banks</w:t>
      </w:r>
      <w:r w:rsidR="00ED3950">
        <w:rPr>
          <w:rFonts w:ascii="Times New Roman" w:hAnsi="Times New Roman" w:cs="Times New Roman"/>
          <w:color w:val="222222"/>
          <w:sz w:val="24"/>
          <w:szCs w:val="24"/>
          <w:shd w:val="clear" w:color="auto" w:fill="FFFFFF"/>
        </w:rPr>
        <w:t xml:space="preserve"> through the ratio analysis. And </w:t>
      </w:r>
      <w:r w:rsidR="00B86648">
        <w:rPr>
          <w:rFonts w:ascii="Times New Roman" w:hAnsi="Times New Roman" w:cs="Times New Roman"/>
          <w:color w:val="222222"/>
          <w:sz w:val="24"/>
          <w:szCs w:val="24"/>
          <w:shd w:val="clear" w:color="auto" w:fill="FFFFFF"/>
        </w:rPr>
        <w:t>finally,</w:t>
      </w:r>
      <w:r w:rsidR="000E5E89">
        <w:rPr>
          <w:rFonts w:ascii="Times New Roman" w:hAnsi="Times New Roman" w:cs="Times New Roman"/>
          <w:color w:val="222222"/>
          <w:sz w:val="24"/>
          <w:szCs w:val="24"/>
          <w:shd w:val="clear" w:color="auto" w:fill="FFFFFF"/>
        </w:rPr>
        <w:t xml:space="preserve"> a summarized decision has </w:t>
      </w:r>
      <w:r w:rsidR="00ED3950">
        <w:rPr>
          <w:rFonts w:ascii="Times New Roman" w:hAnsi="Times New Roman" w:cs="Times New Roman"/>
          <w:color w:val="222222"/>
          <w:sz w:val="24"/>
          <w:szCs w:val="24"/>
          <w:shd w:val="clear" w:color="auto" w:fill="FFFFFF"/>
        </w:rPr>
        <w:t xml:space="preserve">given on the basis of the analysis. </w:t>
      </w:r>
    </w:p>
    <w:p w14:paraId="7FC91CE3" w14:textId="77777777" w:rsidR="0087384E" w:rsidRDefault="0087384E" w:rsidP="000E5E89">
      <w:pPr>
        <w:pStyle w:val="Heading2"/>
        <w:rPr>
          <w:b/>
          <w:sz w:val="28"/>
          <w:shd w:val="clear" w:color="auto" w:fill="FFFFFF"/>
        </w:rPr>
      </w:pPr>
      <w:bookmarkStart w:id="14" w:name="_Toc53357691"/>
      <w:r w:rsidRPr="000E5E89">
        <w:rPr>
          <w:b/>
          <w:sz w:val="28"/>
          <w:shd w:val="clear" w:color="auto" w:fill="FFFFFF"/>
        </w:rPr>
        <w:t>SAMPLING</w:t>
      </w:r>
      <w:bookmarkEnd w:id="14"/>
    </w:p>
    <w:p w14:paraId="616621AE" w14:textId="77777777" w:rsidR="0095547B" w:rsidRPr="0095547B" w:rsidRDefault="0095547B" w:rsidP="002D5105">
      <w:pPr>
        <w:spacing w:line="360" w:lineRule="auto"/>
        <w:jc w:val="both"/>
      </w:pPr>
    </w:p>
    <w:p w14:paraId="2626FBBC" w14:textId="77777777" w:rsidR="0087384E" w:rsidRDefault="0087384E" w:rsidP="002D5105">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All the information about banks used in this report are of last five (5) years. </w:t>
      </w:r>
    </w:p>
    <w:p w14:paraId="409427E0" w14:textId="77777777" w:rsidR="0087384E" w:rsidRDefault="0087384E" w:rsidP="002D5105">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Non-probability sampling method has been used here in this report as it was our own judgment and we, ourselves decided to work on last 5 years’ financial statement of listed conventional banks. </w:t>
      </w:r>
    </w:p>
    <w:p w14:paraId="0ECA8848" w14:textId="77777777" w:rsidR="00663A1E" w:rsidRDefault="00663A1E" w:rsidP="0095547B">
      <w:pPr>
        <w:pStyle w:val="Heading2"/>
        <w:rPr>
          <w:b/>
          <w:sz w:val="28"/>
          <w:shd w:val="clear" w:color="auto" w:fill="FFFFFF"/>
        </w:rPr>
      </w:pPr>
      <w:bookmarkStart w:id="15" w:name="_Toc53357692"/>
      <w:r w:rsidRPr="0095547B">
        <w:rPr>
          <w:b/>
          <w:sz w:val="28"/>
          <w:shd w:val="clear" w:color="auto" w:fill="FFFFFF"/>
        </w:rPr>
        <w:t>DATA ANALYSIS TOOLS</w:t>
      </w:r>
      <w:bookmarkEnd w:id="15"/>
    </w:p>
    <w:p w14:paraId="0ADAE5B6" w14:textId="77777777" w:rsidR="0095547B" w:rsidRPr="0095547B" w:rsidRDefault="0095547B" w:rsidP="0095547B"/>
    <w:p w14:paraId="0AAB2966" w14:textId="77777777" w:rsidR="00663A1E" w:rsidRDefault="00663A1E" w:rsidP="00E060A0">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Data has been an</w:t>
      </w:r>
      <w:r w:rsidR="0079616E">
        <w:rPr>
          <w:rFonts w:ascii="Times New Roman" w:hAnsi="Times New Roman" w:cs="Times New Roman"/>
          <w:color w:val="222222"/>
          <w:sz w:val="24"/>
          <w:szCs w:val="24"/>
          <w:shd w:val="clear" w:color="auto" w:fill="FFFFFF"/>
        </w:rPr>
        <w:t>alysis by using Microsoft Excel.</w:t>
      </w:r>
    </w:p>
    <w:p w14:paraId="635FDCF5" w14:textId="77777777" w:rsidR="00663A1E" w:rsidRDefault="0079616E" w:rsidP="002971BC">
      <w:pPr>
        <w:pStyle w:val="Heading2"/>
        <w:rPr>
          <w:b/>
          <w:sz w:val="28"/>
          <w:shd w:val="clear" w:color="auto" w:fill="FFFFFF"/>
        </w:rPr>
      </w:pPr>
      <w:bookmarkStart w:id="16" w:name="_Toc53357693"/>
      <w:r w:rsidRPr="002971BC">
        <w:rPr>
          <w:b/>
          <w:sz w:val="28"/>
          <w:shd w:val="clear" w:color="auto" w:fill="FFFFFF"/>
        </w:rPr>
        <w:t>DATA PRESENTATION</w:t>
      </w:r>
      <w:bookmarkEnd w:id="16"/>
    </w:p>
    <w:p w14:paraId="6FAC97F7" w14:textId="77777777" w:rsidR="0079616E" w:rsidRDefault="00781972" w:rsidP="002D5105">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Through tables and graphs, data has been presented. The representation has been done in this easier way so that reader can understand</w:t>
      </w:r>
      <w:r w:rsidR="00EC0B69">
        <w:rPr>
          <w:rFonts w:ascii="Times New Roman" w:hAnsi="Times New Roman" w:cs="Times New Roman"/>
          <w:color w:val="222222"/>
          <w:sz w:val="24"/>
          <w:szCs w:val="24"/>
          <w:shd w:val="clear" w:color="auto" w:fill="FFFFFF"/>
        </w:rPr>
        <w:t xml:space="preserve"> the result</w:t>
      </w:r>
      <w:r>
        <w:rPr>
          <w:rFonts w:ascii="Times New Roman" w:hAnsi="Times New Roman" w:cs="Times New Roman"/>
          <w:color w:val="222222"/>
          <w:sz w:val="24"/>
          <w:szCs w:val="24"/>
          <w:shd w:val="clear" w:color="auto" w:fill="FFFFFF"/>
        </w:rPr>
        <w:t xml:space="preserve"> well.</w:t>
      </w:r>
    </w:p>
    <w:p w14:paraId="4B4ECD53" w14:textId="77777777" w:rsidR="0002111D" w:rsidRDefault="0002111D" w:rsidP="00E060A0">
      <w:pPr>
        <w:spacing w:line="360" w:lineRule="auto"/>
        <w:jc w:val="both"/>
        <w:rPr>
          <w:rFonts w:ascii="Times New Roman" w:hAnsi="Times New Roman" w:cs="Times New Roman"/>
          <w:color w:val="222222"/>
          <w:sz w:val="24"/>
          <w:szCs w:val="24"/>
          <w:shd w:val="clear" w:color="auto" w:fill="FFFFFF"/>
        </w:rPr>
      </w:pPr>
    </w:p>
    <w:p w14:paraId="2927C6E4" w14:textId="77777777" w:rsidR="0002111D" w:rsidRDefault="0002111D" w:rsidP="00E060A0">
      <w:pPr>
        <w:spacing w:line="360" w:lineRule="auto"/>
        <w:jc w:val="both"/>
        <w:rPr>
          <w:rFonts w:ascii="Times New Roman" w:hAnsi="Times New Roman" w:cs="Times New Roman"/>
          <w:color w:val="222222"/>
          <w:sz w:val="24"/>
          <w:szCs w:val="24"/>
          <w:shd w:val="clear" w:color="auto" w:fill="FFFFFF"/>
        </w:rPr>
      </w:pPr>
    </w:p>
    <w:p w14:paraId="7605D538" w14:textId="77777777" w:rsidR="0002111D" w:rsidRDefault="0002111D" w:rsidP="00E060A0">
      <w:pPr>
        <w:spacing w:line="360" w:lineRule="auto"/>
        <w:jc w:val="both"/>
        <w:rPr>
          <w:rFonts w:ascii="Times New Roman" w:hAnsi="Times New Roman" w:cs="Times New Roman"/>
          <w:color w:val="222222"/>
          <w:sz w:val="24"/>
          <w:szCs w:val="24"/>
          <w:shd w:val="clear" w:color="auto" w:fill="FFFFFF"/>
        </w:rPr>
      </w:pPr>
    </w:p>
    <w:p w14:paraId="58D1AE9E" w14:textId="77777777" w:rsidR="0002111D" w:rsidRDefault="0002111D" w:rsidP="00E060A0">
      <w:pPr>
        <w:spacing w:line="360" w:lineRule="auto"/>
        <w:jc w:val="both"/>
        <w:rPr>
          <w:rFonts w:ascii="Times New Roman" w:hAnsi="Times New Roman" w:cs="Times New Roman"/>
          <w:color w:val="222222"/>
          <w:sz w:val="24"/>
          <w:szCs w:val="24"/>
          <w:shd w:val="clear" w:color="auto" w:fill="FFFFFF"/>
        </w:rPr>
      </w:pPr>
    </w:p>
    <w:p w14:paraId="7F24C52D" w14:textId="77777777" w:rsidR="0002111D" w:rsidRDefault="0002111D" w:rsidP="00E060A0">
      <w:pPr>
        <w:spacing w:line="360" w:lineRule="auto"/>
        <w:jc w:val="both"/>
        <w:rPr>
          <w:rFonts w:ascii="Times New Roman" w:hAnsi="Times New Roman" w:cs="Times New Roman"/>
          <w:color w:val="222222"/>
          <w:sz w:val="24"/>
          <w:szCs w:val="24"/>
          <w:shd w:val="clear" w:color="auto" w:fill="FFFFFF"/>
        </w:rPr>
      </w:pPr>
    </w:p>
    <w:p w14:paraId="40AD5120" w14:textId="77777777" w:rsidR="0002111D" w:rsidRDefault="0002111D" w:rsidP="00E060A0">
      <w:pPr>
        <w:spacing w:line="360" w:lineRule="auto"/>
        <w:jc w:val="both"/>
        <w:rPr>
          <w:rFonts w:ascii="Times New Roman" w:hAnsi="Times New Roman" w:cs="Times New Roman"/>
          <w:color w:val="222222"/>
          <w:sz w:val="24"/>
          <w:szCs w:val="24"/>
          <w:shd w:val="clear" w:color="auto" w:fill="FFFFFF"/>
        </w:rPr>
      </w:pPr>
    </w:p>
    <w:p w14:paraId="540E032E" w14:textId="77777777" w:rsidR="0002111D" w:rsidRDefault="0002111D" w:rsidP="00E060A0">
      <w:pPr>
        <w:spacing w:line="360" w:lineRule="auto"/>
        <w:jc w:val="both"/>
        <w:rPr>
          <w:rFonts w:ascii="Times New Roman" w:hAnsi="Times New Roman" w:cs="Times New Roman"/>
          <w:color w:val="222222"/>
          <w:sz w:val="24"/>
          <w:szCs w:val="24"/>
          <w:shd w:val="clear" w:color="auto" w:fill="FFFFFF"/>
        </w:rPr>
      </w:pPr>
    </w:p>
    <w:p w14:paraId="389CCB49" w14:textId="77777777" w:rsidR="0002111D" w:rsidRDefault="0002111D" w:rsidP="00E060A0">
      <w:pPr>
        <w:spacing w:line="360" w:lineRule="auto"/>
        <w:jc w:val="both"/>
        <w:rPr>
          <w:rFonts w:ascii="Times New Roman" w:hAnsi="Times New Roman" w:cs="Times New Roman"/>
          <w:color w:val="222222"/>
          <w:sz w:val="24"/>
          <w:szCs w:val="24"/>
          <w:shd w:val="clear" w:color="auto" w:fill="FFFFFF"/>
        </w:rPr>
      </w:pPr>
    </w:p>
    <w:p w14:paraId="722F859C" w14:textId="77777777" w:rsidR="00436A11" w:rsidRPr="0002111D" w:rsidRDefault="0002111D" w:rsidP="0002111D">
      <w:pPr>
        <w:pStyle w:val="Heading1"/>
        <w:jc w:val="right"/>
        <w:rPr>
          <w:b/>
          <w:sz w:val="72"/>
          <w:szCs w:val="72"/>
        </w:rPr>
      </w:pPr>
      <w:r>
        <w:rPr>
          <w:b/>
          <w:sz w:val="72"/>
          <w:szCs w:val="72"/>
        </w:rPr>
        <w:t xml:space="preserve">  </w:t>
      </w:r>
      <w:bookmarkStart w:id="17" w:name="_Toc53357694"/>
      <w:r w:rsidR="00436A11" w:rsidRPr="0002111D">
        <w:rPr>
          <w:b/>
          <w:sz w:val="72"/>
          <w:szCs w:val="72"/>
        </w:rPr>
        <w:t>CONVENTIONAL</w:t>
      </w:r>
      <w:r w:rsidR="00B625EA" w:rsidRPr="0002111D">
        <w:rPr>
          <w:b/>
          <w:sz w:val="72"/>
          <w:szCs w:val="72"/>
        </w:rPr>
        <w:t xml:space="preserve"> PRIVATE</w:t>
      </w:r>
      <w:r w:rsidR="00436A11" w:rsidRPr="0002111D">
        <w:rPr>
          <w:b/>
          <w:sz w:val="72"/>
          <w:szCs w:val="72"/>
        </w:rPr>
        <w:t xml:space="preserve"> BANKS OF BANGLADESH</w:t>
      </w:r>
      <w:bookmarkEnd w:id="17"/>
    </w:p>
    <w:p w14:paraId="2425A690" w14:textId="77777777" w:rsidR="0002111D" w:rsidRDefault="0002111D">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5373A393" w14:textId="3084F323" w:rsidR="00436A11" w:rsidRDefault="007F0E3D" w:rsidP="00E060A0">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There was a time when </w:t>
      </w:r>
      <w:r w:rsidR="002418D2">
        <w:rPr>
          <w:rFonts w:ascii="Times New Roman" w:hAnsi="Times New Roman" w:cs="Times New Roman"/>
          <w:color w:val="222222"/>
          <w:sz w:val="24"/>
          <w:szCs w:val="24"/>
          <w:shd w:val="clear" w:color="auto" w:fill="FFFFFF"/>
        </w:rPr>
        <w:t>the whole banking system was bounded by 6 banks</w:t>
      </w:r>
      <w:r w:rsidR="005872FB">
        <w:rPr>
          <w:rFonts w:ascii="Times New Roman" w:hAnsi="Times New Roman" w:cs="Times New Roman"/>
          <w:color w:val="222222"/>
          <w:sz w:val="24"/>
          <w:szCs w:val="24"/>
          <w:shd w:val="clear" w:color="auto" w:fill="FFFFFF"/>
        </w:rPr>
        <w:t xml:space="preserve"> </w:t>
      </w:r>
      <w:r w:rsidR="002418D2">
        <w:rPr>
          <w:rFonts w:ascii="Times New Roman" w:hAnsi="Times New Roman" w:cs="Times New Roman"/>
          <w:color w:val="222222"/>
          <w:sz w:val="24"/>
          <w:szCs w:val="24"/>
          <w:shd w:val="clear" w:color="auto" w:fill="FFFFFF"/>
        </w:rPr>
        <w:t xml:space="preserve">- </w:t>
      </w:r>
      <w:r w:rsidR="002418D2" w:rsidRPr="002418D2">
        <w:rPr>
          <w:rFonts w:ascii="Times New Roman" w:hAnsi="Times New Roman" w:cs="Times New Roman"/>
          <w:color w:val="222222"/>
          <w:sz w:val="24"/>
          <w:szCs w:val="24"/>
          <w:shd w:val="clear" w:color="auto" w:fill="FFFFFF"/>
        </w:rPr>
        <w:t>Sonali, Agra</w:t>
      </w:r>
      <w:r w:rsidR="00B16163">
        <w:rPr>
          <w:rFonts w:ascii="Times New Roman" w:hAnsi="Times New Roman" w:cs="Times New Roman"/>
          <w:color w:val="222222"/>
          <w:sz w:val="24"/>
          <w:szCs w:val="24"/>
          <w:shd w:val="clear" w:color="auto" w:fill="FFFFFF"/>
        </w:rPr>
        <w:t xml:space="preserve">ni, Janata, Rupali, Pubali and </w:t>
      </w:r>
      <w:r w:rsidR="002418D2" w:rsidRPr="002418D2">
        <w:rPr>
          <w:rFonts w:ascii="Times New Roman" w:hAnsi="Times New Roman" w:cs="Times New Roman"/>
          <w:color w:val="222222"/>
          <w:sz w:val="24"/>
          <w:szCs w:val="24"/>
          <w:shd w:val="clear" w:color="auto" w:fill="FFFFFF"/>
        </w:rPr>
        <w:t>Uttara Bank</w:t>
      </w:r>
      <w:r w:rsidR="002418D2">
        <w:rPr>
          <w:rFonts w:ascii="Times New Roman" w:hAnsi="Times New Roman" w:cs="Times New Roman"/>
          <w:color w:val="222222"/>
          <w:sz w:val="24"/>
          <w:szCs w:val="24"/>
          <w:shd w:val="clear" w:color="auto" w:fill="FFFFFF"/>
        </w:rPr>
        <w:t>. All there 6 banks were nationalized banks.</w:t>
      </w:r>
      <w:r w:rsidR="00B16163">
        <w:rPr>
          <w:rFonts w:ascii="Times New Roman" w:hAnsi="Times New Roman" w:cs="Times New Roman"/>
          <w:color w:val="222222"/>
          <w:sz w:val="24"/>
          <w:szCs w:val="24"/>
          <w:shd w:val="clear" w:color="auto" w:fill="FFFFFF"/>
        </w:rPr>
        <w:t xml:space="preserve"> Social justice and </w:t>
      </w:r>
      <w:r w:rsidR="00B16163" w:rsidRPr="00B16163">
        <w:rPr>
          <w:rFonts w:ascii="Times New Roman" w:hAnsi="Times New Roman" w:cs="Times New Roman"/>
          <w:color w:val="222222"/>
          <w:sz w:val="24"/>
          <w:szCs w:val="24"/>
          <w:shd w:val="clear" w:color="auto" w:fill="FFFFFF"/>
        </w:rPr>
        <w:t>e</w:t>
      </w:r>
      <w:r w:rsidR="00B16163">
        <w:rPr>
          <w:rFonts w:ascii="Times New Roman" w:hAnsi="Times New Roman" w:cs="Times New Roman"/>
          <w:color w:val="222222"/>
          <w:sz w:val="24"/>
          <w:szCs w:val="24"/>
          <w:shd w:val="clear" w:color="auto" w:fill="FFFFFF"/>
        </w:rPr>
        <w:t xml:space="preserve">quitable distribution of wealth was the reason behind this nationalization. </w:t>
      </w:r>
      <w:r w:rsidR="00806BBE">
        <w:rPr>
          <w:rFonts w:ascii="Times New Roman" w:hAnsi="Times New Roman" w:cs="Times New Roman"/>
          <w:color w:val="222222"/>
          <w:sz w:val="24"/>
          <w:szCs w:val="24"/>
          <w:shd w:val="clear" w:color="auto" w:fill="FFFFFF"/>
        </w:rPr>
        <w:t xml:space="preserve">But for many wrong and unwise policy they failed to fulfill the goal. </w:t>
      </w:r>
      <w:r w:rsidR="00CA2866">
        <w:rPr>
          <w:rFonts w:ascii="Times New Roman" w:hAnsi="Times New Roman" w:cs="Times New Roman"/>
          <w:color w:val="222222"/>
          <w:sz w:val="24"/>
          <w:szCs w:val="24"/>
          <w:shd w:val="clear" w:color="auto" w:fill="FFFFFF"/>
        </w:rPr>
        <w:t xml:space="preserve">In 1982, Bangladesh banking system first time went through </w:t>
      </w:r>
      <w:r w:rsidR="00CA2866" w:rsidRPr="00CA2866">
        <w:rPr>
          <w:rFonts w:ascii="Times New Roman" w:hAnsi="Times New Roman" w:cs="Times New Roman"/>
          <w:color w:val="222222"/>
          <w:sz w:val="24"/>
          <w:szCs w:val="24"/>
          <w:shd w:val="clear" w:color="auto" w:fill="FFFFFF"/>
        </w:rPr>
        <w:t>denationalization and privatization</w:t>
      </w:r>
      <w:r w:rsidR="00CA2866">
        <w:rPr>
          <w:rFonts w:ascii="Times New Roman" w:hAnsi="Times New Roman" w:cs="Times New Roman"/>
          <w:color w:val="222222"/>
          <w:sz w:val="24"/>
          <w:szCs w:val="24"/>
          <w:shd w:val="clear" w:color="auto" w:fill="FFFFFF"/>
        </w:rPr>
        <w:t>.</w:t>
      </w:r>
    </w:p>
    <w:p w14:paraId="16572043" w14:textId="7A0F6387" w:rsidR="00EA1DB0" w:rsidRDefault="00EA1DB0" w:rsidP="00E060A0">
      <w:pPr>
        <w:spacing w:line="360" w:lineRule="auto"/>
        <w:jc w:val="both"/>
        <w:rPr>
          <w:rFonts w:ascii="Times New Roman" w:hAnsi="Times New Roman" w:cs="Times New Roman"/>
          <w:color w:val="222222"/>
          <w:sz w:val="24"/>
          <w:szCs w:val="24"/>
          <w:shd w:val="clear" w:color="auto" w:fill="FFFFFF"/>
        </w:rPr>
      </w:pPr>
      <w:r w:rsidRPr="00EA1DB0">
        <w:rPr>
          <w:rFonts w:ascii="Times New Roman" w:hAnsi="Times New Roman" w:cs="Times New Roman"/>
          <w:color w:val="222222"/>
          <w:sz w:val="24"/>
          <w:szCs w:val="24"/>
          <w:shd w:val="clear" w:color="auto" w:fill="FFFFFF"/>
        </w:rPr>
        <w:t xml:space="preserve">Arab Bangladesh Bank </w:t>
      </w:r>
      <w:r w:rsidR="004250BA">
        <w:rPr>
          <w:rFonts w:ascii="Times New Roman" w:hAnsi="Times New Roman" w:cs="Times New Roman"/>
          <w:color w:val="222222"/>
          <w:sz w:val="24"/>
          <w:szCs w:val="24"/>
          <w:shd w:val="clear" w:color="auto" w:fill="FFFFFF"/>
        </w:rPr>
        <w:t>(AB Bank) is the first</w:t>
      </w:r>
      <w:r w:rsidRPr="00EA1DB0">
        <w:rPr>
          <w:rFonts w:ascii="Times New Roman" w:hAnsi="Times New Roman" w:cs="Times New Roman"/>
          <w:color w:val="222222"/>
          <w:sz w:val="24"/>
          <w:szCs w:val="24"/>
          <w:shd w:val="clear" w:color="auto" w:fill="FFFFFF"/>
        </w:rPr>
        <w:t xml:space="preserve"> private sector bank</w:t>
      </w:r>
      <w:r w:rsidR="004250BA">
        <w:rPr>
          <w:rFonts w:ascii="Times New Roman" w:hAnsi="Times New Roman" w:cs="Times New Roman"/>
          <w:color w:val="222222"/>
          <w:sz w:val="24"/>
          <w:szCs w:val="24"/>
          <w:shd w:val="clear" w:color="auto" w:fill="FFFFFF"/>
        </w:rPr>
        <w:t xml:space="preserve"> in Bangladesh, established </w:t>
      </w:r>
      <w:r w:rsidRPr="00EA1DB0">
        <w:rPr>
          <w:rFonts w:ascii="Times New Roman" w:hAnsi="Times New Roman" w:cs="Times New Roman"/>
          <w:color w:val="222222"/>
          <w:sz w:val="24"/>
          <w:szCs w:val="24"/>
          <w:shd w:val="clear" w:color="auto" w:fill="FFFFFF"/>
        </w:rPr>
        <w:t>in 1982</w:t>
      </w:r>
      <w:r w:rsidR="000F4365">
        <w:rPr>
          <w:rFonts w:ascii="Times New Roman" w:hAnsi="Times New Roman" w:cs="Times New Roman"/>
          <w:color w:val="222222"/>
          <w:sz w:val="24"/>
          <w:szCs w:val="24"/>
          <w:shd w:val="clear" w:color="auto" w:fill="FFFFFF"/>
        </w:rPr>
        <w:t xml:space="preserve">. </w:t>
      </w:r>
      <w:r w:rsidRPr="00EA1DB0">
        <w:rPr>
          <w:rFonts w:ascii="Times New Roman" w:hAnsi="Times New Roman" w:cs="Times New Roman"/>
          <w:color w:val="222222"/>
          <w:sz w:val="24"/>
          <w:szCs w:val="24"/>
          <w:shd w:val="clear" w:color="auto" w:fill="FFFFFF"/>
        </w:rPr>
        <w:t>National Bank Limited was set up in 1983.</w:t>
      </w:r>
      <w:r w:rsidR="00A67E80">
        <w:rPr>
          <w:rFonts w:ascii="Times New Roman" w:hAnsi="Times New Roman" w:cs="Times New Roman"/>
          <w:color w:val="222222"/>
          <w:sz w:val="24"/>
          <w:szCs w:val="24"/>
          <w:shd w:val="clear" w:color="auto" w:fill="FFFFFF"/>
        </w:rPr>
        <w:t xml:space="preserve"> Later </w:t>
      </w:r>
      <w:r w:rsidR="00B86648">
        <w:rPr>
          <w:rFonts w:ascii="Times New Roman" w:hAnsi="Times New Roman" w:cs="Times New Roman"/>
          <w:color w:val="222222"/>
          <w:sz w:val="24"/>
          <w:szCs w:val="24"/>
          <w:shd w:val="clear" w:color="auto" w:fill="FFFFFF"/>
        </w:rPr>
        <w:t>on,</w:t>
      </w:r>
      <w:r w:rsidR="00A67E80">
        <w:rPr>
          <w:rFonts w:ascii="Times New Roman" w:hAnsi="Times New Roman" w:cs="Times New Roman"/>
          <w:color w:val="222222"/>
          <w:sz w:val="24"/>
          <w:szCs w:val="24"/>
          <w:shd w:val="clear" w:color="auto" w:fill="FFFFFF"/>
        </w:rPr>
        <w:t xml:space="preserve"> five more banks were set up in 1983. </w:t>
      </w:r>
      <w:sdt>
        <w:sdtPr>
          <w:rPr>
            <w:rFonts w:ascii="Times New Roman" w:hAnsi="Times New Roman" w:cs="Times New Roman"/>
            <w:color w:val="222222"/>
            <w:sz w:val="24"/>
            <w:szCs w:val="24"/>
            <w:shd w:val="clear" w:color="auto" w:fill="FFFFFF"/>
          </w:rPr>
          <w:id w:val="-1924557950"/>
          <w:citation/>
        </w:sdtPr>
        <w:sdtContent>
          <w:r w:rsidR="00A67E80">
            <w:rPr>
              <w:rFonts w:ascii="Times New Roman" w:hAnsi="Times New Roman" w:cs="Times New Roman"/>
              <w:color w:val="222222"/>
              <w:sz w:val="24"/>
              <w:szCs w:val="24"/>
              <w:shd w:val="clear" w:color="auto" w:fill="FFFFFF"/>
            </w:rPr>
            <w:fldChar w:fldCharType="begin"/>
          </w:r>
          <w:r w:rsidR="00A67E80">
            <w:rPr>
              <w:rFonts w:ascii="Times New Roman" w:hAnsi="Times New Roman" w:cs="Times New Roman"/>
              <w:color w:val="222222"/>
              <w:sz w:val="24"/>
              <w:szCs w:val="24"/>
              <w:shd w:val="clear" w:color="auto" w:fill="FFFFFF"/>
              <w:lang w:val="en-SG"/>
            </w:rPr>
            <w:instrText xml:space="preserve"> CITATION Ban20 \l 18441 </w:instrText>
          </w:r>
          <w:r w:rsidR="00A67E80">
            <w:rPr>
              <w:rFonts w:ascii="Times New Roman" w:hAnsi="Times New Roman" w:cs="Times New Roman"/>
              <w:color w:val="222222"/>
              <w:sz w:val="24"/>
              <w:szCs w:val="24"/>
              <w:shd w:val="clear" w:color="auto" w:fill="FFFFFF"/>
            </w:rPr>
            <w:fldChar w:fldCharType="separate"/>
          </w:r>
          <w:r w:rsidR="007C5EAF" w:rsidRPr="007C5EAF">
            <w:rPr>
              <w:rFonts w:ascii="Times New Roman" w:hAnsi="Times New Roman" w:cs="Times New Roman"/>
              <w:noProof/>
              <w:color w:val="222222"/>
              <w:sz w:val="24"/>
              <w:szCs w:val="24"/>
              <w:shd w:val="clear" w:color="auto" w:fill="FFFFFF"/>
              <w:lang w:val="en-SG"/>
            </w:rPr>
            <w:t>(Bangladeshi Banker, 2020)</w:t>
          </w:r>
          <w:r w:rsidR="00A67E80">
            <w:rPr>
              <w:rFonts w:ascii="Times New Roman" w:hAnsi="Times New Roman" w:cs="Times New Roman"/>
              <w:color w:val="222222"/>
              <w:sz w:val="24"/>
              <w:szCs w:val="24"/>
              <w:shd w:val="clear" w:color="auto" w:fill="FFFFFF"/>
            </w:rPr>
            <w:fldChar w:fldCharType="end"/>
          </w:r>
        </w:sdtContent>
      </w:sdt>
    </w:p>
    <w:p w14:paraId="277D665C" w14:textId="2C7EFE8C" w:rsidR="00C00128" w:rsidRDefault="00A67E80" w:rsidP="00E060A0">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Today there are </w:t>
      </w:r>
      <w:r w:rsidR="00B86648">
        <w:rPr>
          <w:rFonts w:ascii="Times New Roman" w:hAnsi="Times New Roman" w:cs="Times New Roman"/>
          <w:color w:val="222222"/>
          <w:sz w:val="24"/>
          <w:szCs w:val="24"/>
          <w:shd w:val="clear" w:color="auto" w:fill="FFFFFF"/>
        </w:rPr>
        <w:t>forty-two</w:t>
      </w:r>
      <w:r>
        <w:rPr>
          <w:rFonts w:ascii="Times New Roman" w:hAnsi="Times New Roman" w:cs="Times New Roman"/>
          <w:color w:val="222222"/>
          <w:sz w:val="24"/>
          <w:szCs w:val="24"/>
          <w:shd w:val="clear" w:color="auto" w:fill="FFFFFF"/>
        </w:rPr>
        <w:t xml:space="preserve"> (42) private commercial banks in Bangladesh. </w:t>
      </w:r>
      <w:r w:rsidR="00403D5A">
        <w:rPr>
          <w:rFonts w:ascii="Times New Roman" w:hAnsi="Times New Roman" w:cs="Times New Roman"/>
          <w:color w:val="222222"/>
          <w:sz w:val="24"/>
          <w:szCs w:val="24"/>
          <w:shd w:val="clear" w:color="auto" w:fill="FFFFFF"/>
        </w:rPr>
        <w:t xml:space="preserve">Among them </w:t>
      </w:r>
      <w:r w:rsidR="00B86648">
        <w:rPr>
          <w:rFonts w:ascii="Times New Roman" w:hAnsi="Times New Roman" w:cs="Times New Roman"/>
          <w:color w:val="222222"/>
          <w:sz w:val="24"/>
          <w:szCs w:val="24"/>
          <w:shd w:val="clear" w:color="auto" w:fill="FFFFFF"/>
        </w:rPr>
        <w:t>thirty-four</w:t>
      </w:r>
      <w:r w:rsidR="00403D5A">
        <w:rPr>
          <w:rFonts w:ascii="Times New Roman" w:hAnsi="Times New Roman" w:cs="Times New Roman"/>
          <w:color w:val="222222"/>
          <w:sz w:val="24"/>
          <w:szCs w:val="24"/>
          <w:shd w:val="clear" w:color="auto" w:fill="FFFFFF"/>
        </w:rPr>
        <w:t xml:space="preserve"> (34) are conventional banks and eight (08)</w:t>
      </w:r>
      <w:r w:rsidR="00C40295">
        <w:rPr>
          <w:rFonts w:ascii="Times New Roman" w:hAnsi="Times New Roman" w:cs="Times New Roman"/>
          <w:color w:val="222222"/>
          <w:sz w:val="24"/>
          <w:szCs w:val="24"/>
          <w:shd w:val="clear" w:color="auto" w:fill="FFFFFF"/>
        </w:rPr>
        <w:t xml:space="preserve"> are </w:t>
      </w:r>
      <w:r w:rsidR="00CE686C">
        <w:rPr>
          <w:rFonts w:ascii="Times New Roman" w:hAnsi="Times New Roman" w:cs="Times New Roman"/>
          <w:color w:val="222222"/>
          <w:sz w:val="24"/>
          <w:szCs w:val="24"/>
          <w:shd w:val="clear" w:color="auto" w:fill="FFFFFF"/>
        </w:rPr>
        <w:t xml:space="preserve">Islami Shariah based banks. </w:t>
      </w:r>
      <w:sdt>
        <w:sdtPr>
          <w:rPr>
            <w:rFonts w:ascii="Times New Roman" w:hAnsi="Times New Roman" w:cs="Times New Roman"/>
            <w:color w:val="222222"/>
            <w:sz w:val="24"/>
            <w:szCs w:val="24"/>
            <w:shd w:val="clear" w:color="auto" w:fill="FFFFFF"/>
          </w:rPr>
          <w:id w:val="-1223744305"/>
          <w:citation/>
        </w:sdtPr>
        <w:sdtContent>
          <w:r w:rsidR="00C00128">
            <w:rPr>
              <w:rFonts w:ascii="Times New Roman" w:hAnsi="Times New Roman" w:cs="Times New Roman"/>
              <w:color w:val="222222"/>
              <w:sz w:val="24"/>
              <w:szCs w:val="24"/>
              <w:shd w:val="clear" w:color="auto" w:fill="FFFFFF"/>
            </w:rPr>
            <w:fldChar w:fldCharType="begin"/>
          </w:r>
          <w:r w:rsidR="00C00128">
            <w:rPr>
              <w:rFonts w:ascii="Times New Roman" w:hAnsi="Times New Roman" w:cs="Times New Roman"/>
              <w:color w:val="222222"/>
              <w:sz w:val="24"/>
              <w:szCs w:val="24"/>
              <w:shd w:val="clear" w:color="auto" w:fill="FFFFFF"/>
              <w:lang w:val="en-SG"/>
            </w:rPr>
            <w:instrText xml:space="preserve">CITATION Wik \l 18441 </w:instrText>
          </w:r>
          <w:r w:rsidR="00C00128">
            <w:rPr>
              <w:rFonts w:ascii="Times New Roman" w:hAnsi="Times New Roman" w:cs="Times New Roman"/>
              <w:color w:val="222222"/>
              <w:sz w:val="24"/>
              <w:szCs w:val="24"/>
              <w:shd w:val="clear" w:color="auto" w:fill="FFFFFF"/>
            </w:rPr>
            <w:fldChar w:fldCharType="separate"/>
          </w:r>
          <w:r w:rsidR="007C5EAF" w:rsidRPr="007C5EAF">
            <w:rPr>
              <w:rFonts w:ascii="Times New Roman" w:hAnsi="Times New Roman" w:cs="Times New Roman"/>
              <w:noProof/>
              <w:color w:val="222222"/>
              <w:sz w:val="24"/>
              <w:szCs w:val="24"/>
              <w:shd w:val="clear" w:color="auto" w:fill="FFFFFF"/>
              <w:lang w:val="en-SG"/>
            </w:rPr>
            <w:t>(Wikipedia, n.d.)</w:t>
          </w:r>
          <w:r w:rsidR="00C00128">
            <w:rPr>
              <w:rFonts w:ascii="Times New Roman" w:hAnsi="Times New Roman" w:cs="Times New Roman"/>
              <w:color w:val="222222"/>
              <w:sz w:val="24"/>
              <w:szCs w:val="24"/>
              <w:shd w:val="clear" w:color="auto" w:fill="FFFFFF"/>
            </w:rPr>
            <w:fldChar w:fldCharType="end"/>
          </w:r>
        </w:sdtContent>
      </w:sdt>
      <w:r w:rsidR="00EE1ED7">
        <w:rPr>
          <w:rFonts w:ascii="Times New Roman" w:hAnsi="Times New Roman" w:cs="Times New Roman"/>
          <w:color w:val="222222"/>
          <w:sz w:val="24"/>
          <w:szCs w:val="24"/>
          <w:shd w:val="clear" w:color="auto" w:fill="FFFFFF"/>
        </w:rPr>
        <w:t xml:space="preserve">. Among the 34 conventional banks, </w:t>
      </w:r>
      <w:r w:rsidR="00B86648">
        <w:rPr>
          <w:rFonts w:ascii="Times New Roman" w:hAnsi="Times New Roman" w:cs="Times New Roman"/>
          <w:color w:val="222222"/>
          <w:sz w:val="24"/>
          <w:szCs w:val="24"/>
          <w:shd w:val="clear" w:color="auto" w:fill="FFFFFF"/>
        </w:rPr>
        <w:t>twenty-two</w:t>
      </w:r>
      <w:r w:rsidR="00EE1ED7">
        <w:rPr>
          <w:rFonts w:ascii="Times New Roman" w:hAnsi="Times New Roman" w:cs="Times New Roman"/>
          <w:color w:val="222222"/>
          <w:sz w:val="24"/>
          <w:szCs w:val="24"/>
          <w:shd w:val="clear" w:color="auto" w:fill="FFFFFF"/>
        </w:rPr>
        <w:t xml:space="preserve"> (22) banks are listed in Dhaka Stock Exchange (DSE). List of the banks are given below:</w:t>
      </w:r>
    </w:p>
    <w:p w14:paraId="10CC9DDC" w14:textId="77777777" w:rsidR="00EE1ED7" w:rsidRPr="00EE1ED7" w:rsidRDefault="00EE1ED7"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sidRPr="00EE1ED7">
        <w:rPr>
          <w:rFonts w:ascii="Times New Roman" w:hAnsi="Times New Roman" w:cs="Times New Roman"/>
          <w:color w:val="222222"/>
          <w:sz w:val="24"/>
          <w:szCs w:val="24"/>
          <w:shd w:val="clear" w:color="auto" w:fill="FFFFFF"/>
        </w:rPr>
        <w:t>AB Bank</w:t>
      </w:r>
      <w:r>
        <w:rPr>
          <w:rFonts w:ascii="Times New Roman" w:hAnsi="Times New Roman" w:cs="Times New Roman"/>
          <w:color w:val="222222"/>
          <w:sz w:val="24"/>
          <w:szCs w:val="24"/>
          <w:shd w:val="clear" w:color="auto" w:fill="FFFFFF"/>
        </w:rPr>
        <w:t xml:space="preserve"> Limited</w:t>
      </w:r>
    </w:p>
    <w:p w14:paraId="14D0AA83" w14:textId="77777777" w:rsidR="00EE1ED7" w:rsidRPr="00EE1ED7" w:rsidRDefault="00EE1ED7"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Bank Asia Ltd.</w:t>
      </w:r>
    </w:p>
    <w:p w14:paraId="242A0FCD"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BRAC Bank Ltd.</w:t>
      </w:r>
    </w:p>
    <w:p w14:paraId="7CACE564"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City Bank Ltd.</w:t>
      </w:r>
    </w:p>
    <w:p w14:paraId="0FE916D5"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Dhaka Bank Ltd.</w:t>
      </w:r>
    </w:p>
    <w:p w14:paraId="7C1D9343"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Dutch-Bangla Bank Ltd. (DBBL)</w:t>
      </w:r>
    </w:p>
    <w:p w14:paraId="15A75FC9" w14:textId="77777777" w:rsidR="00EE1ED7" w:rsidRPr="009E356D" w:rsidRDefault="009E356D" w:rsidP="009E356D">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Eastern Bank Ltd. (EBL)</w:t>
      </w:r>
    </w:p>
    <w:p w14:paraId="511271F8" w14:textId="77777777" w:rsidR="00EE1ED7" w:rsidRPr="009E356D" w:rsidRDefault="009E356D" w:rsidP="009E356D">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IFIC Bank Ltd.</w:t>
      </w:r>
    </w:p>
    <w:p w14:paraId="4BAB09AA"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Jamuna Bank Ltd.</w:t>
      </w:r>
    </w:p>
    <w:p w14:paraId="7B9E9F0A" w14:textId="77777777" w:rsidR="00EE1ED7" w:rsidRPr="00EE1ED7" w:rsidRDefault="00EE1ED7"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sidRPr="00EE1ED7">
        <w:rPr>
          <w:rFonts w:ascii="Times New Roman" w:hAnsi="Times New Roman" w:cs="Times New Roman"/>
          <w:color w:val="222222"/>
          <w:sz w:val="24"/>
          <w:szCs w:val="24"/>
          <w:shd w:val="clear" w:color="auto" w:fill="FFFFFF"/>
        </w:rPr>
        <w:t>Mercantile Bank</w:t>
      </w:r>
      <w:r w:rsidR="009E356D">
        <w:rPr>
          <w:rFonts w:ascii="Times New Roman" w:hAnsi="Times New Roman" w:cs="Times New Roman"/>
          <w:color w:val="222222"/>
          <w:sz w:val="24"/>
          <w:szCs w:val="24"/>
          <w:shd w:val="clear" w:color="auto" w:fill="FFFFFF"/>
        </w:rPr>
        <w:t xml:space="preserve"> Ltd.</w:t>
      </w:r>
    </w:p>
    <w:p w14:paraId="0F482C23"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Mutual Trust Bank Ltd.</w:t>
      </w:r>
    </w:p>
    <w:p w14:paraId="5ED1E499"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National Bank Ltd.</w:t>
      </w:r>
    </w:p>
    <w:p w14:paraId="353BB007" w14:textId="77777777" w:rsidR="00EE1ED7" w:rsidRPr="00EE1ED7" w:rsidRDefault="00EE1ED7"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sidRPr="00EE1ED7">
        <w:rPr>
          <w:rFonts w:ascii="Times New Roman" w:hAnsi="Times New Roman" w:cs="Times New Roman"/>
          <w:color w:val="222222"/>
          <w:sz w:val="24"/>
          <w:szCs w:val="24"/>
          <w:shd w:val="clear" w:color="auto" w:fill="FFFFFF"/>
        </w:rPr>
        <w:t>National</w:t>
      </w:r>
      <w:r w:rsidR="009E356D">
        <w:rPr>
          <w:rFonts w:ascii="Times New Roman" w:hAnsi="Times New Roman" w:cs="Times New Roman"/>
          <w:color w:val="222222"/>
          <w:sz w:val="24"/>
          <w:szCs w:val="24"/>
          <w:shd w:val="clear" w:color="auto" w:fill="FFFFFF"/>
        </w:rPr>
        <w:t xml:space="preserve"> Credit and Commerce Bank Ltd. (NCC Bank)</w:t>
      </w:r>
    </w:p>
    <w:p w14:paraId="4DDCCC57"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One Bank Limited</w:t>
      </w:r>
    </w:p>
    <w:p w14:paraId="2A98109B"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Premier Bank Ltd.</w:t>
      </w:r>
    </w:p>
    <w:p w14:paraId="26C1CC79"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Prime Bank Ltd.</w:t>
      </w:r>
    </w:p>
    <w:p w14:paraId="73CE0057" w14:textId="77777777" w:rsidR="00EE1ED7" w:rsidRPr="009E356D" w:rsidRDefault="009E356D" w:rsidP="009E356D">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Pubali Bank Ltd.</w:t>
      </w:r>
    </w:p>
    <w:p w14:paraId="40F00743"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Southeast Bank Ltd.</w:t>
      </w:r>
    </w:p>
    <w:p w14:paraId="53536058"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Standard Bank Limited</w:t>
      </w:r>
    </w:p>
    <w:p w14:paraId="40A3E2FD" w14:textId="77777777" w:rsidR="00EE1ED7" w:rsidRPr="00EE1ED7" w:rsidRDefault="009E356D"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Trust Bank Limited </w:t>
      </w:r>
    </w:p>
    <w:p w14:paraId="6A47E7A3" w14:textId="77777777" w:rsidR="00EE1ED7" w:rsidRPr="00EE1ED7" w:rsidRDefault="00EE1ED7" w:rsidP="00EE1E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sidRPr="00EE1ED7">
        <w:rPr>
          <w:rFonts w:ascii="Times New Roman" w:hAnsi="Times New Roman" w:cs="Times New Roman"/>
          <w:color w:val="222222"/>
          <w:sz w:val="24"/>
          <w:szCs w:val="24"/>
          <w:shd w:val="clear" w:color="auto" w:fill="FFFFFF"/>
        </w:rPr>
        <w:t xml:space="preserve">United Commercial Bank Ltd. </w:t>
      </w:r>
      <w:r w:rsidR="009E356D">
        <w:rPr>
          <w:rFonts w:ascii="Times New Roman" w:hAnsi="Times New Roman" w:cs="Times New Roman"/>
          <w:color w:val="222222"/>
          <w:sz w:val="24"/>
          <w:szCs w:val="24"/>
          <w:shd w:val="clear" w:color="auto" w:fill="FFFFFF"/>
        </w:rPr>
        <w:t>(UCB</w:t>
      </w:r>
      <w:r w:rsidRPr="00EE1ED7">
        <w:rPr>
          <w:rFonts w:ascii="Times New Roman" w:hAnsi="Times New Roman" w:cs="Times New Roman"/>
          <w:color w:val="222222"/>
          <w:sz w:val="24"/>
          <w:szCs w:val="24"/>
          <w:shd w:val="clear" w:color="auto" w:fill="FFFFFF"/>
        </w:rPr>
        <w:t>)</w:t>
      </w:r>
    </w:p>
    <w:p w14:paraId="638E4F59" w14:textId="77777777" w:rsidR="005F69AA" w:rsidRPr="00D258D7" w:rsidRDefault="009E356D" w:rsidP="00D258D7">
      <w:pPr>
        <w:pStyle w:val="ListParagraph"/>
        <w:numPr>
          <w:ilvl w:val="0"/>
          <w:numId w:val="13"/>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Uttara Bank Limited</w:t>
      </w:r>
      <w:r w:rsidR="00173942" w:rsidRPr="00D258D7">
        <w:rPr>
          <w:rFonts w:ascii="Times New Roman" w:hAnsi="Times New Roman" w:cs="Times New Roman"/>
          <w:color w:val="222222"/>
          <w:sz w:val="24"/>
          <w:szCs w:val="24"/>
          <w:shd w:val="clear" w:color="auto" w:fill="FFFFFF"/>
        </w:rPr>
        <w:t xml:space="preserve"> </w:t>
      </w:r>
      <w:r w:rsidRPr="00D258D7">
        <w:rPr>
          <w:rFonts w:ascii="Times New Roman" w:hAnsi="Times New Roman" w:cs="Times New Roman"/>
          <w:color w:val="222222"/>
          <w:sz w:val="24"/>
          <w:szCs w:val="24"/>
          <w:shd w:val="clear" w:color="auto" w:fill="FFFFFF"/>
        </w:rPr>
        <w:t xml:space="preserve"> </w:t>
      </w:r>
      <w:r w:rsidR="005949FE" w:rsidRPr="00D258D7">
        <w:rPr>
          <w:rFonts w:ascii="Times New Roman" w:hAnsi="Times New Roman" w:cs="Times New Roman"/>
          <w:color w:val="222222"/>
          <w:sz w:val="24"/>
          <w:szCs w:val="24"/>
          <w:shd w:val="clear" w:color="auto" w:fill="FFFFFF"/>
        </w:rPr>
        <w:t xml:space="preserve"> </w:t>
      </w:r>
      <w:sdt>
        <w:sdtPr>
          <w:rPr>
            <w:shd w:val="clear" w:color="auto" w:fill="FFFFFF"/>
          </w:rPr>
          <w:id w:val="-1575897301"/>
          <w:citation/>
        </w:sdtPr>
        <w:sdtContent>
          <w:r w:rsidR="005949FE" w:rsidRPr="00D258D7">
            <w:rPr>
              <w:rFonts w:ascii="Times New Roman" w:hAnsi="Times New Roman" w:cs="Times New Roman"/>
              <w:color w:val="222222"/>
              <w:sz w:val="24"/>
              <w:szCs w:val="24"/>
              <w:shd w:val="clear" w:color="auto" w:fill="FFFFFF"/>
            </w:rPr>
            <w:fldChar w:fldCharType="begin"/>
          </w:r>
          <w:r w:rsidR="005949FE" w:rsidRPr="00D258D7">
            <w:rPr>
              <w:rFonts w:ascii="Times New Roman" w:hAnsi="Times New Roman" w:cs="Times New Roman"/>
              <w:color w:val="222222"/>
              <w:sz w:val="24"/>
              <w:szCs w:val="24"/>
              <w:shd w:val="clear" w:color="auto" w:fill="FFFFFF"/>
              <w:lang w:val="en-SG"/>
            </w:rPr>
            <w:instrText xml:space="preserve"> CITATION Dha20 \l 18441 </w:instrText>
          </w:r>
          <w:r w:rsidR="005949FE" w:rsidRPr="00D258D7">
            <w:rPr>
              <w:rFonts w:ascii="Times New Roman" w:hAnsi="Times New Roman" w:cs="Times New Roman"/>
              <w:color w:val="222222"/>
              <w:sz w:val="24"/>
              <w:szCs w:val="24"/>
              <w:shd w:val="clear" w:color="auto" w:fill="FFFFFF"/>
            </w:rPr>
            <w:fldChar w:fldCharType="separate"/>
          </w:r>
          <w:r w:rsidR="007C5EAF" w:rsidRPr="007C5EAF">
            <w:rPr>
              <w:rFonts w:ascii="Times New Roman" w:hAnsi="Times New Roman" w:cs="Times New Roman"/>
              <w:noProof/>
              <w:color w:val="222222"/>
              <w:sz w:val="24"/>
              <w:szCs w:val="24"/>
              <w:shd w:val="clear" w:color="auto" w:fill="FFFFFF"/>
              <w:lang w:val="en-SG"/>
            </w:rPr>
            <w:t>(Dhaka Stock Exchange Ltd., n.d.)</w:t>
          </w:r>
          <w:r w:rsidR="005949FE" w:rsidRPr="00D258D7">
            <w:rPr>
              <w:rFonts w:ascii="Times New Roman" w:hAnsi="Times New Roman" w:cs="Times New Roman"/>
              <w:color w:val="222222"/>
              <w:sz w:val="24"/>
              <w:szCs w:val="24"/>
              <w:shd w:val="clear" w:color="auto" w:fill="FFFFFF"/>
            </w:rPr>
            <w:fldChar w:fldCharType="end"/>
          </w:r>
        </w:sdtContent>
      </w:sdt>
    </w:p>
    <w:p w14:paraId="65870230" w14:textId="77777777" w:rsidR="001E1480" w:rsidRPr="001E1480" w:rsidRDefault="003E5BA2" w:rsidP="001E1480">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These are the 22 listed private conventional banks, based on which this </w:t>
      </w:r>
      <w:r w:rsidR="00610A95">
        <w:rPr>
          <w:rFonts w:ascii="Times New Roman" w:hAnsi="Times New Roman" w:cs="Times New Roman"/>
          <w:color w:val="222222"/>
          <w:sz w:val="24"/>
          <w:szCs w:val="24"/>
          <w:shd w:val="clear" w:color="auto" w:fill="FFFFFF"/>
        </w:rPr>
        <w:t>report</w:t>
      </w:r>
      <w:r>
        <w:rPr>
          <w:rFonts w:ascii="Times New Roman" w:hAnsi="Times New Roman" w:cs="Times New Roman"/>
          <w:color w:val="222222"/>
          <w:sz w:val="24"/>
          <w:szCs w:val="24"/>
          <w:shd w:val="clear" w:color="auto" w:fill="FFFFFF"/>
        </w:rPr>
        <w:t xml:space="preserve"> has been made. </w:t>
      </w:r>
    </w:p>
    <w:p w14:paraId="076BEB1E" w14:textId="77777777" w:rsidR="00E77DE7" w:rsidRDefault="00E77DE7">
      <w:pPr>
        <w:rPr>
          <w:rFonts w:ascii="Calibri" w:hAnsi="Calibri" w:cs="Calibri"/>
          <w:i/>
          <w:iCs/>
          <w:color w:val="000000"/>
          <w:sz w:val="48"/>
          <w:szCs w:val="48"/>
        </w:rPr>
      </w:pPr>
      <w:r>
        <w:rPr>
          <w:rFonts w:ascii="Calibri" w:hAnsi="Calibri" w:cs="Calibri"/>
          <w:i/>
          <w:iCs/>
          <w:color w:val="000000"/>
          <w:sz w:val="48"/>
          <w:szCs w:val="48"/>
        </w:rPr>
        <w:br w:type="page"/>
      </w:r>
    </w:p>
    <w:p w14:paraId="5227A528" w14:textId="77777777" w:rsidR="00E77DE7" w:rsidRDefault="00E77DE7" w:rsidP="00634327">
      <w:pPr>
        <w:autoSpaceDE w:val="0"/>
        <w:autoSpaceDN w:val="0"/>
        <w:adjustRightInd w:val="0"/>
        <w:spacing w:after="0" w:line="240" w:lineRule="auto"/>
        <w:rPr>
          <w:rFonts w:ascii="Calibri" w:hAnsi="Calibri" w:cs="Calibri"/>
          <w:i/>
          <w:iCs/>
          <w:color w:val="000000"/>
          <w:sz w:val="48"/>
          <w:szCs w:val="48"/>
        </w:rPr>
      </w:pPr>
    </w:p>
    <w:p w14:paraId="55F7BF67" w14:textId="77777777" w:rsidR="00E77DE7" w:rsidRDefault="00E77DE7" w:rsidP="00634327">
      <w:pPr>
        <w:autoSpaceDE w:val="0"/>
        <w:autoSpaceDN w:val="0"/>
        <w:adjustRightInd w:val="0"/>
        <w:spacing w:after="0" w:line="240" w:lineRule="auto"/>
        <w:rPr>
          <w:rFonts w:ascii="Calibri" w:hAnsi="Calibri" w:cs="Calibri"/>
          <w:i/>
          <w:iCs/>
          <w:color w:val="000000"/>
          <w:sz w:val="48"/>
          <w:szCs w:val="48"/>
        </w:rPr>
      </w:pPr>
    </w:p>
    <w:p w14:paraId="1C76C463" w14:textId="77777777" w:rsidR="00E77DE7" w:rsidRDefault="00E77DE7" w:rsidP="00634327">
      <w:pPr>
        <w:autoSpaceDE w:val="0"/>
        <w:autoSpaceDN w:val="0"/>
        <w:adjustRightInd w:val="0"/>
        <w:spacing w:after="0" w:line="240" w:lineRule="auto"/>
        <w:rPr>
          <w:rFonts w:ascii="Calibri" w:hAnsi="Calibri" w:cs="Calibri"/>
          <w:i/>
          <w:iCs/>
          <w:color w:val="000000"/>
          <w:sz w:val="48"/>
          <w:szCs w:val="48"/>
        </w:rPr>
      </w:pPr>
    </w:p>
    <w:p w14:paraId="1358C802" w14:textId="77777777" w:rsidR="00E77DE7" w:rsidRDefault="00E77DE7" w:rsidP="00634327">
      <w:pPr>
        <w:autoSpaceDE w:val="0"/>
        <w:autoSpaceDN w:val="0"/>
        <w:adjustRightInd w:val="0"/>
        <w:spacing w:after="0" w:line="240" w:lineRule="auto"/>
        <w:rPr>
          <w:rFonts w:ascii="Calibri" w:hAnsi="Calibri" w:cs="Calibri"/>
          <w:i/>
          <w:iCs/>
          <w:color w:val="000000"/>
          <w:sz w:val="48"/>
          <w:szCs w:val="48"/>
        </w:rPr>
      </w:pPr>
    </w:p>
    <w:p w14:paraId="4FFDB77D" w14:textId="77777777" w:rsidR="00E77DE7" w:rsidRDefault="00E77DE7" w:rsidP="00634327">
      <w:pPr>
        <w:autoSpaceDE w:val="0"/>
        <w:autoSpaceDN w:val="0"/>
        <w:adjustRightInd w:val="0"/>
        <w:spacing w:after="0" w:line="240" w:lineRule="auto"/>
        <w:rPr>
          <w:rFonts w:ascii="Calibri" w:hAnsi="Calibri" w:cs="Calibri"/>
          <w:i/>
          <w:iCs/>
          <w:color w:val="000000"/>
          <w:sz w:val="48"/>
          <w:szCs w:val="48"/>
        </w:rPr>
      </w:pPr>
    </w:p>
    <w:p w14:paraId="53750A2E" w14:textId="77777777" w:rsidR="00E77DE7" w:rsidRDefault="00E77DE7" w:rsidP="00634327">
      <w:pPr>
        <w:autoSpaceDE w:val="0"/>
        <w:autoSpaceDN w:val="0"/>
        <w:adjustRightInd w:val="0"/>
        <w:spacing w:after="0" w:line="240" w:lineRule="auto"/>
        <w:rPr>
          <w:rFonts w:ascii="Calibri" w:hAnsi="Calibri" w:cs="Calibri"/>
          <w:i/>
          <w:iCs/>
          <w:color w:val="000000"/>
          <w:sz w:val="48"/>
          <w:szCs w:val="48"/>
        </w:rPr>
      </w:pPr>
    </w:p>
    <w:p w14:paraId="4C146366" w14:textId="77777777" w:rsidR="00634327" w:rsidRPr="00CE1C1C" w:rsidRDefault="00CE1C1C" w:rsidP="00CE1C1C">
      <w:pPr>
        <w:pStyle w:val="Heading1"/>
        <w:jc w:val="right"/>
        <w:rPr>
          <w:b/>
          <w:sz w:val="72"/>
          <w:szCs w:val="72"/>
        </w:rPr>
      </w:pPr>
      <w:r>
        <w:rPr>
          <w:b/>
          <w:sz w:val="72"/>
          <w:szCs w:val="72"/>
        </w:rPr>
        <w:t xml:space="preserve">  </w:t>
      </w:r>
      <w:bookmarkStart w:id="18" w:name="_Toc53357695"/>
      <w:r w:rsidR="00634327" w:rsidRPr="00CE1C1C">
        <w:rPr>
          <w:b/>
          <w:sz w:val="72"/>
          <w:szCs w:val="72"/>
        </w:rPr>
        <w:t>FINDINGS AND ANALYSIS</w:t>
      </w:r>
      <w:bookmarkEnd w:id="18"/>
      <w:r w:rsidR="00634327" w:rsidRPr="00CE1C1C">
        <w:rPr>
          <w:b/>
          <w:sz w:val="72"/>
          <w:szCs w:val="72"/>
        </w:rPr>
        <w:t xml:space="preserve"> </w:t>
      </w:r>
    </w:p>
    <w:p w14:paraId="45360DFB" w14:textId="77777777" w:rsidR="00634327" w:rsidRPr="00CE1C1C" w:rsidRDefault="00634327" w:rsidP="00CE1C1C">
      <w:pPr>
        <w:pStyle w:val="ListParagraph"/>
        <w:numPr>
          <w:ilvl w:val="1"/>
          <w:numId w:val="37"/>
        </w:numPr>
        <w:autoSpaceDE w:val="0"/>
        <w:autoSpaceDN w:val="0"/>
        <w:adjustRightInd w:val="0"/>
        <w:spacing w:after="215" w:line="240" w:lineRule="auto"/>
        <w:jc w:val="right"/>
        <w:rPr>
          <w:rFonts w:ascii="Calibri" w:hAnsi="Calibri" w:cs="Calibri"/>
          <w:b/>
          <w:color w:val="365F91" w:themeColor="accent1" w:themeShade="BF"/>
          <w:sz w:val="52"/>
          <w:szCs w:val="52"/>
        </w:rPr>
      </w:pPr>
      <w:r w:rsidRPr="00CE1C1C">
        <w:rPr>
          <w:rFonts w:ascii="Calibri" w:hAnsi="Calibri" w:cs="Calibri"/>
          <w:b/>
          <w:color w:val="365F91" w:themeColor="accent1" w:themeShade="BF"/>
          <w:sz w:val="52"/>
          <w:szCs w:val="52"/>
        </w:rPr>
        <w:t xml:space="preserve">Profitability Ratios </w:t>
      </w:r>
    </w:p>
    <w:p w14:paraId="45C32C6D" w14:textId="77777777" w:rsidR="00634327" w:rsidRPr="00CE1C1C" w:rsidRDefault="00634327" w:rsidP="00CE1C1C">
      <w:pPr>
        <w:pStyle w:val="ListParagraph"/>
        <w:numPr>
          <w:ilvl w:val="1"/>
          <w:numId w:val="37"/>
        </w:numPr>
        <w:autoSpaceDE w:val="0"/>
        <w:autoSpaceDN w:val="0"/>
        <w:adjustRightInd w:val="0"/>
        <w:spacing w:after="215" w:line="240" w:lineRule="auto"/>
        <w:jc w:val="right"/>
        <w:rPr>
          <w:rFonts w:ascii="Calibri" w:hAnsi="Calibri" w:cs="Calibri"/>
          <w:b/>
          <w:color w:val="365F91" w:themeColor="accent1" w:themeShade="BF"/>
          <w:sz w:val="52"/>
          <w:szCs w:val="52"/>
        </w:rPr>
      </w:pPr>
      <w:r w:rsidRPr="00CE1C1C">
        <w:rPr>
          <w:rFonts w:ascii="Calibri" w:hAnsi="Calibri" w:cs="Calibri"/>
          <w:b/>
          <w:color w:val="365F91" w:themeColor="accent1" w:themeShade="BF"/>
          <w:sz w:val="52"/>
          <w:szCs w:val="52"/>
        </w:rPr>
        <w:t xml:space="preserve">Liquidity Ratios </w:t>
      </w:r>
    </w:p>
    <w:p w14:paraId="6B8C2E0F" w14:textId="77777777" w:rsidR="00634327" w:rsidRPr="00CE1C1C" w:rsidRDefault="00634327" w:rsidP="00CE1C1C">
      <w:pPr>
        <w:pStyle w:val="ListParagraph"/>
        <w:numPr>
          <w:ilvl w:val="1"/>
          <w:numId w:val="37"/>
        </w:numPr>
        <w:autoSpaceDE w:val="0"/>
        <w:autoSpaceDN w:val="0"/>
        <w:adjustRightInd w:val="0"/>
        <w:spacing w:after="215" w:line="240" w:lineRule="auto"/>
        <w:jc w:val="right"/>
        <w:rPr>
          <w:rFonts w:ascii="Calibri" w:hAnsi="Calibri" w:cs="Calibri"/>
          <w:b/>
          <w:color w:val="365F91" w:themeColor="accent1" w:themeShade="BF"/>
          <w:sz w:val="52"/>
          <w:szCs w:val="52"/>
        </w:rPr>
      </w:pPr>
      <w:r w:rsidRPr="00CE1C1C">
        <w:rPr>
          <w:rFonts w:ascii="Calibri" w:hAnsi="Calibri" w:cs="Calibri"/>
          <w:b/>
          <w:color w:val="365F91" w:themeColor="accent1" w:themeShade="BF"/>
          <w:sz w:val="52"/>
          <w:szCs w:val="52"/>
        </w:rPr>
        <w:t xml:space="preserve">Solvency Ratios </w:t>
      </w:r>
    </w:p>
    <w:p w14:paraId="7BCFD4D4" w14:textId="77777777" w:rsidR="00634327" w:rsidRPr="00CE1C1C" w:rsidRDefault="00634327" w:rsidP="00CE1C1C">
      <w:pPr>
        <w:pStyle w:val="ListParagraph"/>
        <w:numPr>
          <w:ilvl w:val="1"/>
          <w:numId w:val="37"/>
        </w:numPr>
        <w:autoSpaceDE w:val="0"/>
        <w:autoSpaceDN w:val="0"/>
        <w:adjustRightInd w:val="0"/>
        <w:spacing w:after="0" w:line="240" w:lineRule="auto"/>
        <w:jc w:val="right"/>
        <w:rPr>
          <w:rFonts w:ascii="Calibri" w:hAnsi="Calibri" w:cs="Calibri"/>
          <w:b/>
          <w:color w:val="365F91" w:themeColor="accent1" w:themeShade="BF"/>
          <w:sz w:val="52"/>
          <w:szCs w:val="52"/>
        </w:rPr>
      </w:pPr>
      <w:r w:rsidRPr="00CE1C1C">
        <w:rPr>
          <w:rFonts w:ascii="Calibri" w:hAnsi="Calibri" w:cs="Calibri"/>
          <w:b/>
          <w:color w:val="365F91" w:themeColor="accent1" w:themeShade="BF"/>
          <w:sz w:val="52"/>
          <w:szCs w:val="52"/>
        </w:rPr>
        <w:t xml:space="preserve">Market Prospect Ratios </w:t>
      </w:r>
    </w:p>
    <w:p w14:paraId="6F24D20F" w14:textId="77777777" w:rsidR="00BB46FF" w:rsidRDefault="00BB46FF" w:rsidP="00E060A0">
      <w:pPr>
        <w:spacing w:line="360" w:lineRule="auto"/>
        <w:jc w:val="both"/>
        <w:rPr>
          <w:rFonts w:ascii="Times New Roman" w:hAnsi="Times New Roman" w:cs="Times New Roman"/>
          <w:color w:val="222222"/>
          <w:sz w:val="24"/>
          <w:szCs w:val="24"/>
          <w:shd w:val="clear" w:color="auto" w:fill="FFFFFF"/>
        </w:rPr>
      </w:pPr>
    </w:p>
    <w:p w14:paraId="729B6BD4" w14:textId="77777777" w:rsidR="00CE1C1C" w:rsidRDefault="00CE1C1C">
      <w:pP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14:paraId="4F8490E3" w14:textId="2B76411F" w:rsidR="00D31721" w:rsidRDefault="00297E9F" w:rsidP="00E060A0">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This chapter includes all the findings and their analysis based on the private conventional banks. </w:t>
      </w:r>
      <w:r w:rsidR="00D31721">
        <w:rPr>
          <w:rFonts w:ascii="Times New Roman" w:hAnsi="Times New Roman" w:cs="Times New Roman"/>
          <w:color w:val="222222"/>
          <w:sz w:val="24"/>
          <w:szCs w:val="24"/>
          <w:shd w:val="clear" w:color="auto" w:fill="FFFFFF"/>
        </w:rPr>
        <w:t xml:space="preserve">Finding have been presented through tables and graphs and descriptive analysis has been done. Total </w:t>
      </w:r>
      <w:r w:rsidR="00B86648">
        <w:rPr>
          <w:rFonts w:ascii="Times New Roman" w:hAnsi="Times New Roman" w:cs="Times New Roman"/>
          <w:color w:val="222222"/>
          <w:sz w:val="24"/>
          <w:szCs w:val="24"/>
          <w:shd w:val="clear" w:color="auto" w:fill="FFFFFF"/>
        </w:rPr>
        <w:t>twenty-five</w:t>
      </w:r>
      <w:r w:rsidR="00D31721">
        <w:rPr>
          <w:rFonts w:ascii="Times New Roman" w:hAnsi="Times New Roman" w:cs="Times New Roman"/>
          <w:color w:val="222222"/>
          <w:sz w:val="24"/>
          <w:szCs w:val="24"/>
          <w:shd w:val="clear" w:color="auto" w:fill="FFFFFF"/>
        </w:rPr>
        <w:t xml:space="preserve"> (25) ratios </w:t>
      </w:r>
      <w:r w:rsidR="007F67F2">
        <w:rPr>
          <w:rFonts w:ascii="Times New Roman" w:hAnsi="Times New Roman" w:cs="Times New Roman"/>
          <w:color w:val="222222"/>
          <w:sz w:val="24"/>
          <w:szCs w:val="24"/>
          <w:shd w:val="clear" w:color="auto" w:fill="FFFFFF"/>
        </w:rPr>
        <w:t xml:space="preserve">have been used </w:t>
      </w:r>
      <w:r w:rsidR="009F132F">
        <w:rPr>
          <w:rFonts w:ascii="Times New Roman" w:hAnsi="Times New Roman" w:cs="Times New Roman"/>
          <w:color w:val="222222"/>
          <w:sz w:val="24"/>
          <w:szCs w:val="24"/>
          <w:shd w:val="clear" w:color="auto" w:fill="FFFFFF"/>
        </w:rPr>
        <w:t xml:space="preserve">to analysis the financial position of the banks. </w:t>
      </w:r>
    </w:p>
    <w:p w14:paraId="2BB72B75" w14:textId="77777777" w:rsidR="00D31721" w:rsidRDefault="005D410C" w:rsidP="001C28F4">
      <w:pPr>
        <w:pStyle w:val="Caption"/>
      </w:pPr>
      <w:r>
        <w:rPr>
          <w:rFonts w:ascii="Times New Roman" w:hAnsi="Times New Roman" w:cs="Times New Roman"/>
          <w:noProof/>
        </w:rPr>
        <w:drawing>
          <wp:inline distT="0" distB="0" distL="0" distR="0" wp14:anchorId="6DD26696" wp14:editId="3BB6766A">
            <wp:extent cx="4939665" cy="6445045"/>
            <wp:effectExtent l="38100" t="0" r="51435" b="0"/>
            <wp:docPr id="40" name="Diagram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2D0AFCEC" w14:textId="77777777" w:rsidR="001C28F4" w:rsidRPr="001C28F4" w:rsidRDefault="001C28F4" w:rsidP="001C28F4">
      <w:pPr>
        <w:pStyle w:val="Caption"/>
      </w:pPr>
      <w:bookmarkStart w:id="19" w:name="_Toc53356060"/>
      <w:r>
        <w:t xml:space="preserve">Figure </w:t>
      </w:r>
      <w:fldSimple w:instr=" SEQ Figure \* ARABIC ">
        <w:r w:rsidR="008B60A5">
          <w:rPr>
            <w:noProof/>
          </w:rPr>
          <w:t>1</w:t>
        </w:r>
      </w:fldSimple>
      <w:r>
        <w:t>- List of Ratios</w:t>
      </w:r>
      <w:bookmarkEnd w:id="19"/>
    </w:p>
    <w:p w14:paraId="1995C646" w14:textId="77777777" w:rsidR="00D31721" w:rsidRDefault="0027213E" w:rsidP="00E060A0">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Some of the ratios have been collected from the annual reports of banks and other have been calculated.  For all the ratios, average result of five years has been represented by graphical representation. </w:t>
      </w:r>
    </w:p>
    <w:p w14:paraId="21E42B6C" w14:textId="77777777" w:rsidR="000E7C9E" w:rsidRDefault="000E7C9E" w:rsidP="008156D8">
      <w:pPr>
        <w:pStyle w:val="Heading2"/>
        <w:rPr>
          <w:b/>
          <w:sz w:val="28"/>
          <w:shd w:val="clear" w:color="auto" w:fill="FFFFFF"/>
        </w:rPr>
      </w:pPr>
      <w:bookmarkStart w:id="20" w:name="_Toc53357696"/>
      <w:r w:rsidRPr="008156D8">
        <w:rPr>
          <w:b/>
          <w:sz w:val="28"/>
          <w:shd w:val="clear" w:color="auto" w:fill="FFFFFF"/>
        </w:rPr>
        <w:t>PROFITABILITY RATIOS</w:t>
      </w:r>
      <w:bookmarkEnd w:id="20"/>
    </w:p>
    <w:p w14:paraId="4962865B" w14:textId="77777777" w:rsidR="008156D8" w:rsidRPr="008156D8" w:rsidRDefault="008156D8" w:rsidP="008156D8"/>
    <w:p w14:paraId="63C92CC5" w14:textId="77777777" w:rsidR="006D7C6F" w:rsidRDefault="00711BAE" w:rsidP="00E060A0">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Profitability ratios are the tools to evaluate a bank’s ability of generating profit. </w:t>
      </w:r>
      <w:r w:rsidR="00DE0279">
        <w:rPr>
          <w:rFonts w:ascii="Times New Roman" w:hAnsi="Times New Roman" w:cs="Times New Roman"/>
          <w:color w:val="222222"/>
          <w:sz w:val="24"/>
          <w:szCs w:val="24"/>
          <w:shd w:val="clear" w:color="auto" w:fill="FFFFFF"/>
        </w:rPr>
        <w:t xml:space="preserve">The level of efficiency </w:t>
      </w:r>
      <w:r w:rsidR="00D34BC8">
        <w:rPr>
          <w:rFonts w:ascii="Times New Roman" w:hAnsi="Times New Roman" w:cs="Times New Roman"/>
          <w:color w:val="222222"/>
          <w:sz w:val="24"/>
          <w:szCs w:val="24"/>
          <w:shd w:val="clear" w:color="auto" w:fill="FFFFFF"/>
        </w:rPr>
        <w:t xml:space="preserve">of a bank </w:t>
      </w:r>
      <w:r w:rsidR="00DE0279">
        <w:rPr>
          <w:rFonts w:ascii="Times New Roman" w:hAnsi="Times New Roman" w:cs="Times New Roman"/>
          <w:color w:val="222222"/>
          <w:sz w:val="24"/>
          <w:szCs w:val="24"/>
          <w:shd w:val="clear" w:color="auto" w:fill="FFFFFF"/>
        </w:rPr>
        <w:t xml:space="preserve">can be </w:t>
      </w:r>
      <w:r w:rsidR="00D34BC8">
        <w:rPr>
          <w:rFonts w:ascii="Times New Roman" w:hAnsi="Times New Roman" w:cs="Times New Roman"/>
          <w:color w:val="222222"/>
          <w:sz w:val="24"/>
          <w:szCs w:val="24"/>
          <w:shd w:val="clear" w:color="auto" w:fill="FFFFFF"/>
        </w:rPr>
        <w:t xml:space="preserve">understand by seeing the </w:t>
      </w:r>
      <w:r w:rsidR="00D46240">
        <w:rPr>
          <w:rFonts w:ascii="Times New Roman" w:hAnsi="Times New Roman" w:cs="Times New Roman"/>
          <w:color w:val="222222"/>
          <w:sz w:val="24"/>
          <w:szCs w:val="24"/>
          <w:shd w:val="clear" w:color="auto" w:fill="FFFFFF"/>
        </w:rPr>
        <w:t>profitability ratio</w:t>
      </w:r>
      <w:r w:rsidR="006E442A">
        <w:rPr>
          <w:rFonts w:ascii="Times New Roman" w:hAnsi="Times New Roman" w:cs="Times New Roman"/>
          <w:color w:val="222222"/>
          <w:sz w:val="24"/>
          <w:szCs w:val="24"/>
          <w:shd w:val="clear" w:color="auto" w:fill="FFFFFF"/>
        </w:rPr>
        <w:t xml:space="preserve">s. Having a preferable value of </w:t>
      </w:r>
      <w:r w:rsidR="00D46240">
        <w:rPr>
          <w:rFonts w:ascii="Times New Roman" w:hAnsi="Times New Roman" w:cs="Times New Roman"/>
          <w:color w:val="222222"/>
          <w:sz w:val="24"/>
          <w:szCs w:val="24"/>
          <w:shd w:val="clear" w:color="auto" w:fill="FFFFFF"/>
        </w:rPr>
        <w:t xml:space="preserve">ratios </w:t>
      </w:r>
      <w:r w:rsidR="00454ED4">
        <w:rPr>
          <w:rFonts w:ascii="Times New Roman" w:hAnsi="Times New Roman" w:cs="Times New Roman"/>
          <w:color w:val="222222"/>
          <w:sz w:val="24"/>
          <w:szCs w:val="24"/>
          <w:shd w:val="clear" w:color="auto" w:fill="FFFFFF"/>
        </w:rPr>
        <w:t xml:space="preserve">than </w:t>
      </w:r>
      <w:r w:rsidR="008F3AD6">
        <w:rPr>
          <w:rFonts w:ascii="Times New Roman" w:hAnsi="Times New Roman" w:cs="Times New Roman"/>
          <w:color w:val="222222"/>
          <w:sz w:val="24"/>
          <w:szCs w:val="24"/>
          <w:shd w:val="clear" w:color="auto" w:fill="FFFFFF"/>
        </w:rPr>
        <w:t>competitors</w:t>
      </w:r>
      <w:r w:rsidR="006E442A">
        <w:rPr>
          <w:rFonts w:ascii="Times New Roman" w:hAnsi="Times New Roman" w:cs="Times New Roman"/>
          <w:color w:val="222222"/>
          <w:sz w:val="24"/>
          <w:szCs w:val="24"/>
          <w:shd w:val="clear" w:color="auto" w:fill="FFFFFF"/>
        </w:rPr>
        <w:t>, indicates that the b</w:t>
      </w:r>
      <w:r w:rsidR="00454ED4">
        <w:rPr>
          <w:rFonts w:ascii="Times New Roman" w:hAnsi="Times New Roman" w:cs="Times New Roman"/>
          <w:color w:val="222222"/>
          <w:sz w:val="24"/>
          <w:szCs w:val="24"/>
          <w:shd w:val="clear" w:color="auto" w:fill="FFFFFF"/>
        </w:rPr>
        <w:t>ank’</w:t>
      </w:r>
      <w:r w:rsidR="00CE0B25">
        <w:rPr>
          <w:rFonts w:ascii="Times New Roman" w:hAnsi="Times New Roman" w:cs="Times New Roman"/>
          <w:color w:val="222222"/>
          <w:sz w:val="24"/>
          <w:szCs w:val="24"/>
          <w:shd w:val="clear" w:color="auto" w:fill="FFFFFF"/>
        </w:rPr>
        <w:t>s performance is good</w:t>
      </w:r>
      <w:sdt>
        <w:sdtPr>
          <w:rPr>
            <w:rFonts w:ascii="Times New Roman" w:hAnsi="Times New Roman" w:cs="Times New Roman"/>
            <w:color w:val="222222"/>
            <w:sz w:val="24"/>
            <w:szCs w:val="24"/>
            <w:shd w:val="clear" w:color="auto" w:fill="FFFFFF"/>
          </w:rPr>
          <w:id w:val="-558934819"/>
          <w:citation/>
        </w:sdtPr>
        <w:sdtContent>
          <w:r w:rsidR="00CE0B25">
            <w:rPr>
              <w:rFonts w:ascii="Times New Roman" w:hAnsi="Times New Roman" w:cs="Times New Roman"/>
              <w:color w:val="222222"/>
              <w:sz w:val="24"/>
              <w:szCs w:val="24"/>
              <w:shd w:val="clear" w:color="auto" w:fill="FFFFFF"/>
            </w:rPr>
            <w:fldChar w:fldCharType="begin"/>
          </w:r>
          <w:r w:rsidR="00CE0B25">
            <w:rPr>
              <w:rFonts w:ascii="Times New Roman" w:hAnsi="Times New Roman" w:cs="Times New Roman"/>
              <w:color w:val="222222"/>
              <w:sz w:val="24"/>
              <w:szCs w:val="24"/>
              <w:shd w:val="clear" w:color="auto" w:fill="FFFFFF"/>
              <w:lang w:val="en-SG"/>
            </w:rPr>
            <w:instrText xml:space="preserve"> CITATION Wil20 \l 18441 </w:instrText>
          </w:r>
          <w:r w:rsidR="00CE0B25">
            <w:rPr>
              <w:rFonts w:ascii="Times New Roman" w:hAnsi="Times New Roman" w:cs="Times New Roman"/>
              <w:color w:val="222222"/>
              <w:sz w:val="24"/>
              <w:szCs w:val="24"/>
              <w:shd w:val="clear" w:color="auto" w:fill="FFFFFF"/>
            </w:rPr>
            <w:fldChar w:fldCharType="separate"/>
          </w:r>
          <w:r w:rsidR="007C5EAF">
            <w:rPr>
              <w:rFonts w:ascii="Times New Roman" w:hAnsi="Times New Roman" w:cs="Times New Roman"/>
              <w:noProof/>
              <w:color w:val="222222"/>
              <w:sz w:val="24"/>
              <w:szCs w:val="24"/>
              <w:shd w:val="clear" w:color="auto" w:fill="FFFFFF"/>
              <w:lang w:val="en-SG"/>
            </w:rPr>
            <w:t xml:space="preserve"> </w:t>
          </w:r>
          <w:r w:rsidR="007C5EAF" w:rsidRPr="007C5EAF">
            <w:rPr>
              <w:rFonts w:ascii="Times New Roman" w:hAnsi="Times New Roman" w:cs="Times New Roman"/>
              <w:noProof/>
              <w:color w:val="222222"/>
              <w:sz w:val="24"/>
              <w:szCs w:val="24"/>
              <w:shd w:val="clear" w:color="auto" w:fill="FFFFFF"/>
              <w:lang w:val="en-SG"/>
            </w:rPr>
            <w:t>(Kenton, 2020)</w:t>
          </w:r>
          <w:r w:rsidR="00CE0B25">
            <w:rPr>
              <w:rFonts w:ascii="Times New Roman" w:hAnsi="Times New Roman" w:cs="Times New Roman"/>
              <w:color w:val="222222"/>
              <w:sz w:val="24"/>
              <w:szCs w:val="24"/>
              <w:shd w:val="clear" w:color="auto" w:fill="FFFFFF"/>
            </w:rPr>
            <w:fldChar w:fldCharType="end"/>
          </w:r>
        </w:sdtContent>
      </w:sdt>
      <w:r w:rsidR="00CE0B25">
        <w:rPr>
          <w:rFonts w:ascii="Times New Roman" w:hAnsi="Times New Roman" w:cs="Times New Roman"/>
          <w:color w:val="222222"/>
          <w:sz w:val="24"/>
          <w:szCs w:val="24"/>
          <w:shd w:val="clear" w:color="auto" w:fill="FFFFFF"/>
        </w:rPr>
        <w:t xml:space="preserve">. Profitability ratios are: </w:t>
      </w:r>
    </w:p>
    <w:p w14:paraId="37C767FF" w14:textId="77777777" w:rsidR="00CE0B25" w:rsidRPr="00CE0B25" w:rsidRDefault="00CE0B25" w:rsidP="00CE0B25">
      <w:pPr>
        <w:pStyle w:val="ListParagraph"/>
        <w:numPr>
          <w:ilvl w:val="0"/>
          <w:numId w:val="14"/>
        </w:numPr>
        <w:spacing w:line="360" w:lineRule="auto"/>
        <w:jc w:val="both"/>
        <w:rPr>
          <w:rFonts w:ascii="Times New Roman" w:hAnsi="Times New Roman" w:cs="Times New Roman"/>
          <w:color w:val="222222"/>
          <w:sz w:val="24"/>
          <w:szCs w:val="24"/>
          <w:shd w:val="clear" w:color="auto" w:fill="FFFFFF"/>
        </w:rPr>
      </w:pPr>
      <w:r w:rsidRPr="00CE0B25">
        <w:rPr>
          <w:rFonts w:ascii="Times New Roman" w:hAnsi="Times New Roman" w:cs="Times New Roman"/>
          <w:color w:val="222222"/>
          <w:sz w:val="24"/>
          <w:szCs w:val="24"/>
          <w:shd w:val="clear" w:color="auto" w:fill="FFFFFF"/>
        </w:rPr>
        <w:t>Return on Equity</w:t>
      </w:r>
    </w:p>
    <w:p w14:paraId="77ED60B9" w14:textId="77777777" w:rsidR="00CE0B25" w:rsidRPr="00CE0B25" w:rsidRDefault="00CE0B25" w:rsidP="00CE0B25">
      <w:pPr>
        <w:pStyle w:val="ListParagraph"/>
        <w:numPr>
          <w:ilvl w:val="0"/>
          <w:numId w:val="14"/>
        </w:numPr>
        <w:spacing w:line="360" w:lineRule="auto"/>
        <w:jc w:val="both"/>
        <w:rPr>
          <w:rFonts w:ascii="Times New Roman" w:hAnsi="Times New Roman" w:cs="Times New Roman"/>
          <w:color w:val="222222"/>
          <w:sz w:val="24"/>
          <w:szCs w:val="24"/>
          <w:shd w:val="clear" w:color="auto" w:fill="FFFFFF"/>
        </w:rPr>
      </w:pPr>
      <w:r w:rsidRPr="00CE0B25">
        <w:rPr>
          <w:rFonts w:ascii="Times New Roman" w:hAnsi="Times New Roman" w:cs="Times New Roman"/>
          <w:color w:val="222222"/>
          <w:sz w:val="24"/>
          <w:szCs w:val="24"/>
          <w:shd w:val="clear" w:color="auto" w:fill="FFFFFF"/>
        </w:rPr>
        <w:t>Net Interest Margin on Average Earning Assets</w:t>
      </w:r>
    </w:p>
    <w:p w14:paraId="68A49729" w14:textId="77777777" w:rsidR="00CE0B25" w:rsidRPr="00CE0B25" w:rsidRDefault="00CE0B25" w:rsidP="00CE0B25">
      <w:pPr>
        <w:pStyle w:val="ListParagraph"/>
        <w:numPr>
          <w:ilvl w:val="0"/>
          <w:numId w:val="14"/>
        </w:numPr>
        <w:spacing w:line="360" w:lineRule="auto"/>
        <w:jc w:val="both"/>
        <w:rPr>
          <w:rFonts w:ascii="Times New Roman" w:hAnsi="Times New Roman" w:cs="Times New Roman"/>
          <w:color w:val="222222"/>
          <w:sz w:val="24"/>
          <w:szCs w:val="24"/>
          <w:shd w:val="clear" w:color="auto" w:fill="FFFFFF"/>
        </w:rPr>
      </w:pPr>
      <w:r w:rsidRPr="00CE0B25">
        <w:rPr>
          <w:rFonts w:ascii="Times New Roman" w:hAnsi="Times New Roman" w:cs="Times New Roman"/>
          <w:color w:val="222222"/>
          <w:sz w:val="24"/>
          <w:szCs w:val="24"/>
          <w:shd w:val="clear" w:color="auto" w:fill="FFFFFF"/>
        </w:rPr>
        <w:t>Cost to Income Ratio</w:t>
      </w:r>
    </w:p>
    <w:p w14:paraId="0D47E6C6" w14:textId="77777777" w:rsidR="00CE0B25" w:rsidRDefault="00CE0B25" w:rsidP="00CE0B25">
      <w:pPr>
        <w:pStyle w:val="ListParagraph"/>
        <w:numPr>
          <w:ilvl w:val="0"/>
          <w:numId w:val="14"/>
        </w:numPr>
        <w:spacing w:line="360" w:lineRule="auto"/>
        <w:jc w:val="both"/>
        <w:rPr>
          <w:rFonts w:ascii="Times New Roman" w:hAnsi="Times New Roman" w:cs="Times New Roman"/>
          <w:color w:val="222222"/>
          <w:sz w:val="24"/>
          <w:szCs w:val="24"/>
          <w:shd w:val="clear" w:color="auto" w:fill="FFFFFF"/>
        </w:rPr>
      </w:pPr>
      <w:r w:rsidRPr="00CE0B25">
        <w:rPr>
          <w:rFonts w:ascii="Times New Roman" w:hAnsi="Times New Roman" w:cs="Times New Roman"/>
          <w:color w:val="222222"/>
          <w:sz w:val="24"/>
          <w:szCs w:val="24"/>
          <w:shd w:val="clear" w:color="auto" w:fill="FFFFFF"/>
        </w:rPr>
        <w:t>Return on Investment</w:t>
      </w:r>
    </w:p>
    <w:p w14:paraId="1A6CFC78" w14:textId="77777777" w:rsidR="00201A7D" w:rsidRDefault="00201A7D" w:rsidP="008156D8">
      <w:pPr>
        <w:pStyle w:val="Heading3"/>
        <w:rPr>
          <w:b/>
          <w:color w:val="365F91" w:themeColor="accent1" w:themeShade="BF"/>
          <w:shd w:val="clear" w:color="auto" w:fill="FFFFFF"/>
        </w:rPr>
      </w:pPr>
      <w:bookmarkStart w:id="21" w:name="_Toc53357697"/>
      <w:r w:rsidRPr="008156D8">
        <w:rPr>
          <w:b/>
          <w:color w:val="365F91" w:themeColor="accent1" w:themeShade="BF"/>
          <w:shd w:val="clear" w:color="auto" w:fill="FFFFFF"/>
        </w:rPr>
        <w:t>RETURN ON EQUITY</w:t>
      </w:r>
      <w:bookmarkEnd w:id="21"/>
    </w:p>
    <w:p w14:paraId="621E4675" w14:textId="77777777" w:rsidR="008156D8" w:rsidRPr="008156D8" w:rsidRDefault="008156D8" w:rsidP="008156D8"/>
    <w:p w14:paraId="3E81DF8E" w14:textId="77777777" w:rsidR="00201A7D" w:rsidRDefault="00201A7D" w:rsidP="00201A7D">
      <w:pPr>
        <w:spacing w:line="360" w:lineRule="auto"/>
        <w:jc w:val="both"/>
        <w:rPr>
          <w:rFonts w:ascii="Times New Roman" w:hAnsi="Times New Roman" w:cs="Times New Roman"/>
          <w:color w:val="222222"/>
          <w:sz w:val="24"/>
          <w:szCs w:val="24"/>
          <w:shd w:val="clear" w:color="auto" w:fill="FFFFFF"/>
        </w:rPr>
      </w:pPr>
      <w:r w:rsidRPr="00201A7D">
        <w:rPr>
          <w:rFonts w:ascii="Times New Roman" w:hAnsi="Times New Roman" w:cs="Times New Roman"/>
          <w:color w:val="222222"/>
          <w:sz w:val="24"/>
          <w:szCs w:val="24"/>
          <w:shd w:val="clear" w:color="auto" w:fill="FFFFFF"/>
        </w:rPr>
        <w:t>The return on equity (ROE) is a measure of the profitability of a business in relation to the equity, also known as net assets or assets minus liabilities. ROE is a measure of how well a company uses investments to generate earnings growth.</w:t>
      </w:r>
      <w:r>
        <w:rPr>
          <w:rFonts w:ascii="Times New Roman" w:hAnsi="Times New Roman" w:cs="Times New Roman"/>
          <w:color w:val="222222"/>
          <w:sz w:val="24"/>
          <w:szCs w:val="24"/>
          <w:shd w:val="clear" w:color="auto" w:fill="FFFFFF"/>
        </w:rPr>
        <w:t xml:space="preserve"> </w:t>
      </w:r>
    </w:p>
    <w:p w14:paraId="176A1764" w14:textId="77777777" w:rsidR="00E54786" w:rsidRDefault="00E54786" w:rsidP="00201A7D">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61E985F7" wp14:editId="56C53D2E">
            <wp:extent cx="6103620" cy="234696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C1011C5" w14:textId="77777777" w:rsidR="006437F5" w:rsidRDefault="006437F5" w:rsidP="006437F5">
      <w:pPr>
        <w:pStyle w:val="Caption"/>
        <w:jc w:val="center"/>
        <w:rPr>
          <w:rFonts w:ascii="Times New Roman" w:hAnsi="Times New Roman" w:cs="Times New Roman"/>
          <w:color w:val="222222"/>
          <w:sz w:val="24"/>
          <w:szCs w:val="24"/>
          <w:shd w:val="clear" w:color="auto" w:fill="FFFFFF"/>
        </w:rPr>
      </w:pPr>
      <w:bookmarkStart w:id="22" w:name="_Toc53356061"/>
      <w:r>
        <w:t xml:space="preserve">Figure </w:t>
      </w:r>
      <w:fldSimple w:instr=" SEQ Figure \* ARABIC ">
        <w:r w:rsidR="008B60A5">
          <w:rPr>
            <w:noProof/>
          </w:rPr>
          <w:t>2</w:t>
        </w:r>
      </w:fldSimple>
      <w:r>
        <w:t>: Average ROE</w:t>
      </w:r>
      <w:bookmarkEnd w:id="22"/>
    </w:p>
    <w:p w14:paraId="6F86A67A" w14:textId="77777777" w:rsidR="00551EAB" w:rsidRDefault="00E54786" w:rsidP="00201A7D">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Above chart showing last five years average ROE of banks. Dhaka bank has the highest ROE, 95%.</w:t>
      </w:r>
      <w:r w:rsidR="00557F85">
        <w:rPr>
          <w:rFonts w:ascii="Times New Roman" w:hAnsi="Times New Roman" w:cs="Times New Roman"/>
          <w:color w:val="222222"/>
          <w:sz w:val="24"/>
          <w:szCs w:val="24"/>
          <w:shd w:val="clear" w:color="auto" w:fill="FFFFFF"/>
        </w:rPr>
        <w:t xml:space="preserve"> And then prime bank’s average ROE is 75%. </w:t>
      </w:r>
      <w:r w:rsidR="00CE4D4D">
        <w:rPr>
          <w:rFonts w:ascii="Times New Roman" w:hAnsi="Times New Roman" w:cs="Times New Roman"/>
          <w:color w:val="222222"/>
          <w:sz w:val="24"/>
          <w:szCs w:val="24"/>
          <w:shd w:val="clear" w:color="auto" w:fill="FFFFFF"/>
        </w:rPr>
        <w:t>T</w:t>
      </w:r>
      <w:r w:rsidR="00367BAF">
        <w:rPr>
          <w:rFonts w:ascii="Times New Roman" w:hAnsi="Times New Roman" w:cs="Times New Roman"/>
          <w:color w:val="222222"/>
          <w:sz w:val="24"/>
          <w:szCs w:val="24"/>
          <w:shd w:val="clear" w:color="auto" w:fill="FFFFFF"/>
        </w:rPr>
        <w:t>hat indicates that these two b</w:t>
      </w:r>
      <w:r w:rsidR="009240B6">
        <w:rPr>
          <w:rFonts w:ascii="Times New Roman" w:hAnsi="Times New Roman" w:cs="Times New Roman"/>
          <w:color w:val="222222"/>
          <w:sz w:val="24"/>
          <w:szCs w:val="24"/>
          <w:shd w:val="clear" w:color="auto" w:fill="FFFFFF"/>
        </w:rPr>
        <w:t>anks are</w:t>
      </w:r>
      <w:r w:rsidR="00367BAF">
        <w:rPr>
          <w:rFonts w:ascii="Times New Roman" w:hAnsi="Times New Roman" w:cs="Times New Roman"/>
          <w:color w:val="222222"/>
          <w:sz w:val="24"/>
          <w:szCs w:val="24"/>
          <w:shd w:val="clear" w:color="auto" w:fill="FFFFFF"/>
        </w:rPr>
        <w:t xml:space="preserve"> using shareholder’s capital</w:t>
      </w:r>
      <w:r w:rsidR="009240B6">
        <w:rPr>
          <w:rFonts w:ascii="Times New Roman" w:hAnsi="Times New Roman" w:cs="Times New Roman"/>
          <w:color w:val="222222"/>
          <w:sz w:val="24"/>
          <w:szCs w:val="24"/>
          <w:shd w:val="clear" w:color="auto" w:fill="FFFFFF"/>
        </w:rPr>
        <w:t xml:space="preserve"> very well</w:t>
      </w:r>
      <w:r w:rsidR="00367BAF">
        <w:rPr>
          <w:rFonts w:ascii="Times New Roman" w:hAnsi="Times New Roman" w:cs="Times New Roman"/>
          <w:color w:val="222222"/>
          <w:sz w:val="24"/>
          <w:szCs w:val="24"/>
          <w:shd w:val="clear" w:color="auto" w:fill="FFFFFF"/>
        </w:rPr>
        <w:t xml:space="preserve">. </w:t>
      </w:r>
      <w:r w:rsidR="00FB7930">
        <w:rPr>
          <w:rFonts w:ascii="Times New Roman" w:hAnsi="Times New Roman" w:cs="Times New Roman"/>
          <w:color w:val="222222"/>
          <w:sz w:val="24"/>
          <w:szCs w:val="24"/>
          <w:shd w:val="clear" w:color="auto" w:fill="FFFFFF"/>
        </w:rPr>
        <w:t xml:space="preserve">Where other banks are in medium position with 10% to 23%; AB bank has lowest ROE, 3% that indicates mismanagement and weaknesses in banking activity. </w:t>
      </w:r>
    </w:p>
    <w:p w14:paraId="1BAD9673" w14:textId="77777777" w:rsidR="002A3207" w:rsidRDefault="00201A7D" w:rsidP="00FB49A2">
      <w:pPr>
        <w:pStyle w:val="Heading3"/>
        <w:rPr>
          <w:b/>
          <w:color w:val="365F91" w:themeColor="accent1" w:themeShade="BF"/>
          <w:shd w:val="clear" w:color="auto" w:fill="FFFFFF"/>
        </w:rPr>
      </w:pPr>
      <w:bookmarkStart w:id="23" w:name="_Toc53357698"/>
      <w:r w:rsidRPr="00FB49A2">
        <w:rPr>
          <w:b/>
          <w:color w:val="365F91" w:themeColor="accent1" w:themeShade="BF"/>
          <w:shd w:val="clear" w:color="auto" w:fill="FFFFFF"/>
        </w:rPr>
        <w:t>NET INTEREST MARGIN ON AVERAGE EARNING ASSETS</w:t>
      </w:r>
      <w:bookmarkEnd w:id="23"/>
    </w:p>
    <w:p w14:paraId="6D7184A1" w14:textId="77777777" w:rsidR="00FB49A2" w:rsidRPr="00FB49A2" w:rsidRDefault="00FB49A2" w:rsidP="00FB49A2"/>
    <w:p w14:paraId="36F9FFF0" w14:textId="182AC0F0" w:rsidR="00201A7D" w:rsidRDefault="00697450" w:rsidP="00201A7D">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One of the services that banks offer is providing loan and mortgage. </w:t>
      </w:r>
      <w:r w:rsidR="00536E1B">
        <w:rPr>
          <w:rFonts w:ascii="Times New Roman" w:hAnsi="Times New Roman" w:cs="Times New Roman"/>
          <w:color w:val="222222"/>
          <w:sz w:val="24"/>
          <w:szCs w:val="24"/>
          <w:shd w:val="clear" w:color="auto" w:fill="FFFFFF"/>
        </w:rPr>
        <w:t xml:space="preserve">Net interest margin helps us to know the net interest income a bank </w:t>
      </w:r>
      <w:r w:rsidR="00B86648">
        <w:rPr>
          <w:rFonts w:ascii="Times New Roman" w:hAnsi="Times New Roman" w:cs="Times New Roman"/>
          <w:color w:val="222222"/>
          <w:sz w:val="24"/>
          <w:szCs w:val="24"/>
          <w:shd w:val="clear" w:color="auto" w:fill="FFFFFF"/>
        </w:rPr>
        <w:t>earns</w:t>
      </w:r>
      <w:r w:rsidR="00536E1B">
        <w:rPr>
          <w:rFonts w:ascii="Times New Roman" w:hAnsi="Times New Roman" w:cs="Times New Roman"/>
          <w:color w:val="222222"/>
          <w:sz w:val="24"/>
          <w:szCs w:val="24"/>
          <w:shd w:val="clear" w:color="auto" w:fill="FFFFFF"/>
        </w:rPr>
        <w:t xml:space="preserve"> from this loan and mortgage. </w:t>
      </w:r>
      <w:r w:rsidR="0071426F">
        <w:rPr>
          <w:rFonts w:ascii="Times New Roman" w:hAnsi="Times New Roman" w:cs="Times New Roman"/>
          <w:color w:val="222222"/>
          <w:sz w:val="24"/>
          <w:szCs w:val="24"/>
          <w:shd w:val="clear" w:color="auto" w:fill="FFFFFF"/>
        </w:rPr>
        <w:t xml:space="preserve">It helps an </w:t>
      </w:r>
      <w:r w:rsidR="00B86648">
        <w:rPr>
          <w:rFonts w:ascii="Times New Roman" w:hAnsi="Times New Roman" w:cs="Times New Roman"/>
          <w:color w:val="222222"/>
          <w:sz w:val="24"/>
          <w:szCs w:val="24"/>
          <w:shd w:val="clear" w:color="auto" w:fill="FFFFFF"/>
        </w:rPr>
        <w:t>investor</w:t>
      </w:r>
      <w:r w:rsidR="0071426F">
        <w:rPr>
          <w:rFonts w:ascii="Times New Roman" w:hAnsi="Times New Roman" w:cs="Times New Roman"/>
          <w:color w:val="222222"/>
          <w:sz w:val="24"/>
          <w:szCs w:val="24"/>
          <w:shd w:val="clear" w:color="auto" w:fill="FFFFFF"/>
        </w:rPr>
        <w:t xml:space="preserve"> to </w:t>
      </w:r>
      <w:r w:rsidR="00836FB3">
        <w:rPr>
          <w:rFonts w:ascii="Times New Roman" w:hAnsi="Times New Roman" w:cs="Times New Roman"/>
          <w:color w:val="222222"/>
          <w:sz w:val="24"/>
          <w:szCs w:val="24"/>
          <w:shd w:val="clear" w:color="auto" w:fill="FFFFFF"/>
        </w:rPr>
        <w:t>decide</w:t>
      </w:r>
      <w:r w:rsidR="0071426F">
        <w:rPr>
          <w:rFonts w:ascii="Times New Roman" w:hAnsi="Times New Roman" w:cs="Times New Roman"/>
          <w:color w:val="222222"/>
          <w:sz w:val="24"/>
          <w:szCs w:val="24"/>
          <w:shd w:val="clear" w:color="auto" w:fill="FFFFFF"/>
        </w:rPr>
        <w:t xml:space="preserve"> whether to invest in the bank or not by showing the profitability of bank’s interest income versus their interest expenses. </w:t>
      </w:r>
      <w:r w:rsidR="001178F9">
        <w:rPr>
          <w:rFonts w:ascii="Times New Roman" w:hAnsi="Times New Roman" w:cs="Times New Roman"/>
          <w:color w:val="222222"/>
          <w:sz w:val="24"/>
          <w:szCs w:val="24"/>
          <w:shd w:val="clear" w:color="auto" w:fill="FFFFFF"/>
        </w:rPr>
        <w:t>When</w:t>
      </w:r>
      <w:r w:rsidR="001178F9" w:rsidRPr="001178F9">
        <w:rPr>
          <w:rFonts w:ascii="Times New Roman" w:hAnsi="Times New Roman" w:cs="Times New Roman"/>
          <w:color w:val="222222"/>
          <w:sz w:val="24"/>
          <w:szCs w:val="24"/>
          <w:shd w:val="clear" w:color="auto" w:fill="FFFFFF"/>
        </w:rPr>
        <w:t xml:space="preserve"> net interest margin</w:t>
      </w:r>
      <w:r w:rsidR="001178F9">
        <w:rPr>
          <w:rFonts w:ascii="Times New Roman" w:hAnsi="Times New Roman" w:cs="Times New Roman"/>
          <w:color w:val="222222"/>
          <w:sz w:val="24"/>
          <w:szCs w:val="24"/>
          <w:shd w:val="clear" w:color="auto" w:fill="FFFFFF"/>
        </w:rPr>
        <w:t xml:space="preserve"> is positive it</w:t>
      </w:r>
      <w:r w:rsidR="001178F9" w:rsidRPr="001178F9">
        <w:rPr>
          <w:rFonts w:ascii="Times New Roman" w:hAnsi="Times New Roman" w:cs="Times New Roman"/>
          <w:color w:val="222222"/>
          <w:sz w:val="24"/>
          <w:szCs w:val="24"/>
          <w:shd w:val="clear" w:color="auto" w:fill="FFFFFF"/>
        </w:rPr>
        <w:t xml:space="preserve"> suggests that an entity operates profitably, </w:t>
      </w:r>
      <w:r w:rsidR="001178F9">
        <w:rPr>
          <w:rFonts w:ascii="Times New Roman" w:hAnsi="Times New Roman" w:cs="Times New Roman"/>
          <w:color w:val="222222"/>
          <w:sz w:val="24"/>
          <w:szCs w:val="24"/>
          <w:shd w:val="clear" w:color="auto" w:fill="FFFFFF"/>
        </w:rPr>
        <w:t>and when it is negative; it implies</w:t>
      </w:r>
      <w:r w:rsidR="001178F9" w:rsidRPr="001178F9">
        <w:rPr>
          <w:rFonts w:ascii="Times New Roman" w:hAnsi="Times New Roman" w:cs="Times New Roman"/>
          <w:color w:val="222222"/>
          <w:sz w:val="24"/>
          <w:szCs w:val="24"/>
          <w:shd w:val="clear" w:color="auto" w:fill="FFFFFF"/>
        </w:rPr>
        <w:t xml:space="preserve"> inefficiency</w:t>
      </w:r>
      <w:r w:rsidR="001178F9">
        <w:rPr>
          <w:rFonts w:ascii="Times New Roman" w:hAnsi="Times New Roman" w:cs="Times New Roman"/>
          <w:color w:val="222222"/>
          <w:sz w:val="24"/>
          <w:szCs w:val="24"/>
          <w:shd w:val="clear" w:color="auto" w:fill="FFFFFF"/>
        </w:rPr>
        <w:t xml:space="preserve"> in investment.</w:t>
      </w:r>
      <w:r w:rsidR="000C34B8">
        <w:rPr>
          <w:rFonts w:ascii="Times New Roman" w:hAnsi="Times New Roman" w:cs="Times New Roman"/>
          <w:color w:val="222222"/>
          <w:sz w:val="24"/>
          <w:szCs w:val="24"/>
          <w:shd w:val="clear" w:color="auto" w:fill="FFFFFF"/>
        </w:rPr>
        <w:t xml:space="preserve"> </w:t>
      </w:r>
      <w:sdt>
        <w:sdtPr>
          <w:rPr>
            <w:rFonts w:ascii="Times New Roman" w:hAnsi="Times New Roman" w:cs="Times New Roman"/>
            <w:color w:val="222222"/>
            <w:sz w:val="24"/>
            <w:szCs w:val="24"/>
            <w:shd w:val="clear" w:color="auto" w:fill="FFFFFF"/>
          </w:rPr>
          <w:id w:val="1983569661"/>
          <w:citation/>
        </w:sdtPr>
        <w:sdtContent>
          <w:r w:rsidR="000C34B8">
            <w:rPr>
              <w:rFonts w:ascii="Times New Roman" w:hAnsi="Times New Roman" w:cs="Times New Roman"/>
              <w:color w:val="222222"/>
              <w:sz w:val="24"/>
              <w:szCs w:val="24"/>
              <w:shd w:val="clear" w:color="auto" w:fill="FFFFFF"/>
            </w:rPr>
            <w:fldChar w:fldCharType="begin"/>
          </w:r>
          <w:r w:rsidR="000C34B8">
            <w:rPr>
              <w:rFonts w:ascii="Times New Roman" w:hAnsi="Times New Roman" w:cs="Times New Roman"/>
              <w:color w:val="222222"/>
              <w:sz w:val="24"/>
              <w:szCs w:val="24"/>
              <w:shd w:val="clear" w:color="auto" w:fill="FFFFFF"/>
              <w:lang w:val="en-SG"/>
            </w:rPr>
            <w:instrText xml:space="preserve">CITATION AND \l 18441 </w:instrText>
          </w:r>
          <w:r w:rsidR="000C34B8">
            <w:rPr>
              <w:rFonts w:ascii="Times New Roman" w:hAnsi="Times New Roman" w:cs="Times New Roman"/>
              <w:color w:val="222222"/>
              <w:sz w:val="24"/>
              <w:szCs w:val="24"/>
              <w:shd w:val="clear" w:color="auto" w:fill="FFFFFF"/>
            </w:rPr>
            <w:fldChar w:fldCharType="separate"/>
          </w:r>
          <w:r w:rsidR="007C5EAF" w:rsidRPr="007C5EAF">
            <w:rPr>
              <w:rFonts w:ascii="Times New Roman" w:hAnsi="Times New Roman" w:cs="Times New Roman"/>
              <w:noProof/>
              <w:color w:val="222222"/>
              <w:sz w:val="24"/>
              <w:szCs w:val="24"/>
              <w:shd w:val="clear" w:color="auto" w:fill="FFFFFF"/>
              <w:lang w:val="en-SG"/>
            </w:rPr>
            <w:t>(Bloomenthal, 2020)</w:t>
          </w:r>
          <w:r w:rsidR="000C34B8">
            <w:rPr>
              <w:rFonts w:ascii="Times New Roman" w:hAnsi="Times New Roman" w:cs="Times New Roman"/>
              <w:color w:val="222222"/>
              <w:sz w:val="24"/>
              <w:szCs w:val="24"/>
              <w:shd w:val="clear" w:color="auto" w:fill="FFFFFF"/>
            </w:rPr>
            <w:fldChar w:fldCharType="end"/>
          </w:r>
        </w:sdtContent>
      </w:sdt>
    </w:p>
    <w:p w14:paraId="2FDC5FF2" w14:textId="77777777" w:rsidR="00331FB6" w:rsidRDefault="0058484B" w:rsidP="00201A7D">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67C8EF7E" wp14:editId="22989030">
            <wp:extent cx="5836920" cy="2034540"/>
            <wp:effectExtent l="0" t="0" r="0" b="381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459A4E0" w14:textId="77777777" w:rsidR="006437F5" w:rsidRDefault="006437F5" w:rsidP="006437F5">
      <w:pPr>
        <w:pStyle w:val="Caption"/>
        <w:jc w:val="center"/>
        <w:rPr>
          <w:rFonts w:ascii="Times New Roman" w:hAnsi="Times New Roman" w:cs="Times New Roman"/>
          <w:color w:val="222222"/>
          <w:sz w:val="24"/>
          <w:szCs w:val="24"/>
          <w:shd w:val="clear" w:color="auto" w:fill="FFFFFF"/>
        </w:rPr>
      </w:pPr>
      <w:bookmarkStart w:id="24" w:name="_Toc53356062"/>
      <w:r>
        <w:t xml:space="preserve">Figure </w:t>
      </w:r>
      <w:fldSimple w:instr=" SEQ Figure \* ARABIC ">
        <w:r w:rsidR="008B60A5">
          <w:rPr>
            <w:noProof/>
          </w:rPr>
          <w:t>3</w:t>
        </w:r>
      </w:fldSimple>
      <w:r>
        <w:t>: Average NIM</w:t>
      </w:r>
      <w:bookmarkEnd w:id="24"/>
    </w:p>
    <w:p w14:paraId="6E16F6AB" w14:textId="77777777" w:rsidR="00331FB6" w:rsidRDefault="00D052C8" w:rsidP="00201A7D">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Pubali bank has the highest average net interest margin, 35% that indicates its profitability. Most of the banks have negative net interest margin from which we can understand a high portion of </w:t>
      </w:r>
      <w:r w:rsidR="0079157C">
        <w:rPr>
          <w:rFonts w:ascii="Times New Roman" w:hAnsi="Times New Roman" w:cs="Times New Roman"/>
          <w:color w:val="222222"/>
          <w:sz w:val="24"/>
          <w:szCs w:val="24"/>
          <w:shd w:val="clear" w:color="auto" w:fill="FFFFFF"/>
        </w:rPr>
        <w:t>banking sector of Bangladesh is inefficient in investment.</w:t>
      </w:r>
    </w:p>
    <w:p w14:paraId="02020166" w14:textId="77777777" w:rsidR="00D31721" w:rsidRDefault="0028201B" w:rsidP="000B52C4">
      <w:pPr>
        <w:pStyle w:val="Heading3"/>
        <w:rPr>
          <w:b/>
          <w:color w:val="365F91" w:themeColor="accent1" w:themeShade="BF"/>
          <w:shd w:val="clear" w:color="auto" w:fill="FFFFFF"/>
        </w:rPr>
      </w:pPr>
      <w:bookmarkStart w:id="25" w:name="_Toc53357699"/>
      <w:r w:rsidRPr="000B52C4">
        <w:rPr>
          <w:b/>
          <w:color w:val="365F91" w:themeColor="accent1" w:themeShade="BF"/>
          <w:shd w:val="clear" w:color="auto" w:fill="FFFFFF"/>
        </w:rPr>
        <w:t>COST TO INCOME RATIO</w:t>
      </w:r>
      <w:bookmarkEnd w:id="25"/>
    </w:p>
    <w:p w14:paraId="21FC6286" w14:textId="77777777" w:rsidR="000B52C4" w:rsidRPr="000B52C4" w:rsidRDefault="000B52C4" w:rsidP="000B52C4"/>
    <w:p w14:paraId="6A5C788F" w14:textId="388206AF" w:rsidR="000C34B8" w:rsidRDefault="000C34B8" w:rsidP="000C34B8">
      <w:pPr>
        <w:spacing w:line="360" w:lineRule="auto"/>
        <w:jc w:val="both"/>
        <w:rPr>
          <w:rFonts w:ascii="Times New Roman" w:hAnsi="Times New Roman" w:cs="Times New Roman"/>
          <w:color w:val="222222"/>
          <w:sz w:val="24"/>
          <w:szCs w:val="24"/>
          <w:shd w:val="clear" w:color="auto" w:fill="FFFFFF"/>
        </w:rPr>
      </w:pPr>
      <w:r w:rsidRPr="000C34B8">
        <w:rPr>
          <w:rFonts w:ascii="Times New Roman" w:hAnsi="Times New Roman" w:cs="Times New Roman"/>
          <w:color w:val="222222"/>
          <w:sz w:val="24"/>
          <w:szCs w:val="24"/>
          <w:shd w:val="clear" w:color="auto" w:fill="FFFFFF"/>
        </w:rPr>
        <w:t>T</w:t>
      </w:r>
      <w:r>
        <w:rPr>
          <w:rFonts w:ascii="Times New Roman" w:hAnsi="Times New Roman" w:cs="Times New Roman"/>
          <w:color w:val="222222"/>
          <w:sz w:val="24"/>
          <w:szCs w:val="24"/>
          <w:shd w:val="clear" w:color="auto" w:fill="FFFFFF"/>
        </w:rPr>
        <w:t xml:space="preserve">he cost-to-income ratio </w:t>
      </w:r>
      <w:r w:rsidRPr="000C34B8">
        <w:rPr>
          <w:rFonts w:ascii="Times New Roman" w:hAnsi="Times New Roman" w:cs="Times New Roman"/>
          <w:color w:val="222222"/>
          <w:sz w:val="24"/>
          <w:szCs w:val="24"/>
          <w:shd w:val="clear" w:color="auto" w:fill="FFFFFF"/>
        </w:rPr>
        <w:t>shows a company's costs in relation to its income. The ratio give</w:t>
      </w:r>
      <w:r>
        <w:rPr>
          <w:rFonts w:ascii="Times New Roman" w:hAnsi="Times New Roman" w:cs="Times New Roman"/>
          <w:color w:val="222222"/>
          <w:sz w:val="24"/>
          <w:szCs w:val="24"/>
          <w:shd w:val="clear" w:color="auto" w:fill="FFFFFF"/>
        </w:rPr>
        <w:t>s investors a clear view of the level of efficiency of the bank. The lower the ratio is</w:t>
      </w:r>
      <w:r w:rsidRPr="000C34B8">
        <w:rPr>
          <w:rFonts w:ascii="Times New Roman" w:hAnsi="Times New Roman" w:cs="Times New Roman"/>
          <w:color w:val="222222"/>
          <w:sz w:val="24"/>
          <w:szCs w:val="24"/>
          <w:shd w:val="clear" w:color="auto" w:fill="FFFFFF"/>
        </w:rPr>
        <w:t xml:space="preserve">, the more profitable the bank will be. Changes </w:t>
      </w:r>
      <w:r w:rsidR="00FE39BC">
        <w:rPr>
          <w:rFonts w:ascii="Times New Roman" w:hAnsi="Times New Roman" w:cs="Times New Roman"/>
          <w:color w:val="222222"/>
          <w:sz w:val="24"/>
          <w:szCs w:val="24"/>
          <w:shd w:val="clear" w:color="auto" w:fill="FFFFFF"/>
        </w:rPr>
        <w:t xml:space="preserve">in the ratio indicates a </w:t>
      </w:r>
      <w:r w:rsidR="005872FB">
        <w:rPr>
          <w:rFonts w:ascii="Times New Roman" w:hAnsi="Times New Roman" w:cs="Times New Roman"/>
          <w:color w:val="222222"/>
          <w:sz w:val="24"/>
          <w:szCs w:val="24"/>
          <w:shd w:val="clear" w:color="auto" w:fill="FFFFFF"/>
        </w:rPr>
        <w:t>potential problem,</w:t>
      </w:r>
      <w:r w:rsidR="00FE39BC">
        <w:rPr>
          <w:rFonts w:ascii="Times New Roman" w:hAnsi="Times New Roman" w:cs="Times New Roman"/>
          <w:color w:val="222222"/>
          <w:sz w:val="24"/>
          <w:szCs w:val="24"/>
          <w:shd w:val="clear" w:color="auto" w:fill="FFFFFF"/>
        </w:rPr>
        <w:t xml:space="preserve"> if the ratio </w:t>
      </w:r>
      <w:r w:rsidR="00FE39BC">
        <w:rPr>
          <w:rFonts w:ascii="Times New Roman" w:hAnsi="Times New Roman" w:cs="Times New Roman"/>
          <w:color w:val="222222"/>
          <w:sz w:val="24"/>
          <w:szCs w:val="24"/>
          <w:shd w:val="clear" w:color="auto" w:fill="FFFFFF"/>
        </w:rPr>
        <w:lastRenderedPageBreak/>
        <w:t xml:space="preserve">increases in the </w:t>
      </w:r>
      <w:r w:rsidRPr="000C34B8">
        <w:rPr>
          <w:rFonts w:ascii="Times New Roman" w:hAnsi="Times New Roman" w:cs="Times New Roman"/>
          <w:color w:val="222222"/>
          <w:sz w:val="24"/>
          <w:szCs w:val="24"/>
          <w:shd w:val="clear" w:color="auto" w:fill="FFFFFF"/>
        </w:rPr>
        <w:t>next</w:t>
      </w:r>
      <w:r w:rsidR="00FE39BC">
        <w:rPr>
          <w:rFonts w:ascii="Times New Roman" w:hAnsi="Times New Roman" w:cs="Times New Roman"/>
          <w:color w:val="222222"/>
          <w:sz w:val="24"/>
          <w:szCs w:val="24"/>
          <w:shd w:val="clear" w:color="auto" w:fill="FFFFFF"/>
        </w:rPr>
        <w:t xml:space="preserve"> period then</w:t>
      </w:r>
      <w:r w:rsidRPr="000C34B8">
        <w:rPr>
          <w:rFonts w:ascii="Times New Roman" w:hAnsi="Times New Roman" w:cs="Times New Roman"/>
          <w:color w:val="222222"/>
          <w:sz w:val="24"/>
          <w:szCs w:val="24"/>
          <w:shd w:val="clear" w:color="auto" w:fill="FFFFFF"/>
        </w:rPr>
        <w:t xml:space="preserve"> it means that costs are rising at a higher r</w:t>
      </w:r>
      <w:r w:rsidR="00FE39BC">
        <w:rPr>
          <w:rFonts w:ascii="Times New Roman" w:hAnsi="Times New Roman" w:cs="Times New Roman"/>
          <w:color w:val="222222"/>
          <w:sz w:val="24"/>
          <w:szCs w:val="24"/>
          <w:shd w:val="clear" w:color="auto" w:fill="FFFFFF"/>
        </w:rPr>
        <w:t xml:space="preserve">ate than income. </w:t>
      </w:r>
      <w:sdt>
        <w:sdtPr>
          <w:rPr>
            <w:rFonts w:ascii="Times New Roman" w:hAnsi="Times New Roman" w:cs="Times New Roman"/>
            <w:color w:val="222222"/>
            <w:sz w:val="24"/>
            <w:szCs w:val="24"/>
            <w:shd w:val="clear" w:color="auto" w:fill="FFFFFF"/>
          </w:rPr>
          <w:id w:val="420458650"/>
          <w:citation/>
        </w:sdtPr>
        <w:sdtContent>
          <w:r w:rsidR="00C30D5E">
            <w:rPr>
              <w:rFonts w:ascii="Times New Roman" w:hAnsi="Times New Roman" w:cs="Times New Roman"/>
              <w:color w:val="222222"/>
              <w:sz w:val="24"/>
              <w:szCs w:val="24"/>
              <w:shd w:val="clear" w:color="auto" w:fill="FFFFFF"/>
            </w:rPr>
            <w:fldChar w:fldCharType="begin"/>
          </w:r>
          <w:r w:rsidR="00C30D5E">
            <w:rPr>
              <w:rFonts w:ascii="Times New Roman" w:hAnsi="Times New Roman" w:cs="Times New Roman"/>
              <w:color w:val="222222"/>
              <w:sz w:val="24"/>
              <w:szCs w:val="24"/>
              <w:shd w:val="clear" w:color="auto" w:fill="FFFFFF"/>
              <w:lang w:val="en-SG"/>
            </w:rPr>
            <w:instrText xml:space="preserve"> CITATION Mon18 \l 18441 </w:instrText>
          </w:r>
          <w:r w:rsidR="00C30D5E">
            <w:rPr>
              <w:rFonts w:ascii="Times New Roman" w:hAnsi="Times New Roman" w:cs="Times New Roman"/>
              <w:color w:val="222222"/>
              <w:sz w:val="24"/>
              <w:szCs w:val="24"/>
              <w:shd w:val="clear" w:color="auto" w:fill="FFFFFF"/>
            </w:rPr>
            <w:fldChar w:fldCharType="separate"/>
          </w:r>
          <w:r w:rsidR="007C5EAF" w:rsidRPr="007C5EAF">
            <w:rPr>
              <w:rFonts w:ascii="Times New Roman" w:hAnsi="Times New Roman" w:cs="Times New Roman"/>
              <w:noProof/>
              <w:color w:val="222222"/>
              <w:sz w:val="24"/>
              <w:szCs w:val="24"/>
              <w:shd w:val="clear" w:color="auto" w:fill="FFFFFF"/>
              <w:lang w:val="en-SG"/>
            </w:rPr>
            <w:t>(MoneyWeek, 2018)</w:t>
          </w:r>
          <w:r w:rsidR="00C30D5E">
            <w:rPr>
              <w:rFonts w:ascii="Times New Roman" w:hAnsi="Times New Roman" w:cs="Times New Roman"/>
              <w:color w:val="222222"/>
              <w:sz w:val="24"/>
              <w:szCs w:val="24"/>
              <w:shd w:val="clear" w:color="auto" w:fill="FFFFFF"/>
            </w:rPr>
            <w:fldChar w:fldCharType="end"/>
          </w:r>
        </w:sdtContent>
      </w:sdt>
    </w:p>
    <w:p w14:paraId="7889FA89" w14:textId="77777777" w:rsidR="00DA6B6A" w:rsidRDefault="00DA6B6A" w:rsidP="000C34B8">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51E04BFE" wp14:editId="24D01ED9">
            <wp:extent cx="6149340" cy="2133600"/>
            <wp:effectExtent l="0" t="0" r="381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05D4BE2" w14:textId="77777777" w:rsidR="00CF0FFA" w:rsidRDefault="00CF0FFA" w:rsidP="00CF0FFA">
      <w:pPr>
        <w:pStyle w:val="Caption"/>
        <w:jc w:val="center"/>
        <w:rPr>
          <w:rFonts w:ascii="Times New Roman" w:hAnsi="Times New Roman" w:cs="Times New Roman"/>
          <w:color w:val="222222"/>
          <w:sz w:val="24"/>
          <w:szCs w:val="24"/>
          <w:shd w:val="clear" w:color="auto" w:fill="FFFFFF"/>
        </w:rPr>
      </w:pPr>
      <w:bookmarkStart w:id="26" w:name="_Toc53356063"/>
      <w:r>
        <w:t xml:space="preserve">Figure </w:t>
      </w:r>
      <w:fldSimple w:instr=" SEQ Figure \* ARABIC ">
        <w:r w:rsidR="008B60A5">
          <w:rPr>
            <w:noProof/>
          </w:rPr>
          <w:t>4</w:t>
        </w:r>
      </w:fldSimple>
      <w:r>
        <w:t>: Average Cost to Income</w:t>
      </w:r>
      <w:bookmarkEnd w:id="26"/>
    </w:p>
    <w:p w14:paraId="76350F84" w14:textId="77777777" w:rsidR="00DA6B6A" w:rsidRDefault="00DA6B6A" w:rsidP="00FB578F">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Uttara bank has the highest average </w:t>
      </w:r>
      <w:r w:rsidR="00E12B1F">
        <w:rPr>
          <w:rFonts w:ascii="Times New Roman" w:hAnsi="Times New Roman" w:cs="Times New Roman"/>
          <w:color w:val="222222"/>
          <w:sz w:val="24"/>
          <w:szCs w:val="24"/>
          <w:shd w:val="clear" w:color="auto" w:fill="FFFFFF"/>
        </w:rPr>
        <w:t>of cost to income ratio, 74%, which means b</w:t>
      </w:r>
      <w:r w:rsidR="002C546D">
        <w:rPr>
          <w:rFonts w:ascii="Times New Roman" w:hAnsi="Times New Roman" w:cs="Times New Roman"/>
          <w:color w:val="222222"/>
          <w:sz w:val="24"/>
          <w:szCs w:val="24"/>
          <w:shd w:val="clear" w:color="auto" w:fill="FFFFFF"/>
        </w:rPr>
        <w:t xml:space="preserve">ank’s cost is </w:t>
      </w:r>
      <w:r w:rsidR="00E12B1F">
        <w:rPr>
          <w:rFonts w:ascii="Times New Roman" w:hAnsi="Times New Roman" w:cs="Times New Roman"/>
          <w:color w:val="222222"/>
          <w:sz w:val="24"/>
          <w:szCs w:val="24"/>
          <w:shd w:val="clear" w:color="auto" w:fill="FFFFFF"/>
        </w:rPr>
        <w:t xml:space="preserve">higher than its income. Even most of the banks’ cost is high. South </w:t>
      </w:r>
      <w:r w:rsidR="002748E3">
        <w:rPr>
          <w:rFonts w:ascii="Times New Roman" w:hAnsi="Times New Roman" w:cs="Times New Roman"/>
          <w:color w:val="222222"/>
          <w:sz w:val="24"/>
          <w:szCs w:val="24"/>
          <w:shd w:val="clear" w:color="auto" w:fill="FFFFFF"/>
        </w:rPr>
        <w:t>East bank has comparatively lower cost.</w:t>
      </w:r>
    </w:p>
    <w:p w14:paraId="6CA122CD" w14:textId="77777777" w:rsidR="00BF69DA" w:rsidRDefault="00C74255" w:rsidP="006A7FD8">
      <w:pPr>
        <w:pStyle w:val="Heading3"/>
        <w:rPr>
          <w:b/>
          <w:color w:val="365F91" w:themeColor="accent1" w:themeShade="BF"/>
          <w:shd w:val="clear" w:color="auto" w:fill="FFFFFF"/>
        </w:rPr>
      </w:pPr>
      <w:bookmarkStart w:id="27" w:name="_Toc53357700"/>
      <w:r w:rsidRPr="006A7FD8">
        <w:rPr>
          <w:b/>
          <w:color w:val="365F91" w:themeColor="accent1" w:themeShade="BF"/>
          <w:shd w:val="clear" w:color="auto" w:fill="FFFFFF"/>
        </w:rPr>
        <w:t>RETURN ON INVESTMENT</w:t>
      </w:r>
      <w:bookmarkEnd w:id="27"/>
    </w:p>
    <w:p w14:paraId="7CC10961" w14:textId="77777777" w:rsidR="006A7FD8" w:rsidRPr="006A7FD8" w:rsidRDefault="006A7FD8" w:rsidP="00FB578F">
      <w:pPr>
        <w:spacing w:line="360" w:lineRule="auto"/>
        <w:jc w:val="both"/>
      </w:pPr>
    </w:p>
    <w:p w14:paraId="1491D8A2" w14:textId="18E7F0BD" w:rsidR="00554C2E" w:rsidRDefault="00BF69DA" w:rsidP="00FB578F">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Return on investment indicates the extent to which a bank can earn profit by using its capital. </w:t>
      </w:r>
      <w:r w:rsidR="00174C67">
        <w:rPr>
          <w:rFonts w:ascii="Times New Roman" w:hAnsi="Times New Roman" w:cs="Times New Roman"/>
          <w:color w:val="222222"/>
          <w:sz w:val="24"/>
          <w:szCs w:val="24"/>
          <w:shd w:val="clear" w:color="auto" w:fill="FFFFFF"/>
        </w:rPr>
        <w:t>For shareholders, a bank’s goal is to express its ROI.</w:t>
      </w:r>
      <w:r w:rsidR="00497DC4">
        <w:rPr>
          <w:rFonts w:ascii="Times New Roman" w:hAnsi="Times New Roman" w:cs="Times New Roman"/>
          <w:color w:val="222222"/>
          <w:sz w:val="24"/>
          <w:szCs w:val="24"/>
          <w:shd w:val="clear" w:color="auto" w:fill="FFFFFF"/>
        </w:rPr>
        <w:t xml:space="preserve"> How well a bank </w:t>
      </w:r>
      <w:r w:rsidR="005872FB">
        <w:rPr>
          <w:rFonts w:ascii="Times New Roman" w:hAnsi="Times New Roman" w:cs="Times New Roman"/>
          <w:color w:val="222222"/>
          <w:sz w:val="24"/>
          <w:szCs w:val="24"/>
          <w:shd w:val="clear" w:color="auto" w:fill="FFFFFF"/>
        </w:rPr>
        <w:t>is</w:t>
      </w:r>
      <w:r w:rsidR="00497DC4">
        <w:rPr>
          <w:rFonts w:ascii="Times New Roman" w:hAnsi="Times New Roman" w:cs="Times New Roman"/>
          <w:color w:val="222222"/>
          <w:sz w:val="24"/>
          <w:szCs w:val="24"/>
          <w:shd w:val="clear" w:color="auto" w:fill="FFFFFF"/>
        </w:rPr>
        <w:t xml:space="preserve"> using its investors’ money that can be found by return on investment.</w:t>
      </w:r>
    </w:p>
    <w:p w14:paraId="3A308536" w14:textId="77777777" w:rsidR="0026333F" w:rsidRDefault="00554C2E" w:rsidP="00E060A0">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5F3C40EC" wp14:editId="259392A0">
            <wp:extent cx="6108065" cy="2049780"/>
            <wp:effectExtent l="0" t="0" r="6985" b="762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2733198" w14:textId="77777777" w:rsidR="00E10D61" w:rsidRDefault="00E10D61" w:rsidP="00E10D61">
      <w:pPr>
        <w:pStyle w:val="Caption"/>
        <w:jc w:val="center"/>
        <w:rPr>
          <w:rFonts w:ascii="Times New Roman" w:hAnsi="Times New Roman" w:cs="Times New Roman"/>
          <w:color w:val="222222"/>
          <w:sz w:val="24"/>
          <w:szCs w:val="24"/>
          <w:shd w:val="clear" w:color="auto" w:fill="FFFFFF"/>
        </w:rPr>
      </w:pPr>
      <w:bookmarkStart w:id="28" w:name="_Toc53356064"/>
      <w:r>
        <w:t xml:space="preserve">Figure </w:t>
      </w:r>
      <w:fldSimple w:instr=" SEQ Figure \* ARABIC ">
        <w:r w:rsidR="008B60A5">
          <w:rPr>
            <w:noProof/>
          </w:rPr>
          <w:t>5</w:t>
        </w:r>
      </w:fldSimple>
      <w:r>
        <w:t>: Average ROI</w:t>
      </w:r>
      <w:bookmarkEnd w:id="28"/>
    </w:p>
    <w:p w14:paraId="48429146" w14:textId="77777777" w:rsidR="0089544D" w:rsidRDefault="004F7ECE" w:rsidP="00E060A0">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In case of ROI, in last five years City bank has showed the best performance. Its average ROI is 17%. And South East bank has the</w:t>
      </w:r>
      <w:r w:rsidR="004558A5">
        <w:rPr>
          <w:rFonts w:ascii="Times New Roman" w:hAnsi="Times New Roman" w:cs="Times New Roman"/>
          <w:color w:val="222222"/>
          <w:sz w:val="24"/>
          <w:szCs w:val="24"/>
          <w:shd w:val="clear" w:color="auto" w:fill="FFFFFF"/>
        </w:rPr>
        <w:t xml:space="preserve"> lowest average ROI, only 1%;</w:t>
      </w:r>
      <w:r>
        <w:rPr>
          <w:rFonts w:ascii="Times New Roman" w:hAnsi="Times New Roman" w:cs="Times New Roman"/>
          <w:color w:val="222222"/>
          <w:sz w:val="24"/>
          <w:szCs w:val="24"/>
          <w:shd w:val="clear" w:color="auto" w:fill="FFFFFF"/>
        </w:rPr>
        <w:t xml:space="preserve"> efficiency level of using shareholder’s investment is comparatively low.</w:t>
      </w:r>
    </w:p>
    <w:tbl>
      <w:tblPr>
        <w:tblW w:w="8880" w:type="dxa"/>
        <w:tblInd w:w="113" w:type="dxa"/>
        <w:tblLook w:val="04A0" w:firstRow="1" w:lastRow="0" w:firstColumn="1" w:lastColumn="0" w:noHBand="0" w:noVBand="1"/>
      </w:tblPr>
      <w:tblGrid>
        <w:gridCol w:w="1172"/>
        <w:gridCol w:w="927"/>
        <w:gridCol w:w="222"/>
        <w:gridCol w:w="1096"/>
        <w:gridCol w:w="927"/>
        <w:gridCol w:w="222"/>
        <w:gridCol w:w="1089"/>
        <w:gridCol w:w="945"/>
        <w:gridCol w:w="222"/>
        <w:gridCol w:w="1131"/>
        <w:gridCol w:w="927"/>
      </w:tblGrid>
      <w:tr w:rsidR="0089544D" w:rsidRPr="008667A0" w14:paraId="2AFACD62" w14:textId="77777777" w:rsidTr="0089544D">
        <w:trPr>
          <w:trHeight w:val="1152"/>
        </w:trPr>
        <w:tc>
          <w:tcPr>
            <w:tcW w:w="13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CC0A6A" w14:textId="77777777" w:rsidR="0089544D" w:rsidRPr="008667A0" w:rsidRDefault="0089544D" w:rsidP="0089544D">
            <w:pPr>
              <w:spacing w:after="0" w:line="240" w:lineRule="auto"/>
              <w:jc w:val="center"/>
              <w:rPr>
                <w:rFonts w:ascii="Times New Roman" w:eastAsia="Times New Roman" w:hAnsi="Times New Roman" w:cs="Times New Roman"/>
                <w:b/>
                <w:bCs/>
                <w:color w:val="000000"/>
                <w:sz w:val="20"/>
                <w:szCs w:val="20"/>
              </w:rPr>
            </w:pPr>
            <w:r w:rsidRPr="008667A0">
              <w:rPr>
                <w:rFonts w:ascii="Times New Roman" w:eastAsia="Times New Roman" w:hAnsi="Times New Roman" w:cs="Times New Roman"/>
                <w:b/>
                <w:bCs/>
                <w:color w:val="000000"/>
                <w:sz w:val="20"/>
                <w:szCs w:val="20"/>
              </w:rPr>
              <w:t>Bank Name</w:t>
            </w:r>
          </w:p>
        </w:tc>
        <w:tc>
          <w:tcPr>
            <w:tcW w:w="860" w:type="dxa"/>
            <w:tcBorders>
              <w:top w:val="single" w:sz="4" w:space="0" w:color="auto"/>
              <w:left w:val="nil"/>
              <w:bottom w:val="single" w:sz="4" w:space="0" w:color="auto"/>
              <w:right w:val="single" w:sz="4" w:space="0" w:color="auto"/>
            </w:tcBorders>
            <w:shd w:val="clear" w:color="auto" w:fill="auto"/>
            <w:vAlign w:val="center"/>
            <w:hideMark/>
          </w:tcPr>
          <w:p w14:paraId="7AB85221" w14:textId="77777777" w:rsidR="0089544D" w:rsidRPr="008667A0" w:rsidRDefault="0089544D" w:rsidP="0089544D">
            <w:pPr>
              <w:spacing w:after="0" w:line="240" w:lineRule="auto"/>
              <w:jc w:val="center"/>
              <w:rPr>
                <w:rFonts w:ascii="Times New Roman" w:eastAsia="Times New Roman" w:hAnsi="Times New Roman" w:cs="Times New Roman"/>
                <w:b/>
                <w:bCs/>
                <w:color w:val="000000"/>
                <w:sz w:val="20"/>
                <w:szCs w:val="20"/>
              </w:rPr>
            </w:pPr>
            <w:r w:rsidRPr="008667A0">
              <w:rPr>
                <w:rFonts w:ascii="Times New Roman" w:eastAsia="Times New Roman" w:hAnsi="Times New Roman" w:cs="Times New Roman"/>
                <w:b/>
                <w:bCs/>
                <w:color w:val="000000"/>
                <w:sz w:val="20"/>
                <w:szCs w:val="20"/>
              </w:rPr>
              <w:t>Average ROE</w:t>
            </w:r>
          </w:p>
        </w:tc>
        <w:tc>
          <w:tcPr>
            <w:tcW w:w="160" w:type="dxa"/>
            <w:tcBorders>
              <w:top w:val="nil"/>
              <w:left w:val="nil"/>
              <w:bottom w:val="nil"/>
              <w:right w:val="nil"/>
            </w:tcBorders>
            <w:shd w:val="clear" w:color="auto" w:fill="auto"/>
            <w:vAlign w:val="center"/>
            <w:hideMark/>
          </w:tcPr>
          <w:p w14:paraId="0C33C316" w14:textId="77777777" w:rsidR="0089544D" w:rsidRPr="008667A0" w:rsidRDefault="0089544D" w:rsidP="0089544D">
            <w:pPr>
              <w:spacing w:after="0" w:line="240" w:lineRule="auto"/>
              <w:jc w:val="center"/>
              <w:rPr>
                <w:rFonts w:ascii="Times New Roman" w:eastAsia="Times New Roman" w:hAnsi="Times New Roman" w:cs="Times New Roman"/>
                <w:b/>
                <w:bCs/>
                <w:color w:val="000000"/>
                <w:sz w:val="20"/>
                <w:szCs w:val="20"/>
              </w:rPr>
            </w:pPr>
          </w:p>
        </w:tc>
        <w:tc>
          <w:tcPr>
            <w:tcW w:w="1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CFE9A6" w14:textId="77777777" w:rsidR="0089544D" w:rsidRPr="008667A0" w:rsidRDefault="0089544D" w:rsidP="0089544D">
            <w:pPr>
              <w:spacing w:after="0" w:line="240" w:lineRule="auto"/>
              <w:jc w:val="center"/>
              <w:rPr>
                <w:rFonts w:ascii="Times New Roman" w:eastAsia="Times New Roman" w:hAnsi="Times New Roman" w:cs="Times New Roman"/>
                <w:b/>
                <w:bCs/>
                <w:color w:val="000000"/>
                <w:sz w:val="20"/>
                <w:szCs w:val="20"/>
              </w:rPr>
            </w:pPr>
            <w:r w:rsidRPr="008667A0">
              <w:rPr>
                <w:rFonts w:ascii="Times New Roman" w:eastAsia="Times New Roman" w:hAnsi="Times New Roman" w:cs="Times New Roman"/>
                <w:b/>
                <w:bCs/>
                <w:color w:val="000000"/>
                <w:sz w:val="20"/>
                <w:szCs w:val="20"/>
              </w:rPr>
              <w:t>Bank Name</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1B436A29" w14:textId="77777777" w:rsidR="0089544D" w:rsidRPr="008667A0" w:rsidRDefault="0089544D" w:rsidP="0089544D">
            <w:pPr>
              <w:spacing w:after="0" w:line="240" w:lineRule="auto"/>
              <w:jc w:val="center"/>
              <w:rPr>
                <w:rFonts w:ascii="Times New Roman" w:eastAsia="Times New Roman" w:hAnsi="Times New Roman" w:cs="Times New Roman"/>
                <w:b/>
                <w:bCs/>
                <w:color w:val="000000"/>
                <w:sz w:val="20"/>
                <w:szCs w:val="20"/>
              </w:rPr>
            </w:pPr>
            <w:r w:rsidRPr="008667A0">
              <w:rPr>
                <w:rFonts w:ascii="Times New Roman" w:eastAsia="Times New Roman" w:hAnsi="Times New Roman" w:cs="Times New Roman"/>
                <w:b/>
                <w:bCs/>
                <w:color w:val="000000"/>
                <w:sz w:val="20"/>
                <w:szCs w:val="20"/>
              </w:rPr>
              <w:t>Average NIM</w:t>
            </w:r>
          </w:p>
        </w:tc>
        <w:tc>
          <w:tcPr>
            <w:tcW w:w="160" w:type="dxa"/>
            <w:tcBorders>
              <w:top w:val="nil"/>
              <w:left w:val="nil"/>
              <w:bottom w:val="nil"/>
              <w:right w:val="nil"/>
            </w:tcBorders>
            <w:shd w:val="clear" w:color="auto" w:fill="auto"/>
            <w:vAlign w:val="center"/>
            <w:hideMark/>
          </w:tcPr>
          <w:p w14:paraId="044C6D1B" w14:textId="77777777" w:rsidR="0089544D" w:rsidRPr="008667A0" w:rsidRDefault="0089544D" w:rsidP="0089544D">
            <w:pPr>
              <w:spacing w:after="0" w:line="240" w:lineRule="auto"/>
              <w:jc w:val="center"/>
              <w:rPr>
                <w:rFonts w:ascii="Times New Roman" w:eastAsia="Times New Roman" w:hAnsi="Times New Roman" w:cs="Times New Roman"/>
                <w:b/>
                <w:bCs/>
                <w:color w:val="000000"/>
                <w:sz w:val="20"/>
                <w:szCs w:val="20"/>
              </w:rPr>
            </w:pPr>
          </w:p>
        </w:tc>
        <w:tc>
          <w:tcPr>
            <w:tcW w:w="11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25FDB" w14:textId="77777777" w:rsidR="0089544D" w:rsidRPr="008667A0" w:rsidRDefault="0089544D" w:rsidP="0089544D">
            <w:pPr>
              <w:spacing w:after="0" w:line="240" w:lineRule="auto"/>
              <w:jc w:val="center"/>
              <w:rPr>
                <w:rFonts w:ascii="Times New Roman" w:eastAsia="Times New Roman" w:hAnsi="Times New Roman" w:cs="Times New Roman"/>
                <w:b/>
                <w:bCs/>
                <w:color w:val="000000"/>
                <w:sz w:val="20"/>
                <w:szCs w:val="20"/>
              </w:rPr>
            </w:pPr>
            <w:r w:rsidRPr="008667A0">
              <w:rPr>
                <w:rFonts w:ascii="Times New Roman" w:eastAsia="Times New Roman" w:hAnsi="Times New Roman" w:cs="Times New Roman"/>
                <w:b/>
                <w:bCs/>
                <w:color w:val="000000"/>
                <w:sz w:val="20"/>
                <w:szCs w:val="20"/>
              </w:rPr>
              <w:t>Bank Name</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0D240D22" w14:textId="77777777" w:rsidR="0089544D" w:rsidRPr="008667A0" w:rsidRDefault="0089544D" w:rsidP="0089544D">
            <w:pPr>
              <w:spacing w:after="0" w:line="240" w:lineRule="auto"/>
              <w:jc w:val="center"/>
              <w:rPr>
                <w:rFonts w:ascii="Times New Roman" w:eastAsia="Times New Roman" w:hAnsi="Times New Roman" w:cs="Times New Roman"/>
                <w:b/>
                <w:bCs/>
                <w:color w:val="000000"/>
                <w:sz w:val="20"/>
                <w:szCs w:val="20"/>
              </w:rPr>
            </w:pPr>
            <w:r w:rsidRPr="008667A0">
              <w:rPr>
                <w:rFonts w:ascii="Times New Roman" w:eastAsia="Times New Roman" w:hAnsi="Times New Roman" w:cs="Times New Roman"/>
                <w:b/>
                <w:bCs/>
                <w:color w:val="000000"/>
                <w:sz w:val="20"/>
                <w:szCs w:val="20"/>
              </w:rPr>
              <w:t>Average Cost to Income Ratio</w:t>
            </w:r>
          </w:p>
        </w:tc>
        <w:tc>
          <w:tcPr>
            <w:tcW w:w="180" w:type="dxa"/>
            <w:tcBorders>
              <w:top w:val="nil"/>
              <w:left w:val="nil"/>
              <w:bottom w:val="nil"/>
              <w:right w:val="nil"/>
            </w:tcBorders>
            <w:shd w:val="clear" w:color="auto" w:fill="auto"/>
            <w:vAlign w:val="center"/>
            <w:hideMark/>
          </w:tcPr>
          <w:p w14:paraId="3B188A26" w14:textId="77777777" w:rsidR="0089544D" w:rsidRPr="008667A0" w:rsidRDefault="0089544D" w:rsidP="0089544D">
            <w:pPr>
              <w:spacing w:after="0" w:line="240" w:lineRule="auto"/>
              <w:jc w:val="center"/>
              <w:rPr>
                <w:rFonts w:ascii="Times New Roman" w:eastAsia="Times New Roman" w:hAnsi="Times New Roman" w:cs="Times New Roman"/>
                <w:b/>
                <w:bCs/>
                <w:color w:val="000000"/>
                <w:sz w:val="20"/>
                <w:szCs w:val="20"/>
              </w:rPr>
            </w:pPr>
          </w:p>
        </w:tc>
        <w:tc>
          <w:tcPr>
            <w:tcW w:w="12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8B880" w14:textId="77777777" w:rsidR="0089544D" w:rsidRPr="008667A0" w:rsidRDefault="0089544D" w:rsidP="0089544D">
            <w:pPr>
              <w:spacing w:after="0" w:line="240" w:lineRule="auto"/>
              <w:jc w:val="center"/>
              <w:rPr>
                <w:rFonts w:ascii="Times New Roman" w:eastAsia="Times New Roman" w:hAnsi="Times New Roman" w:cs="Times New Roman"/>
                <w:b/>
                <w:bCs/>
                <w:color w:val="000000"/>
                <w:sz w:val="20"/>
                <w:szCs w:val="20"/>
              </w:rPr>
            </w:pPr>
            <w:r w:rsidRPr="008667A0">
              <w:rPr>
                <w:rFonts w:ascii="Times New Roman" w:eastAsia="Times New Roman" w:hAnsi="Times New Roman" w:cs="Times New Roman"/>
                <w:b/>
                <w:bCs/>
                <w:color w:val="000000"/>
                <w:sz w:val="20"/>
                <w:szCs w:val="20"/>
              </w:rPr>
              <w:t>Bank Name</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2D4AD5DA" w14:textId="77777777" w:rsidR="0089544D" w:rsidRPr="008667A0" w:rsidRDefault="0089544D" w:rsidP="0089544D">
            <w:pPr>
              <w:spacing w:after="0" w:line="240" w:lineRule="auto"/>
              <w:jc w:val="center"/>
              <w:rPr>
                <w:rFonts w:ascii="Times New Roman" w:eastAsia="Times New Roman" w:hAnsi="Times New Roman" w:cs="Times New Roman"/>
                <w:b/>
                <w:bCs/>
                <w:color w:val="000000"/>
                <w:sz w:val="20"/>
                <w:szCs w:val="20"/>
              </w:rPr>
            </w:pPr>
            <w:r w:rsidRPr="008667A0">
              <w:rPr>
                <w:rFonts w:ascii="Times New Roman" w:eastAsia="Times New Roman" w:hAnsi="Times New Roman" w:cs="Times New Roman"/>
                <w:b/>
                <w:bCs/>
                <w:color w:val="000000"/>
                <w:sz w:val="20"/>
                <w:szCs w:val="20"/>
              </w:rPr>
              <w:t>Average ROI</w:t>
            </w:r>
          </w:p>
        </w:tc>
      </w:tr>
      <w:tr w:rsidR="0089544D" w:rsidRPr="008667A0" w14:paraId="4D37BDB5"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2A6037D"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860" w:type="dxa"/>
            <w:tcBorders>
              <w:top w:val="nil"/>
              <w:left w:val="nil"/>
              <w:bottom w:val="single" w:sz="4" w:space="0" w:color="auto"/>
              <w:right w:val="single" w:sz="4" w:space="0" w:color="auto"/>
            </w:tcBorders>
            <w:shd w:val="clear" w:color="auto" w:fill="auto"/>
            <w:vAlign w:val="center"/>
            <w:hideMark/>
          </w:tcPr>
          <w:p w14:paraId="65E0B8E9"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c>
          <w:tcPr>
            <w:tcW w:w="160" w:type="dxa"/>
            <w:tcBorders>
              <w:top w:val="nil"/>
              <w:left w:val="nil"/>
              <w:bottom w:val="nil"/>
              <w:right w:val="nil"/>
            </w:tcBorders>
            <w:shd w:val="clear" w:color="auto" w:fill="auto"/>
            <w:vAlign w:val="center"/>
            <w:hideMark/>
          </w:tcPr>
          <w:p w14:paraId="7922AF10"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2A2F2A5"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880" w:type="dxa"/>
            <w:tcBorders>
              <w:top w:val="nil"/>
              <w:left w:val="nil"/>
              <w:bottom w:val="single" w:sz="4" w:space="0" w:color="auto"/>
              <w:right w:val="single" w:sz="4" w:space="0" w:color="auto"/>
            </w:tcBorders>
            <w:shd w:val="clear" w:color="auto" w:fill="auto"/>
            <w:vAlign w:val="center"/>
            <w:hideMark/>
          </w:tcPr>
          <w:p w14:paraId="00438B46"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160" w:type="dxa"/>
            <w:tcBorders>
              <w:top w:val="nil"/>
              <w:left w:val="nil"/>
              <w:bottom w:val="nil"/>
              <w:right w:val="nil"/>
            </w:tcBorders>
            <w:shd w:val="clear" w:color="auto" w:fill="auto"/>
            <w:vAlign w:val="center"/>
            <w:hideMark/>
          </w:tcPr>
          <w:p w14:paraId="3A429C0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28696B3A"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980" w:type="dxa"/>
            <w:tcBorders>
              <w:top w:val="nil"/>
              <w:left w:val="nil"/>
              <w:bottom w:val="single" w:sz="4" w:space="0" w:color="auto"/>
              <w:right w:val="single" w:sz="4" w:space="0" w:color="auto"/>
            </w:tcBorders>
            <w:shd w:val="clear" w:color="auto" w:fill="auto"/>
            <w:vAlign w:val="center"/>
            <w:hideMark/>
          </w:tcPr>
          <w:p w14:paraId="6F436363"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54%</w:t>
            </w:r>
          </w:p>
        </w:tc>
        <w:tc>
          <w:tcPr>
            <w:tcW w:w="180" w:type="dxa"/>
            <w:tcBorders>
              <w:top w:val="nil"/>
              <w:left w:val="nil"/>
              <w:bottom w:val="nil"/>
              <w:right w:val="nil"/>
            </w:tcBorders>
            <w:shd w:val="clear" w:color="auto" w:fill="auto"/>
            <w:vAlign w:val="center"/>
            <w:hideMark/>
          </w:tcPr>
          <w:p w14:paraId="0748CC9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0EDCBD68"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880" w:type="dxa"/>
            <w:tcBorders>
              <w:top w:val="nil"/>
              <w:left w:val="nil"/>
              <w:bottom w:val="single" w:sz="4" w:space="0" w:color="auto"/>
              <w:right w:val="single" w:sz="4" w:space="0" w:color="auto"/>
            </w:tcBorders>
            <w:shd w:val="clear" w:color="auto" w:fill="auto"/>
            <w:vAlign w:val="center"/>
            <w:hideMark/>
          </w:tcPr>
          <w:p w14:paraId="455AF36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10%</w:t>
            </w:r>
          </w:p>
        </w:tc>
      </w:tr>
      <w:tr w:rsidR="0089544D" w:rsidRPr="008667A0" w14:paraId="2297D62D"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E75B10D"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860" w:type="dxa"/>
            <w:tcBorders>
              <w:top w:val="nil"/>
              <w:left w:val="nil"/>
              <w:bottom w:val="single" w:sz="4" w:space="0" w:color="auto"/>
              <w:right w:val="single" w:sz="4" w:space="0" w:color="auto"/>
            </w:tcBorders>
            <w:shd w:val="clear" w:color="auto" w:fill="auto"/>
            <w:vAlign w:val="center"/>
            <w:hideMark/>
          </w:tcPr>
          <w:p w14:paraId="341639EF"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10%</w:t>
            </w:r>
          </w:p>
        </w:tc>
        <w:tc>
          <w:tcPr>
            <w:tcW w:w="160" w:type="dxa"/>
            <w:tcBorders>
              <w:top w:val="nil"/>
              <w:left w:val="nil"/>
              <w:bottom w:val="nil"/>
              <w:right w:val="nil"/>
            </w:tcBorders>
            <w:shd w:val="clear" w:color="auto" w:fill="auto"/>
            <w:vAlign w:val="center"/>
            <w:hideMark/>
          </w:tcPr>
          <w:p w14:paraId="53B9433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05537F94"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880" w:type="dxa"/>
            <w:tcBorders>
              <w:top w:val="nil"/>
              <w:left w:val="nil"/>
              <w:bottom w:val="single" w:sz="4" w:space="0" w:color="auto"/>
              <w:right w:val="single" w:sz="4" w:space="0" w:color="auto"/>
            </w:tcBorders>
            <w:shd w:val="clear" w:color="auto" w:fill="auto"/>
            <w:vAlign w:val="center"/>
            <w:hideMark/>
          </w:tcPr>
          <w:p w14:paraId="6F51FCE5"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c>
          <w:tcPr>
            <w:tcW w:w="160" w:type="dxa"/>
            <w:tcBorders>
              <w:top w:val="nil"/>
              <w:left w:val="nil"/>
              <w:bottom w:val="nil"/>
              <w:right w:val="nil"/>
            </w:tcBorders>
            <w:shd w:val="clear" w:color="auto" w:fill="auto"/>
            <w:vAlign w:val="center"/>
            <w:hideMark/>
          </w:tcPr>
          <w:p w14:paraId="375FDCDF"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73A91E44"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980" w:type="dxa"/>
            <w:tcBorders>
              <w:top w:val="nil"/>
              <w:left w:val="nil"/>
              <w:bottom w:val="single" w:sz="4" w:space="0" w:color="auto"/>
              <w:right w:val="single" w:sz="4" w:space="0" w:color="auto"/>
            </w:tcBorders>
            <w:shd w:val="clear" w:color="auto" w:fill="auto"/>
            <w:vAlign w:val="center"/>
            <w:hideMark/>
          </w:tcPr>
          <w:p w14:paraId="39FB0CF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43%</w:t>
            </w:r>
          </w:p>
        </w:tc>
        <w:tc>
          <w:tcPr>
            <w:tcW w:w="180" w:type="dxa"/>
            <w:tcBorders>
              <w:top w:val="nil"/>
              <w:left w:val="nil"/>
              <w:bottom w:val="nil"/>
              <w:right w:val="nil"/>
            </w:tcBorders>
            <w:shd w:val="clear" w:color="auto" w:fill="auto"/>
            <w:vAlign w:val="center"/>
            <w:hideMark/>
          </w:tcPr>
          <w:p w14:paraId="6F2C454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106B8D51"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880" w:type="dxa"/>
            <w:tcBorders>
              <w:top w:val="nil"/>
              <w:left w:val="nil"/>
              <w:bottom w:val="single" w:sz="4" w:space="0" w:color="auto"/>
              <w:right w:val="single" w:sz="4" w:space="0" w:color="auto"/>
            </w:tcBorders>
            <w:shd w:val="clear" w:color="auto" w:fill="auto"/>
            <w:vAlign w:val="center"/>
            <w:hideMark/>
          </w:tcPr>
          <w:p w14:paraId="09191719"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r>
      <w:tr w:rsidR="0089544D" w:rsidRPr="008667A0" w14:paraId="1C712F3D"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60049C0"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860" w:type="dxa"/>
            <w:tcBorders>
              <w:top w:val="nil"/>
              <w:left w:val="nil"/>
              <w:bottom w:val="single" w:sz="4" w:space="0" w:color="auto"/>
              <w:right w:val="single" w:sz="4" w:space="0" w:color="auto"/>
            </w:tcBorders>
            <w:shd w:val="clear" w:color="auto" w:fill="auto"/>
            <w:vAlign w:val="center"/>
            <w:hideMark/>
          </w:tcPr>
          <w:p w14:paraId="441A1694"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19%</w:t>
            </w:r>
          </w:p>
        </w:tc>
        <w:tc>
          <w:tcPr>
            <w:tcW w:w="160" w:type="dxa"/>
            <w:tcBorders>
              <w:top w:val="nil"/>
              <w:left w:val="nil"/>
              <w:bottom w:val="nil"/>
              <w:right w:val="nil"/>
            </w:tcBorders>
            <w:shd w:val="clear" w:color="auto" w:fill="auto"/>
            <w:vAlign w:val="center"/>
            <w:hideMark/>
          </w:tcPr>
          <w:p w14:paraId="37E0FEB6"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D9868E1"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880" w:type="dxa"/>
            <w:tcBorders>
              <w:top w:val="nil"/>
              <w:left w:val="nil"/>
              <w:bottom w:val="single" w:sz="4" w:space="0" w:color="auto"/>
              <w:right w:val="single" w:sz="4" w:space="0" w:color="auto"/>
            </w:tcBorders>
            <w:shd w:val="clear" w:color="auto" w:fill="auto"/>
            <w:vAlign w:val="center"/>
            <w:hideMark/>
          </w:tcPr>
          <w:p w14:paraId="6AFC54A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w:t>
            </w:r>
          </w:p>
        </w:tc>
        <w:tc>
          <w:tcPr>
            <w:tcW w:w="160" w:type="dxa"/>
            <w:tcBorders>
              <w:top w:val="nil"/>
              <w:left w:val="nil"/>
              <w:bottom w:val="nil"/>
              <w:right w:val="nil"/>
            </w:tcBorders>
            <w:shd w:val="clear" w:color="auto" w:fill="auto"/>
            <w:vAlign w:val="center"/>
            <w:hideMark/>
          </w:tcPr>
          <w:p w14:paraId="6D479CF8"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6F5DD94A"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980" w:type="dxa"/>
            <w:tcBorders>
              <w:top w:val="nil"/>
              <w:left w:val="nil"/>
              <w:bottom w:val="single" w:sz="4" w:space="0" w:color="auto"/>
              <w:right w:val="single" w:sz="4" w:space="0" w:color="auto"/>
            </w:tcBorders>
            <w:shd w:val="clear" w:color="auto" w:fill="auto"/>
            <w:vAlign w:val="center"/>
            <w:hideMark/>
          </w:tcPr>
          <w:p w14:paraId="7E65EE2E"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52%</w:t>
            </w:r>
          </w:p>
        </w:tc>
        <w:tc>
          <w:tcPr>
            <w:tcW w:w="180" w:type="dxa"/>
            <w:tcBorders>
              <w:top w:val="nil"/>
              <w:left w:val="nil"/>
              <w:bottom w:val="nil"/>
              <w:right w:val="nil"/>
            </w:tcBorders>
            <w:shd w:val="clear" w:color="auto" w:fill="auto"/>
            <w:vAlign w:val="center"/>
            <w:hideMark/>
          </w:tcPr>
          <w:p w14:paraId="276F561F"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75479D07"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880" w:type="dxa"/>
            <w:tcBorders>
              <w:top w:val="nil"/>
              <w:left w:val="nil"/>
              <w:bottom w:val="single" w:sz="4" w:space="0" w:color="auto"/>
              <w:right w:val="single" w:sz="4" w:space="0" w:color="auto"/>
            </w:tcBorders>
            <w:shd w:val="clear" w:color="auto" w:fill="auto"/>
            <w:vAlign w:val="center"/>
            <w:hideMark/>
          </w:tcPr>
          <w:p w14:paraId="57601778"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w:t>
            </w:r>
          </w:p>
        </w:tc>
      </w:tr>
      <w:tr w:rsidR="0089544D" w:rsidRPr="008667A0" w14:paraId="5768058E"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D2DE611"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860" w:type="dxa"/>
            <w:tcBorders>
              <w:top w:val="nil"/>
              <w:left w:val="nil"/>
              <w:bottom w:val="single" w:sz="4" w:space="0" w:color="auto"/>
              <w:right w:val="single" w:sz="4" w:space="0" w:color="auto"/>
            </w:tcBorders>
            <w:shd w:val="clear" w:color="auto" w:fill="auto"/>
            <w:vAlign w:val="center"/>
            <w:hideMark/>
          </w:tcPr>
          <w:p w14:paraId="24DFE8C7"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w:t>
            </w:r>
          </w:p>
        </w:tc>
        <w:tc>
          <w:tcPr>
            <w:tcW w:w="160" w:type="dxa"/>
            <w:tcBorders>
              <w:top w:val="nil"/>
              <w:left w:val="nil"/>
              <w:bottom w:val="nil"/>
              <w:right w:val="nil"/>
            </w:tcBorders>
            <w:shd w:val="clear" w:color="auto" w:fill="auto"/>
            <w:vAlign w:val="center"/>
            <w:hideMark/>
          </w:tcPr>
          <w:p w14:paraId="3CF1E286"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268C0C6B"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880" w:type="dxa"/>
            <w:tcBorders>
              <w:top w:val="nil"/>
              <w:left w:val="nil"/>
              <w:bottom w:val="single" w:sz="4" w:space="0" w:color="auto"/>
              <w:right w:val="single" w:sz="4" w:space="0" w:color="auto"/>
            </w:tcBorders>
            <w:shd w:val="clear" w:color="auto" w:fill="auto"/>
            <w:vAlign w:val="center"/>
            <w:hideMark/>
          </w:tcPr>
          <w:p w14:paraId="65C52143"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c>
          <w:tcPr>
            <w:tcW w:w="160" w:type="dxa"/>
            <w:tcBorders>
              <w:top w:val="nil"/>
              <w:left w:val="nil"/>
              <w:bottom w:val="nil"/>
              <w:right w:val="nil"/>
            </w:tcBorders>
            <w:shd w:val="clear" w:color="auto" w:fill="auto"/>
            <w:vAlign w:val="center"/>
            <w:hideMark/>
          </w:tcPr>
          <w:p w14:paraId="5699F09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6AB098BD"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980" w:type="dxa"/>
            <w:tcBorders>
              <w:top w:val="nil"/>
              <w:left w:val="nil"/>
              <w:bottom w:val="single" w:sz="4" w:space="0" w:color="auto"/>
              <w:right w:val="single" w:sz="4" w:space="0" w:color="auto"/>
            </w:tcBorders>
            <w:shd w:val="clear" w:color="auto" w:fill="auto"/>
            <w:vAlign w:val="center"/>
            <w:hideMark/>
          </w:tcPr>
          <w:p w14:paraId="13E08578"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52%</w:t>
            </w:r>
          </w:p>
        </w:tc>
        <w:tc>
          <w:tcPr>
            <w:tcW w:w="180" w:type="dxa"/>
            <w:tcBorders>
              <w:top w:val="nil"/>
              <w:left w:val="nil"/>
              <w:bottom w:val="nil"/>
              <w:right w:val="nil"/>
            </w:tcBorders>
            <w:shd w:val="clear" w:color="auto" w:fill="auto"/>
            <w:vAlign w:val="center"/>
            <w:hideMark/>
          </w:tcPr>
          <w:p w14:paraId="276D1B45"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1FBBF545"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880" w:type="dxa"/>
            <w:tcBorders>
              <w:top w:val="nil"/>
              <w:left w:val="nil"/>
              <w:bottom w:val="single" w:sz="4" w:space="0" w:color="auto"/>
              <w:right w:val="single" w:sz="4" w:space="0" w:color="auto"/>
            </w:tcBorders>
            <w:shd w:val="clear" w:color="auto" w:fill="auto"/>
            <w:vAlign w:val="center"/>
            <w:hideMark/>
          </w:tcPr>
          <w:p w14:paraId="08BD0B5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17%</w:t>
            </w:r>
          </w:p>
        </w:tc>
      </w:tr>
      <w:tr w:rsidR="0089544D" w:rsidRPr="008667A0" w14:paraId="1FBE38B2" w14:textId="77777777" w:rsidTr="0089544D">
        <w:trPr>
          <w:trHeight w:val="5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CA9FE57"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860" w:type="dxa"/>
            <w:tcBorders>
              <w:top w:val="nil"/>
              <w:left w:val="nil"/>
              <w:bottom w:val="single" w:sz="4" w:space="0" w:color="auto"/>
              <w:right w:val="single" w:sz="4" w:space="0" w:color="auto"/>
            </w:tcBorders>
            <w:shd w:val="clear" w:color="auto" w:fill="auto"/>
            <w:vAlign w:val="center"/>
            <w:hideMark/>
          </w:tcPr>
          <w:p w14:paraId="308F1CB5"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95%</w:t>
            </w:r>
          </w:p>
        </w:tc>
        <w:tc>
          <w:tcPr>
            <w:tcW w:w="160" w:type="dxa"/>
            <w:tcBorders>
              <w:top w:val="nil"/>
              <w:left w:val="nil"/>
              <w:bottom w:val="nil"/>
              <w:right w:val="nil"/>
            </w:tcBorders>
            <w:shd w:val="clear" w:color="auto" w:fill="auto"/>
            <w:vAlign w:val="center"/>
            <w:hideMark/>
          </w:tcPr>
          <w:p w14:paraId="7D4D221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1320EFF9"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880" w:type="dxa"/>
            <w:tcBorders>
              <w:top w:val="nil"/>
              <w:left w:val="nil"/>
              <w:bottom w:val="single" w:sz="4" w:space="0" w:color="auto"/>
              <w:right w:val="single" w:sz="4" w:space="0" w:color="auto"/>
            </w:tcBorders>
            <w:shd w:val="clear" w:color="auto" w:fill="auto"/>
            <w:vAlign w:val="center"/>
            <w:hideMark/>
          </w:tcPr>
          <w:p w14:paraId="71A2D86E"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0%</w:t>
            </w:r>
          </w:p>
        </w:tc>
        <w:tc>
          <w:tcPr>
            <w:tcW w:w="160" w:type="dxa"/>
            <w:tcBorders>
              <w:top w:val="nil"/>
              <w:left w:val="nil"/>
              <w:bottom w:val="nil"/>
              <w:right w:val="nil"/>
            </w:tcBorders>
            <w:shd w:val="clear" w:color="auto" w:fill="auto"/>
            <w:vAlign w:val="center"/>
            <w:hideMark/>
          </w:tcPr>
          <w:p w14:paraId="0F55DDEA"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6C2F077D"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980" w:type="dxa"/>
            <w:tcBorders>
              <w:top w:val="nil"/>
              <w:left w:val="nil"/>
              <w:bottom w:val="single" w:sz="4" w:space="0" w:color="auto"/>
              <w:right w:val="single" w:sz="4" w:space="0" w:color="auto"/>
            </w:tcBorders>
            <w:shd w:val="clear" w:color="auto" w:fill="auto"/>
            <w:vAlign w:val="center"/>
            <w:hideMark/>
          </w:tcPr>
          <w:p w14:paraId="633F2A10"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43%</w:t>
            </w:r>
          </w:p>
        </w:tc>
        <w:tc>
          <w:tcPr>
            <w:tcW w:w="180" w:type="dxa"/>
            <w:tcBorders>
              <w:top w:val="nil"/>
              <w:left w:val="nil"/>
              <w:bottom w:val="nil"/>
              <w:right w:val="nil"/>
            </w:tcBorders>
            <w:shd w:val="clear" w:color="auto" w:fill="auto"/>
            <w:vAlign w:val="center"/>
            <w:hideMark/>
          </w:tcPr>
          <w:p w14:paraId="093D982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1B020E8B"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880" w:type="dxa"/>
            <w:tcBorders>
              <w:top w:val="nil"/>
              <w:left w:val="nil"/>
              <w:bottom w:val="single" w:sz="4" w:space="0" w:color="auto"/>
              <w:right w:val="single" w:sz="4" w:space="0" w:color="auto"/>
            </w:tcBorders>
            <w:shd w:val="clear" w:color="auto" w:fill="auto"/>
            <w:vAlign w:val="center"/>
            <w:hideMark/>
          </w:tcPr>
          <w:p w14:paraId="38F4BB3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12%</w:t>
            </w:r>
          </w:p>
        </w:tc>
      </w:tr>
      <w:tr w:rsidR="0089544D" w:rsidRPr="008667A0" w14:paraId="3009447D"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F91BBBC"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860" w:type="dxa"/>
            <w:tcBorders>
              <w:top w:val="nil"/>
              <w:left w:val="nil"/>
              <w:bottom w:val="single" w:sz="4" w:space="0" w:color="auto"/>
              <w:right w:val="single" w:sz="4" w:space="0" w:color="auto"/>
            </w:tcBorders>
            <w:shd w:val="clear" w:color="auto" w:fill="auto"/>
            <w:vAlign w:val="center"/>
            <w:hideMark/>
          </w:tcPr>
          <w:p w14:paraId="74DC088A"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16%</w:t>
            </w:r>
          </w:p>
        </w:tc>
        <w:tc>
          <w:tcPr>
            <w:tcW w:w="160" w:type="dxa"/>
            <w:tcBorders>
              <w:top w:val="nil"/>
              <w:left w:val="nil"/>
              <w:bottom w:val="nil"/>
              <w:right w:val="nil"/>
            </w:tcBorders>
            <w:shd w:val="clear" w:color="auto" w:fill="auto"/>
            <w:vAlign w:val="center"/>
            <w:hideMark/>
          </w:tcPr>
          <w:p w14:paraId="38408FE4"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1FDCFE1D"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880" w:type="dxa"/>
            <w:tcBorders>
              <w:top w:val="nil"/>
              <w:left w:val="nil"/>
              <w:bottom w:val="single" w:sz="4" w:space="0" w:color="auto"/>
              <w:right w:val="single" w:sz="4" w:space="0" w:color="auto"/>
            </w:tcBorders>
            <w:shd w:val="clear" w:color="auto" w:fill="auto"/>
            <w:vAlign w:val="center"/>
            <w:hideMark/>
          </w:tcPr>
          <w:p w14:paraId="7C0D61AB"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w:t>
            </w:r>
          </w:p>
        </w:tc>
        <w:tc>
          <w:tcPr>
            <w:tcW w:w="160" w:type="dxa"/>
            <w:tcBorders>
              <w:top w:val="nil"/>
              <w:left w:val="nil"/>
              <w:bottom w:val="nil"/>
              <w:right w:val="nil"/>
            </w:tcBorders>
            <w:shd w:val="clear" w:color="auto" w:fill="auto"/>
            <w:vAlign w:val="center"/>
            <w:hideMark/>
          </w:tcPr>
          <w:p w14:paraId="2868D3BC"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588F9B74"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980" w:type="dxa"/>
            <w:tcBorders>
              <w:top w:val="nil"/>
              <w:left w:val="nil"/>
              <w:bottom w:val="single" w:sz="4" w:space="0" w:color="auto"/>
              <w:right w:val="single" w:sz="4" w:space="0" w:color="auto"/>
            </w:tcBorders>
            <w:shd w:val="clear" w:color="auto" w:fill="auto"/>
            <w:vAlign w:val="center"/>
            <w:hideMark/>
          </w:tcPr>
          <w:p w14:paraId="184B87E9"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63%</w:t>
            </w:r>
          </w:p>
        </w:tc>
        <w:tc>
          <w:tcPr>
            <w:tcW w:w="180" w:type="dxa"/>
            <w:tcBorders>
              <w:top w:val="nil"/>
              <w:left w:val="nil"/>
              <w:bottom w:val="nil"/>
              <w:right w:val="nil"/>
            </w:tcBorders>
            <w:shd w:val="clear" w:color="auto" w:fill="auto"/>
            <w:vAlign w:val="center"/>
            <w:hideMark/>
          </w:tcPr>
          <w:p w14:paraId="24A9B629"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1DBE056F"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880" w:type="dxa"/>
            <w:tcBorders>
              <w:top w:val="nil"/>
              <w:left w:val="nil"/>
              <w:bottom w:val="single" w:sz="4" w:space="0" w:color="auto"/>
              <w:right w:val="single" w:sz="4" w:space="0" w:color="auto"/>
            </w:tcBorders>
            <w:shd w:val="clear" w:color="auto" w:fill="auto"/>
            <w:vAlign w:val="center"/>
            <w:hideMark/>
          </w:tcPr>
          <w:p w14:paraId="1DE3323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w:t>
            </w:r>
          </w:p>
        </w:tc>
      </w:tr>
      <w:tr w:rsidR="0089544D" w:rsidRPr="008667A0" w14:paraId="232E4A32"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E953C36"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860" w:type="dxa"/>
            <w:tcBorders>
              <w:top w:val="nil"/>
              <w:left w:val="nil"/>
              <w:bottom w:val="single" w:sz="4" w:space="0" w:color="auto"/>
              <w:right w:val="single" w:sz="4" w:space="0" w:color="auto"/>
            </w:tcBorders>
            <w:shd w:val="clear" w:color="auto" w:fill="auto"/>
            <w:vAlign w:val="center"/>
            <w:hideMark/>
          </w:tcPr>
          <w:p w14:paraId="6E33C46C"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w:t>
            </w:r>
          </w:p>
        </w:tc>
        <w:tc>
          <w:tcPr>
            <w:tcW w:w="160" w:type="dxa"/>
            <w:tcBorders>
              <w:top w:val="nil"/>
              <w:left w:val="nil"/>
              <w:bottom w:val="nil"/>
              <w:right w:val="nil"/>
            </w:tcBorders>
            <w:shd w:val="clear" w:color="auto" w:fill="auto"/>
            <w:vAlign w:val="center"/>
            <w:hideMark/>
          </w:tcPr>
          <w:p w14:paraId="53035726"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23326A5"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880" w:type="dxa"/>
            <w:tcBorders>
              <w:top w:val="nil"/>
              <w:left w:val="nil"/>
              <w:bottom w:val="single" w:sz="4" w:space="0" w:color="auto"/>
              <w:right w:val="single" w:sz="4" w:space="0" w:color="auto"/>
            </w:tcBorders>
            <w:shd w:val="clear" w:color="auto" w:fill="auto"/>
            <w:vAlign w:val="center"/>
            <w:hideMark/>
          </w:tcPr>
          <w:p w14:paraId="3F5E599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w:t>
            </w:r>
          </w:p>
        </w:tc>
        <w:tc>
          <w:tcPr>
            <w:tcW w:w="160" w:type="dxa"/>
            <w:tcBorders>
              <w:top w:val="nil"/>
              <w:left w:val="nil"/>
              <w:bottom w:val="nil"/>
              <w:right w:val="nil"/>
            </w:tcBorders>
            <w:shd w:val="clear" w:color="auto" w:fill="auto"/>
            <w:vAlign w:val="center"/>
            <w:hideMark/>
          </w:tcPr>
          <w:p w14:paraId="21A0B56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2D5CE4D3"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980" w:type="dxa"/>
            <w:tcBorders>
              <w:top w:val="nil"/>
              <w:left w:val="nil"/>
              <w:bottom w:val="single" w:sz="4" w:space="0" w:color="auto"/>
              <w:right w:val="single" w:sz="4" w:space="0" w:color="auto"/>
            </w:tcBorders>
            <w:shd w:val="clear" w:color="auto" w:fill="auto"/>
            <w:vAlign w:val="center"/>
            <w:hideMark/>
          </w:tcPr>
          <w:p w14:paraId="5FC33E67"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45%</w:t>
            </w:r>
          </w:p>
        </w:tc>
        <w:tc>
          <w:tcPr>
            <w:tcW w:w="180" w:type="dxa"/>
            <w:tcBorders>
              <w:top w:val="nil"/>
              <w:left w:val="nil"/>
              <w:bottom w:val="nil"/>
              <w:right w:val="nil"/>
            </w:tcBorders>
            <w:shd w:val="clear" w:color="auto" w:fill="auto"/>
            <w:vAlign w:val="center"/>
            <w:hideMark/>
          </w:tcPr>
          <w:p w14:paraId="603DE7C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41F0DE5C"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880" w:type="dxa"/>
            <w:tcBorders>
              <w:top w:val="nil"/>
              <w:left w:val="nil"/>
              <w:bottom w:val="single" w:sz="4" w:space="0" w:color="auto"/>
              <w:right w:val="single" w:sz="4" w:space="0" w:color="auto"/>
            </w:tcBorders>
            <w:shd w:val="clear" w:color="auto" w:fill="auto"/>
            <w:vAlign w:val="center"/>
            <w:hideMark/>
          </w:tcPr>
          <w:p w14:paraId="508F43F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r>
      <w:tr w:rsidR="0089544D" w:rsidRPr="008667A0" w14:paraId="6CEA44DD"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1E12B3E"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860" w:type="dxa"/>
            <w:tcBorders>
              <w:top w:val="nil"/>
              <w:left w:val="nil"/>
              <w:bottom w:val="single" w:sz="4" w:space="0" w:color="auto"/>
              <w:right w:val="single" w:sz="4" w:space="0" w:color="auto"/>
            </w:tcBorders>
            <w:shd w:val="clear" w:color="auto" w:fill="auto"/>
            <w:vAlign w:val="center"/>
            <w:hideMark/>
          </w:tcPr>
          <w:p w14:paraId="7644C38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10%</w:t>
            </w:r>
          </w:p>
        </w:tc>
        <w:tc>
          <w:tcPr>
            <w:tcW w:w="160" w:type="dxa"/>
            <w:tcBorders>
              <w:top w:val="nil"/>
              <w:left w:val="nil"/>
              <w:bottom w:val="nil"/>
              <w:right w:val="nil"/>
            </w:tcBorders>
            <w:shd w:val="clear" w:color="auto" w:fill="auto"/>
            <w:vAlign w:val="center"/>
            <w:hideMark/>
          </w:tcPr>
          <w:p w14:paraId="470D5833"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65FD6DAC"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880" w:type="dxa"/>
            <w:tcBorders>
              <w:top w:val="nil"/>
              <w:left w:val="nil"/>
              <w:bottom w:val="single" w:sz="4" w:space="0" w:color="auto"/>
              <w:right w:val="single" w:sz="4" w:space="0" w:color="auto"/>
            </w:tcBorders>
            <w:shd w:val="clear" w:color="auto" w:fill="auto"/>
            <w:vAlign w:val="center"/>
            <w:hideMark/>
          </w:tcPr>
          <w:p w14:paraId="466554D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c>
          <w:tcPr>
            <w:tcW w:w="160" w:type="dxa"/>
            <w:tcBorders>
              <w:top w:val="nil"/>
              <w:left w:val="nil"/>
              <w:bottom w:val="nil"/>
              <w:right w:val="nil"/>
            </w:tcBorders>
            <w:shd w:val="clear" w:color="auto" w:fill="auto"/>
            <w:vAlign w:val="center"/>
            <w:hideMark/>
          </w:tcPr>
          <w:p w14:paraId="3873E75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517FA3EA"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980" w:type="dxa"/>
            <w:tcBorders>
              <w:top w:val="nil"/>
              <w:left w:val="nil"/>
              <w:bottom w:val="single" w:sz="4" w:space="0" w:color="auto"/>
              <w:right w:val="single" w:sz="4" w:space="0" w:color="auto"/>
            </w:tcBorders>
            <w:shd w:val="clear" w:color="auto" w:fill="auto"/>
            <w:vAlign w:val="center"/>
            <w:hideMark/>
          </w:tcPr>
          <w:p w14:paraId="28C02CA3"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56%</w:t>
            </w:r>
          </w:p>
        </w:tc>
        <w:tc>
          <w:tcPr>
            <w:tcW w:w="180" w:type="dxa"/>
            <w:tcBorders>
              <w:top w:val="nil"/>
              <w:left w:val="nil"/>
              <w:bottom w:val="nil"/>
              <w:right w:val="nil"/>
            </w:tcBorders>
            <w:shd w:val="clear" w:color="auto" w:fill="auto"/>
            <w:vAlign w:val="center"/>
            <w:hideMark/>
          </w:tcPr>
          <w:p w14:paraId="6F7D40E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332EE582"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880" w:type="dxa"/>
            <w:tcBorders>
              <w:top w:val="nil"/>
              <w:left w:val="nil"/>
              <w:bottom w:val="single" w:sz="4" w:space="0" w:color="auto"/>
              <w:right w:val="single" w:sz="4" w:space="0" w:color="auto"/>
            </w:tcBorders>
            <w:shd w:val="clear" w:color="auto" w:fill="auto"/>
            <w:vAlign w:val="center"/>
            <w:hideMark/>
          </w:tcPr>
          <w:p w14:paraId="29278A1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w:t>
            </w:r>
          </w:p>
        </w:tc>
      </w:tr>
      <w:tr w:rsidR="0089544D" w:rsidRPr="008667A0" w14:paraId="39AA22CF" w14:textId="77777777" w:rsidTr="0089544D">
        <w:trPr>
          <w:trHeight w:val="5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260B351"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860" w:type="dxa"/>
            <w:tcBorders>
              <w:top w:val="nil"/>
              <w:left w:val="nil"/>
              <w:bottom w:val="single" w:sz="4" w:space="0" w:color="auto"/>
              <w:right w:val="single" w:sz="4" w:space="0" w:color="auto"/>
            </w:tcBorders>
            <w:shd w:val="clear" w:color="auto" w:fill="auto"/>
            <w:vAlign w:val="center"/>
            <w:hideMark/>
          </w:tcPr>
          <w:p w14:paraId="02CC0CF6"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w:t>
            </w:r>
          </w:p>
        </w:tc>
        <w:tc>
          <w:tcPr>
            <w:tcW w:w="160" w:type="dxa"/>
            <w:tcBorders>
              <w:top w:val="nil"/>
              <w:left w:val="nil"/>
              <w:bottom w:val="nil"/>
              <w:right w:val="nil"/>
            </w:tcBorders>
            <w:shd w:val="clear" w:color="auto" w:fill="auto"/>
            <w:vAlign w:val="center"/>
            <w:hideMark/>
          </w:tcPr>
          <w:p w14:paraId="6919E77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21D0F575"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880" w:type="dxa"/>
            <w:tcBorders>
              <w:top w:val="nil"/>
              <w:left w:val="nil"/>
              <w:bottom w:val="single" w:sz="4" w:space="0" w:color="auto"/>
              <w:right w:val="single" w:sz="4" w:space="0" w:color="auto"/>
            </w:tcBorders>
            <w:shd w:val="clear" w:color="auto" w:fill="auto"/>
            <w:vAlign w:val="center"/>
            <w:hideMark/>
          </w:tcPr>
          <w:p w14:paraId="68654957"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c>
          <w:tcPr>
            <w:tcW w:w="160" w:type="dxa"/>
            <w:tcBorders>
              <w:top w:val="nil"/>
              <w:left w:val="nil"/>
              <w:bottom w:val="nil"/>
              <w:right w:val="nil"/>
            </w:tcBorders>
            <w:shd w:val="clear" w:color="auto" w:fill="auto"/>
            <w:vAlign w:val="center"/>
            <w:hideMark/>
          </w:tcPr>
          <w:p w14:paraId="10BB8585"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04FDFCE9"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980" w:type="dxa"/>
            <w:tcBorders>
              <w:top w:val="nil"/>
              <w:left w:val="nil"/>
              <w:bottom w:val="single" w:sz="4" w:space="0" w:color="auto"/>
              <w:right w:val="single" w:sz="4" w:space="0" w:color="auto"/>
            </w:tcBorders>
            <w:shd w:val="clear" w:color="auto" w:fill="auto"/>
            <w:vAlign w:val="center"/>
            <w:hideMark/>
          </w:tcPr>
          <w:p w14:paraId="1EDC35F6"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50%</w:t>
            </w:r>
          </w:p>
        </w:tc>
        <w:tc>
          <w:tcPr>
            <w:tcW w:w="180" w:type="dxa"/>
            <w:tcBorders>
              <w:top w:val="nil"/>
              <w:left w:val="nil"/>
              <w:bottom w:val="nil"/>
              <w:right w:val="nil"/>
            </w:tcBorders>
            <w:shd w:val="clear" w:color="auto" w:fill="auto"/>
            <w:vAlign w:val="center"/>
            <w:hideMark/>
          </w:tcPr>
          <w:p w14:paraId="010EE48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3360DCF1"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880" w:type="dxa"/>
            <w:tcBorders>
              <w:top w:val="nil"/>
              <w:left w:val="nil"/>
              <w:bottom w:val="single" w:sz="4" w:space="0" w:color="auto"/>
              <w:right w:val="single" w:sz="4" w:space="0" w:color="auto"/>
            </w:tcBorders>
            <w:shd w:val="clear" w:color="auto" w:fill="auto"/>
            <w:vAlign w:val="center"/>
            <w:hideMark/>
          </w:tcPr>
          <w:p w14:paraId="2608C63F"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w:t>
            </w:r>
          </w:p>
        </w:tc>
      </w:tr>
      <w:tr w:rsidR="0089544D" w:rsidRPr="008667A0" w14:paraId="71591F39" w14:textId="77777777" w:rsidTr="0089544D">
        <w:trPr>
          <w:trHeight w:val="5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F063F12"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860" w:type="dxa"/>
            <w:tcBorders>
              <w:top w:val="nil"/>
              <w:left w:val="nil"/>
              <w:bottom w:val="single" w:sz="4" w:space="0" w:color="auto"/>
              <w:right w:val="single" w:sz="4" w:space="0" w:color="auto"/>
            </w:tcBorders>
            <w:shd w:val="clear" w:color="auto" w:fill="auto"/>
            <w:vAlign w:val="center"/>
            <w:hideMark/>
          </w:tcPr>
          <w:p w14:paraId="3DAE6BDB"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14%</w:t>
            </w:r>
          </w:p>
        </w:tc>
        <w:tc>
          <w:tcPr>
            <w:tcW w:w="160" w:type="dxa"/>
            <w:tcBorders>
              <w:top w:val="nil"/>
              <w:left w:val="nil"/>
              <w:bottom w:val="nil"/>
              <w:right w:val="nil"/>
            </w:tcBorders>
            <w:shd w:val="clear" w:color="auto" w:fill="auto"/>
            <w:vAlign w:val="center"/>
            <w:hideMark/>
          </w:tcPr>
          <w:p w14:paraId="676C93F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B762C2C"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880" w:type="dxa"/>
            <w:tcBorders>
              <w:top w:val="nil"/>
              <w:left w:val="nil"/>
              <w:bottom w:val="single" w:sz="4" w:space="0" w:color="auto"/>
              <w:right w:val="single" w:sz="4" w:space="0" w:color="auto"/>
            </w:tcBorders>
            <w:shd w:val="clear" w:color="auto" w:fill="auto"/>
            <w:vAlign w:val="center"/>
            <w:hideMark/>
          </w:tcPr>
          <w:p w14:paraId="0F8976F8"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w:t>
            </w:r>
          </w:p>
        </w:tc>
        <w:tc>
          <w:tcPr>
            <w:tcW w:w="160" w:type="dxa"/>
            <w:tcBorders>
              <w:top w:val="nil"/>
              <w:left w:val="nil"/>
              <w:bottom w:val="nil"/>
              <w:right w:val="nil"/>
            </w:tcBorders>
            <w:shd w:val="clear" w:color="auto" w:fill="auto"/>
            <w:vAlign w:val="center"/>
            <w:hideMark/>
          </w:tcPr>
          <w:p w14:paraId="27A5B98C"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1BCC0535"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980" w:type="dxa"/>
            <w:tcBorders>
              <w:top w:val="nil"/>
              <w:left w:val="nil"/>
              <w:bottom w:val="single" w:sz="4" w:space="0" w:color="auto"/>
              <w:right w:val="single" w:sz="4" w:space="0" w:color="auto"/>
            </w:tcBorders>
            <w:shd w:val="clear" w:color="auto" w:fill="auto"/>
            <w:vAlign w:val="center"/>
            <w:hideMark/>
          </w:tcPr>
          <w:p w14:paraId="7CF07175"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48%</w:t>
            </w:r>
          </w:p>
        </w:tc>
        <w:tc>
          <w:tcPr>
            <w:tcW w:w="180" w:type="dxa"/>
            <w:tcBorders>
              <w:top w:val="nil"/>
              <w:left w:val="nil"/>
              <w:bottom w:val="nil"/>
              <w:right w:val="nil"/>
            </w:tcBorders>
            <w:shd w:val="clear" w:color="auto" w:fill="auto"/>
            <w:vAlign w:val="center"/>
            <w:hideMark/>
          </w:tcPr>
          <w:p w14:paraId="2F3D7FFA"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65637801"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880" w:type="dxa"/>
            <w:tcBorders>
              <w:top w:val="nil"/>
              <w:left w:val="nil"/>
              <w:bottom w:val="single" w:sz="4" w:space="0" w:color="auto"/>
              <w:right w:val="single" w:sz="4" w:space="0" w:color="auto"/>
            </w:tcBorders>
            <w:shd w:val="clear" w:color="auto" w:fill="auto"/>
            <w:vAlign w:val="center"/>
            <w:hideMark/>
          </w:tcPr>
          <w:p w14:paraId="33FFA49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w:t>
            </w:r>
          </w:p>
        </w:tc>
      </w:tr>
      <w:tr w:rsidR="0089544D" w:rsidRPr="008667A0" w14:paraId="051CEF54"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030FB1AA"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860" w:type="dxa"/>
            <w:tcBorders>
              <w:top w:val="nil"/>
              <w:left w:val="nil"/>
              <w:bottom w:val="single" w:sz="4" w:space="0" w:color="auto"/>
              <w:right w:val="single" w:sz="4" w:space="0" w:color="auto"/>
            </w:tcBorders>
            <w:shd w:val="clear" w:color="auto" w:fill="auto"/>
            <w:vAlign w:val="center"/>
            <w:hideMark/>
          </w:tcPr>
          <w:p w14:paraId="0C1F863A"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15%</w:t>
            </w:r>
          </w:p>
        </w:tc>
        <w:tc>
          <w:tcPr>
            <w:tcW w:w="160" w:type="dxa"/>
            <w:tcBorders>
              <w:top w:val="nil"/>
              <w:left w:val="nil"/>
              <w:bottom w:val="nil"/>
              <w:right w:val="nil"/>
            </w:tcBorders>
            <w:shd w:val="clear" w:color="auto" w:fill="auto"/>
            <w:vAlign w:val="center"/>
            <w:hideMark/>
          </w:tcPr>
          <w:p w14:paraId="306D0CC8"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6290177B"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880" w:type="dxa"/>
            <w:tcBorders>
              <w:top w:val="nil"/>
              <w:left w:val="nil"/>
              <w:bottom w:val="single" w:sz="4" w:space="0" w:color="auto"/>
              <w:right w:val="single" w:sz="4" w:space="0" w:color="auto"/>
            </w:tcBorders>
            <w:shd w:val="clear" w:color="auto" w:fill="auto"/>
            <w:vAlign w:val="center"/>
            <w:hideMark/>
          </w:tcPr>
          <w:p w14:paraId="4CE1BB89"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c>
          <w:tcPr>
            <w:tcW w:w="160" w:type="dxa"/>
            <w:tcBorders>
              <w:top w:val="nil"/>
              <w:left w:val="nil"/>
              <w:bottom w:val="nil"/>
              <w:right w:val="nil"/>
            </w:tcBorders>
            <w:shd w:val="clear" w:color="auto" w:fill="auto"/>
            <w:vAlign w:val="center"/>
            <w:hideMark/>
          </w:tcPr>
          <w:p w14:paraId="0AE463DE"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76D8011B"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980" w:type="dxa"/>
            <w:tcBorders>
              <w:top w:val="nil"/>
              <w:left w:val="nil"/>
              <w:bottom w:val="single" w:sz="4" w:space="0" w:color="auto"/>
              <w:right w:val="single" w:sz="4" w:space="0" w:color="auto"/>
            </w:tcBorders>
            <w:shd w:val="clear" w:color="auto" w:fill="auto"/>
            <w:vAlign w:val="center"/>
            <w:hideMark/>
          </w:tcPr>
          <w:p w14:paraId="57AF514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54%</w:t>
            </w:r>
          </w:p>
        </w:tc>
        <w:tc>
          <w:tcPr>
            <w:tcW w:w="180" w:type="dxa"/>
            <w:tcBorders>
              <w:top w:val="nil"/>
              <w:left w:val="nil"/>
              <w:bottom w:val="nil"/>
              <w:right w:val="nil"/>
            </w:tcBorders>
            <w:shd w:val="clear" w:color="auto" w:fill="auto"/>
            <w:vAlign w:val="center"/>
            <w:hideMark/>
          </w:tcPr>
          <w:p w14:paraId="7BCD32E8"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0A26D7A2"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880" w:type="dxa"/>
            <w:tcBorders>
              <w:top w:val="nil"/>
              <w:left w:val="nil"/>
              <w:bottom w:val="single" w:sz="4" w:space="0" w:color="auto"/>
              <w:right w:val="single" w:sz="4" w:space="0" w:color="auto"/>
            </w:tcBorders>
            <w:shd w:val="clear" w:color="auto" w:fill="auto"/>
            <w:vAlign w:val="center"/>
            <w:hideMark/>
          </w:tcPr>
          <w:p w14:paraId="0F2B245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w:t>
            </w:r>
          </w:p>
        </w:tc>
      </w:tr>
      <w:tr w:rsidR="0089544D" w:rsidRPr="008667A0" w14:paraId="062ADFD6" w14:textId="77777777" w:rsidTr="0089544D">
        <w:trPr>
          <w:trHeight w:val="5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421609F6"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860" w:type="dxa"/>
            <w:tcBorders>
              <w:top w:val="nil"/>
              <w:left w:val="nil"/>
              <w:bottom w:val="single" w:sz="4" w:space="0" w:color="auto"/>
              <w:right w:val="single" w:sz="4" w:space="0" w:color="auto"/>
            </w:tcBorders>
            <w:shd w:val="clear" w:color="auto" w:fill="auto"/>
            <w:vAlign w:val="center"/>
            <w:hideMark/>
          </w:tcPr>
          <w:p w14:paraId="6288EECB"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w:t>
            </w:r>
          </w:p>
        </w:tc>
        <w:tc>
          <w:tcPr>
            <w:tcW w:w="160" w:type="dxa"/>
            <w:tcBorders>
              <w:top w:val="nil"/>
              <w:left w:val="nil"/>
              <w:bottom w:val="nil"/>
              <w:right w:val="nil"/>
            </w:tcBorders>
            <w:shd w:val="clear" w:color="auto" w:fill="auto"/>
            <w:vAlign w:val="center"/>
            <w:hideMark/>
          </w:tcPr>
          <w:p w14:paraId="3A3DC613"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6EE4A90E"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880" w:type="dxa"/>
            <w:tcBorders>
              <w:top w:val="nil"/>
              <w:left w:val="nil"/>
              <w:bottom w:val="single" w:sz="4" w:space="0" w:color="auto"/>
              <w:right w:val="single" w:sz="4" w:space="0" w:color="auto"/>
            </w:tcBorders>
            <w:shd w:val="clear" w:color="auto" w:fill="auto"/>
            <w:vAlign w:val="center"/>
            <w:hideMark/>
          </w:tcPr>
          <w:p w14:paraId="55367C57"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c>
          <w:tcPr>
            <w:tcW w:w="160" w:type="dxa"/>
            <w:tcBorders>
              <w:top w:val="nil"/>
              <w:left w:val="nil"/>
              <w:bottom w:val="nil"/>
              <w:right w:val="nil"/>
            </w:tcBorders>
            <w:shd w:val="clear" w:color="auto" w:fill="auto"/>
            <w:vAlign w:val="center"/>
            <w:hideMark/>
          </w:tcPr>
          <w:p w14:paraId="264CF1FE"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70EC75B0"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980" w:type="dxa"/>
            <w:tcBorders>
              <w:top w:val="nil"/>
              <w:left w:val="nil"/>
              <w:bottom w:val="single" w:sz="4" w:space="0" w:color="auto"/>
              <w:right w:val="single" w:sz="4" w:space="0" w:color="auto"/>
            </w:tcBorders>
            <w:shd w:val="clear" w:color="auto" w:fill="auto"/>
            <w:vAlign w:val="center"/>
            <w:hideMark/>
          </w:tcPr>
          <w:p w14:paraId="3A6BC7AA"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37%</w:t>
            </w:r>
          </w:p>
        </w:tc>
        <w:tc>
          <w:tcPr>
            <w:tcW w:w="180" w:type="dxa"/>
            <w:tcBorders>
              <w:top w:val="nil"/>
              <w:left w:val="nil"/>
              <w:bottom w:val="nil"/>
              <w:right w:val="nil"/>
            </w:tcBorders>
            <w:shd w:val="clear" w:color="auto" w:fill="auto"/>
            <w:vAlign w:val="center"/>
            <w:hideMark/>
          </w:tcPr>
          <w:p w14:paraId="53D79FCB"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121A2330"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880" w:type="dxa"/>
            <w:tcBorders>
              <w:top w:val="nil"/>
              <w:left w:val="nil"/>
              <w:bottom w:val="single" w:sz="4" w:space="0" w:color="auto"/>
              <w:right w:val="single" w:sz="4" w:space="0" w:color="auto"/>
            </w:tcBorders>
            <w:shd w:val="clear" w:color="auto" w:fill="auto"/>
            <w:vAlign w:val="center"/>
            <w:hideMark/>
          </w:tcPr>
          <w:p w14:paraId="0FC4A64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w:t>
            </w:r>
          </w:p>
        </w:tc>
      </w:tr>
      <w:tr w:rsidR="0089544D" w:rsidRPr="008667A0" w14:paraId="709A5018"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5D9CE83"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860" w:type="dxa"/>
            <w:tcBorders>
              <w:top w:val="nil"/>
              <w:left w:val="nil"/>
              <w:bottom w:val="single" w:sz="4" w:space="0" w:color="auto"/>
              <w:right w:val="single" w:sz="4" w:space="0" w:color="auto"/>
            </w:tcBorders>
            <w:shd w:val="clear" w:color="auto" w:fill="auto"/>
            <w:vAlign w:val="center"/>
            <w:hideMark/>
          </w:tcPr>
          <w:p w14:paraId="7FD45326"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23%</w:t>
            </w:r>
          </w:p>
        </w:tc>
        <w:tc>
          <w:tcPr>
            <w:tcW w:w="160" w:type="dxa"/>
            <w:tcBorders>
              <w:top w:val="nil"/>
              <w:left w:val="nil"/>
              <w:bottom w:val="nil"/>
              <w:right w:val="nil"/>
            </w:tcBorders>
            <w:shd w:val="clear" w:color="auto" w:fill="auto"/>
            <w:vAlign w:val="center"/>
            <w:hideMark/>
          </w:tcPr>
          <w:p w14:paraId="0F86D7A9"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430C35CD"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880" w:type="dxa"/>
            <w:tcBorders>
              <w:top w:val="nil"/>
              <w:left w:val="nil"/>
              <w:bottom w:val="single" w:sz="4" w:space="0" w:color="auto"/>
              <w:right w:val="single" w:sz="4" w:space="0" w:color="auto"/>
            </w:tcBorders>
            <w:shd w:val="clear" w:color="auto" w:fill="auto"/>
            <w:vAlign w:val="center"/>
            <w:hideMark/>
          </w:tcPr>
          <w:p w14:paraId="4678D748"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c>
          <w:tcPr>
            <w:tcW w:w="160" w:type="dxa"/>
            <w:tcBorders>
              <w:top w:val="nil"/>
              <w:left w:val="nil"/>
              <w:bottom w:val="nil"/>
              <w:right w:val="nil"/>
            </w:tcBorders>
            <w:shd w:val="clear" w:color="auto" w:fill="auto"/>
            <w:vAlign w:val="center"/>
            <w:hideMark/>
          </w:tcPr>
          <w:p w14:paraId="24E7CEE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6BF872E4"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980" w:type="dxa"/>
            <w:tcBorders>
              <w:top w:val="nil"/>
              <w:left w:val="nil"/>
              <w:bottom w:val="single" w:sz="4" w:space="0" w:color="auto"/>
              <w:right w:val="single" w:sz="4" w:space="0" w:color="auto"/>
            </w:tcBorders>
            <w:shd w:val="clear" w:color="auto" w:fill="auto"/>
            <w:vAlign w:val="center"/>
            <w:hideMark/>
          </w:tcPr>
          <w:p w14:paraId="355C76E9"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42%</w:t>
            </w:r>
          </w:p>
        </w:tc>
        <w:tc>
          <w:tcPr>
            <w:tcW w:w="180" w:type="dxa"/>
            <w:tcBorders>
              <w:top w:val="nil"/>
              <w:left w:val="nil"/>
              <w:bottom w:val="nil"/>
              <w:right w:val="nil"/>
            </w:tcBorders>
            <w:shd w:val="clear" w:color="auto" w:fill="auto"/>
            <w:vAlign w:val="center"/>
            <w:hideMark/>
          </w:tcPr>
          <w:p w14:paraId="374A99A5"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43F50FFB"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880" w:type="dxa"/>
            <w:tcBorders>
              <w:top w:val="nil"/>
              <w:left w:val="nil"/>
              <w:bottom w:val="single" w:sz="4" w:space="0" w:color="auto"/>
              <w:right w:val="single" w:sz="4" w:space="0" w:color="auto"/>
            </w:tcBorders>
            <w:shd w:val="clear" w:color="auto" w:fill="auto"/>
            <w:vAlign w:val="center"/>
            <w:hideMark/>
          </w:tcPr>
          <w:p w14:paraId="2B72DD23"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r>
      <w:tr w:rsidR="0089544D" w:rsidRPr="008667A0" w14:paraId="5E0E5540"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AFF9463"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860" w:type="dxa"/>
            <w:tcBorders>
              <w:top w:val="nil"/>
              <w:left w:val="nil"/>
              <w:bottom w:val="single" w:sz="4" w:space="0" w:color="auto"/>
              <w:right w:val="single" w:sz="4" w:space="0" w:color="auto"/>
            </w:tcBorders>
            <w:shd w:val="clear" w:color="auto" w:fill="auto"/>
            <w:vAlign w:val="center"/>
            <w:hideMark/>
          </w:tcPr>
          <w:p w14:paraId="69EC9AEA"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75%</w:t>
            </w:r>
          </w:p>
        </w:tc>
        <w:tc>
          <w:tcPr>
            <w:tcW w:w="160" w:type="dxa"/>
            <w:tcBorders>
              <w:top w:val="nil"/>
              <w:left w:val="nil"/>
              <w:bottom w:val="nil"/>
              <w:right w:val="nil"/>
            </w:tcBorders>
            <w:shd w:val="clear" w:color="auto" w:fill="auto"/>
            <w:vAlign w:val="center"/>
            <w:hideMark/>
          </w:tcPr>
          <w:p w14:paraId="34FFF413"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5A435A69"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880" w:type="dxa"/>
            <w:tcBorders>
              <w:top w:val="nil"/>
              <w:left w:val="nil"/>
              <w:bottom w:val="single" w:sz="4" w:space="0" w:color="auto"/>
              <w:right w:val="single" w:sz="4" w:space="0" w:color="auto"/>
            </w:tcBorders>
            <w:shd w:val="clear" w:color="auto" w:fill="auto"/>
            <w:vAlign w:val="center"/>
            <w:hideMark/>
          </w:tcPr>
          <w:p w14:paraId="64F0625B"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c>
          <w:tcPr>
            <w:tcW w:w="160" w:type="dxa"/>
            <w:tcBorders>
              <w:top w:val="nil"/>
              <w:left w:val="nil"/>
              <w:bottom w:val="nil"/>
              <w:right w:val="nil"/>
            </w:tcBorders>
            <w:shd w:val="clear" w:color="auto" w:fill="auto"/>
            <w:vAlign w:val="center"/>
            <w:hideMark/>
          </w:tcPr>
          <w:p w14:paraId="74FA32B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3D77B73F"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980" w:type="dxa"/>
            <w:tcBorders>
              <w:top w:val="nil"/>
              <w:left w:val="nil"/>
              <w:bottom w:val="single" w:sz="4" w:space="0" w:color="auto"/>
              <w:right w:val="single" w:sz="4" w:space="0" w:color="auto"/>
            </w:tcBorders>
            <w:shd w:val="clear" w:color="auto" w:fill="auto"/>
            <w:vAlign w:val="center"/>
            <w:hideMark/>
          </w:tcPr>
          <w:p w14:paraId="34BDCAF9"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53%</w:t>
            </w:r>
          </w:p>
        </w:tc>
        <w:tc>
          <w:tcPr>
            <w:tcW w:w="180" w:type="dxa"/>
            <w:tcBorders>
              <w:top w:val="nil"/>
              <w:left w:val="nil"/>
              <w:bottom w:val="nil"/>
              <w:right w:val="nil"/>
            </w:tcBorders>
            <w:shd w:val="clear" w:color="auto" w:fill="auto"/>
            <w:vAlign w:val="center"/>
            <w:hideMark/>
          </w:tcPr>
          <w:p w14:paraId="70207930"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28D61243"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880" w:type="dxa"/>
            <w:tcBorders>
              <w:top w:val="nil"/>
              <w:left w:val="nil"/>
              <w:bottom w:val="single" w:sz="4" w:space="0" w:color="auto"/>
              <w:right w:val="single" w:sz="4" w:space="0" w:color="auto"/>
            </w:tcBorders>
            <w:shd w:val="clear" w:color="auto" w:fill="auto"/>
            <w:vAlign w:val="center"/>
            <w:hideMark/>
          </w:tcPr>
          <w:p w14:paraId="3787568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10%</w:t>
            </w:r>
          </w:p>
        </w:tc>
      </w:tr>
      <w:tr w:rsidR="0089544D" w:rsidRPr="008667A0" w14:paraId="10FD2A36" w14:textId="77777777" w:rsidTr="0089544D">
        <w:trPr>
          <w:trHeight w:val="5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66E94F8A"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860" w:type="dxa"/>
            <w:tcBorders>
              <w:top w:val="nil"/>
              <w:left w:val="nil"/>
              <w:bottom w:val="single" w:sz="4" w:space="0" w:color="auto"/>
              <w:right w:val="single" w:sz="4" w:space="0" w:color="auto"/>
            </w:tcBorders>
            <w:shd w:val="clear" w:color="auto" w:fill="auto"/>
            <w:vAlign w:val="center"/>
            <w:hideMark/>
          </w:tcPr>
          <w:p w14:paraId="1F9D526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14%</w:t>
            </w:r>
          </w:p>
        </w:tc>
        <w:tc>
          <w:tcPr>
            <w:tcW w:w="160" w:type="dxa"/>
            <w:tcBorders>
              <w:top w:val="nil"/>
              <w:left w:val="nil"/>
              <w:bottom w:val="nil"/>
              <w:right w:val="nil"/>
            </w:tcBorders>
            <w:shd w:val="clear" w:color="auto" w:fill="auto"/>
            <w:vAlign w:val="center"/>
            <w:hideMark/>
          </w:tcPr>
          <w:p w14:paraId="716FEBA6"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6DB02727"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880" w:type="dxa"/>
            <w:tcBorders>
              <w:top w:val="nil"/>
              <w:left w:val="nil"/>
              <w:bottom w:val="single" w:sz="4" w:space="0" w:color="auto"/>
              <w:right w:val="single" w:sz="4" w:space="0" w:color="auto"/>
            </w:tcBorders>
            <w:shd w:val="clear" w:color="auto" w:fill="auto"/>
            <w:vAlign w:val="center"/>
            <w:hideMark/>
          </w:tcPr>
          <w:p w14:paraId="19DAFA15"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w:t>
            </w:r>
          </w:p>
        </w:tc>
        <w:tc>
          <w:tcPr>
            <w:tcW w:w="160" w:type="dxa"/>
            <w:tcBorders>
              <w:top w:val="nil"/>
              <w:left w:val="nil"/>
              <w:bottom w:val="nil"/>
              <w:right w:val="nil"/>
            </w:tcBorders>
            <w:shd w:val="clear" w:color="auto" w:fill="auto"/>
            <w:vAlign w:val="center"/>
            <w:hideMark/>
          </w:tcPr>
          <w:p w14:paraId="00B8B54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490FEAE4"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980" w:type="dxa"/>
            <w:tcBorders>
              <w:top w:val="nil"/>
              <w:left w:val="nil"/>
              <w:bottom w:val="single" w:sz="4" w:space="0" w:color="auto"/>
              <w:right w:val="single" w:sz="4" w:space="0" w:color="auto"/>
            </w:tcBorders>
            <w:shd w:val="clear" w:color="auto" w:fill="auto"/>
            <w:vAlign w:val="center"/>
            <w:hideMark/>
          </w:tcPr>
          <w:p w14:paraId="02B31535"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51%</w:t>
            </w:r>
          </w:p>
        </w:tc>
        <w:tc>
          <w:tcPr>
            <w:tcW w:w="180" w:type="dxa"/>
            <w:tcBorders>
              <w:top w:val="nil"/>
              <w:left w:val="nil"/>
              <w:bottom w:val="nil"/>
              <w:right w:val="nil"/>
            </w:tcBorders>
            <w:shd w:val="clear" w:color="auto" w:fill="auto"/>
            <w:vAlign w:val="center"/>
            <w:hideMark/>
          </w:tcPr>
          <w:p w14:paraId="2B41522B"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03FA1325"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880" w:type="dxa"/>
            <w:tcBorders>
              <w:top w:val="nil"/>
              <w:left w:val="nil"/>
              <w:bottom w:val="single" w:sz="4" w:space="0" w:color="auto"/>
              <w:right w:val="single" w:sz="4" w:space="0" w:color="auto"/>
            </w:tcBorders>
            <w:shd w:val="clear" w:color="auto" w:fill="auto"/>
            <w:vAlign w:val="center"/>
            <w:hideMark/>
          </w:tcPr>
          <w:p w14:paraId="2BBD1C8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w:t>
            </w:r>
          </w:p>
        </w:tc>
      </w:tr>
      <w:tr w:rsidR="0089544D" w:rsidRPr="008667A0" w14:paraId="464A9565" w14:textId="77777777" w:rsidTr="0089544D">
        <w:trPr>
          <w:trHeight w:val="5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5B491D0D"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860" w:type="dxa"/>
            <w:tcBorders>
              <w:top w:val="nil"/>
              <w:left w:val="nil"/>
              <w:bottom w:val="single" w:sz="4" w:space="0" w:color="auto"/>
              <w:right w:val="single" w:sz="4" w:space="0" w:color="auto"/>
            </w:tcBorders>
            <w:shd w:val="clear" w:color="auto" w:fill="auto"/>
            <w:vAlign w:val="center"/>
            <w:hideMark/>
          </w:tcPr>
          <w:p w14:paraId="1EEC67D9"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w:t>
            </w:r>
          </w:p>
        </w:tc>
        <w:tc>
          <w:tcPr>
            <w:tcW w:w="160" w:type="dxa"/>
            <w:tcBorders>
              <w:top w:val="nil"/>
              <w:left w:val="nil"/>
              <w:bottom w:val="nil"/>
              <w:right w:val="nil"/>
            </w:tcBorders>
            <w:shd w:val="clear" w:color="auto" w:fill="auto"/>
            <w:vAlign w:val="center"/>
            <w:hideMark/>
          </w:tcPr>
          <w:p w14:paraId="6E58A76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5A1BF842"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880" w:type="dxa"/>
            <w:tcBorders>
              <w:top w:val="nil"/>
              <w:left w:val="nil"/>
              <w:bottom w:val="single" w:sz="4" w:space="0" w:color="auto"/>
              <w:right w:val="single" w:sz="4" w:space="0" w:color="auto"/>
            </w:tcBorders>
            <w:shd w:val="clear" w:color="auto" w:fill="auto"/>
            <w:vAlign w:val="center"/>
            <w:hideMark/>
          </w:tcPr>
          <w:p w14:paraId="7E0FD8F6"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35%</w:t>
            </w:r>
          </w:p>
        </w:tc>
        <w:tc>
          <w:tcPr>
            <w:tcW w:w="160" w:type="dxa"/>
            <w:tcBorders>
              <w:top w:val="nil"/>
              <w:left w:val="nil"/>
              <w:bottom w:val="nil"/>
              <w:right w:val="nil"/>
            </w:tcBorders>
            <w:shd w:val="clear" w:color="auto" w:fill="auto"/>
            <w:vAlign w:val="center"/>
            <w:hideMark/>
          </w:tcPr>
          <w:p w14:paraId="41033F2B"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349B1A61"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980" w:type="dxa"/>
            <w:tcBorders>
              <w:top w:val="nil"/>
              <w:left w:val="nil"/>
              <w:bottom w:val="single" w:sz="4" w:space="0" w:color="auto"/>
              <w:right w:val="single" w:sz="4" w:space="0" w:color="auto"/>
            </w:tcBorders>
            <w:shd w:val="clear" w:color="auto" w:fill="auto"/>
            <w:vAlign w:val="center"/>
            <w:hideMark/>
          </w:tcPr>
          <w:p w14:paraId="3D4FD933"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49%</w:t>
            </w:r>
          </w:p>
        </w:tc>
        <w:tc>
          <w:tcPr>
            <w:tcW w:w="180" w:type="dxa"/>
            <w:tcBorders>
              <w:top w:val="nil"/>
              <w:left w:val="nil"/>
              <w:bottom w:val="nil"/>
              <w:right w:val="nil"/>
            </w:tcBorders>
            <w:shd w:val="clear" w:color="auto" w:fill="auto"/>
            <w:vAlign w:val="center"/>
            <w:hideMark/>
          </w:tcPr>
          <w:p w14:paraId="3B4C4AD3"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78DF5D8F"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880" w:type="dxa"/>
            <w:tcBorders>
              <w:top w:val="nil"/>
              <w:left w:val="nil"/>
              <w:bottom w:val="single" w:sz="4" w:space="0" w:color="auto"/>
              <w:right w:val="single" w:sz="4" w:space="0" w:color="auto"/>
            </w:tcBorders>
            <w:shd w:val="clear" w:color="auto" w:fill="auto"/>
            <w:vAlign w:val="center"/>
            <w:hideMark/>
          </w:tcPr>
          <w:p w14:paraId="2C154025"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w:t>
            </w:r>
          </w:p>
        </w:tc>
      </w:tr>
      <w:tr w:rsidR="0089544D" w:rsidRPr="008667A0" w14:paraId="6AAE3671"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652283F"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860" w:type="dxa"/>
            <w:tcBorders>
              <w:top w:val="nil"/>
              <w:left w:val="nil"/>
              <w:bottom w:val="single" w:sz="4" w:space="0" w:color="auto"/>
              <w:right w:val="single" w:sz="4" w:space="0" w:color="auto"/>
            </w:tcBorders>
            <w:shd w:val="clear" w:color="auto" w:fill="auto"/>
            <w:vAlign w:val="center"/>
            <w:hideMark/>
          </w:tcPr>
          <w:p w14:paraId="08DEC997"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14%</w:t>
            </w:r>
          </w:p>
        </w:tc>
        <w:tc>
          <w:tcPr>
            <w:tcW w:w="160" w:type="dxa"/>
            <w:tcBorders>
              <w:top w:val="nil"/>
              <w:left w:val="nil"/>
              <w:bottom w:val="nil"/>
              <w:right w:val="nil"/>
            </w:tcBorders>
            <w:shd w:val="clear" w:color="auto" w:fill="auto"/>
            <w:vAlign w:val="center"/>
            <w:hideMark/>
          </w:tcPr>
          <w:p w14:paraId="65E84B05"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1B92DC41"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880" w:type="dxa"/>
            <w:tcBorders>
              <w:top w:val="nil"/>
              <w:left w:val="nil"/>
              <w:bottom w:val="single" w:sz="4" w:space="0" w:color="auto"/>
              <w:right w:val="single" w:sz="4" w:space="0" w:color="auto"/>
            </w:tcBorders>
            <w:shd w:val="clear" w:color="auto" w:fill="auto"/>
            <w:vAlign w:val="center"/>
            <w:hideMark/>
          </w:tcPr>
          <w:p w14:paraId="6C18707E"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c>
          <w:tcPr>
            <w:tcW w:w="160" w:type="dxa"/>
            <w:tcBorders>
              <w:top w:val="nil"/>
              <w:left w:val="nil"/>
              <w:bottom w:val="nil"/>
              <w:right w:val="nil"/>
            </w:tcBorders>
            <w:shd w:val="clear" w:color="auto" w:fill="auto"/>
            <w:vAlign w:val="center"/>
            <w:hideMark/>
          </w:tcPr>
          <w:p w14:paraId="00A08B89"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2A15C0B1"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980" w:type="dxa"/>
            <w:tcBorders>
              <w:top w:val="nil"/>
              <w:left w:val="nil"/>
              <w:bottom w:val="single" w:sz="4" w:space="0" w:color="auto"/>
              <w:right w:val="single" w:sz="4" w:space="0" w:color="auto"/>
            </w:tcBorders>
            <w:shd w:val="clear" w:color="auto" w:fill="auto"/>
            <w:vAlign w:val="center"/>
            <w:hideMark/>
          </w:tcPr>
          <w:p w14:paraId="1F8E097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49%</w:t>
            </w:r>
          </w:p>
        </w:tc>
        <w:tc>
          <w:tcPr>
            <w:tcW w:w="180" w:type="dxa"/>
            <w:tcBorders>
              <w:top w:val="nil"/>
              <w:left w:val="nil"/>
              <w:bottom w:val="nil"/>
              <w:right w:val="nil"/>
            </w:tcBorders>
            <w:shd w:val="clear" w:color="auto" w:fill="auto"/>
            <w:vAlign w:val="center"/>
            <w:hideMark/>
          </w:tcPr>
          <w:p w14:paraId="270CE970"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3564446B"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880" w:type="dxa"/>
            <w:tcBorders>
              <w:top w:val="nil"/>
              <w:left w:val="nil"/>
              <w:bottom w:val="single" w:sz="4" w:space="0" w:color="auto"/>
              <w:right w:val="single" w:sz="4" w:space="0" w:color="auto"/>
            </w:tcBorders>
            <w:shd w:val="clear" w:color="auto" w:fill="auto"/>
            <w:vAlign w:val="center"/>
            <w:hideMark/>
          </w:tcPr>
          <w:p w14:paraId="62A18D14"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w:t>
            </w:r>
          </w:p>
        </w:tc>
      </w:tr>
      <w:tr w:rsidR="0089544D" w:rsidRPr="008667A0" w14:paraId="42F7B173"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86B88C2"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860" w:type="dxa"/>
            <w:tcBorders>
              <w:top w:val="nil"/>
              <w:left w:val="nil"/>
              <w:bottom w:val="single" w:sz="4" w:space="0" w:color="auto"/>
              <w:right w:val="single" w:sz="4" w:space="0" w:color="auto"/>
            </w:tcBorders>
            <w:shd w:val="clear" w:color="auto" w:fill="auto"/>
            <w:vAlign w:val="center"/>
            <w:hideMark/>
          </w:tcPr>
          <w:p w14:paraId="106A500C"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w:t>
            </w:r>
          </w:p>
        </w:tc>
        <w:tc>
          <w:tcPr>
            <w:tcW w:w="160" w:type="dxa"/>
            <w:tcBorders>
              <w:top w:val="nil"/>
              <w:left w:val="nil"/>
              <w:bottom w:val="nil"/>
              <w:right w:val="nil"/>
            </w:tcBorders>
            <w:shd w:val="clear" w:color="auto" w:fill="auto"/>
            <w:vAlign w:val="center"/>
            <w:hideMark/>
          </w:tcPr>
          <w:p w14:paraId="598DA078"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2951F9B5"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880" w:type="dxa"/>
            <w:tcBorders>
              <w:top w:val="nil"/>
              <w:left w:val="nil"/>
              <w:bottom w:val="single" w:sz="4" w:space="0" w:color="auto"/>
              <w:right w:val="single" w:sz="4" w:space="0" w:color="auto"/>
            </w:tcBorders>
            <w:shd w:val="clear" w:color="auto" w:fill="auto"/>
            <w:vAlign w:val="center"/>
            <w:hideMark/>
          </w:tcPr>
          <w:p w14:paraId="48E54DA0"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c>
          <w:tcPr>
            <w:tcW w:w="160" w:type="dxa"/>
            <w:tcBorders>
              <w:top w:val="nil"/>
              <w:left w:val="nil"/>
              <w:bottom w:val="nil"/>
              <w:right w:val="nil"/>
            </w:tcBorders>
            <w:shd w:val="clear" w:color="auto" w:fill="auto"/>
            <w:vAlign w:val="center"/>
            <w:hideMark/>
          </w:tcPr>
          <w:p w14:paraId="1FDFC7CC"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67009A53"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980" w:type="dxa"/>
            <w:tcBorders>
              <w:top w:val="nil"/>
              <w:left w:val="nil"/>
              <w:bottom w:val="single" w:sz="4" w:space="0" w:color="auto"/>
              <w:right w:val="single" w:sz="4" w:space="0" w:color="auto"/>
            </w:tcBorders>
            <w:shd w:val="clear" w:color="auto" w:fill="auto"/>
            <w:vAlign w:val="center"/>
            <w:hideMark/>
          </w:tcPr>
          <w:p w14:paraId="1D2D4B5B"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34%</w:t>
            </w:r>
          </w:p>
        </w:tc>
        <w:tc>
          <w:tcPr>
            <w:tcW w:w="180" w:type="dxa"/>
            <w:tcBorders>
              <w:top w:val="nil"/>
              <w:left w:val="nil"/>
              <w:bottom w:val="nil"/>
              <w:right w:val="nil"/>
            </w:tcBorders>
            <w:shd w:val="clear" w:color="auto" w:fill="auto"/>
            <w:vAlign w:val="center"/>
            <w:hideMark/>
          </w:tcPr>
          <w:p w14:paraId="6DB0966E"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2A87F8E4"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880" w:type="dxa"/>
            <w:tcBorders>
              <w:top w:val="nil"/>
              <w:left w:val="nil"/>
              <w:bottom w:val="single" w:sz="4" w:space="0" w:color="auto"/>
              <w:right w:val="single" w:sz="4" w:space="0" w:color="auto"/>
            </w:tcBorders>
            <w:shd w:val="clear" w:color="auto" w:fill="auto"/>
            <w:vAlign w:val="center"/>
            <w:hideMark/>
          </w:tcPr>
          <w:p w14:paraId="3D641147"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w:t>
            </w:r>
          </w:p>
        </w:tc>
      </w:tr>
      <w:tr w:rsidR="0089544D" w:rsidRPr="008667A0" w14:paraId="6CDAC961" w14:textId="77777777" w:rsidTr="0089544D">
        <w:trPr>
          <w:trHeight w:val="5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335F6EC1"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860" w:type="dxa"/>
            <w:tcBorders>
              <w:top w:val="nil"/>
              <w:left w:val="nil"/>
              <w:bottom w:val="single" w:sz="4" w:space="0" w:color="auto"/>
              <w:right w:val="single" w:sz="4" w:space="0" w:color="auto"/>
            </w:tcBorders>
            <w:shd w:val="clear" w:color="auto" w:fill="auto"/>
            <w:vAlign w:val="center"/>
            <w:hideMark/>
          </w:tcPr>
          <w:p w14:paraId="6F28C41E"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10%</w:t>
            </w:r>
          </w:p>
        </w:tc>
        <w:tc>
          <w:tcPr>
            <w:tcW w:w="160" w:type="dxa"/>
            <w:tcBorders>
              <w:top w:val="nil"/>
              <w:left w:val="nil"/>
              <w:bottom w:val="nil"/>
              <w:right w:val="nil"/>
            </w:tcBorders>
            <w:shd w:val="clear" w:color="auto" w:fill="auto"/>
            <w:vAlign w:val="center"/>
            <w:hideMark/>
          </w:tcPr>
          <w:p w14:paraId="09F8A338"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229A599C"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880" w:type="dxa"/>
            <w:tcBorders>
              <w:top w:val="nil"/>
              <w:left w:val="nil"/>
              <w:bottom w:val="single" w:sz="4" w:space="0" w:color="auto"/>
              <w:right w:val="single" w:sz="4" w:space="0" w:color="auto"/>
            </w:tcBorders>
            <w:shd w:val="clear" w:color="auto" w:fill="auto"/>
            <w:vAlign w:val="center"/>
            <w:hideMark/>
          </w:tcPr>
          <w:p w14:paraId="166C8D57"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c>
          <w:tcPr>
            <w:tcW w:w="160" w:type="dxa"/>
            <w:tcBorders>
              <w:top w:val="nil"/>
              <w:left w:val="nil"/>
              <w:bottom w:val="nil"/>
              <w:right w:val="nil"/>
            </w:tcBorders>
            <w:shd w:val="clear" w:color="auto" w:fill="auto"/>
            <w:vAlign w:val="center"/>
            <w:hideMark/>
          </w:tcPr>
          <w:p w14:paraId="5D770A03"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3AC7F2E7"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980" w:type="dxa"/>
            <w:tcBorders>
              <w:top w:val="nil"/>
              <w:left w:val="nil"/>
              <w:bottom w:val="single" w:sz="4" w:space="0" w:color="auto"/>
              <w:right w:val="single" w:sz="4" w:space="0" w:color="auto"/>
            </w:tcBorders>
            <w:shd w:val="clear" w:color="auto" w:fill="auto"/>
            <w:vAlign w:val="center"/>
            <w:hideMark/>
          </w:tcPr>
          <w:p w14:paraId="23BE4B48"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50%</w:t>
            </w:r>
          </w:p>
        </w:tc>
        <w:tc>
          <w:tcPr>
            <w:tcW w:w="180" w:type="dxa"/>
            <w:tcBorders>
              <w:top w:val="nil"/>
              <w:left w:val="nil"/>
              <w:bottom w:val="nil"/>
              <w:right w:val="nil"/>
            </w:tcBorders>
            <w:shd w:val="clear" w:color="auto" w:fill="auto"/>
            <w:vAlign w:val="center"/>
            <w:hideMark/>
          </w:tcPr>
          <w:p w14:paraId="565AC7F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73B570FE"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880" w:type="dxa"/>
            <w:tcBorders>
              <w:top w:val="nil"/>
              <w:left w:val="nil"/>
              <w:bottom w:val="single" w:sz="4" w:space="0" w:color="auto"/>
              <w:right w:val="single" w:sz="4" w:space="0" w:color="auto"/>
            </w:tcBorders>
            <w:shd w:val="clear" w:color="auto" w:fill="auto"/>
            <w:vAlign w:val="center"/>
            <w:hideMark/>
          </w:tcPr>
          <w:p w14:paraId="12BCB790"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w:t>
            </w:r>
          </w:p>
        </w:tc>
      </w:tr>
      <w:tr w:rsidR="0089544D" w:rsidRPr="008667A0" w14:paraId="16922060" w14:textId="77777777" w:rsidTr="0089544D">
        <w:trPr>
          <w:trHeight w:val="5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206C85AD"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Trust Bank Limited </w:t>
            </w:r>
          </w:p>
        </w:tc>
        <w:tc>
          <w:tcPr>
            <w:tcW w:w="860" w:type="dxa"/>
            <w:tcBorders>
              <w:top w:val="nil"/>
              <w:left w:val="nil"/>
              <w:bottom w:val="single" w:sz="4" w:space="0" w:color="auto"/>
              <w:right w:val="single" w:sz="4" w:space="0" w:color="auto"/>
            </w:tcBorders>
            <w:shd w:val="clear" w:color="auto" w:fill="auto"/>
            <w:vAlign w:val="center"/>
            <w:hideMark/>
          </w:tcPr>
          <w:p w14:paraId="7E510600"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16%</w:t>
            </w:r>
          </w:p>
        </w:tc>
        <w:tc>
          <w:tcPr>
            <w:tcW w:w="160" w:type="dxa"/>
            <w:tcBorders>
              <w:top w:val="nil"/>
              <w:left w:val="nil"/>
              <w:bottom w:val="nil"/>
              <w:right w:val="nil"/>
            </w:tcBorders>
            <w:shd w:val="clear" w:color="auto" w:fill="auto"/>
            <w:vAlign w:val="center"/>
            <w:hideMark/>
          </w:tcPr>
          <w:p w14:paraId="05602B2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55637804"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Trust Bank Limited </w:t>
            </w:r>
          </w:p>
        </w:tc>
        <w:tc>
          <w:tcPr>
            <w:tcW w:w="880" w:type="dxa"/>
            <w:tcBorders>
              <w:top w:val="nil"/>
              <w:left w:val="nil"/>
              <w:bottom w:val="single" w:sz="4" w:space="0" w:color="auto"/>
              <w:right w:val="single" w:sz="4" w:space="0" w:color="auto"/>
            </w:tcBorders>
            <w:shd w:val="clear" w:color="auto" w:fill="auto"/>
            <w:vAlign w:val="center"/>
            <w:hideMark/>
          </w:tcPr>
          <w:p w14:paraId="640001E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-19%</w:t>
            </w:r>
          </w:p>
        </w:tc>
        <w:tc>
          <w:tcPr>
            <w:tcW w:w="160" w:type="dxa"/>
            <w:tcBorders>
              <w:top w:val="nil"/>
              <w:left w:val="nil"/>
              <w:bottom w:val="nil"/>
              <w:right w:val="nil"/>
            </w:tcBorders>
            <w:shd w:val="clear" w:color="auto" w:fill="auto"/>
            <w:vAlign w:val="center"/>
            <w:hideMark/>
          </w:tcPr>
          <w:p w14:paraId="6F56BE15"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6DC7156D"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Trust Bank Limited </w:t>
            </w:r>
          </w:p>
        </w:tc>
        <w:tc>
          <w:tcPr>
            <w:tcW w:w="980" w:type="dxa"/>
            <w:tcBorders>
              <w:top w:val="nil"/>
              <w:left w:val="nil"/>
              <w:bottom w:val="single" w:sz="4" w:space="0" w:color="auto"/>
              <w:right w:val="single" w:sz="4" w:space="0" w:color="auto"/>
            </w:tcBorders>
            <w:shd w:val="clear" w:color="auto" w:fill="auto"/>
            <w:vAlign w:val="center"/>
            <w:hideMark/>
          </w:tcPr>
          <w:p w14:paraId="098DE2B9"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41%</w:t>
            </w:r>
          </w:p>
        </w:tc>
        <w:tc>
          <w:tcPr>
            <w:tcW w:w="180" w:type="dxa"/>
            <w:tcBorders>
              <w:top w:val="nil"/>
              <w:left w:val="nil"/>
              <w:bottom w:val="nil"/>
              <w:right w:val="nil"/>
            </w:tcBorders>
            <w:shd w:val="clear" w:color="auto" w:fill="auto"/>
            <w:vAlign w:val="center"/>
            <w:hideMark/>
          </w:tcPr>
          <w:p w14:paraId="233F8AE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57BFB201"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Trust Bank Limited </w:t>
            </w:r>
          </w:p>
        </w:tc>
        <w:tc>
          <w:tcPr>
            <w:tcW w:w="880" w:type="dxa"/>
            <w:tcBorders>
              <w:top w:val="nil"/>
              <w:left w:val="nil"/>
              <w:bottom w:val="single" w:sz="4" w:space="0" w:color="auto"/>
              <w:right w:val="single" w:sz="4" w:space="0" w:color="auto"/>
            </w:tcBorders>
            <w:shd w:val="clear" w:color="auto" w:fill="auto"/>
            <w:vAlign w:val="center"/>
            <w:hideMark/>
          </w:tcPr>
          <w:p w14:paraId="701CA927"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w:t>
            </w:r>
          </w:p>
        </w:tc>
      </w:tr>
      <w:tr w:rsidR="0089544D" w:rsidRPr="008667A0" w14:paraId="1B2BC710" w14:textId="77777777" w:rsidTr="0089544D">
        <w:trPr>
          <w:trHeight w:val="288"/>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EF0C93B"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860" w:type="dxa"/>
            <w:tcBorders>
              <w:top w:val="nil"/>
              <w:left w:val="nil"/>
              <w:bottom w:val="single" w:sz="4" w:space="0" w:color="auto"/>
              <w:right w:val="single" w:sz="4" w:space="0" w:color="auto"/>
            </w:tcBorders>
            <w:shd w:val="clear" w:color="auto" w:fill="auto"/>
            <w:vAlign w:val="center"/>
            <w:hideMark/>
          </w:tcPr>
          <w:p w14:paraId="7664CBC6"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11%</w:t>
            </w:r>
          </w:p>
        </w:tc>
        <w:tc>
          <w:tcPr>
            <w:tcW w:w="160" w:type="dxa"/>
            <w:tcBorders>
              <w:top w:val="nil"/>
              <w:left w:val="nil"/>
              <w:bottom w:val="nil"/>
              <w:right w:val="nil"/>
            </w:tcBorders>
            <w:shd w:val="clear" w:color="auto" w:fill="auto"/>
            <w:vAlign w:val="center"/>
            <w:hideMark/>
          </w:tcPr>
          <w:p w14:paraId="13EA6823"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22A9CE46"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880" w:type="dxa"/>
            <w:tcBorders>
              <w:top w:val="nil"/>
              <w:left w:val="nil"/>
              <w:bottom w:val="single" w:sz="4" w:space="0" w:color="auto"/>
              <w:right w:val="single" w:sz="4" w:space="0" w:color="auto"/>
            </w:tcBorders>
            <w:shd w:val="clear" w:color="auto" w:fill="auto"/>
            <w:vAlign w:val="center"/>
            <w:hideMark/>
          </w:tcPr>
          <w:p w14:paraId="675B18D0"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w:t>
            </w:r>
          </w:p>
        </w:tc>
        <w:tc>
          <w:tcPr>
            <w:tcW w:w="160" w:type="dxa"/>
            <w:tcBorders>
              <w:top w:val="nil"/>
              <w:left w:val="nil"/>
              <w:bottom w:val="nil"/>
              <w:right w:val="nil"/>
            </w:tcBorders>
            <w:shd w:val="clear" w:color="auto" w:fill="auto"/>
            <w:vAlign w:val="center"/>
            <w:hideMark/>
          </w:tcPr>
          <w:p w14:paraId="2CD3C50C"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533B1CE6"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980" w:type="dxa"/>
            <w:tcBorders>
              <w:top w:val="nil"/>
              <w:left w:val="nil"/>
              <w:bottom w:val="single" w:sz="4" w:space="0" w:color="auto"/>
              <w:right w:val="single" w:sz="4" w:space="0" w:color="auto"/>
            </w:tcBorders>
            <w:shd w:val="clear" w:color="auto" w:fill="auto"/>
            <w:vAlign w:val="center"/>
            <w:hideMark/>
          </w:tcPr>
          <w:p w14:paraId="1DD07E98"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55%</w:t>
            </w:r>
          </w:p>
        </w:tc>
        <w:tc>
          <w:tcPr>
            <w:tcW w:w="180" w:type="dxa"/>
            <w:tcBorders>
              <w:top w:val="nil"/>
              <w:left w:val="nil"/>
              <w:bottom w:val="nil"/>
              <w:right w:val="nil"/>
            </w:tcBorders>
            <w:shd w:val="clear" w:color="auto" w:fill="auto"/>
            <w:vAlign w:val="center"/>
            <w:hideMark/>
          </w:tcPr>
          <w:p w14:paraId="62955B4B"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16DC306E"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880" w:type="dxa"/>
            <w:tcBorders>
              <w:top w:val="nil"/>
              <w:left w:val="nil"/>
              <w:bottom w:val="single" w:sz="4" w:space="0" w:color="auto"/>
              <w:right w:val="single" w:sz="4" w:space="0" w:color="auto"/>
            </w:tcBorders>
            <w:shd w:val="clear" w:color="auto" w:fill="auto"/>
            <w:vAlign w:val="center"/>
            <w:hideMark/>
          </w:tcPr>
          <w:p w14:paraId="183A99D2"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w:t>
            </w:r>
          </w:p>
        </w:tc>
      </w:tr>
      <w:tr w:rsidR="0089544D" w:rsidRPr="008667A0" w14:paraId="7CF3C767" w14:textId="77777777" w:rsidTr="0089544D">
        <w:trPr>
          <w:trHeight w:val="576"/>
        </w:trPr>
        <w:tc>
          <w:tcPr>
            <w:tcW w:w="1340" w:type="dxa"/>
            <w:tcBorders>
              <w:top w:val="nil"/>
              <w:left w:val="single" w:sz="4" w:space="0" w:color="auto"/>
              <w:bottom w:val="single" w:sz="4" w:space="0" w:color="auto"/>
              <w:right w:val="single" w:sz="4" w:space="0" w:color="auto"/>
            </w:tcBorders>
            <w:shd w:val="clear" w:color="auto" w:fill="auto"/>
            <w:vAlign w:val="center"/>
            <w:hideMark/>
          </w:tcPr>
          <w:p w14:paraId="79806602"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860" w:type="dxa"/>
            <w:tcBorders>
              <w:top w:val="nil"/>
              <w:left w:val="nil"/>
              <w:bottom w:val="single" w:sz="4" w:space="0" w:color="auto"/>
              <w:right w:val="single" w:sz="4" w:space="0" w:color="auto"/>
            </w:tcBorders>
            <w:shd w:val="clear" w:color="auto" w:fill="auto"/>
            <w:vAlign w:val="center"/>
            <w:hideMark/>
          </w:tcPr>
          <w:p w14:paraId="4DD65994"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12%</w:t>
            </w:r>
          </w:p>
        </w:tc>
        <w:tc>
          <w:tcPr>
            <w:tcW w:w="160" w:type="dxa"/>
            <w:tcBorders>
              <w:top w:val="nil"/>
              <w:left w:val="nil"/>
              <w:bottom w:val="nil"/>
              <w:right w:val="nil"/>
            </w:tcBorders>
            <w:shd w:val="clear" w:color="auto" w:fill="auto"/>
            <w:vAlign w:val="center"/>
            <w:hideMark/>
          </w:tcPr>
          <w:p w14:paraId="33377089"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20" w:type="dxa"/>
            <w:tcBorders>
              <w:top w:val="nil"/>
              <w:left w:val="single" w:sz="4" w:space="0" w:color="auto"/>
              <w:bottom w:val="single" w:sz="4" w:space="0" w:color="auto"/>
              <w:right w:val="single" w:sz="4" w:space="0" w:color="auto"/>
            </w:tcBorders>
            <w:shd w:val="clear" w:color="auto" w:fill="auto"/>
            <w:vAlign w:val="center"/>
            <w:hideMark/>
          </w:tcPr>
          <w:p w14:paraId="70E51594"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880" w:type="dxa"/>
            <w:tcBorders>
              <w:top w:val="nil"/>
              <w:left w:val="nil"/>
              <w:bottom w:val="single" w:sz="4" w:space="0" w:color="auto"/>
              <w:right w:val="single" w:sz="4" w:space="0" w:color="auto"/>
            </w:tcBorders>
            <w:shd w:val="clear" w:color="auto" w:fill="auto"/>
            <w:vAlign w:val="center"/>
            <w:hideMark/>
          </w:tcPr>
          <w:p w14:paraId="1F79B87E"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w:t>
            </w:r>
          </w:p>
        </w:tc>
        <w:tc>
          <w:tcPr>
            <w:tcW w:w="160" w:type="dxa"/>
            <w:tcBorders>
              <w:top w:val="nil"/>
              <w:left w:val="nil"/>
              <w:bottom w:val="nil"/>
              <w:right w:val="nil"/>
            </w:tcBorders>
            <w:shd w:val="clear" w:color="auto" w:fill="auto"/>
            <w:vAlign w:val="center"/>
            <w:hideMark/>
          </w:tcPr>
          <w:p w14:paraId="1BA778A4"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100" w:type="dxa"/>
            <w:tcBorders>
              <w:top w:val="nil"/>
              <w:left w:val="single" w:sz="4" w:space="0" w:color="auto"/>
              <w:bottom w:val="single" w:sz="4" w:space="0" w:color="auto"/>
              <w:right w:val="single" w:sz="4" w:space="0" w:color="auto"/>
            </w:tcBorders>
            <w:shd w:val="clear" w:color="auto" w:fill="auto"/>
            <w:vAlign w:val="center"/>
            <w:hideMark/>
          </w:tcPr>
          <w:p w14:paraId="02CBEE45"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980" w:type="dxa"/>
            <w:tcBorders>
              <w:top w:val="nil"/>
              <w:left w:val="nil"/>
              <w:bottom w:val="single" w:sz="4" w:space="0" w:color="auto"/>
              <w:right w:val="single" w:sz="4" w:space="0" w:color="auto"/>
            </w:tcBorders>
            <w:shd w:val="clear" w:color="auto" w:fill="auto"/>
            <w:vAlign w:val="center"/>
            <w:hideMark/>
          </w:tcPr>
          <w:p w14:paraId="64807381"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74%</w:t>
            </w:r>
          </w:p>
        </w:tc>
        <w:tc>
          <w:tcPr>
            <w:tcW w:w="180" w:type="dxa"/>
            <w:tcBorders>
              <w:top w:val="nil"/>
              <w:left w:val="nil"/>
              <w:bottom w:val="nil"/>
              <w:right w:val="nil"/>
            </w:tcBorders>
            <w:shd w:val="clear" w:color="auto" w:fill="auto"/>
            <w:vAlign w:val="center"/>
            <w:hideMark/>
          </w:tcPr>
          <w:p w14:paraId="2EDBFCAD"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p>
        </w:tc>
        <w:tc>
          <w:tcPr>
            <w:tcW w:w="1220" w:type="dxa"/>
            <w:tcBorders>
              <w:top w:val="nil"/>
              <w:left w:val="single" w:sz="4" w:space="0" w:color="auto"/>
              <w:bottom w:val="single" w:sz="4" w:space="0" w:color="auto"/>
              <w:right w:val="single" w:sz="4" w:space="0" w:color="auto"/>
            </w:tcBorders>
            <w:shd w:val="clear" w:color="auto" w:fill="auto"/>
            <w:vAlign w:val="center"/>
            <w:hideMark/>
          </w:tcPr>
          <w:p w14:paraId="4879370A" w14:textId="77777777" w:rsidR="0089544D" w:rsidRPr="008667A0" w:rsidRDefault="0089544D" w:rsidP="0089544D">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880" w:type="dxa"/>
            <w:tcBorders>
              <w:top w:val="nil"/>
              <w:left w:val="nil"/>
              <w:bottom w:val="single" w:sz="4" w:space="0" w:color="auto"/>
              <w:right w:val="single" w:sz="4" w:space="0" w:color="auto"/>
            </w:tcBorders>
            <w:shd w:val="clear" w:color="auto" w:fill="auto"/>
            <w:vAlign w:val="center"/>
            <w:hideMark/>
          </w:tcPr>
          <w:p w14:paraId="6D414B54" w14:textId="77777777" w:rsidR="0089544D" w:rsidRPr="008667A0" w:rsidRDefault="0089544D" w:rsidP="0089544D">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11%</w:t>
            </w:r>
          </w:p>
        </w:tc>
      </w:tr>
    </w:tbl>
    <w:p w14:paraId="2F35BE38" w14:textId="77777777" w:rsidR="0089544D" w:rsidRDefault="0089544D" w:rsidP="00E060A0">
      <w:pPr>
        <w:spacing w:line="360" w:lineRule="auto"/>
        <w:jc w:val="both"/>
        <w:rPr>
          <w:rFonts w:ascii="Times New Roman" w:hAnsi="Times New Roman" w:cs="Times New Roman"/>
          <w:color w:val="222222"/>
          <w:sz w:val="24"/>
          <w:szCs w:val="24"/>
          <w:shd w:val="clear" w:color="auto" w:fill="FFFFFF"/>
        </w:rPr>
      </w:pPr>
    </w:p>
    <w:p w14:paraId="3BCF314D" w14:textId="77777777" w:rsidR="0089544D" w:rsidRDefault="00EA7325" w:rsidP="00EA7325">
      <w:pPr>
        <w:pStyle w:val="Caption"/>
      </w:pPr>
      <w:bookmarkStart w:id="29" w:name="_Toc53355885"/>
      <w:r>
        <w:lastRenderedPageBreak/>
        <w:t xml:space="preserve">Table </w:t>
      </w:r>
      <w:fldSimple w:instr=" SEQ Table \* ARABIC ">
        <w:r w:rsidR="009F7CAB">
          <w:rPr>
            <w:noProof/>
          </w:rPr>
          <w:t>1</w:t>
        </w:r>
      </w:fldSimple>
      <w:r>
        <w:t xml:space="preserve">: </w:t>
      </w:r>
      <w:r w:rsidRPr="00307FE2">
        <w:t>Average ROE</w:t>
      </w:r>
      <w:r>
        <w:t xml:space="preserve">                   Table </w:t>
      </w:r>
      <w:fldSimple w:instr=" SEQ Table \* ARABIC ">
        <w:r w:rsidR="009F7CAB">
          <w:rPr>
            <w:noProof/>
          </w:rPr>
          <w:t>2</w:t>
        </w:r>
      </w:fldSimple>
      <w:r>
        <w:t xml:space="preserve">: </w:t>
      </w:r>
      <w:r w:rsidRPr="002F4F15">
        <w:t>Average NIM</w:t>
      </w:r>
      <w:r>
        <w:t xml:space="preserve">                    Table </w:t>
      </w:r>
      <w:fldSimple w:instr=" SEQ Table \* ARABIC ">
        <w:r w:rsidR="009F7CAB">
          <w:rPr>
            <w:noProof/>
          </w:rPr>
          <w:t>3</w:t>
        </w:r>
      </w:fldSimple>
      <w:r>
        <w:t xml:space="preserve">: Average Cost to Income   Table </w:t>
      </w:r>
      <w:fldSimple w:instr=" SEQ Table \* ARABIC ">
        <w:r w:rsidR="009F7CAB">
          <w:rPr>
            <w:noProof/>
          </w:rPr>
          <w:t>4</w:t>
        </w:r>
      </w:fldSimple>
      <w:r>
        <w:t xml:space="preserve">: </w:t>
      </w:r>
      <w:r w:rsidRPr="00C06BD5">
        <w:t>Average ROI</w:t>
      </w:r>
      <w:bookmarkEnd w:id="29"/>
    </w:p>
    <w:p w14:paraId="16A33157" w14:textId="77777777" w:rsidR="00EA7325" w:rsidRPr="00EA7325" w:rsidRDefault="00EA7325" w:rsidP="00EA7325"/>
    <w:p w14:paraId="0DA88C55" w14:textId="77777777" w:rsidR="00226505" w:rsidRDefault="00226505" w:rsidP="00B429C4">
      <w:pPr>
        <w:pStyle w:val="Heading2"/>
        <w:rPr>
          <w:b/>
          <w:sz w:val="28"/>
          <w:shd w:val="clear" w:color="auto" w:fill="FFFFFF"/>
        </w:rPr>
      </w:pPr>
      <w:bookmarkStart w:id="30" w:name="_Toc53357701"/>
      <w:r w:rsidRPr="00B429C4">
        <w:rPr>
          <w:b/>
          <w:sz w:val="28"/>
          <w:shd w:val="clear" w:color="auto" w:fill="FFFFFF"/>
        </w:rPr>
        <w:t>LIQUIDITY RATIOS</w:t>
      </w:r>
      <w:bookmarkEnd w:id="30"/>
    </w:p>
    <w:p w14:paraId="161C556D" w14:textId="77777777" w:rsidR="00B429C4" w:rsidRPr="00B429C4" w:rsidRDefault="00B429C4" w:rsidP="00B429C4"/>
    <w:p w14:paraId="5805E115" w14:textId="1B8A3773" w:rsidR="00D31721" w:rsidRDefault="001B1F46" w:rsidP="00E060A0">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Liquidity ratios are the tools to measure a bank’s </w:t>
      </w:r>
      <w:r w:rsidR="005872FB">
        <w:rPr>
          <w:rFonts w:ascii="Times New Roman" w:hAnsi="Times New Roman" w:cs="Times New Roman"/>
          <w:color w:val="222222"/>
          <w:sz w:val="24"/>
          <w:szCs w:val="24"/>
          <w:shd w:val="clear" w:color="auto" w:fill="FFFFFF"/>
        </w:rPr>
        <w:t>short-term</w:t>
      </w:r>
      <w:r>
        <w:rPr>
          <w:rFonts w:ascii="Times New Roman" w:hAnsi="Times New Roman" w:cs="Times New Roman"/>
          <w:color w:val="222222"/>
          <w:sz w:val="24"/>
          <w:szCs w:val="24"/>
          <w:shd w:val="clear" w:color="auto" w:fill="FFFFFF"/>
        </w:rPr>
        <w:t xml:space="preserve"> ability to operate its banking activities or functions.</w:t>
      </w:r>
      <w:r w:rsidR="00CE349E">
        <w:rPr>
          <w:rFonts w:ascii="Times New Roman" w:hAnsi="Times New Roman" w:cs="Times New Roman"/>
          <w:color w:val="222222"/>
          <w:sz w:val="24"/>
          <w:szCs w:val="24"/>
          <w:shd w:val="clear" w:color="auto" w:fill="FFFFFF"/>
        </w:rPr>
        <w:t xml:space="preserve"> Ratios can tell if a </w:t>
      </w:r>
      <w:r w:rsidR="005872FB">
        <w:rPr>
          <w:rFonts w:ascii="Times New Roman" w:hAnsi="Times New Roman" w:cs="Times New Roman"/>
          <w:color w:val="222222"/>
          <w:sz w:val="24"/>
          <w:szCs w:val="24"/>
          <w:shd w:val="clear" w:color="auto" w:fill="FFFFFF"/>
        </w:rPr>
        <w:t>bank</w:t>
      </w:r>
      <w:r w:rsidR="00CE349E">
        <w:rPr>
          <w:rFonts w:ascii="Times New Roman" w:hAnsi="Times New Roman" w:cs="Times New Roman"/>
          <w:color w:val="222222"/>
          <w:sz w:val="24"/>
          <w:szCs w:val="24"/>
          <w:shd w:val="clear" w:color="auto" w:fill="FFFFFF"/>
        </w:rPr>
        <w:t xml:space="preserve"> is well planned and capable and has enough reserve to running its operation effectively. </w:t>
      </w:r>
      <w:r w:rsidR="00751FBC">
        <w:rPr>
          <w:rFonts w:ascii="Times New Roman" w:hAnsi="Times New Roman" w:cs="Times New Roman"/>
          <w:color w:val="222222"/>
          <w:sz w:val="24"/>
          <w:szCs w:val="24"/>
          <w:shd w:val="clear" w:color="auto" w:fill="FFFFFF"/>
        </w:rPr>
        <w:t xml:space="preserve">Liquidity ratios are: </w:t>
      </w:r>
    </w:p>
    <w:p w14:paraId="7498BC17" w14:textId="77777777" w:rsidR="00DF4501" w:rsidRPr="00DF4501" w:rsidRDefault="005853BA" w:rsidP="00DF4501">
      <w:pPr>
        <w:pStyle w:val="ListParagraph"/>
        <w:numPr>
          <w:ilvl w:val="0"/>
          <w:numId w:val="15"/>
        </w:num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Cash Reserve Ratio</w:t>
      </w:r>
    </w:p>
    <w:p w14:paraId="2274B9EA" w14:textId="77777777" w:rsidR="00DF4501" w:rsidRPr="00DF4501" w:rsidRDefault="00DF4501" w:rsidP="00DF4501">
      <w:pPr>
        <w:pStyle w:val="ListParagraph"/>
        <w:numPr>
          <w:ilvl w:val="0"/>
          <w:numId w:val="15"/>
        </w:numPr>
        <w:spacing w:line="360" w:lineRule="auto"/>
        <w:jc w:val="both"/>
        <w:rPr>
          <w:rFonts w:ascii="Times New Roman" w:hAnsi="Times New Roman" w:cs="Times New Roman"/>
          <w:color w:val="222222"/>
          <w:sz w:val="24"/>
          <w:szCs w:val="24"/>
          <w:shd w:val="clear" w:color="auto" w:fill="FFFFFF"/>
        </w:rPr>
      </w:pPr>
      <w:r w:rsidRPr="00DF4501">
        <w:rPr>
          <w:rFonts w:ascii="Times New Roman" w:hAnsi="Times New Roman" w:cs="Times New Roman"/>
          <w:color w:val="222222"/>
          <w:sz w:val="24"/>
          <w:szCs w:val="24"/>
          <w:shd w:val="clear" w:color="auto" w:fill="FFFFFF"/>
        </w:rPr>
        <w:t>Statutory Liquidity Ratio</w:t>
      </w:r>
    </w:p>
    <w:p w14:paraId="730D0DB6" w14:textId="77777777" w:rsidR="005853BA" w:rsidRDefault="00DF4501" w:rsidP="00DD3E42">
      <w:pPr>
        <w:pStyle w:val="ListParagraph"/>
        <w:numPr>
          <w:ilvl w:val="0"/>
          <w:numId w:val="15"/>
        </w:numPr>
        <w:spacing w:line="360" w:lineRule="auto"/>
        <w:jc w:val="both"/>
        <w:rPr>
          <w:rFonts w:ascii="Times New Roman" w:hAnsi="Times New Roman" w:cs="Times New Roman"/>
          <w:color w:val="222222"/>
          <w:sz w:val="24"/>
          <w:szCs w:val="24"/>
          <w:shd w:val="clear" w:color="auto" w:fill="FFFFFF"/>
        </w:rPr>
      </w:pPr>
      <w:r w:rsidRPr="005853BA">
        <w:rPr>
          <w:rFonts w:ascii="Times New Roman" w:hAnsi="Times New Roman" w:cs="Times New Roman"/>
          <w:color w:val="222222"/>
          <w:sz w:val="24"/>
          <w:szCs w:val="24"/>
          <w:shd w:val="clear" w:color="auto" w:fill="FFFFFF"/>
        </w:rPr>
        <w:t>Non-Performing Loans to Total Loans and Advances</w:t>
      </w:r>
    </w:p>
    <w:p w14:paraId="56D3F8CD" w14:textId="77777777" w:rsidR="00DF4501" w:rsidRPr="005853BA" w:rsidRDefault="00DF4501" w:rsidP="00DD3E42">
      <w:pPr>
        <w:pStyle w:val="ListParagraph"/>
        <w:numPr>
          <w:ilvl w:val="0"/>
          <w:numId w:val="15"/>
        </w:numPr>
        <w:spacing w:line="360" w:lineRule="auto"/>
        <w:jc w:val="both"/>
        <w:rPr>
          <w:rFonts w:ascii="Times New Roman" w:hAnsi="Times New Roman" w:cs="Times New Roman"/>
          <w:color w:val="222222"/>
          <w:sz w:val="24"/>
          <w:szCs w:val="24"/>
          <w:shd w:val="clear" w:color="auto" w:fill="FFFFFF"/>
        </w:rPr>
      </w:pPr>
      <w:r w:rsidRPr="005853BA">
        <w:rPr>
          <w:rFonts w:ascii="Times New Roman" w:hAnsi="Times New Roman" w:cs="Times New Roman"/>
          <w:color w:val="222222"/>
          <w:sz w:val="24"/>
          <w:szCs w:val="24"/>
          <w:shd w:val="clear" w:color="auto" w:fill="FFFFFF"/>
        </w:rPr>
        <w:t>Percentage of Classified Loans against Total Loans and Advances</w:t>
      </w:r>
    </w:p>
    <w:p w14:paraId="1CFCA9B7" w14:textId="77777777" w:rsidR="00D31721" w:rsidRDefault="00DF4501" w:rsidP="00DD3E42">
      <w:pPr>
        <w:pStyle w:val="ListParagraph"/>
        <w:numPr>
          <w:ilvl w:val="0"/>
          <w:numId w:val="15"/>
        </w:numPr>
        <w:spacing w:line="360" w:lineRule="auto"/>
        <w:jc w:val="both"/>
        <w:rPr>
          <w:rFonts w:ascii="Times New Roman" w:hAnsi="Times New Roman" w:cs="Times New Roman"/>
          <w:color w:val="222222"/>
          <w:sz w:val="24"/>
          <w:szCs w:val="24"/>
          <w:shd w:val="clear" w:color="auto" w:fill="FFFFFF"/>
        </w:rPr>
      </w:pPr>
      <w:r w:rsidRPr="005853BA">
        <w:rPr>
          <w:rFonts w:ascii="Times New Roman" w:hAnsi="Times New Roman" w:cs="Times New Roman"/>
          <w:color w:val="222222"/>
          <w:sz w:val="24"/>
          <w:szCs w:val="24"/>
          <w:shd w:val="clear" w:color="auto" w:fill="FFFFFF"/>
        </w:rPr>
        <w:t>Credit Deposit Ratio</w:t>
      </w:r>
    </w:p>
    <w:p w14:paraId="240791C5" w14:textId="77777777" w:rsidR="00453647" w:rsidRDefault="00453647" w:rsidP="0052086D">
      <w:pPr>
        <w:pStyle w:val="Heading3"/>
        <w:rPr>
          <w:b/>
          <w:color w:val="365F91" w:themeColor="accent1" w:themeShade="BF"/>
          <w:shd w:val="clear" w:color="auto" w:fill="FFFFFF"/>
        </w:rPr>
      </w:pPr>
      <w:bookmarkStart w:id="31" w:name="_Toc53357702"/>
      <w:r w:rsidRPr="0052086D">
        <w:rPr>
          <w:b/>
          <w:color w:val="365F91" w:themeColor="accent1" w:themeShade="BF"/>
          <w:shd w:val="clear" w:color="auto" w:fill="FFFFFF"/>
        </w:rPr>
        <w:t>CASH RESERVE RATIO</w:t>
      </w:r>
      <w:bookmarkEnd w:id="31"/>
    </w:p>
    <w:p w14:paraId="5170068F" w14:textId="77777777" w:rsidR="0052086D" w:rsidRPr="0052086D" w:rsidRDefault="0052086D" w:rsidP="00FB578F">
      <w:pPr>
        <w:spacing w:line="360" w:lineRule="auto"/>
        <w:jc w:val="both"/>
      </w:pPr>
    </w:p>
    <w:p w14:paraId="51B88D8A" w14:textId="1C9AD784" w:rsidR="005864FE" w:rsidRDefault="00DD3E42" w:rsidP="00FB578F">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Cash reserve ratio or CRR is the </w:t>
      </w:r>
      <w:r w:rsidR="00715DE7">
        <w:rPr>
          <w:rFonts w:ascii="Times New Roman" w:hAnsi="Times New Roman" w:cs="Times New Roman"/>
          <w:color w:val="222222"/>
          <w:sz w:val="24"/>
          <w:szCs w:val="24"/>
          <w:shd w:val="clear" w:color="auto" w:fill="FFFFFF"/>
        </w:rPr>
        <w:t>minimum percentage</w:t>
      </w:r>
      <w:r w:rsidR="00F45EC9">
        <w:rPr>
          <w:rFonts w:ascii="Times New Roman" w:hAnsi="Times New Roman" w:cs="Times New Roman"/>
          <w:color w:val="222222"/>
          <w:sz w:val="24"/>
          <w:szCs w:val="24"/>
          <w:shd w:val="clear" w:color="auto" w:fill="FFFFFF"/>
        </w:rPr>
        <w:t xml:space="preserve"> </w:t>
      </w:r>
      <w:r w:rsidR="007F07AF">
        <w:rPr>
          <w:rFonts w:ascii="Times New Roman" w:hAnsi="Times New Roman" w:cs="Times New Roman"/>
          <w:color w:val="222222"/>
          <w:sz w:val="24"/>
          <w:szCs w:val="24"/>
          <w:shd w:val="clear" w:color="auto" w:fill="FFFFFF"/>
        </w:rPr>
        <w:t>of the total deposits of customer that a bank need</w:t>
      </w:r>
      <w:r w:rsidR="00BE0E09">
        <w:rPr>
          <w:rFonts w:ascii="Times New Roman" w:hAnsi="Times New Roman" w:cs="Times New Roman"/>
          <w:color w:val="222222"/>
          <w:sz w:val="24"/>
          <w:szCs w:val="24"/>
          <w:shd w:val="clear" w:color="auto" w:fill="FFFFFF"/>
        </w:rPr>
        <w:t>s</w:t>
      </w:r>
      <w:r w:rsidR="007F07AF">
        <w:rPr>
          <w:rFonts w:ascii="Times New Roman" w:hAnsi="Times New Roman" w:cs="Times New Roman"/>
          <w:color w:val="222222"/>
          <w:sz w:val="24"/>
          <w:szCs w:val="24"/>
          <w:shd w:val="clear" w:color="auto" w:fill="FFFFFF"/>
        </w:rPr>
        <w:t xml:space="preserve"> to reserve in the central bank (Bangladesh Bank).</w:t>
      </w:r>
      <w:r w:rsidR="00BE0E09">
        <w:rPr>
          <w:rFonts w:ascii="Times New Roman" w:hAnsi="Times New Roman" w:cs="Times New Roman"/>
          <w:color w:val="222222"/>
          <w:sz w:val="24"/>
          <w:szCs w:val="24"/>
          <w:shd w:val="clear" w:color="auto" w:fill="FFFFFF"/>
        </w:rPr>
        <w:t xml:space="preserve"> For a country, the CRR rate is pre-decided by the central bank of that</w:t>
      </w:r>
      <w:r w:rsidR="00087767">
        <w:rPr>
          <w:rFonts w:ascii="Times New Roman" w:hAnsi="Times New Roman" w:cs="Times New Roman"/>
          <w:color w:val="222222"/>
          <w:sz w:val="24"/>
          <w:szCs w:val="24"/>
          <w:shd w:val="clear" w:color="auto" w:fill="FFFFFF"/>
        </w:rPr>
        <w:t xml:space="preserve"> country</w:t>
      </w:r>
      <w:r w:rsidR="00E638A2">
        <w:rPr>
          <w:rFonts w:ascii="Times New Roman" w:hAnsi="Times New Roman" w:cs="Times New Roman"/>
          <w:color w:val="222222"/>
          <w:sz w:val="24"/>
          <w:szCs w:val="24"/>
          <w:shd w:val="clear" w:color="auto" w:fill="FFFFFF"/>
        </w:rPr>
        <w:t>.</w:t>
      </w:r>
      <w:r w:rsidR="00E638A2" w:rsidRPr="00E638A2">
        <w:t xml:space="preserve"> </w:t>
      </w:r>
      <w:r w:rsidR="00E638A2">
        <w:rPr>
          <w:rFonts w:ascii="Times New Roman" w:hAnsi="Times New Roman" w:cs="Times New Roman"/>
          <w:color w:val="222222"/>
          <w:sz w:val="24"/>
          <w:szCs w:val="24"/>
          <w:shd w:val="clear" w:color="auto" w:fill="FFFFFF"/>
        </w:rPr>
        <w:t>The goal</w:t>
      </w:r>
      <w:r w:rsidR="00E638A2" w:rsidRPr="00E638A2">
        <w:rPr>
          <w:rFonts w:ascii="Times New Roman" w:hAnsi="Times New Roman" w:cs="Times New Roman"/>
          <w:color w:val="222222"/>
          <w:sz w:val="24"/>
          <w:szCs w:val="24"/>
          <w:shd w:val="clear" w:color="auto" w:fill="FFFFFF"/>
        </w:rPr>
        <w:t xml:space="preserve"> is to ensure that </w:t>
      </w:r>
      <w:r w:rsidR="00E638A2">
        <w:rPr>
          <w:rFonts w:ascii="Times New Roman" w:hAnsi="Times New Roman" w:cs="Times New Roman"/>
          <w:color w:val="222222"/>
          <w:sz w:val="24"/>
          <w:szCs w:val="24"/>
          <w:shd w:val="clear" w:color="auto" w:fill="FFFFFF"/>
        </w:rPr>
        <w:t>banks do not run out of cash and failed to pay</w:t>
      </w:r>
      <w:r w:rsidR="00E638A2" w:rsidRPr="00E638A2">
        <w:rPr>
          <w:rFonts w:ascii="Times New Roman" w:hAnsi="Times New Roman" w:cs="Times New Roman"/>
          <w:color w:val="222222"/>
          <w:sz w:val="24"/>
          <w:szCs w:val="24"/>
          <w:shd w:val="clear" w:color="auto" w:fill="FFFFFF"/>
        </w:rPr>
        <w:t xml:space="preserve"> their depositors. CRR is a crucial monetary policy tool </w:t>
      </w:r>
      <w:r w:rsidR="005864FE">
        <w:rPr>
          <w:rFonts w:ascii="Times New Roman" w:hAnsi="Times New Roman" w:cs="Times New Roman"/>
          <w:color w:val="222222"/>
          <w:sz w:val="24"/>
          <w:szCs w:val="24"/>
          <w:shd w:val="clear" w:color="auto" w:fill="FFFFFF"/>
        </w:rPr>
        <w:t>in every counties banking system. It is a powerful tool for</w:t>
      </w:r>
      <w:r w:rsidR="00E638A2" w:rsidRPr="00E638A2">
        <w:rPr>
          <w:rFonts w:ascii="Times New Roman" w:hAnsi="Times New Roman" w:cs="Times New Roman"/>
          <w:color w:val="222222"/>
          <w:sz w:val="24"/>
          <w:szCs w:val="24"/>
          <w:shd w:val="clear" w:color="auto" w:fill="FFFFFF"/>
        </w:rPr>
        <w:t xml:space="preserve"> control</w:t>
      </w:r>
      <w:r w:rsidR="005864FE">
        <w:rPr>
          <w:rFonts w:ascii="Times New Roman" w:hAnsi="Times New Roman" w:cs="Times New Roman"/>
          <w:color w:val="222222"/>
          <w:sz w:val="24"/>
          <w:szCs w:val="24"/>
          <w:shd w:val="clear" w:color="auto" w:fill="FFFFFF"/>
        </w:rPr>
        <w:t xml:space="preserve">ling money supply in an economy </w:t>
      </w:r>
      <w:sdt>
        <w:sdtPr>
          <w:rPr>
            <w:rFonts w:ascii="Times New Roman" w:hAnsi="Times New Roman" w:cs="Times New Roman"/>
            <w:color w:val="222222"/>
            <w:sz w:val="24"/>
            <w:szCs w:val="24"/>
            <w:shd w:val="clear" w:color="auto" w:fill="FFFFFF"/>
          </w:rPr>
          <w:id w:val="-171955471"/>
          <w:citation/>
        </w:sdtPr>
        <w:sdtContent>
          <w:r w:rsidR="004B0036">
            <w:rPr>
              <w:rFonts w:ascii="Times New Roman" w:hAnsi="Times New Roman" w:cs="Times New Roman"/>
              <w:color w:val="222222"/>
              <w:sz w:val="24"/>
              <w:szCs w:val="24"/>
              <w:shd w:val="clear" w:color="auto" w:fill="FFFFFF"/>
            </w:rPr>
            <w:fldChar w:fldCharType="begin"/>
          </w:r>
          <w:r w:rsidR="004B0036">
            <w:rPr>
              <w:rFonts w:ascii="Times New Roman" w:hAnsi="Times New Roman" w:cs="Times New Roman"/>
              <w:color w:val="222222"/>
              <w:sz w:val="24"/>
              <w:szCs w:val="24"/>
              <w:shd w:val="clear" w:color="auto" w:fill="FFFFFF"/>
              <w:lang w:val="en-SG"/>
            </w:rPr>
            <w:instrText xml:space="preserve"> CITATION The \l 18441 </w:instrText>
          </w:r>
          <w:r w:rsidR="004B0036">
            <w:rPr>
              <w:rFonts w:ascii="Times New Roman" w:hAnsi="Times New Roman" w:cs="Times New Roman"/>
              <w:color w:val="222222"/>
              <w:sz w:val="24"/>
              <w:szCs w:val="24"/>
              <w:shd w:val="clear" w:color="auto" w:fill="FFFFFF"/>
            </w:rPr>
            <w:fldChar w:fldCharType="separate"/>
          </w:r>
          <w:r w:rsidR="007C5EAF" w:rsidRPr="007C5EAF">
            <w:rPr>
              <w:rFonts w:ascii="Times New Roman" w:hAnsi="Times New Roman" w:cs="Times New Roman"/>
              <w:noProof/>
              <w:color w:val="222222"/>
              <w:sz w:val="24"/>
              <w:szCs w:val="24"/>
              <w:shd w:val="clear" w:color="auto" w:fill="FFFFFF"/>
              <w:lang w:val="en-SG"/>
            </w:rPr>
            <w:t>(The Economic Times, n.d.)</w:t>
          </w:r>
          <w:r w:rsidR="004B0036">
            <w:rPr>
              <w:rFonts w:ascii="Times New Roman" w:hAnsi="Times New Roman" w:cs="Times New Roman"/>
              <w:color w:val="222222"/>
              <w:sz w:val="24"/>
              <w:szCs w:val="24"/>
              <w:shd w:val="clear" w:color="auto" w:fill="FFFFFF"/>
            </w:rPr>
            <w:fldChar w:fldCharType="end"/>
          </w:r>
        </w:sdtContent>
      </w:sdt>
      <w:r w:rsidR="00087767">
        <w:rPr>
          <w:rFonts w:ascii="Times New Roman" w:hAnsi="Times New Roman" w:cs="Times New Roman"/>
          <w:color w:val="222222"/>
          <w:sz w:val="24"/>
          <w:szCs w:val="24"/>
          <w:shd w:val="clear" w:color="auto" w:fill="FFFFFF"/>
        </w:rPr>
        <w:t xml:space="preserve">. </w:t>
      </w:r>
      <w:r w:rsidR="003F7722">
        <w:rPr>
          <w:rFonts w:ascii="Times New Roman" w:hAnsi="Times New Roman" w:cs="Times New Roman"/>
          <w:color w:val="222222"/>
          <w:sz w:val="24"/>
          <w:szCs w:val="24"/>
          <w:shd w:val="clear" w:color="auto" w:fill="FFFFFF"/>
        </w:rPr>
        <w:t>If</w:t>
      </w:r>
      <w:r w:rsidR="005872FB">
        <w:rPr>
          <w:rFonts w:ascii="Times New Roman" w:hAnsi="Times New Roman" w:cs="Times New Roman"/>
          <w:color w:val="222222"/>
          <w:sz w:val="24"/>
          <w:szCs w:val="24"/>
          <w:shd w:val="clear" w:color="auto" w:fill="FFFFFF"/>
        </w:rPr>
        <w:t xml:space="preserve"> the</w:t>
      </w:r>
      <w:r w:rsidR="003F7722">
        <w:rPr>
          <w:rFonts w:ascii="Times New Roman" w:hAnsi="Times New Roman" w:cs="Times New Roman"/>
          <w:color w:val="222222"/>
          <w:sz w:val="24"/>
          <w:szCs w:val="24"/>
          <w:shd w:val="clear" w:color="auto" w:fill="FFFFFF"/>
        </w:rPr>
        <w:t xml:space="preserve"> central bank </w:t>
      </w:r>
      <w:r w:rsidR="005872FB">
        <w:rPr>
          <w:rFonts w:ascii="Times New Roman" w:hAnsi="Times New Roman" w:cs="Times New Roman"/>
          <w:color w:val="222222"/>
          <w:sz w:val="24"/>
          <w:szCs w:val="24"/>
          <w:shd w:val="clear" w:color="auto" w:fill="FFFFFF"/>
        </w:rPr>
        <w:t>increases</w:t>
      </w:r>
      <w:r w:rsidR="003F7722">
        <w:rPr>
          <w:rFonts w:ascii="Times New Roman" w:hAnsi="Times New Roman" w:cs="Times New Roman"/>
          <w:color w:val="222222"/>
          <w:sz w:val="24"/>
          <w:szCs w:val="24"/>
          <w:shd w:val="clear" w:color="auto" w:fill="FFFFFF"/>
        </w:rPr>
        <w:t xml:space="preserve"> the CRR rate, banks need to reserve more money. As a result, bank</w:t>
      </w:r>
      <w:r w:rsidR="0063083E">
        <w:rPr>
          <w:rFonts w:ascii="Times New Roman" w:hAnsi="Times New Roman" w:cs="Times New Roman"/>
          <w:color w:val="222222"/>
          <w:sz w:val="24"/>
          <w:szCs w:val="24"/>
          <w:shd w:val="clear" w:color="auto" w:fill="FFFFFF"/>
        </w:rPr>
        <w:t xml:space="preserve">s will increase their loan interest rate which will demotivate people to take loans and eventually </w:t>
      </w:r>
      <w:r w:rsidR="008C0955">
        <w:rPr>
          <w:rFonts w:ascii="Times New Roman" w:hAnsi="Times New Roman" w:cs="Times New Roman"/>
          <w:color w:val="222222"/>
          <w:sz w:val="24"/>
          <w:szCs w:val="24"/>
          <w:shd w:val="clear" w:color="auto" w:fill="FFFFFF"/>
        </w:rPr>
        <w:t>it reduce</w:t>
      </w:r>
      <w:r w:rsidR="005872FB">
        <w:rPr>
          <w:rFonts w:ascii="Times New Roman" w:hAnsi="Times New Roman" w:cs="Times New Roman"/>
          <w:color w:val="222222"/>
          <w:sz w:val="24"/>
          <w:szCs w:val="24"/>
          <w:shd w:val="clear" w:color="auto" w:fill="FFFFFF"/>
        </w:rPr>
        <w:t>s</w:t>
      </w:r>
      <w:r w:rsidR="008C0955">
        <w:rPr>
          <w:rFonts w:ascii="Times New Roman" w:hAnsi="Times New Roman" w:cs="Times New Roman"/>
          <w:color w:val="222222"/>
          <w:sz w:val="24"/>
          <w:szCs w:val="24"/>
          <w:shd w:val="clear" w:color="auto" w:fill="FFFFFF"/>
        </w:rPr>
        <w:t xml:space="preserve"> money supply in the economy and vice versa. </w:t>
      </w:r>
    </w:p>
    <w:p w14:paraId="301ACF0F" w14:textId="77777777" w:rsidR="0007573E" w:rsidRPr="00453647" w:rsidRDefault="000046A5" w:rsidP="00453647">
      <w:pPr>
        <w:spacing w:line="360" w:lineRule="auto"/>
        <w:jc w:val="both"/>
        <w:rPr>
          <w:rFonts w:ascii="Times New Roman" w:hAnsi="Times New Roman" w:cs="Times New Roman"/>
          <w:color w:val="222222"/>
          <w:sz w:val="24"/>
          <w:szCs w:val="24"/>
          <w:shd w:val="clear" w:color="auto" w:fill="FFFFFF"/>
        </w:rPr>
      </w:pPr>
      <w:r>
        <w:rPr>
          <w:noProof/>
        </w:rPr>
        <w:lastRenderedPageBreak/>
        <w:drawing>
          <wp:inline distT="0" distB="0" distL="0" distR="0" wp14:anchorId="296CC564" wp14:editId="4CDD48D2">
            <wp:extent cx="5905500" cy="24765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0F8649D2" w14:textId="77777777" w:rsidR="00E10D61" w:rsidRDefault="00E10D61" w:rsidP="00E10D61">
      <w:pPr>
        <w:pStyle w:val="Caption"/>
        <w:jc w:val="center"/>
        <w:rPr>
          <w:rFonts w:ascii="Times New Roman" w:hAnsi="Times New Roman" w:cs="Times New Roman"/>
          <w:color w:val="222222"/>
          <w:sz w:val="24"/>
          <w:szCs w:val="24"/>
          <w:shd w:val="clear" w:color="auto" w:fill="FFFFFF"/>
        </w:rPr>
      </w:pPr>
      <w:bookmarkStart w:id="32" w:name="_Toc53356065"/>
      <w:r>
        <w:t xml:space="preserve">Figure </w:t>
      </w:r>
      <w:fldSimple w:instr=" SEQ Figure \* ARABIC ">
        <w:r w:rsidR="008B60A5">
          <w:rPr>
            <w:noProof/>
          </w:rPr>
          <w:t>6</w:t>
        </w:r>
      </w:fldSimple>
      <w:r>
        <w:t>: Average CRR</w:t>
      </w:r>
      <w:bookmarkEnd w:id="32"/>
    </w:p>
    <w:p w14:paraId="2DCAA8D3" w14:textId="06B32D46" w:rsidR="000046A5" w:rsidRDefault="000046A5" w:rsidP="00453647">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As per Ban</w:t>
      </w:r>
      <w:r w:rsidR="00602883">
        <w:rPr>
          <w:rFonts w:ascii="Times New Roman" w:hAnsi="Times New Roman" w:cs="Times New Roman"/>
          <w:color w:val="222222"/>
          <w:sz w:val="24"/>
          <w:szCs w:val="24"/>
          <w:shd w:val="clear" w:color="auto" w:fill="FFFFFF"/>
        </w:rPr>
        <w:t xml:space="preserve">gladesh bank, </w:t>
      </w:r>
      <w:r w:rsidR="00F2793C">
        <w:rPr>
          <w:rFonts w:ascii="Times New Roman" w:hAnsi="Times New Roman" w:cs="Times New Roman"/>
          <w:color w:val="222222"/>
          <w:sz w:val="24"/>
          <w:szCs w:val="24"/>
          <w:shd w:val="clear" w:color="auto" w:fill="FFFFFF"/>
        </w:rPr>
        <w:t>CRR rate is 5.5% for all the conventional private banks.</w:t>
      </w:r>
      <w:r w:rsidR="00602883">
        <w:rPr>
          <w:rFonts w:ascii="Times New Roman" w:hAnsi="Times New Roman" w:cs="Times New Roman"/>
          <w:color w:val="222222"/>
          <w:sz w:val="24"/>
          <w:szCs w:val="24"/>
          <w:shd w:val="clear" w:color="auto" w:fill="FFFFFF"/>
        </w:rPr>
        <w:t xml:space="preserve"> </w:t>
      </w:r>
      <w:r w:rsidR="005872FB">
        <w:rPr>
          <w:rFonts w:ascii="Times New Roman" w:hAnsi="Times New Roman" w:cs="Times New Roman"/>
          <w:color w:val="222222"/>
          <w:sz w:val="24"/>
          <w:szCs w:val="24"/>
          <w:shd w:val="clear" w:color="auto" w:fill="FFFFFF"/>
        </w:rPr>
        <w:t>That is</w:t>
      </w:r>
      <w:r w:rsidR="00602883">
        <w:rPr>
          <w:rFonts w:ascii="Times New Roman" w:hAnsi="Times New Roman" w:cs="Times New Roman"/>
          <w:color w:val="222222"/>
          <w:sz w:val="24"/>
          <w:szCs w:val="24"/>
          <w:shd w:val="clear" w:color="auto" w:fill="FFFFFF"/>
        </w:rPr>
        <w:t xml:space="preserve"> why most of the banks keep cash reserve 5.5% to 6%. </w:t>
      </w:r>
    </w:p>
    <w:p w14:paraId="52BB6E95" w14:textId="77777777" w:rsidR="0063061F" w:rsidRDefault="00453647" w:rsidP="00576D63">
      <w:pPr>
        <w:pStyle w:val="Heading3"/>
        <w:rPr>
          <w:b/>
          <w:color w:val="365F91" w:themeColor="accent1" w:themeShade="BF"/>
          <w:shd w:val="clear" w:color="auto" w:fill="FFFFFF"/>
        </w:rPr>
      </w:pPr>
      <w:bookmarkStart w:id="33" w:name="_Toc53357703"/>
      <w:r w:rsidRPr="00576D63">
        <w:rPr>
          <w:b/>
          <w:color w:val="365F91" w:themeColor="accent1" w:themeShade="BF"/>
          <w:shd w:val="clear" w:color="auto" w:fill="FFFFFF"/>
        </w:rPr>
        <w:t>STATUTORY LIQUIDITY RATIO</w:t>
      </w:r>
      <w:bookmarkEnd w:id="33"/>
    </w:p>
    <w:p w14:paraId="7B8E325A" w14:textId="77777777" w:rsidR="00576D63" w:rsidRPr="00576D63" w:rsidRDefault="00576D63" w:rsidP="00576D63"/>
    <w:p w14:paraId="192E99F0" w14:textId="5D006679" w:rsidR="008A2D1A" w:rsidRDefault="009C6EB7" w:rsidP="00453647">
      <w:pPr>
        <w:spacing w:line="360" w:lineRule="auto"/>
        <w:jc w:val="both"/>
        <w:rPr>
          <w:rFonts w:ascii="Times New Roman" w:hAnsi="Times New Roman" w:cs="Times New Roman"/>
          <w:color w:val="222222"/>
          <w:sz w:val="24"/>
          <w:szCs w:val="24"/>
          <w:shd w:val="clear" w:color="auto" w:fill="FFFFFF"/>
        </w:rPr>
      </w:pPr>
      <w:r w:rsidRPr="009C6EB7">
        <w:rPr>
          <w:rFonts w:ascii="Times New Roman" w:hAnsi="Times New Roman" w:cs="Times New Roman"/>
          <w:color w:val="222222"/>
          <w:sz w:val="24"/>
          <w:szCs w:val="24"/>
          <w:shd w:val="clear" w:color="auto" w:fill="FFFFFF"/>
        </w:rPr>
        <w:t>The Statutory Liquidity Rati</w:t>
      </w:r>
      <w:r w:rsidR="00C868EF">
        <w:rPr>
          <w:rFonts w:ascii="Times New Roman" w:hAnsi="Times New Roman" w:cs="Times New Roman"/>
          <w:color w:val="222222"/>
          <w:sz w:val="24"/>
          <w:szCs w:val="24"/>
          <w:shd w:val="clear" w:color="auto" w:fill="FFFFFF"/>
        </w:rPr>
        <w:t>o (SLR) refers to the percentage</w:t>
      </w:r>
      <w:r w:rsidRPr="009C6EB7">
        <w:rPr>
          <w:rFonts w:ascii="Times New Roman" w:hAnsi="Times New Roman" w:cs="Times New Roman"/>
          <w:color w:val="222222"/>
          <w:sz w:val="24"/>
          <w:szCs w:val="24"/>
          <w:shd w:val="clear" w:color="auto" w:fill="FFFFFF"/>
        </w:rPr>
        <w:t xml:space="preserve"> of deposits the commercial bank i</w:t>
      </w:r>
      <w:r w:rsidR="00C868EF">
        <w:rPr>
          <w:rFonts w:ascii="Times New Roman" w:hAnsi="Times New Roman" w:cs="Times New Roman"/>
          <w:color w:val="222222"/>
          <w:sz w:val="24"/>
          <w:szCs w:val="24"/>
          <w:shd w:val="clear" w:color="auto" w:fill="FFFFFF"/>
        </w:rPr>
        <w:t>s required to maintain with central bank (Bangladesh Bank)</w:t>
      </w:r>
      <w:r w:rsidRPr="009C6EB7">
        <w:rPr>
          <w:rFonts w:ascii="Times New Roman" w:hAnsi="Times New Roman" w:cs="Times New Roman"/>
          <w:color w:val="222222"/>
          <w:sz w:val="24"/>
          <w:szCs w:val="24"/>
          <w:shd w:val="clear" w:color="auto" w:fill="FFFFFF"/>
        </w:rPr>
        <w:t xml:space="preserve"> in the form of liquid assets in add</w:t>
      </w:r>
      <w:r w:rsidR="005D68ED">
        <w:rPr>
          <w:rFonts w:ascii="Times New Roman" w:hAnsi="Times New Roman" w:cs="Times New Roman"/>
          <w:color w:val="222222"/>
          <w:sz w:val="24"/>
          <w:szCs w:val="24"/>
          <w:shd w:val="clear" w:color="auto" w:fill="FFFFFF"/>
        </w:rPr>
        <w:t>ition to the cash reserve ratio</w:t>
      </w:r>
      <w:sdt>
        <w:sdtPr>
          <w:rPr>
            <w:rFonts w:ascii="Times New Roman" w:hAnsi="Times New Roman" w:cs="Times New Roman"/>
            <w:color w:val="222222"/>
            <w:sz w:val="24"/>
            <w:szCs w:val="24"/>
            <w:shd w:val="clear" w:color="auto" w:fill="FFFFFF"/>
          </w:rPr>
          <w:id w:val="609856264"/>
          <w:citation/>
        </w:sdtPr>
        <w:sdtContent>
          <w:r w:rsidR="005D68ED">
            <w:rPr>
              <w:rFonts w:ascii="Times New Roman" w:hAnsi="Times New Roman" w:cs="Times New Roman"/>
              <w:color w:val="222222"/>
              <w:sz w:val="24"/>
              <w:szCs w:val="24"/>
              <w:shd w:val="clear" w:color="auto" w:fill="FFFFFF"/>
            </w:rPr>
            <w:fldChar w:fldCharType="begin"/>
          </w:r>
          <w:r w:rsidR="005D68ED">
            <w:rPr>
              <w:rFonts w:ascii="Times New Roman" w:hAnsi="Times New Roman" w:cs="Times New Roman"/>
              <w:color w:val="222222"/>
              <w:sz w:val="24"/>
              <w:szCs w:val="24"/>
              <w:shd w:val="clear" w:color="auto" w:fill="FFFFFF"/>
              <w:lang w:val="en-SG"/>
            </w:rPr>
            <w:instrText xml:space="preserve"> CITATION Bus \l 18441 </w:instrText>
          </w:r>
          <w:r w:rsidR="005D68ED">
            <w:rPr>
              <w:rFonts w:ascii="Times New Roman" w:hAnsi="Times New Roman" w:cs="Times New Roman"/>
              <w:color w:val="222222"/>
              <w:sz w:val="24"/>
              <w:szCs w:val="24"/>
              <w:shd w:val="clear" w:color="auto" w:fill="FFFFFF"/>
            </w:rPr>
            <w:fldChar w:fldCharType="separate"/>
          </w:r>
          <w:r w:rsidR="007C5EAF">
            <w:rPr>
              <w:rFonts w:ascii="Times New Roman" w:hAnsi="Times New Roman" w:cs="Times New Roman"/>
              <w:noProof/>
              <w:color w:val="222222"/>
              <w:sz w:val="24"/>
              <w:szCs w:val="24"/>
              <w:shd w:val="clear" w:color="auto" w:fill="FFFFFF"/>
              <w:lang w:val="en-SG"/>
            </w:rPr>
            <w:t xml:space="preserve"> </w:t>
          </w:r>
          <w:r w:rsidR="007C5EAF" w:rsidRPr="007C5EAF">
            <w:rPr>
              <w:rFonts w:ascii="Times New Roman" w:hAnsi="Times New Roman" w:cs="Times New Roman"/>
              <w:noProof/>
              <w:color w:val="222222"/>
              <w:sz w:val="24"/>
              <w:szCs w:val="24"/>
              <w:shd w:val="clear" w:color="auto" w:fill="FFFFFF"/>
              <w:lang w:val="en-SG"/>
            </w:rPr>
            <w:t>(Business Jargons, n.d.)</w:t>
          </w:r>
          <w:r w:rsidR="005D68ED">
            <w:rPr>
              <w:rFonts w:ascii="Times New Roman" w:hAnsi="Times New Roman" w:cs="Times New Roman"/>
              <w:color w:val="222222"/>
              <w:sz w:val="24"/>
              <w:szCs w:val="24"/>
              <w:shd w:val="clear" w:color="auto" w:fill="FFFFFF"/>
            </w:rPr>
            <w:fldChar w:fldCharType="end"/>
          </w:r>
        </w:sdtContent>
      </w:sdt>
      <w:r w:rsidR="005D68ED">
        <w:rPr>
          <w:rFonts w:ascii="Times New Roman" w:hAnsi="Times New Roman" w:cs="Times New Roman"/>
          <w:color w:val="222222"/>
          <w:sz w:val="24"/>
          <w:szCs w:val="24"/>
          <w:shd w:val="clear" w:color="auto" w:fill="FFFFFF"/>
        </w:rPr>
        <w:t>.</w:t>
      </w:r>
      <w:r w:rsidR="00C11DFB">
        <w:rPr>
          <w:rFonts w:ascii="Times New Roman" w:hAnsi="Times New Roman" w:cs="Times New Roman"/>
          <w:color w:val="222222"/>
          <w:sz w:val="24"/>
          <w:szCs w:val="24"/>
          <w:shd w:val="clear" w:color="auto" w:fill="FFFFFF"/>
        </w:rPr>
        <w:t xml:space="preserve"> Central bank </w:t>
      </w:r>
      <w:r w:rsidR="005872FB">
        <w:rPr>
          <w:rFonts w:ascii="Times New Roman" w:hAnsi="Times New Roman" w:cs="Times New Roman"/>
          <w:color w:val="222222"/>
          <w:sz w:val="24"/>
          <w:szCs w:val="24"/>
          <w:shd w:val="clear" w:color="auto" w:fill="FFFFFF"/>
        </w:rPr>
        <w:t>announces</w:t>
      </w:r>
      <w:r w:rsidR="00C11DFB">
        <w:rPr>
          <w:rFonts w:ascii="Times New Roman" w:hAnsi="Times New Roman" w:cs="Times New Roman"/>
          <w:color w:val="222222"/>
          <w:sz w:val="24"/>
          <w:szCs w:val="24"/>
          <w:shd w:val="clear" w:color="auto" w:fill="FFFFFF"/>
        </w:rPr>
        <w:t xml:space="preserve"> a specific SLR rate for all the commercial banks.</w:t>
      </w:r>
      <w:r w:rsidR="003867D0">
        <w:rPr>
          <w:rFonts w:ascii="Times New Roman" w:hAnsi="Times New Roman" w:cs="Times New Roman"/>
          <w:color w:val="222222"/>
          <w:sz w:val="24"/>
          <w:szCs w:val="24"/>
          <w:shd w:val="clear" w:color="auto" w:fill="FFFFFF"/>
        </w:rPr>
        <w:t xml:space="preserve"> SLR rate too play</w:t>
      </w:r>
      <w:r w:rsidR="00B20BB2">
        <w:rPr>
          <w:rFonts w:ascii="Times New Roman" w:hAnsi="Times New Roman" w:cs="Times New Roman"/>
          <w:color w:val="222222"/>
          <w:sz w:val="24"/>
          <w:szCs w:val="24"/>
          <w:shd w:val="clear" w:color="auto" w:fill="FFFFFF"/>
        </w:rPr>
        <w:t>s</w:t>
      </w:r>
      <w:r w:rsidR="003867D0">
        <w:rPr>
          <w:rFonts w:ascii="Times New Roman" w:hAnsi="Times New Roman" w:cs="Times New Roman"/>
          <w:color w:val="222222"/>
          <w:sz w:val="24"/>
          <w:szCs w:val="24"/>
          <w:shd w:val="clear" w:color="auto" w:fill="FFFFFF"/>
        </w:rPr>
        <w:t xml:space="preserve"> an important role in money supply in the economy in the same way CRR rate does. </w:t>
      </w:r>
    </w:p>
    <w:p w14:paraId="2BD44DC0" w14:textId="77777777" w:rsidR="00847EB5" w:rsidRDefault="00847EB5" w:rsidP="00453647">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603F82AB" wp14:editId="7F84C6EA">
            <wp:extent cx="5943600" cy="224790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AB7961F" w14:textId="77777777" w:rsidR="00E10D61" w:rsidRDefault="00E10D61" w:rsidP="00E10D61">
      <w:pPr>
        <w:pStyle w:val="Caption"/>
        <w:jc w:val="center"/>
        <w:rPr>
          <w:rFonts w:ascii="Times New Roman" w:hAnsi="Times New Roman" w:cs="Times New Roman"/>
          <w:color w:val="222222"/>
          <w:sz w:val="24"/>
          <w:szCs w:val="24"/>
          <w:shd w:val="clear" w:color="auto" w:fill="FFFFFF"/>
        </w:rPr>
      </w:pPr>
      <w:bookmarkStart w:id="34" w:name="_Toc53356066"/>
      <w:r>
        <w:t xml:space="preserve">Figure </w:t>
      </w:r>
      <w:fldSimple w:instr=" SEQ Figure \* ARABIC ">
        <w:r w:rsidR="008B60A5">
          <w:rPr>
            <w:noProof/>
          </w:rPr>
          <w:t>7</w:t>
        </w:r>
      </w:fldSimple>
      <w:r>
        <w:t>: Average SLR</w:t>
      </w:r>
      <w:bookmarkEnd w:id="34"/>
    </w:p>
    <w:p w14:paraId="4006CECC" w14:textId="77777777" w:rsidR="00847EB5" w:rsidRDefault="00847EB5" w:rsidP="00453647">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As per Bangladesh bank, SLR rate is 13% for all the conventional private banks, most of the banks follow that rate. Jamuna bank, Prime bank and Uttara bank keep statutory reserve than 13%.</w:t>
      </w:r>
    </w:p>
    <w:p w14:paraId="6038300A" w14:textId="77777777" w:rsidR="00453647" w:rsidRDefault="00453647" w:rsidP="00326F5F">
      <w:pPr>
        <w:pStyle w:val="Heading3"/>
        <w:rPr>
          <w:b/>
          <w:color w:val="365F91" w:themeColor="accent1" w:themeShade="BF"/>
          <w:shd w:val="clear" w:color="auto" w:fill="FFFFFF"/>
        </w:rPr>
      </w:pPr>
      <w:bookmarkStart w:id="35" w:name="_Toc53357704"/>
      <w:r w:rsidRPr="00326F5F">
        <w:rPr>
          <w:b/>
          <w:color w:val="365F91" w:themeColor="accent1" w:themeShade="BF"/>
          <w:shd w:val="clear" w:color="auto" w:fill="FFFFFF"/>
        </w:rPr>
        <w:t>NON-PERFORMING LOANS TO TOTAL LOANS AND ADVANCES</w:t>
      </w:r>
      <w:bookmarkEnd w:id="35"/>
    </w:p>
    <w:p w14:paraId="6697D7DB" w14:textId="77777777" w:rsidR="00326F5F" w:rsidRPr="00326F5F" w:rsidRDefault="00326F5F" w:rsidP="00326F5F"/>
    <w:p w14:paraId="6A40DFCC" w14:textId="5178E1A1" w:rsidR="005C596D" w:rsidRDefault="00E7620E" w:rsidP="00453647">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When a borrower </w:t>
      </w:r>
      <w:r w:rsidR="005872FB">
        <w:rPr>
          <w:rFonts w:ascii="Times New Roman" w:hAnsi="Times New Roman" w:cs="Times New Roman"/>
          <w:color w:val="222222"/>
          <w:sz w:val="24"/>
          <w:szCs w:val="24"/>
          <w:shd w:val="clear" w:color="auto" w:fill="FFFFFF"/>
        </w:rPr>
        <w:t>fails</w:t>
      </w:r>
      <w:r w:rsidR="00F1171F">
        <w:rPr>
          <w:rFonts w:ascii="Times New Roman" w:hAnsi="Times New Roman" w:cs="Times New Roman"/>
          <w:color w:val="222222"/>
          <w:sz w:val="24"/>
          <w:szCs w:val="24"/>
          <w:shd w:val="clear" w:color="auto" w:fill="FFFFFF"/>
        </w:rPr>
        <w:t xml:space="preserve"> to pay the principle amount and interest to the banks that loan is called non-performing loan.</w:t>
      </w:r>
      <w:r w:rsidR="009129AE">
        <w:rPr>
          <w:rFonts w:ascii="Times New Roman" w:hAnsi="Times New Roman" w:cs="Times New Roman"/>
          <w:color w:val="222222"/>
          <w:sz w:val="24"/>
          <w:szCs w:val="24"/>
          <w:shd w:val="clear" w:color="auto" w:fill="FFFFFF"/>
        </w:rPr>
        <w:t xml:space="preserve"> </w:t>
      </w:r>
      <w:r w:rsidR="009129AE" w:rsidRPr="00453647">
        <w:rPr>
          <w:rFonts w:ascii="Times New Roman" w:hAnsi="Times New Roman" w:cs="Times New Roman"/>
          <w:color w:val="222222"/>
          <w:sz w:val="24"/>
          <w:szCs w:val="24"/>
          <w:shd w:val="clear" w:color="auto" w:fill="FFFFFF"/>
        </w:rPr>
        <w:t>Non-performing loans to total loans and advances</w:t>
      </w:r>
      <w:r w:rsidR="009129AE">
        <w:rPr>
          <w:rFonts w:ascii="Times New Roman" w:hAnsi="Times New Roman" w:cs="Times New Roman"/>
          <w:color w:val="222222"/>
          <w:sz w:val="24"/>
          <w:szCs w:val="24"/>
          <w:shd w:val="clear" w:color="auto" w:fill="FFFFFF"/>
        </w:rPr>
        <w:t xml:space="preserve"> ratio describe the percentage of default loan against the loans and advances. Lower the ratio, higher the bank is effective in collecting their money from the borrowers. </w:t>
      </w:r>
    </w:p>
    <w:p w14:paraId="55D67CE2" w14:textId="77777777" w:rsidR="0058484B" w:rsidRPr="00453647" w:rsidRDefault="0058484B" w:rsidP="00453647">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23CFF552" wp14:editId="7C031D6E">
            <wp:extent cx="5943600" cy="2598420"/>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2081D9E6" w14:textId="77777777" w:rsidR="00E10D61" w:rsidRDefault="00E10D61" w:rsidP="00E10D61">
      <w:pPr>
        <w:pStyle w:val="Caption"/>
        <w:jc w:val="center"/>
        <w:rPr>
          <w:rFonts w:ascii="Times New Roman" w:hAnsi="Times New Roman" w:cs="Times New Roman"/>
          <w:color w:val="222222"/>
          <w:sz w:val="24"/>
          <w:szCs w:val="24"/>
          <w:shd w:val="clear" w:color="auto" w:fill="FFFFFF"/>
        </w:rPr>
      </w:pPr>
      <w:bookmarkStart w:id="36" w:name="_Toc53356067"/>
      <w:r>
        <w:t xml:space="preserve">Figure </w:t>
      </w:r>
      <w:fldSimple w:instr=" SEQ Figure \* ARABIC ">
        <w:r w:rsidR="008B60A5">
          <w:rPr>
            <w:noProof/>
          </w:rPr>
          <w:t>8</w:t>
        </w:r>
      </w:fldSimple>
      <w:r>
        <w:t>: Average NPL to Total Loans and Advances</w:t>
      </w:r>
      <w:bookmarkEnd w:id="36"/>
    </w:p>
    <w:p w14:paraId="30910055" w14:textId="77777777" w:rsidR="0058484B" w:rsidRDefault="00EA1ECC" w:rsidP="00453647">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As chart saying National bank has the highest average percentage of non-performing loans to total loans and advances</w:t>
      </w:r>
      <w:r w:rsidR="00D118B1">
        <w:rPr>
          <w:rFonts w:ascii="Times New Roman" w:hAnsi="Times New Roman" w:cs="Times New Roman"/>
          <w:color w:val="222222"/>
          <w:sz w:val="24"/>
          <w:szCs w:val="24"/>
          <w:shd w:val="clear" w:color="auto" w:fill="FFFFFF"/>
        </w:rPr>
        <w:t xml:space="preserve">, </w:t>
      </w:r>
      <w:r w:rsidR="00257B2C">
        <w:rPr>
          <w:rFonts w:ascii="Times New Roman" w:hAnsi="Times New Roman" w:cs="Times New Roman"/>
          <w:color w:val="222222"/>
          <w:sz w:val="24"/>
          <w:szCs w:val="24"/>
          <w:shd w:val="clear" w:color="auto" w:fill="FFFFFF"/>
        </w:rPr>
        <w:t>9%</w:t>
      </w:r>
      <w:r>
        <w:rPr>
          <w:rFonts w:ascii="Times New Roman" w:hAnsi="Times New Roman" w:cs="Times New Roman"/>
          <w:color w:val="222222"/>
          <w:sz w:val="24"/>
          <w:szCs w:val="24"/>
          <w:shd w:val="clear" w:color="auto" w:fill="FFFFFF"/>
        </w:rPr>
        <w:t xml:space="preserve">. </w:t>
      </w:r>
      <w:r w:rsidR="00371ED4">
        <w:rPr>
          <w:rFonts w:ascii="Times New Roman" w:hAnsi="Times New Roman" w:cs="Times New Roman"/>
          <w:color w:val="222222"/>
          <w:sz w:val="24"/>
          <w:szCs w:val="24"/>
          <w:shd w:val="clear" w:color="auto" w:fill="FFFFFF"/>
        </w:rPr>
        <w:t xml:space="preserve">That means it has the most default loans against its total loans and advances. </w:t>
      </w:r>
      <w:r w:rsidR="001F5E96">
        <w:rPr>
          <w:rFonts w:ascii="Times New Roman" w:hAnsi="Times New Roman" w:cs="Times New Roman"/>
          <w:color w:val="222222"/>
          <w:sz w:val="24"/>
          <w:szCs w:val="24"/>
          <w:shd w:val="clear" w:color="auto" w:fill="FFFFFF"/>
        </w:rPr>
        <w:t xml:space="preserve">And it is a bad sign for any bank. </w:t>
      </w:r>
      <w:r w:rsidR="00D118B1">
        <w:rPr>
          <w:rFonts w:ascii="Times New Roman" w:hAnsi="Times New Roman" w:cs="Times New Roman"/>
          <w:color w:val="222222"/>
          <w:sz w:val="24"/>
          <w:szCs w:val="24"/>
          <w:shd w:val="clear" w:color="auto" w:fill="FFFFFF"/>
        </w:rPr>
        <w:t xml:space="preserve">Other banks have 3% to 7% NPL to total </w:t>
      </w:r>
      <w:r w:rsidR="00127323">
        <w:rPr>
          <w:rFonts w:ascii="Times New Roman" w:hAnsi="Times New Roman" w:cs="Times New Roman"/>
          <w:color w:val="222222"/>
          <w:sz w:val="24"/>
          <w:szCs w:val="24"/>
          <w:shd w:val="clear" w:color="auto" w:fill="FFFFFF"/>
        </w:rPr>
        <w:t>loans</w:t>
      </w:r>
      <w:r w:rsidR="00D118B1">
        <w:rPr>
          <w:rFonts w:ascii="Times New Roman" w:hAnsi="Times New Roman" w:cs="Times New Roman"/>
          <w:color w:val="222222"/>
          <w:sz w:val="24"/>
          <w:szCs w:val="24"/>
          <w:shd w:val="clear" w:color="auto" w:fill="FFFFFF"/>
        </w:rPr>
        <w:t xml:space="preserve"> and </w:t>
      </w:r>
      <w:r w:rsidR="00127323">
        <w:rPr>
          <w:rFonts w:ascii="Times New Roman" w:hAnsi="Times New Roman" w:cs="Times New Roman"/>
          <w:color w:val="222222"/>
          <w:sz w:val="24"/>
          <w:szCs w:val="24"/>
          <w:shd w:val="clear" w:color="auto" w:fill="FFFFFF"/>
        </w:rPr>
        <w:t>advances</w:t>
      </w:r>
      <w:r w:rsidR="00D118B1">
        <w:rPr>
          <w:rFonts w:ascii="Times New Roman" w:hAnsi="Times New Roman" w:cs="Times New Roman"/>
          <w:color w:val="222222"/>
          <w:sz w:val="24"/>
          <w:szCs w:val="24"/>
          <w:shd w:val="clear" w:color="auto" w:fill="FFFFFF"/>
        </w:rPr>
        <w:t xml:space="preserve">. </w:t>
      </w:r>
      <w:r w:rsidR="00257B2C">
        <w:rPr>
          <w:rFonts w:ascii="Times New Roman" w:hAnsi="Times New Roman" w:cs="Times New Roman"/>
          <w:color w:val="222222"/>
          <w:sz w:val="24"/>
          <w:szCs w:val="24"/>
          <w:shd w:val="clear" w:color="auto" w:fill="FFFFFF"/>
        </w:rPr>
        <w:t xml:space="preserve">So, we can assume in average the number of defaulters is high in Bangladesh that has a bad impact on the banking sector. </w:t>
      </w:r>
    </w:p>
    <w:p w14:paraId="45C68410" w14:textId="77777777" w:rsidR="00453647" w:rsidRDefault="00453647" w:rsidP="00512AA2">
      <w:pPr>
        <w:pStyle w:val="Heading3"/>
        <w:rPr>
          <w:b/>
          <w:color w:val="365F91" w:themeColor="accent1" w:themeShade="BF"/>
          <w:shd w:val="clear" w:color="auto" w:fill="FFFFFF"/>
        </w:rPr>
      </w:pPr>
      <w:bookmarkStart w:id="37" w:name="_Toc53357705"/>
      <w:r w:rsidRPr="00512AA2">
        <w:rPr>
          <w:b/>
          <w:color w:val="365F91" w:themeColor="accent1" w:themeShade="BF"/>
          <w:shd w:val="clear" w:color="auto" w:fill="FFFFFF"/>
        </w:rPr>
        <w:t>PERCENTAGE OF CLASSIFIED LOANS AGAINST TOTAL LOANS AND ADVANCES</w:t>
      </w:r>
      <w:bookmarkEnd w:id="37"/>
    </w:p>
    <w:p w14:paraId="6BC522B7" w14:textId="77777777" w:rsidR="00512AA2" w:rsidRPr="00512AA2" w:rsidRDefault="00512AA2" w:rsidP="00512AA2"/>
    <w:p w14:paraId="04D1BC92" w14:textId="77777777" w:rsidR="00682820" w:rsidRDefault="00682820" w:rsidP="00453647">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Classified loans are the loans that are deemed to be default or have potential risk to become default. </w:t>
      </w:r>
      <w:r w:rsidR="009158D5" w:rsidRPr="00453647">
        <w:rPr>
          <w:rFonts w:ascii="Times New Roman" w:hAnsi="Times New Roman" w:cs="Times New Roman"/>
          <w:color w:val="222222"/>
          <w:sz w:val="24"/>
          <w:szCs w:val="24"/>
          <w:shd w:val="clear" w:color="auto" w:fill="FFFFFF"/>
        </w:rPr>
        <w:t>Percentage of classified loans against total loans and advances</w:t>
      </w:r>
      <w:r w:rsidR="009158D5">
        <w:rPr>
          <w:rFonts w:ascii="Times New Roman" w:hAnsi="Times New Roman" w:cs="Times New Roman"/>
          <w:color w:val="222222"/>
          <w:sz w:val="24"/>
          <w:szCs w:val="24"/>
          <w:shd w:val="clear" w:color="auto" w:fill="FFFFFF"/>
        </w:rPr>
        <w:t xml:space="preserve"> help us to understand future situation and risk associated with loan.</w:t>
      </w:r>
    </w:p>
    <w:p w14:paraId="7D3BEAB4" w14:textId="77777777" w:rsidR="00B56765" w:rsidRDefault="00573A0A" w:rsidP="00453647">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1E8D1294" wp14:editId="250E76EF">
            <wp:extent cx="6126480" cy="2560320"/>
            <wp:effectExtent l="0" t="0" r="762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EA7E808" w14:textId="77777777" w:rsidR="00E10D61" w:rsidRPr="00E10D61" w:rsidRDefault="00E10D61" w:rsidP="00E10D61">
      <w:pPr>
        <w:pStyle w:val="Caption"/>
        <w:jc w:val="center"/>
      </w:pPr>
      <w:bookmarkStart w:id="38" w:name="_Toc53356068"/>
      <w:r>
        <w:t xml:space="preserve">Figure </w:t>
      </w:r>
      <w:fldSimple w:instr=" SEQ Figure \* ARABIC ">
        <w:r w:rsidR="008B60A5">
          <w:rPr>
            <w:noProof/>
          </w:rPr>
          <w:t>9</w:t>
        </w:r>
      </w:fldSimple>
      <w:r>
        <w:t>: Average percentage of Classified Loans against Total Loans and Advances</w:t>
      </w:r>
      <w:bookmarkEnd w:id="38"/>
    </w:p>
    <w:p w14:paraId="0A7D89CC" w14:textId="77777777" w:rsidR="00810975" w:rsidRDefault="00BD63BA" w:rsidP="00453647">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Here, </w:t>
      </w:r>
      <w:r w:rsidR="00810975">
        <w:rPr>
          <w:rFonts w:ascii="Times New Roman" w:hAnsi="Times New Roman" w:cs="Times New Roman"/>
          <w:color w:val="222222"/>
          <w:sz w:val="24"/>
          <w:szCs w:val="24"/>
          <w:shd w:val="clear" w:color="auto" w:fill="FFFFFF"/>
        </w:rPr>
        <w:t>National bank</w:t>
      </w:r>
      <w:r>
        <w:rPr>
          <w:rFonts w:ascii="Times New Roman" w:hAnsi="Times New Roman" w:cs="Times New Roman"/>
          <w:color w:val="222222"/>
          <w:sz w:val="24"/>
          <w:szCs w:val="24"/>
          <w:shd w:val="clear" w:color="auto" w:fill="FFFFFF"/>
        </w:rPr>
        <w:t xml:space="preserve"> too</w:t>
      </w:r>
      <w:r w:rsidR="00810975">
        <w:rPr>
          <w:rFonts w:ascii="Times New Roman" w:hAnsi="Times New Roman" w:cs="Times New Roman"/>
          <w:color w:val="222222"/>
          <w:sz w:val="24"/>
          <w:szCs w:val="24"/>
          <w:shd w:val="clear" w:color="auto" w:fill="FFFFFF"/>
        </w:rPr>
        <w:t xml:space="preserve"> has the highest average percentage of classified loans against total loans and advances.</w:t>
      </w:r>
      <w:r>
        <w:rPr>
          <w:rFonts w:ascii="Times New Roman" w:hAnsi="Times New Roman" w:cs="Times New Roman"/>
          <w:color w:val="222222"/>
          <w:sz w:val="24"/>
          <w:szCs w:val="24"/>
          <w:shd w:val="clear" w:color="auto" w:fill="FFFFFF"/>
        </w:rPr>
        <w:t xml:space="preserve"> </w:t>
      </w:r>
      <w:r w:rsidR="00C37610">
        <w:rPr>
          <w:rFonts w:ascii="Times New Roman" w:hAnsi="Times New Roman" w:cs="Times New Roman"/>
          <w:color w:val="222222"/>
          <w:sz w:val="24"/>
          <w:szCs w:val="24"/>
          <w:shd w:val="clear" w:color="auto" w:fill="FFFFFF"/>
        </w:rPr>
        <w:t xml:space="preserve">And other banks too have high percentage of chances that in future the number of loan defaulter will rise. </w:t>
      </w:r>
    </w:p>
    <w:p w14:paraId="0D1C1993" w14:textId="77777777" w:rsidR="00453647" w:rsidRDefault="00453647" w:rsidP="00616E7B">
      <w:pPr>
        <w:pStyle w:val="Heading3"/>
        <w:rPr>
          <w:b/>
          <w:color w:val="365F91" w:themeColor="accent1" w:themeShade="BF"/>
          <w:shd w:val="clear" w:color="auto" w:fill="FFFFFF"/>
        </w:rPr>
      </w:pPr>
      <w:bookmarkStart w:id="39" w:name="_Toc53357706"/>
      <w:r w:rsidRPr="00616E7B">
        <w:rPr>
          <w:b/>
          <w:color w:val="365F91" w:themeColor="accent1" w:themeShade="BF"/>
          <w:shd w:val="clear" w:color="auto" w:fill="FFFFFF"/>
        </w:rPr>
        <w:t>CREDIT DEPO</w:t>
      </w:r>
      <w:r w:rsidR="009129AE" w:rsidRPr="00616E7B">
        <w:rPr>
          <w:b/>
          <w:color w:val="365F91" w:themeColor="accent1" w:themeShade="BF"/>
          <w:shd w:val="clear" w:color="auto" w:fill="FFFFFF"/>
        </w:rPr>
        <w:t>SIT</w:t>
      </w:r>
      <w:r w:rsidR="004B070E" w:rsidRPr="00616E7B">
        <w:rPr>
          <w:b/>
          <w:color w:val="365F91" w:themeColor="accent1" w:themeShade="BF"/>
          <w:shd w:val="clear" w:color="auto" w:fill="FFFFFF"/>
        </w:rPr>
        <w:t xml:space="preserve"> </w:t>
      </w:r>
      <w:r w:rsidRPr="00616E7B">
        <w:rPr>
          <w:b/>
          <w:color w:val="365F91" w:themeColor="accent1" w:themeShade="BF"/>
          <w:shd w:val="clear" w:color="auto" w:fill="FFFFFF"/>
        </w:rPr>
        <w:t>RATIO</w:t>
      </w:r>
      <w:bookmarkEnd w:id="39"/>
    </w:p>
    <w:p w14:paraId="0A0DD44D" w14:textId="77777777" w:rsidR="00FD2A5F" w:rsidRPr="00FD2A5F" w:rsidRDefault="00FD2A5F" w:rsidP="00FD2A5F"/>
    <w:p w14:paraId="4F9654C7" w14:textId="77777777" w:rsidR="007E6739" w:rsidRDefault="005D3251" w:rsidP="00453647">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Credit deposit ratio means the amount of deposit a bank uses to give loans or advances</w:t>
      </w:r>
      <w:sdt>
        <w:sdtPr>
          <w:rPr>
            <w:rFonts w:ascii="Times New Roman" w:hAnsi="Times New Roman" w:cs="Times New Roman"/>
            <w:color w:val="222222"/>
            <w:sz w:val="24"/>
            <w:szCs w:val="24"/>
            <w:shd w:val="clear" w:color="auto" w:fill="FFFFFF"/>
          </w:rPr>
          <w:id w:val="1904323211"/>
          <w:citation/>
        </w:sdtPr>
        <w:sdtContent>
          <w:r w:rsidR="00F067FE">
            <w:rPr>
              <w:rFonts w:ascii="Times New Roman" w:hAnsi="Times New Roman" w:cs="Times New Roman"/>
              <w:color w:val="222222"/>
              <w:sz w:val="24"/>
              <w:szCs w:val="24"/>
              <w:shd w:val="clear" w:color="auto" w:fill="FFFFFF"/>
            </w:rPr>
            <w:fldChar w:fldCharType="begin"/>
          </w:r>
          <w:r w:rsidR="00F067FE">
            <w:rPr>
              <w:rFonts w:ascii="Times New Roman" w:hAnsi="Times New Roman" w:cs="Times New Roman"/>
              <w:color w:val="222222"/>
              <w:sz w:val="24"/>
              <w:szCs w:val="24"/>
              <w:shd w:val="clear" w:color="auto" w:fill="FFFFFF"/>
              <w:lang w:val="en-SG"/>
            </w:rPr>
            <w:instrText xml:space="preserve"> CITATION IGI \l 18441 </w:instrText>
          </w:r>
          <w:r w:rsidR="00F067FE">
            <w:rPr>
              <w:rFonts w:ascii="Times New Roman" w:hAnsi="Times New Roman" w:cs="Times New Roman"/>
              <w:color w:val="222222"/>
              <w:sz w:val="24"/>
              <w:szCs w:val="24"/>
              <w:shd w:val="clear" w:color="auto" w:fill="FFFFFF"/>
            </w:rPr>
            <w:fldChar w:fldCharType="separate"/>
          </w:r>
          <w:r w:rsidR="007C5EAF">
            <w:rPr>
              <w:rFonts w:ascii="Times New Roman" w:hAnsi="Times New Roman" w:cs="Times New Roman"/>
              <w:noProof/>
              <w:color w:val="222222"/>
              <w:sz w:val="24"/>
              <w:szCs w:val="24"/>
              <w:shd w:val="clear" w:color="auto" w:fill="FFFFFF"/>
              <w:lang w:val="en-SG"/>
            </w:rPr>
            <w:t xml:space="preserve"> </w:t>
          </w:r>
          <w:r w:rsidR="007C5EAF" w:rsidRPr="007C5EAF">
            <w:rPr>
              <w:rFonts w:ascii="Times New Roman" w:hAnsi="Times New Roman" w:cs="Times New Roman"/>
              <w:noProof/>
              <w:color w:val="222222"/>
              <w:sz w:val="24"/>
              <w:szCs w:val="24"/>
              <w:shd w:val="clear" w:color="auto" w:fill="FFFFFF"/>
              <w:lang w:val="en-SG"/>
            </w:rPr>
            <w:t>(IGI Global, n.d.)</w:t>
          </w:r>
          <w:r w:rsidR="00F067FE">
            <w:rPr>
              <w:rFonts w:ascii="Times New Roman" w:hAnsi="Times New Roman" w:cs="Times New Roman"/>
              <w:color w:val="222222"/>
              <w:sz w:val="24"/>
              <w:szCs w:val="24"/>
              <w:shd w:val="clear" w:color="auto" w:fill="FFFFFF"/>
            </w:rPr>
            <w:fldChar w:fldCharType="end"/>
          </w:r>
        </w:sdtContent>
      </w:sdt>
      <w:r>
        <w:rPr>
          <w:rFonts w:ascii="Times New Roman" w:hAnsi="Times New Roman" w:cs="Times New Roman"/>
          <w:color w:val="222222"/>
          <w:sz w:val="24"/>
          <w:szCs w:val="24"/>
          <w:shd w:val="clear" w:color="auto" w:fill="FFFFFF"/>
        </w:rPr>
        <w:t>.</w:t>
      </w:r>
      <w:r w:rsidR="00F067FE">
        <w:rPr>
          <w:rFonts w:ascii="Times New Roman" w:hAnsi="Times New Roman" w:cs="Times New Roman"/>
          <w:color w:val="222222"/>
          <w:sz w:val="24"/>
          <w:szCs w:val="24"/>
          <w:shd w:val="clear" w:color="auto" w:fill="FFFFFF"/>
        </w:rPr>
        <w:t xml:space="preserve"> </w:t>
      </w:r>
      <w:r w:rsidR="008F1DC3">
        <w:rPr>
          <w:rFonts w:ascii="Times New Roman" w:hAnsi="Times New Roman" w:cs="Times New Roman"/>
          <w:color w:val="222222"/>
          <w:sz w:val="24"/>
          <w:szCs w:val="24"/>
          <w:shd w:val="clear" w:color="auto" w:fill="FFFFFF"/>
        </w:rPr>
        <w:t>Credit deposit ratio helps us to understand a bank’s liquidity position and its health.</w:t>
      </w:r>
      <w:r w:rsidR="0026553D">
        <w:rPr>
          <w:rFonts w:ascii="Times New Roman" w:hAnsi="Times New Roman" w:cs="Times New Roman"/>
          <w:color w:val="222222"/>
          <w:sz w:val="24"/>
          <w:szCs w:val="24"/>
          <w:shd w:val="clear" w:color="auto" w:fill="FFFFFF"/>
        </w:rPr>
        <w:t xml:space="preserve"> A low credit deposit ratio indicates that the bank is not as much effective as it </w:t>
      </w:r>
      <w:r w:rsidR="001B624D">
        <w:rPr>
          <w:rFonts w:ascii="Times New Roman" w:hAnsi="Times New Roman" w:cs="Times New Roman"/>
          <w:color w:val="222222"/>
          <w:sz w:val="24"/>
          <w:szCs w:val="24"/>
          <w:shd w:val="clear" w:color="auto" w:fill="FFFFFF"/>
        </w:rPr>
        <w:t>should</w:t>
      </w:r>
      <w:r w:rsidR="0026553D">
        <w:rPr>
          <w:rFonts w:ascii="Times New Roman" w:hAnsi="Times New Roman" w:cs="Times New Roman"/>
          <w:color w:val="222222"/>
          <w:sz w:val="24"/>
          <w:szCs w:val="24"/>
          <w:shd w:val="clear" w:color="auto" w:fill="FFFFFF"/>
        </w:rPr>
        <w:t xml:space="preserve"> be in using deposits for earning. A high credit deposit ratio indicates that bank may have </w:t>
      </w:r>
      <w:r w:rsidR="001B624D">
        <w:rPr>
          <w:rFonts w:ascii="Times New Roman" w:hAnsi="Times New Roman" w:cs="Times New Roman"/>
          <w:color w:val="222222"/>
          <w:sz w:val="24"/>
          <w:szCs w:val="24"/>
          <w:shd w:val="clear" w:color="auto" w:fill="FFFFFF"/>
        </w:rPr>
        <w:t xml:space="preserve">difficulties to cover its future </w:t>
      </w:r>
      <w:r w:rsidR="0026553D">
        <w:rPr>
          <w:rFonts w:ascii="Times New Roman" w:hAnsi="Times New Roman" w:cs="Times New Roman"/>
          <w:color w:val="222222"/>
          <w:sz w:val="24"/>
          <w:szCs w:val="24"/>
          <w:shd w:val="clear" w:color="auto" w:fill="FFFFFF"/>
        </w:rPr>
        <w:t>fund requirement.</w:t>
      </w:r>
      <w:r w:rsidR="00C1616D">
        <w:rPr>
          <w:rFonts w:ascii="Times New Roman" w:hAnsi="Times New Roman" w:cs="Times New Roman"/>
          <w:color w:val="222222"/>
          <w:sz w:val="24"/>
          <w:szCs w:val="24"/>
          <w:shd w:val="clear" w:color="auto" w:fill="FFFFFF"/>
        </w:rPr>
        <w:t xml:space="preserve"> A balance between the </w:t>
      </w:r>
      <w:r w:rsidR="008E1346">
        <w:rPr>
          <w:rFonts w:ascii="Times New Roman" w:hAnsi="Times New Roman" w:cs="Times New Roman"/>
          <w:color w:val="222222"/>
          <w:sz w:val="24"/>
          <w:szCs w:val="24"/>
          <w:shd w:val="clear" w:color="auto" w:fill="FFFFFF"/>
        </w:rPr>
        <w:t>advances and deposit</w:t>
      </w:r>
      <w:r w:rsidR="00C1616D">
        <w:rPr>
          <w:rFonts w:ascii="Times New Roman" w:hAnsi="Times New Roman" w:cs="Times New Roman"/>
          <w:color w:val="222222"/>
          <w:sz w:val="24"/>
          <w:szCs w:val="24"/>
          <w:shd w:val="clear" w:color="auto" w:fill="FFFFFF"/>
        </w:rPr>
        <w:t>s</w:t>
      </w:r>
      <w:r w:rsidR="008E1346">
        <w:rPr>
          <w:rFonts w:ascii="Times New Roman" w:hAnsi="Times New Roman" w:cs="Times New Roman"/>
          <w:color w:val="222222"/>
          <w:sz w:val="24"/>
          <w:szCs w:val="24"/>
          <w:shd w:val="clear" w:color="auto" w:fill="FFFFFF"/>
        </w:rPr>
        <w:t xml:space="preserve"> </w:t>
      </w:r>
      <w:r w:rsidR="00C1616D">
        <w:rPr>
          <w:rFonts w:ascii="Times New Roman" w:hAnsi="Times New Roman" w:cs="Times New Roman"/>
          <w:color w:val="222222"/>
          <w:sz w:val="24"/>
          <w:szCs w:val="24"/>
          <w:shd w:val="clear" w:color="auto" w:fill="FFFFFF"/>
        </w:rPr>
        <w:t>should be maintained</w:t>
      </w:r>
      <w:r w:rsidR="008E1346">
        <w:rPr>
          <w:rFonts w:ascii="Times New Roman" w:hAnsi="Times New Roman" w:cs="Times New Roman"/>
          <w:color w:val="222222"/>
          <w:sz w:val="24"/>
          <w:szCs w:val="24"/>
          <w:shd w:val="clear" w:color="auto" w:fill="FFFFFF"/>
        </w:rPr>
        <w:t>.</w:t>
      </w:r>
    </w:p>
    <w:p w14:paraId="553F4915" w14:textId="77777777" w:rsidR="00E53123" w:rsidRDefault="00FE0DDD" w:rsidP="00453647">
      <w:pPr>
        <w:spacing w:line="360" w:lineRule="auto"/>
        <w:jc w:val="both"/>
        <w:rPr>
          <w:rFonts w:ascii="Times New Roman" w:hAnsi="Times New Roman" w:cs="Times New Roman"/>
          <w:color w:val="222222"/>
          <w:sz w:val="24"/>
          <w:szCs w:val="24"/>
          <w:shd w:val="clear" w:color="auto" w:fill="FFFFFF"/>
        </w:rPr>
      </w:pPr>
      <w:r>
        <w:rPr>
          <w:noProof/>
        </w:rPr>
        <w:lastRenderedPageBreak/>
        <w:drawing>
          <wp:inline distT="0" distB="0" distL="0" distR="0" wp14:anchorId="36F56705" wp14:editId="7F7E0D7E">
            <wp:extent cx="6019800" cy="2644140"/>
            <wp:effectExtent l="0" t="0" r="0" b="381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7E38EF4" w14:textId="77777777" w:rsidR="00E10D61" w:rsidRDefault="00E10D61" w:rsidP="00E10D61">
      <w:pPr>
        <w:pStyle w:val="Caption"/>
        <w:jc w:val="center"/>
        <w:rPr>
          <w:rFonts w:ascii="Times New Roman" w:hAnsi="Times New Roman" w:cs="Times New Roman"/>
          <w:color w:val="222222"/>
          <w:sz w:val="24"/>
          <w:szCs w:val="24"/>
          <w:shd w:val="clear" w:color="auto" w:fill="FFFFFF"/>
        </w:rPr>
      </w:pPr>
      <w:bookmarkStart w:id="40" w:name="_Toc53356069"/>
      <w:r>
        <w:t xml:space="preserve">Figure </w:t>
      </w:r>
      <w:fldSimple w:instr=" SEQ Figure \* ARABIC ">
        <w:r w:rsidR="008B60A5">
          <w:rPr>
            <w:noProof/>
          </w:rPr>
          <w:t>10</w:t>
        </w:r>
      </w:fldSimple>
      <w:r>
        <w:t>: Average Credit Deposit Ratio</w:t>
      </w:r>
      <w:bookmarkEnd w:id="40"/>
    </w:p>
    <w:p w14:paraId="6FF02F28" w14:textId="77777777" w:rsidR="00FE0DDD" w:rsidRDefault="00FE0DDD" w:rsidP="00453647">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On in average all the bank has almost 80% to 85% </w:t>
      </w:r>
      <w:r w:rsidR="00690461">
        <w:rPr>
          <w:rFonts w:ascii="Times New Roman" w:hAnsi="Times New Roman" w:cs="Times New Roman"/>
          <w:color w:val="222222"/>
          <w:sz w:val="24"/>
          <w:szCs w:val="24"/>
          <w:shd w:val="clear" w:color="auto" w:fill="FFFFFF"/>
        </w:rPr>
        <w:t xml:space="preserve">credit deposit ratio which indicates that all the banks use 80 to 85 percent deposit to give loans and advances. </w:t>
      </w:r>
      <w:r w:rsidR="00FF6921">
        <w:rPr>
          <w:rFonts w:ascii="Times New Roman" w:hAnsi="Times New Roman" w:cs="Times New Roman"/>
          <w:color w:val="222222"/>
          <w:sz w:val="24"/>
          <w:szCs w:val="24"/>
          <w:shd w:val="clear" w:color="auto" w:fill="FFFFFF"/>
        </w:rPr>
        <w:t xml:space="preserve">But using such higher amount of money from deposit can have a bad impact too as banks can face hardship in arranging fund in a sudden situation. </w:t>
      </w:r>
    </w:p>
    <w:tbl>
      <w:tblPr>
        <w:tblW w:w="8640" w:type="dxa"/>
        <w:jc w:val="center"/>
        <w:tblLook w:val="04A0" w:firstRow="1" w:lastRow="0" w:firstColumn="1" w:lastColumn="0" w:noHBand="0" w:noVBand="1"/>
      </w:tblPr>
      <w:tblGrid>
        <w:gridCol w:w="1720"/>
        <w:gridCol w:w="894"/>
        <w:gridCol w:w="280"/>
        <w:gridCol w:w="1720"/>
        <w:gridCol w:w="894"/>
        <w:gridCol w:w="260"/>
        <w:gridCol w:w="1720"/>
        <w:gridCol w:w="1260"/>
      </w:tblGrid>
      <w:tr w:rsidR="00540F9E" w:rsidRPr="008667A0" w14:paraId="47783338" w14:textId="77777777" w:rsidTr="006437F5">
        <w:trPr>
          <w:trHeight w:val="1440"/>
          <w:jc w:val="center"/>
        </w:trPr>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4E0FEF" w14:textId="77777777" w:rsidR="00540F9E" w:rsidRPr="008667A0" w:rsidRDefault="00540F9E" w:rsidP="00540F9E">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Name</w:t>
            </w:r>
          </w:p>
        </w:tc>
        <w:tc>
          <w:tcPr>
            <w:tcW w:w="880" w:type="dxa"/>
            <w:tcBorders>
              <w:top w:val="single" w:sz="4" w:space="0" w:color="auto"/>
              <w:left w:val="nil"/>
              <w:bottom w:val="single" w:sz="4" w:space="0" w:color="auto"/>
              <w:right w:val="single" w:sz="4" w:space="0" w:color="auto"/>
            </w:tcBorders>
            <w:shd w:val="clear" w:color="auto" w:fill="auto"/>
            <w:vAlign w:val="center"/>
            <w:hideMark/>
          </w:tcPr>
          <w:p w14:paraId="09C62E27" w14:textId="77777777" w:rsidR="00540F9E" w:rsidRPr="008667A0" w:rsidRDefault="00540F9E" w:rsidP="00540F9E">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Average CRR</w:t>
            </w:r>
          </w:p>
        </w:tc>
        <w:tc>
          <w:tcPr>
            <w:tcW w:w="280" w:type="dxa"/>
            <w:tcBorders>
              <w:top w:val="nil"/>
              <w:left w:val="nil"/>
              <w:bottom w:val="nil"/>
              <w:right w:val="nil"/>
            </w:tcBorders>
            <w:shd w:val="clear" w:color="auto" w:fill="auto"/>
            <w:vAlign w:val="center"/>
            <w:hideMark/>
          </w:tcPr>
          <w:p w14:paraId="12E5380E" w14:textId="77777777" w:rsidR="00540F9E" w:rsidRPr="008667A0" w:rsidRDefault="00540F9E" w:rsidP="00540F9E">
            <w:pPr>
              <w:spacing w:after="0" w:line="240" w:lineRule="auto"/>
              <w:jc w:val="center"/>
              <w:rPr>
                <w:rFonts w:ascii="Times New Roman" w:eastAsia="Times New Roman" w:hAnsi="Times New Roman" w:cs="Times New Roman"/>
                <w:color w:val="000000"/>
                <w:sz w:val="20"/>
                <w:szCs w:val="20"/>
              </w:rPr>
            </w:pP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A4392A" w14:textId="77777777" w:rsidR="00540F9E" w:rsidRPr="008667A0" w:rsidRDefault="00540F9E" w:rsidP="00540F9E">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Name</w:t>
            </w:r>
          </w:p>
        </w:tc>
        <w:tc>
          <w:tcPr>
            <w:tcW w:w="800" w:type="dxa"/>
            <w:tcBorders>
              <w:top w:val="single" w:sz="4" w:space="0" w:color="auto"/>
              <w:left w:val="nil"/>
              <w:bottom w:val="single" w:sz="4" w:space="0" w:color="auto"/>
              <w:right w:val="single" w:sz="4" w:space="0" w:color="auto"/>
            </w:tcBorders>
            <w:shd w:val="clear" w:color="auto" w:fill="auto"/>
            <w:vAlign w:val="center"/>
            <w:hideMark/>
          </w:tcPr>
          <w:p w14:paraId="7D31F66B" w14:textId="77777777" w:rsidR="00540F9E" w:rsidRPr="008667A0" w:rsidRDefault="00540F9E" w:rsidP="00540F9E">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Average SLR</w:t>
            </w:r>
          </w:p>
        </w:tc>
        <w:tc>
          <w:tcPr>
            <w:tcW w:w="260" w:type="dxa"/>
            <w:tcBorders>
              <w:top w:val="nil"/>
              <w:left w:val="nil"/>
              <w:bottom w:val="nil"/>
              <w:right w:val="nil"/>
            </w:tcBorders>
            <w:shd w:val="clear" w:color="auto" w:fill="auto"/>
            <w:vAlign w:val="center"/>
            <w:hideMark/>
          </w:tcPr>
          <w:p w14:paraId="00C751F3" w14:textId="77777777" w:rsidR="00540F9E" w:rsidRPr="008667A0" w:rsidRDefault="00540F9E" w:rsidP="00540F9E">
            <w:pPr>
              <w:spacing w:after="0" w:line="240" w:lineRule="auto"/>
              <w:jc w:val="center"/>
              <w:rPr>
                <w:rFonts w:ascii="Times New Roman" w:eastAsia="Times New Roman" w:hAnsi="Times New Roman" w:cs="Times New Roman"/>
                <w:color w:val="000000"/>
                <w:sz w:val="20"/>
                <w:szCs w:val="20"/>
              </w:rPr>
            </w:pP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F7A1E" w14:textId="77777777" w:rsidR="00540F9E" w:rsidRPr="008667A0" w:rsidRDefault="00540F9E" w:rsidP="00540F9E">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Name</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761CBC7E" w14:textId="77777777" w:rsidR="00540F9E" w:rsidRPr="008667A0" w:rsidRDefault="00540F9E" w:rsidP="00540F9E">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Average NPL to Total loans and Advances</w:t>
            </w:r>
          </w:p>
        </w:tc>
      </w:tr>
      <w:tr w:rsidR="00540F9E" w:rsidRPr="008667A0" w14:paraId="74CE06D2"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951D883"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880" w:type="dxa"/>
            <w:tcBorders>
              <w:top w:val="nil"/>
              <w:left w:val="nil"/>
              <w:bottom w:val="single" w:sz="4" w:space="0" w:color="auto"/>
              <w:right w:val="single" w:sz="4" w:space="0" w:color="auto"/>
            </w:tcBorders>
            <w:shd w:val="clear" w:color="auto" w:fill="auto"/>
            <w:noWrap/>
            <w:vAlign w:val="bottom"/>
            <w:hideMark/>
          </w:tcPr>
          <w:p w14:paraId="03EC0C62"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c>
          <w:tcPr>
            <w:tcW w:w="280" w:type="dxa"/>
            <w:tcBorders>
              <w:top w:val="nil"/>
              <w:left w:val="nil"/>
              <w:bottom w:val="nil"/>
              <w:right w:val="nil"/>
            </w:tcBorders>
            <w:shd w:val="clear" w:color="auto" w:fill="auto"/>
            <w:noWrap/>
            <w:vAlign w:val="bottom"/>
            <w:hideMark/>
          </w:tcPr>
          <w:p w14:paraId="11A3C992"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5378A1D5"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800" w:type="dxa"/>
            <w:tcBorders>
              <w:top w:val="nil"/>
              <w:left w:val="nil"/>
              <w:bottom w:val="single" w:sz="4" w:space="0" w:color="auto"/>
              <w:right w:val="single" w:sz="4" w:space="0" w:color="auto"/>
            </w:tcBorders>
            <w:shd w:val="clear" w:color="auto" w:fill="auto"/>
            <w:noWrap/>
            <w:vAlign w:val="bottom"/>
            <w:hideMark/>
          </w:tcPr>
          <w:p w14:paraId="55E54045"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20%</w:t>
            </w:r>
          </w:p>
        </w:tc>
        <w:tc>
          <w:tcPr>
            <w:tcW w:w="260" w:type="dxa"/>
            <w:tcBorders>
              <w:top w:val="nil"/>
              <w:left w:val="nil"/>
              <w:bottom w:val="nil"/>
              <w:right w:val="nil"/>
            </w:tcBorders>
            <w:shd w:val="clear" w:color="auto" w:fill="auto"/>
            <w:noWrap/>
            <w:vAlign w:val="bottom"/>
            <w:hideMark/>
          </w:tcPr>
          <w:p w14:paraId="56DF7361"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555A21AF"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1260" w:type="dxa"/>
            <w:tcBorders>
              <w:top w:val="nil"/>
              <w:left w:val="nil"/>
              <w:bottom w:val="single" w:sz="4" w:space="0" w:color="auto"/>
              <w:right w:val="single" w:sz="4" w:space="0" w:color="auto"/>
            </w:tcBorders>
            <w:shd w:val="clear" w:color="auto" w:fill="auto"/>
            <w:noWrap/>
            <w:vAlign w:val="bottom"/>
            <w:hideMark/>
          </w:tcPr>
          <w:p w14:paraId="7DCB216B"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r>
      <w:tr w:rsidR="00540F9E" w:rsidRPr="008667A0" w14:paraId="6066236D"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EE8975C"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880" w:type="dxa"/>
            <w:tcBorders>
              <w:top w:val="nil"/>
              <w:left w:val="nil"/>
              <w:bottom w:val="single" w:sz="4" w:space="0" w:color="auto"/>
              <w:right w:val="single" w:sz="4" w:space="0" w:color="auto"/>
            </w:tcBorders>
            <w:shd w:val="clear" w:color="auto" w:fill="auto"/>
            <w:noWrap/>
            <w:vAlign w:val="bottom"/>
            <w:hideMark/>
          </w:tcPr>
          <w:p w14:paraId="5C035BA5"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07DF9DC4"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28B40CFF"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800" w:type="dxa"/>
            <w:tcBorders>
              <w:top w:val="nil"/>
              <w:left w:val="nil"/>
              <w:bottom w:val="single" w:sz="4" w:space="0" w:color="auto"/>
              <w:right w:val="single" w:sz="4" w:space="0" w:color="auto"/>
            </w:tcBorders>
            <w:shd w:val="clear" w:color="auto" w:fill="auto"/>
            <w:noWrap/>
            <w:vAlign w:val="bottom"/>
            <w:hideMark/>
          </w:tcPr>
          <w:p w14:paraId="1E634D3C"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w:t>
            </w:r>
          </w:p>
        </w:tc>
        <w:tc>
          <w:tcPr>
            <w:tcW w:w="260" w:type="dxa"/>
            <w:tcBorders>
              <w:top w:val="nil"/>
              <w:left w:val="nil"/>
              <w:bottom w:val="nil"/>
              <w:right w:val="nil"/>
            </w:tcBorders>
            <w:shd w:val="clear" w:color="auto" w:fill="auto"/>
            <w:noWrap/>
            <w:vAlign w:val="bottom"/>
            <w:hideMark/>
          </w:tcPr>
          <w:p w14:paraId="6296ABEB"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94E4E42"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1260" w:type="dxa"/>
            <w:tcBorders>
              <w:top w:val="nil"/>
              <w:left w:val="nil"/>
              <w:bottom w:val="single" w:sz="4" w:space="0" w:color="auto"/>
              <w:right w:val="single" w:sz="4" w:space="0" w:color="auto"/>
            </w:tcBorders>
            <w:shd w:val="clear" w:color="auto" w:fill="auto"/>
            <w:noWrap/>
            <w:vAlign w:val="bottom"/>
            <w:hideMark/>
          </w:tcPr>
          <w:p w14:paraId="5C1D056E"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r>
      <w:tr w:rsidR="00540F9E" w:rsidRPr="008667A0" w14:paraId="23CC5A69"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969FDF7"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880" w:type="dxa"/>
            <w:tcBorders>
              <w:top w:val="nil"/>
              <w:left w:val="nil"/>
              <w:bottom w:val="single" w:sz="4" w:space="0" w:color="auto"/>
              <w:right w:val="single" w:sz="4" w:space="0" w:color="auto"/>
            </w:tcBorders>
            <w:shd w:val="clear" w:color="auto" w:fill="auto"/>
            <w:noWrap/>
            <w:vAlign w:val="bottom"/>
            <w:hideMark/>
          </w:tcPr>
          <w:p w14:paraId="0240BFC1"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09090C7C"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B309B76"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800" w:type="dxa"/>
            <w:tcBorders>
              <w:top w:val="nil"/>
              <w:left w:val="nil"/>
              <w:bottom w:val="single" w:sz="4" w:space="0" w:color="auto"/>
              <w:right w:val="single" w:sz="4" w:space="0" w:color="auto"/>
            </w:tcBorders>
            <w:shd w:val="clear" w:color="auto" w:fill="auto"/>
            <w:noWrap/>
            <w:vAlign w:val="bottom"/>
            <w:hideMark/>
          </w:tcPr>
          <w:p w14:paraId="52C8C0FE"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w:t>
            </w:r>
          </w:p>
        </w:tc>
        <w:tc>
          <w:tcPr>
            <w:tcW w:w="260" w:type="dxa"/>
            <w:tcBorders>
              <w:top w:val="nil"/>
              <w:left w:val="nil"/>
              <w:bottom w:val="nil"/>
              <w:right w:val="nil"/>
            </w:tcBorders>
            <w:shd w:val="clear" w:color="auto" w:fill="auto"/>
            <w:noWrap/>
            <w:vAlign w:val="bottom"/>
            <w:hideMark/>
          </w:tcPr>
          <w:p w14:paraId="7AA0B799"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2B054EF"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1260" w:type="dxa"/>
            <w:tcBorders>
              <w:top w:val="nil"/>
              <w:left w:val="nil"/>
              <w:bottom w:val="single" w:sz="4" w:space="0" w:color="auto"/>
              <w:right w:val="single" w:sz="4" w:space="0" w:color="auto"/>
            </w:tcBorders>
            <w:shd w:val="clear" w:color="auto" w:fill="auto"/>
            <w:noWrap/>
            <w:vAlign w:val="bottom"/>
            <w:hideMark/>
          </w:tcPr>
          <w:p w14:paraId="41B6FB1D"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r>
      <w:tr w:rsidR="00540F9E" w:rsidRPr="008667A0" w14:paraId="3A07DA6B"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1B53493"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880" w:type="dxa"/>
            <w:tcBorders>
              <w:top w:val="nil"/>
              <w:left w:val="nil"/>
              <w:bottom w:val="single" w:sz="4" w:space="0" w:color="auto"/>
              <w:right w:val="single" w:sz="4" w:space="0" w:color="auto"/>
            </w:tcBorders>
            <w:shd w:val="clear" w:color="auto" w:fill="auto"/>
            <w:noWrap/>
            <w:vAlign w:val="bottom"/>
            <w:hideMark/>
          </w:tcPr>
          <w:p w14:paraId="4FAEE1B7"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w:t>
            </w:r>
          </w:p>
        </w:tc>
        <w:tc>
          <w:tcPr>
            <w:tcW w:w="280" w:type="dxa"/>
            <w:tcBorders>
              <w:top w:val="nil"/>
              <w:left w:val="nil"/>
              <w:bottom w:val="nil"/>
              <w:right w:val="nil"/>
            </w:tcBorders>
            <w:shd w:val="clear" w:color="auto" w:fill="auto"/>
            <w:noWrap/>
            <w:vAlign w:val="bottom"/>
            <w:hideMark/>
          </w:tcPr>
          <w:p w14:paraId="0315FC21"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D763EDF"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800" w:type="dxa"/>
            <w:tcBorders>
              <w:top w:val="nil"/>
              <w:left w:val="nil"/>
              <w:bottom w:val="single" w:sz="4" w:space="0" w:color="auto"/>
              <w:right w:val="single" w:sz="4" w:space="0" w:color="auto"/>
            </w:tcBorders>
            <w:shd w:val="clear" w:color="auto" w:fill="auto"/>
            <w:noWrap/>
            <w:vAlign w:val="bottom"/>
            <w:hideMark/>
          </w:tcPr>
          <w:p w14:paraId="3C56FCC2"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16%</w:t>
            </w:r>
          </w:p>
        </w:tc>
        <w:tc>
          <w:tcPr>
            <w:tcW w:w="260" w:type="dxa"/>
            <w:tcBorders>
              <w:top w:val="nil"/>
              <w:left w:val="nil"/>
              <w:bottom w:val="nil"/>
              <w:right w:val="nil"/>
            </w:tcBorders>
            <w:shd w:val="clear" w:color="auto" w:fill="auto"/>
            <w:noWrap/>
            <w:vAlign w:val="bottom"/>
            <w:hideMark/>
          </w:tcPr>
          <w:p w14:paraId="702B5FBD"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B04B784"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1260" w:type="dxa"/>
            <w:tcBorders>
              <w:top w:val="nil"/>
              <w:left w:val="nil"/>
              <w:bottom w:val="single" w:sz="4" w:space="0" w:color="auto"/>
              <w:right w:val="single" w:sz="4" w:space="0" w:color="auto"/>
            </w:tcBorders>
            <w:shd w:val="clear" w:color="auto" w:fill="auto"/>
            <w:noWrap/>
            <w:vAlign w:val="bottom"/>
            <w:hideMark/>
          </w:tcPr>
          <w:p w14:paraId="0F01257D"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r>
      <w:tr w:rsidR="00540F9E" w:rsidRPr="008667A0" w14:paraId="0E857017"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5A530294"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880" w:type="dxa"/>
            <w:tcBorders>
              <w:top w:val="nil"/>
              <w:left w:val="nil"/>
              <w:bottom w:val="single" w:sz="4" w:space="0" w:color="auto"/>
              <w:right w:val="single" w:sz="4" w:space="0" w:color="auto"/>
            </w:tcBorders>
            <w:shd w:val="clear" w:color="auto" w:fill="auto"/>
            <w:noWrap/>
            <w:vAlign w:val="bottom"/>
            <w:hideMark/>
          </w:tcPr>
          <w:p w14:paraId="3D96BB16"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5A94143B"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DD90215"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800" w:type="dxa"/>
            <w:tcBorders>
              <w:top w:val="nil"/>
              <w:left w:val="nil"/>
              <w:bottom w:val="single" w:sz="4" w:space="0" w:color="auto"/>
              <w:right w:val="single" w:sz="4" w:space="0" w:color="auto"/>
            </w:tcBorders>
            <w:shd w:val="clear" w:color="auto" w:fill="auto"/>
            <w:noWrap/>
            <w:vAlign w:val="bottom"/>
            <w:hideMark/>
          </w:tcPr>
          <w:p w14:paraId="0931D9FE"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15%</w:t>
            </w:r>
          </w:p>
        </w:tc>
        <w:tc>
          <w:tcPr>
            <w:tcW w:w="260" w:type="dxa"/>
            <w:tcBorders>
              <w:top w:val="nil"/>
              <w:left w:val="nil"/>
              <w:bottom w:val="nil"/>
              <w:right w:val="nil"/>
            </w:tcBorders>
            <w:shd w:val="clear" w:color="auto" w:fill="auto"/>
            <w:noWrap/>
            <w:vAlign w:val="bottom"/>
            <w:hideMark/>
          </w:tcPr>
          <w:p w14:paraId="58848A36"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FB72882"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1260" w:type="dxa"/>
            <w:tcBorders>
              <w:top w:val="nil"/>
              <w:left w:val="nil"/>
              <w:bottom w:val="single" w:sz="4" w:space="0" w:color="auto"/>
              <w:right w:val="single" w:sz="4" w:space="0" w:color="auto"/>
            </w:tcBorders>
            <w:shd w:val="clear" w:color="auto" w:fill="auto"/>
            <w:noWrap/>
            <w:vAlign w:val="bottom"/>
            <w:hideMark/>
          </w:tcPr>
          <w:p w14:paraId="6099FCD5"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r>
      <w:tr w:rsidR="00540F9E" w:rsidRPr="008667A0" w14:paraId="029550E5"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029EDBC"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880" w:type="dxa"/>
            <w:tcBorders>
              <w:top w:val="nil"/>
              <w:left w:val="nil"/>
              <w:bottom w:val="single" w:sz="4" w:space="0" w:color="auto"/>
              <w:right w:val="single" w:sz="4" w:space="0" w:color="auto"/>
            </w:tcBorders>
            <w:shd w:val="clear" w:color="auto" w:fill="auto"/>
            <w:noWrap/>
            <w:vAlign w:val="bottom"/>
            <w:hideMark/>
          </w:tcPr>
          <w:p w14:paraId="539214CC"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w:t>
            </w:r>
          </w:p>
        </w:tc>
        <w:tc>
          <w:tcPr>
            <w:tcW w:w="280" w:type="dxa"/>
            <w:tcBorders>
              <w:top w:val="nil"/>
              <w:left w:val="nil"/>
              <w:bottom w:val="nil"/>
              <w:right w:val="nil"/>
            </w:tcBorders>
            <w:shd w:val="clear" w:color="auto" w:fill="auto"/>
            <w:noWrap/>
            <w:vAlign w:val="bottom"/>
            <w:hideMark/>
          </w:tcPr>
          <w:p w14:paraId="2634A53C"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CB3C171"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800" w:type="dxa"/>
            <w:tcBorders>
              <w:top w:val="nil"/>
              <w:left w:val="nil"/>
              <w:bottom w:val="single" w:sz="4" w:space="0" w:color="auto"/>
              <w:right w:val="single" w:sz="4" w:space="0" w:color="auto"/>
            </w:tcBorders>
            <w:shd w:val="clear" w:color="auto" w:fill="auto"/>
            <w:noWrap/>
            <w:vAlign w:val="bottom"/>
            <w:hideMark/>
          </w:tcPr>
          <w:p w14:paraId="2710F34E"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21%</w:t>
            </w:r>
          </w:p>
        </w:tc>
        <w:tc>
          <w:tcPr>
            <w:tcW w:w="260" w:type="dxa"/>
            <w:tcBorders>
              <w:top w:val="nil"/>
              <w:left w:val="nil"/>
              <w:bottom w:val="nil"/>
              <w:right w:val="nil"/>
            </w:tcBorders>
            <w:shd w:val="clear" w:color="auto" w:fill="auto"/>
            <w:noWrap/>
            <w:vAlign w:val="bottom"/>
            <w:hideMark/>
          </w:tcPr>
          <w:p w14:paraId="5052B65A"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02A6B52"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1260" w:type="dxa"/>
            <w:tcBorders>
              <w:top w:val="nil"/>
              <w:left w:val="nil"/>
              <w:bottom w:val="single" w:sz="4" w:space="0" w:color="auto"/>
              <w:right w:val="single" w:sz="4" w:space="0" w:color="auto"/>
            </w:tcBorders>
            <w:shd w:val="clear" w:color="auto" w:fill="auto"/>
            <w:noWrap/>
            <w:vAlign w:val="bottom"/>
            <w:hideMark/>
          </w:tcPr>
          <w:p w14:paraId="4663ED59"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r>
      <w:tr w:rsidR="00540F9E" w:rsidRPr="008667A0" w14:paraId="6DAAE38B"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54D0156"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880" w:type="dxa"/>
            <w:tcBorders>
              <w:top w:val="nil"/>
              <w:left w:val="nil"/>
              <w:bottom w:val="single" w:sz="4" w:space="0" w:color="auto"/>
              <w:right w:val="single" w:sz="4" w:space="0" w:color="auto"/>
            </w:tcBorders>
            <w:shd w:val="clear" w:color="auto" w:fill="auto"/>
            <w:noWrap/>
            <w:vAlign w:val="bottom"/>
            <w:hideMark/>
          </w:tcPr>
          <w:p w14:paraId="66391729"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373A6559"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564EDEEC"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800" w:type="dxa"/>
            <w:tcBorders>
              <w:top w:val="nil"/>
              <w:left w:val="nil"/>
              <w:bottom w:val="single" w:sz="4" w:space="0" w:color="auto"/>
              <w:right w:val="single" w:sz="4" w:space="0" w:color="auto"/>
            </w:tcBorders>
            <w:shd w:val="clear" w:color="auto" w:fill="auto"/>
            <w:noWrap/>
            <w:vAlign w:val="bottom"/>
            <w:hideMark/>
          </w:tcPr>
          <w:p w14:paraId="2ACAEA8A"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w:t>
            </w:r>
          </w:p>
        </w:tc>
        <w:tc>
          <w:tcPr>
            <w:tcW w:w="260" w:type="dxa"/>
            <w:tcBorders>
              <w:top w:val="nil"/>
              <w:left w:val="nil"/>
              <w:bottom w:val="nil"/>
              <w:right w:val="nil"/>
            </w:tcBorders>
            <w:shd w:val="clear" w:color="auto" w:fill="auto"/>
            <w:noWrap/>
            <w:vAlign w:val="bottom"/>
            <w:hideMark/>
          </w:tcPr>
          <w:p w14:paraId="45946BB3"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9F49B60"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1260" w:type="dxa"/>
            <w:tcBorders>
              <w:top w:val="nil"/>
              <w:left w:val="nil"/>
              <w:bottom w:val="single" w:sz="4" w:space="0" w:color="auto"/>
              <w:right w:val="single" w:sz="4" w:space="0" w:color="auto"/>
            </w:tcBorders>
            <w:shd w:val="clear" w:color="auto" w:fill="auto"/>
            <w:noWrap/>
            <w:vAlign w:val="bottom"/>
            <w:hideMark/>
          </w:tcPr>
          <w:p w14:paraId="67F99A8C"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r>
      <w:tr w:rsidR="00540F9E" w:rsidRPr="008667A0" w14:paraId="440AD209"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FE840E8"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880" w:type="dxa"/>
            <w:tcBorders>
              <w:top w:val="nil"/>
              <w:left w:val="nil"/>
              <w:bottom w:val="single" w:sz="4" w:space="0" w:color="auto"/>
              <w:right w:val="single" w:sz="4" w:space="0" w:color="auto"/>
            </w:tcBorders>
            <w:shd w:val="clear" w:color="auto" w:fill="auto"/>
            <w:noWrap/>
            <w:vAlign w:val="bottom"/>
            <w:hideMark/>
          </w:tcPr>
          <w:p w14:paraId="1C0EF666"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050F7309"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CBCDACA"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800" w:type="dxa"/>
            <w:tcBorders>
              <w:top w:val="nil"/>
              <w:left w:val="nil"/>
              <w:bottom w:val="single" w:sz="4" w:space="0" w:color="auto"/>
              <w:right w:val="single" w:sz="4" w:space="0" w:color="auto"/>
            </w:tcBorders>
            <w:shd w:val="clear" w:color="auto" w:fill="auto"/>
            <w:noWrap/>
            <w:vAlign w:val="bottom"/>
            <w:hideMark/>
          </w:tcPr>
          <w:p w14:paraId="34224BE7"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17%</w:t>
            </w:r>
          </w:p>
        </w:tc>
        <w:tc>
          <w:tcPr>
            <w:tcW w:w="260" w:type="dxa"/>
            <w:tcBorders>
              <w:top w:val="nil"/>
              <w:left w:val="nil"/>
              <w:bottom w:val="nil"/>
              <w:right w:val="nil"/>
            </w:tcBorders>
            <w:shd w:val="clear" w:color="auto" w:fill="auto"/>
            <w:noWrap/>
            <w:vAlign w:val="bottom"/>
            <w:hideMark/>
          </w:tcPr>
          <w:p w14:paraId="22C6B290"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BBD0964"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1260" w:type="dxa"/>
            <w:tcBorders>
              <w:top w:val="nil"/>
              <w:left w:val="nil"/>
              <w:bottom w:val="single" w:sz="4" w:space="0" w:color="auto"/>
              <w:right w:val="single" w:sz="4" w:space="0" w:color="auto"/>
            </w:tcBorders>
            <w:shd w:val="clear" w:color="auto" w:fill="auto"/>
            <w:noWrap/>
            <w:vAlign w:val="bottom"/>
            <w:hideMark/>
          </w:tcPr>
          <w:p w14:paraId="5E1E1B51"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r>
      <w:tr w:rsidR="00540F9E" w:rsidRPr="008667A0" w14:paraId="2DE152BE"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E28746A"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880" w:type="dxa"/>
            <w:tcBorders>
              <w:top w:val="nil"/>
              <w:left w:val="nil"/>
              <w:bottom w:val="single" w:sz="4" w:space="0" w:color="auto"/>
              <w:right w:val="single" w:sz="4" w:space="0" w:color="auto"/>
            </w:tcBorders>
            <w:shd w:val="clear" w:color="auto" w:fill="auto"/>
            <w:noWrap/>
            <w:vAlign w:val="bottom"/>
            <w:hideMark/>
          </w:tcPr>
          <w:p w14:paraId="2106FBD9"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23F878B1"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E3AF55F"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800" w:type="dxa"/>
            <w:tcBorders>
              <w:top w:val="nil"/>
              <w:left w:val="nil"/>
              <w:bottom w:val="single" w:sz="4" w:space="0" w:color="auto"/>
              <w:right w:val="single" w:sz="4" w:space="0" w:color="auto"/>
            </w:tcBorders>
            <w:shd w:val="clear" w:color="auto" w:fill="auto"/>
            <w:noWrap/>
            <w:vAlign w:val="bottom"/>
            <w:hideMark/>
          </w:tcPr>
          <w:p w14:paraId="06E3F38A"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23%</w:t>
            </w:r>
          </w:p>
        </w:tc>
        <w:tc>
          <w:tcPr>
            <w:tcW w:w="260" w:type="dxa"/>
            <w:tcBorders>
              <w:top w:val="nil"/>
              <w:left w:val="nil"/>
              <w:bottom w:val="nil"/>
              <w:right w:val="nil"/>
            </w:tcBorders>
            <w:shd w:val="clear" w:color="auto" w:fill="auto"/>
            <w:noWrap/>
            <w:vAlign w:val="bottom"/>
            <w:hideMark/>
          </w:tcPr>
          <w:p w14:paraId="7202A72F"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AD49CCC"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1260" w:type="dxa"/>
            <w:tcBorders>
              <w:top w:val="nil"/>
              <w:left w:val="nil"/>
              <w:bottom w:val="single" w:sz="4" w:space="0" w:color="auto"/>
              <w:right w:val="single" w:sz="4" w:space="0" w:color="auto"/>
            </w:tcBorders>
            <w:shd w:val="clear" w:color="auto" w:fill="auto"/>
            <w:noWrap/>
            <w:vAlign w:val="bottom"/>
            <w:hideMark/>
          </w:tcPr>
          <w:p w14:paraId="79903F82"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r>
      <w:tr w:rsidR="00540F9E" w:rsidRPr="008667A0" w14:paraId="02E10C06"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83007E2"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880" w:type="dxa"/>
            <w:tcBorders>
              <w:top w:val="nil"/>
              <w:left w:val="nil"/>
              <w:bottom w:val="single" w:sz="4" w:space="0" w:color="auto"/>
              <w:right w:val="single" w:sz="4" w:space="0" w:color="auto"/>
            </w:tcBorders>
            <w:shd w:val="clear" w:color="auto" w:fill="auto"/>
            <w:noWrap/>
            <w:vAlign w:val="bottom"/>
            <w:hideMark/>
          </w:tcPr>
          <w:p w14:paraId="25AB402C"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35C98E02"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059BB25"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800" w:type="dxa"/>
            <w:tcBorders>
              <w:top w:val="nil"/>
              <w:left w:val="nil"/>
              <w:bottom w:val="single" w:sz="4" w:space="0" w:color="auto"/>
              <w:right w:val="single" w:sz="4" w:space="0" w:color="auto"/>
            </w:tcBorders>
            <w:shd w:val="clear" w:color="auto" w:fill="auto"/>
            <w:noWrap/>
            <w:vAlign w:val="bottom"/>
            <w:hideMark/>
          </w:tcPr>
          <w:p w14:paraId="5D6D3ACE"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w:t>
            </w:r>
          </w:p>
        </w:tc>
        <w:tc>
          <w:tcPr>
            <w:tcW w:w="260" w:type="dxa"/>
            <w:tcBorders>
              <w:top w:val="nil"/>
              <w:left w:val="nil"/>
              <w:bottom w:val="nil"/>
              <w:right w:val="nil"/>
            </w:tcBorders>
            <w:shd w:val="clear" w:color="auto" w:fill="auto"/>
            <w:noWrap/>
            <w:vAlign w:val="bottom"/>
            <w:hideMark/>
          </w:tcPr>
          <w:p w14:paraId="4275CBCD"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C183E95"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1260" w:type="dxa"/>
            <w:tcBorders>
              <w:top w:val="nil"/>
              <w:left w:val="nil"/>
              <w:bottom w:val="single" w:sz="4" w:space="0" w:color="auto"/>
              <w:right w:val="single" w:sz="4" w:space="0" w:color="auto"/>
            </w:tcBorders>
            <w:shd w:val="clear" w:color="auto" w:fill="auto"/>
            <w:noWrap/>
            <w:vAlign w:val="bottom"/>
            <w:hideMark/>
          </w:tcPr>
          <w:p w14:paraId="09259C12"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r>
      <w:tr w:rsidR="00540F9E" w:rsidRPr="008667A0" w14:paraId="4B150A04"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E96FF79"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880" w:type="dxa"/>
            <w:tcBorders>
              <w:top w:val="nil"/>
              <w:left w:val="nil"/>
              <w:bottom w:val="single" w:sz="4" w:space="0" w:color="auto"/>
              <w:right w:val="single" w:sz="4" w:space="0" w:color="auto"/>
            </w:tcBorders>
            <w:shd w:val="clear" w:color="auto" w:fill="auto"/>
            <w:noWrap/>
            <w:vAlign w:val="bottom"/>
            <w:hideMark/>
          </w:tcPr>
          <w:p w14:paraId="51D38EC3"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3C18BC76"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C02CABE"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800" w:type="dxa"/>
            <w:tcBorders>
              <w:top w:val="nil"/>
              <w:left w:val="nil"/>
              <w:bottom w:val="single" w:sz="4" w:space="0" w:color="auto"/>
              <w:right w:val="single" w:sz="4" w:space="0" w:color="auto"/>
            </w:tcBorders>
            <w:shd w:val="clear" w:color="auto" w:fill="auto"/>
            <w:noWrap/>
            <w:vAlign w:val="bottom"/>
            <w:hideMark/>
          </w:tcPr>
          <w:p w14:paraId="3228A6A1"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18%</w:t>
            </w:r>
          </w:p>
        </w:tc>
        <w:tc>
          <w:tcPr>
            <w:tcW w:w="260" w:type="dxa"/>
            <w:tcBorders>
              <w:top w:val="nil"/>
              <w:left w:val="nil"/>
              <w:bottom w:val="nil"/>
              <w:right w:val="nil"/>
            </w:tcBorders>
            <w:shd w:val="clear" w:color="auto" w:fill="auto"/>
            <w:noWrap/>
            <w:vAlign w:val="bottom"/>
            <w:hideMark/>
          </w:tcPr>
          <w:p w14:paraId="5C8D2C87"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2EF2202B"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1260" w:type="dxa"/>
            <w:tcBorders>
              <w:top w:val="nil"/>
              <w:left w:val="nil"/>
              <w:bottom w:val="single" w:sz="4" w:space="0" w:color="auto"/>
              <w:right w:val="single" w:sz="4" w:space="0" w:color="auto"/>
            </w:tcBorders>
            <w:shd w:val="clear" w:color="auto" w:fill="auto"/>
            <w:noWrap/>
            <w:vAlign w:val="bottom"/>
            <w:hideMark/>
          </w:tcPr>
          <w:p w14:paraId="19C8E565"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r>
      <w:tr w:rsidR="00540F9E" w:rsidRPr="008667A0" w14:paraId="2D7BB36D"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12E0962"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880" w:type="dxa"/>
            <w:tcBorders>
              <w:top w:val="nil"/>
              <w:left w:val="nil"/>
              <w:bottom w:val="single" w:sz="4" w:space="0" w:color="auto"/>
              <w:right w:val="single" w:sz="4" w:space="0" w:color="auto"/>
            </w:tcBorders>
            <w:shd w:val="clear" w:color="auto" w:fill="auto"/>
            <w:noWrap/>
            <w:vAlign w:val="bottom"/>
            <w:hideMark/>
          </w:tcPr>
          <w:p w14:paraId="5E2AA47B"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24F4DF26"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121794A"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800" w:type="dxa"/>
            <w:tcBorders>
              <w:top w:val="nil"/>
              <w:left w:val="nil"/>
              <w:bottom w:val="single" w:sz="4" w:space="0" w:color="auto"/>
              <w:right w:val="single" w:sz="4" w:space="0" w:color="auto"/>
            </w:tcBorders>
            <w:shd w:val="clear" w:color="auto" w:fill="auto"/>
            <w:noWrap/>
            <w:vAlign w:val="bottom"/>
            <w:hideMark/>
          </w:tcPr>
          <w:p w14:paraId="5C36E678"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15%</w:t>
            </w:r>
          </w:p>
        </w:tc>
        <w:tc>
          <w:tcPr>
            <w:tcW w:w="260" w:type="dxa"/>
            <w:tcBorders>
              <w:top w:val="nil"/>
              <w:left w:val="nil"/>
              <w:bottom w:val="nil"/>
              <w:right w:val="nil"/>
            </w:tcBorders>
            <w:shd w:val="clear" w:color="auto" w:fill="auto"/>
            <w:noWrap/>
            <w:vAlign w:val="bottom"/>
            <w:hideMark/>
          </w:tcPr>
          <w:p w14:paraId="41347A96"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54FA30A"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1260" w:type="dxa"/>
            <w:tcBorders>
              <w:top w:val="nil"/>
              <w:left w:val="nil"/>
              <w:bottom w:val="single" w:sz="4" w:space="0" w:color="auto"/>
              <w:right w:val="single" w:sz="4" w:space="0" w:color="auto"/>
            </w:tcBorders>
            <w:shd w:val="clear" w:color="auto" w:fill="auto"/>
            <w:noWrap/>
            <w:vAlign w:val="bottom"/>
            <w:hideMark/>
          </w:tcPr>
          <w:p w14:paraId="2B2E623E"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w:t>
            </w:r>
          </w:p>
        </w:tc>
      </w:tr>
      <w:tr w:rsidR="00540F9E" w:rsidRPr="008667A0" w14:paraId="7EA03CCB"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D9F1A56"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880" w:type="dxa"/>
            <w:tcBorders>
              <w:top w:val="nil"/>
              <w:left w:val="nil"/>
              <w:bottom w:val="single" w:sz="4" w:space="0" w:color="auto"/>
              <w:right w:val="single" w:sz="4" w:space="0" w:color="auto"/>
            </w:tcBorders>
            <w:shd w:val="clear" w:color="auto" w:fill="auto"/>
            <w:noWrap/>
            <w:vAlign w:val="bottom"/>
            <w:hideMark/>
          </w:tcPr>
          <w:p w14:paraId="5BC248DB"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4771DDE3"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65A2F9E"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800" w:type="dxa"/>
            <w:tcBorders>
              <w:top w:val="nil"/>
              <w:left w:val="nil"/>
              <w:bottom w:val="single" w:sz="4" w:space="0" w:color="auto"/>
              <w:right w:val="single" w:sz="4" w:space="0" w:color="auto"/>
            </w:tcBorders>
            <w:shd w:val="clear" w:color="auto" w:fill="auto"/>
            <w:noWrap/>
            <w:vAlign w:val="bottom"/>
            <w:hideMark/>
          </w:tcPr>
          <w:p w14:paraId="7CE1BEA6"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w:t>
            </w:r>
          </w:p>
        </w:tc>
        <w:tc>
          <w:tcPr>
            <w:tcW w:w="260" w:type="dxa"/>
            <w:tcBorders>
              <w:top w:val="nil"/>
              <w:left w:val="nil"/>
              <w:bottom w:val="nil"/>
              <w:right w:val="nil"/>
            </w:tcBorders>
            <w:shd w:val="clear" w:color="auto" w:fill="auto"/>
            <w:noWrap/>
            <w:vAlign w:val="bottom"/>
            <w:hideMark/>
          </w:tcPr>
          <w:p w14:paraId="7B5BE90D"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0089694"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1260" w:type="dxa"/>
            <w:tcBorders>
              <w:top w:val="nil"/>
              <w:left w:val="nil"/>
              <w:bottom w:val="single" w:sz="4" w:space="0" w:color="auto"/>
              <w:right w:val="single" w:sz="4" w:space="0" w:color="auto"/>
            </w:tcBorders>
            <w:shd w:val="clear" w:color="auto" w:fill="auto"/>
            <w:noWrap/>
            <w:vAlign w:val="bottom"/>
            <w:hideMark/>
          </w:tcPr>
          <w:p w14:paraId="3485732C"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r>
      <w:tr w:rsidR="00540F9E" w:rsidRPr="008667A0" w14:paraId="543FC7B6"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4492178"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880" w:type="dxa"/>
            <w:tcBorders>
              <w:top w:val="nil"/>
              <w:left w:val="nil"/>
              <w:bottom w:val="single" w:sz="4" w:space="0" w:color="auto"/>
              <w:right w:val="single" w:sz="4" w:space="0" w:color="auto"/>
            </w:tcBorders>
            <w:shd w:val="clear" w:color="auto" w:fill="auto"/>
            <w:noWrap/>
            <w:vAlign w:val="bottom"/>
            <w:hideMark/>
          </w:tcPr>
          <w:p w14:paraId="6495DDD2"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646BAA56"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1729869"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800" w:type="dxa"/>
            <w:tcBorders>
              <w:top w:val="nil"/>
              <w:left w:val="nil"/>
              <w:bottom w:val="single" w:sz="4" w:space="0" w:color="auto"/>
              <w:right w:val="single" w:sz="4" w:space="0" w:color="auto"/>
            </w:tcBorders>
            <w:shd w:val="clear" w:color="auto" w:fill="auto"/>
            <w:noWrap/>
            <w:vAlign w:val="bottom"/>
            <w:hideMark/>
          </w:tcPr>
          <w:p w14:paraId="744DAE96"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22%</w:t>
            </w:r>
          </w:p>
        </w:tc>
        <w:tc>
          <w:tcPr>
            <w:tcW w:w="260" w:type="dxa"/>
            <w:tcBorders>
              <w:top w:val="nil"/>
              <w:left w:val="nil"/>
              <w:bottom w:val="nil"/>
              <w:right w:val="nil"/>
            </w:tcBorders>
            <w:shd w:val="clear" w:color="auto" w:fill="auto"/>
            <w:noWrap/>
            <w:vAlign w:val="bottom"/>
            <w:hideMark/>
          </w:tcPr>
          <w:p w14:paraId="632FA468"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5C3039F"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1260" w:type="dxa"/>
            <w:tcBorders>
              <w:top w:val="nil"/>
              <w:left w:val="nil"/>
              <w:bottom w:val="single" w:sz="4" w:space="0" w:color="auto"/>
              <w:right w:val="single" w:sz="4" w:space="0" w:color="auto"/>
            </w:tcBorders>
            <w:shd w:val="clear" w:color="auto" w:fill="auto"/>
            <w:noWrap/>
            <w:vAlign w:val="bottom"/>
            <w:hideMark/>
          </w:tcPr>
          <w:p w14:paraId="156EBC70"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r>
      <w:tr w:rsidR="00540F9E" w:rsidRPr="008667A0" w14:paraId="6C433667"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2DDD85B5"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880" w:type="dxa"/>
            <w:tcBorders>
              <w:top w:val="nil"/>
              <w:left w:val="nil"/>
              <w:bottom w:val="single" w:sz="4" w:space="0" w:color="auto"/>
              <w:right w:val="single" w:sz="4" w:space="0" w:color="auto"/>
            </w:tcBorders>
            <w:shd w:val="clear" w:color="auto" w:fill="auto"/>
            <w:noWrap/>
            <w:vAlign w:val="bottom"/>
            <w:hideMark/>
          </w:tcPr>
          <w:p w14:paraId="265F3C82"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w:t>
            </w:r>
          </w:p>
        </w:tc>
        <w:tc>
          <w:tcPr>
            <w:tcW w:w="280" w:type="dxa"/>
            <w:tcBorders>
              <w:top w:val="nil"/>
              <w:left w:val="nil"/>
              <w:bottom w:val="nil"/>
              <w:right w:val="nil"/>
            </w:tcBorders>
            <w:shd w:val="clear" w:color="auto" w:fill="auto"/>
            <w:noWrap/>
            <w:vAlign w:val="bottom"/>
            <w:hideMark/>
          </w:tcPr>
          <w:p w14:paraId="2EA11335"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46A92C5"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800" w:type="dxa"/>
            <w:tcBorders>
              <w:top w:val="nil"/>
              <w:left w:val="nil"/>
              <w:bottom w:val="single" w:sz="4" w:space="0" w:color="auto"/>
              <w:right w:val="single" w:sz="4" w:space="0" w:color="auto"/>
            </w:tcBorders>
            <w:shd w:val="clear" w:color="auto" w:fill="auto"/>
            <w:noWrap/>
            <w:vAlign w:val="bottom"/>
            <w:hideMark/>
          </w:tcPr>
          <w:p w14:paraId="378D8A73"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18%</w:t>
            </w:r>
          </w:p>
        </w:tc>
        <w:tc>
          <w:tcPr>
            <w:tcW w:w="260" w:type="dxa"/>
            <w:tcBorders>
              <w:top w:val="nil"/>
              <w:left w:val="nil"/>
              <w:bottom w:val="nil"/>
              <w:right w:val="nil"/>
            </w:tcBorders>
            <w:shd w:val="clear" w:color="auto" w:fill="auto"/>
            <w:noWrap/>
            <w:vAlign w:val="bottom"/>
            <w:hideMark/>
          </w:tcPr>
          <w:p w14:paraId="4C05336C"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E92814F"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1260" w:type="dxa"/>
            <w:tcBorders>
              <w:top w:val="nil"/>
              <w:left w:val="nil"/>
              <w:bottom w:val="single" w:sz="4" w:space="0" w:color="auto"/>
              <w:right w:val="single" w:sz="4" w:space="0" w:color="auto"/>
            </w:tcBorders>
            <w:shd w:val="clear" w:color="auto" w:fill="auto"/>
            <w:noWrap/>
            <w:vAlign w:val="bottom"/>
            <w:hideMark/>
          </w:tcPr>
          <w:p w14:paraId="5577B40D"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r>
      <w:tr w:rsidR="00540F9E" w:rsidRPr="008667A0" w14:paraId="6EEAD811"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98B0BE5"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lastRenderedPageBreak/>
              <w:t>Pubali Bank</w:t>
            </w:r>
          </w:p>
        </w:tc>
        <w:tc>
          <w:tcPr>
            <w:tcW w:w="880" w:type="dxa"/>
            <w:tcBorders>
              <w:top w:val="nil"/>
              <w:left w:val="nil"/>
              <w:bottom w:val="single" w:sz="4" w:space="0" w:color="auto"/>
              <w:right w:val="single" w:sz="4" w:space="0" w:color="auto"/>
            </w:tcBorders>
            <w:shd w:val="clear" w:color="auto" w:fill="auto"/>
            <w:noWrap/>
            <w:vAlign w:val="bottom"/>
            <w:hideMark/>
          </w:tcPr>
          <w:p w14:paraId="16544169"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395E1E3B"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ABA830A"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800" w:type="dxa"/>
            <w:tcBorders>
              <w:top w:val="nil"/>
              <w:left w:val="nil"/>
              <w:bottom w:val="single" w:sz="4" w:space="0" w:color="auto"/>
              <w:right w:val="single" w:sz="4" w:space="0" w:color="auto"/>
            </w:tcBorders>
            <w:shd w:val="clear" w:color="auto" w:fill="auto"/>
            <w:noWrap/>
            <w:vAlign w:val="bottom"/>
            <w:hideMark/>
          </w:tcPr>
          <w:p w14:paraId="10420D06"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19%</w:t>
            </w:r>
          </w:p>
        </w:tc>
        <w:tc>
          <w:tcPr>
            <w:tcW w:w="260" w:type="dxa"/>
            <w:tcBorders>
              <w:top w:val="nil"/>
              <w:left w:val="nil"/>
              <w:bottom w:val="nil"/>
              <w:right w:val="nil"/>
            </w:tcBorders>
            <w:shd w:val="clear" w:color="auto" w:fill="auto"/>
            <w:noWrap/>
            <w:vAlign w:val="bottom"/>
            <w:hideMark/>
          </w:tcPr>
          <w:p w14:paraId="50FA525B"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2E364939"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1260" w:type="dxa"/>
            <w:tcBorders>
              <w:top w:val="nil"/>
              <w:left w:val="nil"/>
              <w:bottom w:val="single" w:sz="4" w:space="0" w:color="auto"/>
              <w:right w:val="single" w:sz="4" w:space="0" w:color="auto"/>
            </w:tcBorders>
            <w:shd w:val="clear" w:color="auto" w:fill="auto"/>
            <w:noWrap/>
            <w:vAlign w:val="bottom"/>
            <w:hideMark/>
          </w:tcPr>
          <w:p w14:paraId="73A3D337"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r>
      <w:tr w:rsidR="00540F9E" w:rsidRPr="008667A0" w14:paraId="49F80A5A"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2700461"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880" w:type="dxa"/>
            <w:tcBorders>
              <w:top w:val="nil"/>
              <w:left w:val="nil"/>
              <w:bottom w:val="single" w:sz="4" w:space="0" w:color="auto"/>
              <w:right w:val="single" w:sz="4" w:space="0" w:color="auto"/>
            </w:tcBorders>
            <w:shd w:val="clear" w:color="auto" w:fill="auto"/>
            <w:noWrap/>
            <w:vAlign w:val="bottom"/>
            <w:hideMark/>
          </w:tcPr>
          <w:p w14:paraId="5E64CEFC"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w:t>
            </w:r>
          </w:p>
        </w:tc>
        <w:tc>
          <w:tcPr>
            <w:tcW w:w="280" w:type="dxa"/>
            <w:tcBorders>
              <w:top w:val="nil"/>
              <w:left w:val="nil"/>
              <w:bottom w:val="nil"/>
              <w:right w:val="nil"/>
            </w:tcBorders>
            <w:shd w:val="clear" w:color="auto" w:fill="auto"/>
            <w:noWrap/>
            <w:vAlign w:val="bottom"/>
            <w:hideMark/>
          </w:tcPr>
          <w:p w14:paraId="5C6579E7"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C028363"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800" w:type="dxa"/>
            <w:tcBorders>
              <w:top w:val="nil"/>
              <w:left w:val="nil"/>
              <w:bottom w:val="single" w:sz="4" w:space="0" w:color="auto"/>
              <w:right w:val="single" w:sz="4" w:space="0" w:color="auto"/>
            </w:tcBorders>
            <w:shd w:val="clear" w:color="auto" w:fill="auto"/>
            <w:noWrap/>
            <w:vAlign w:val="bottom"/>
            <w:hideMark/>
          </w:tcPr>
          <w:p w14:paraId="47773918"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16%</w:t>
            </w:r>
          </w:p>
        </w:tc>
        <w:tc>
          <w:tcPr>
            <w:tcW w:w="260" w:type="dxa"/>
            <w:tcBorders>
              <w:top w:val="nil"/>
              <w:left w:val="nil"/>
              <w:bottom w:val="nil"/>
              <w:right w:val="nil"/>
            </w:tcBorders>
            <w:shd w:val="clear" w:color="auto" w:fill="auto"/>
            <w:noWrap/>
            <w:vAlign w:val="bottom"/>
            <w:hideMark/>
          </w:tcPr>
          <w:p w14:paraId="43D6162D"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71D88A1"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1260" w:type="dxa"/>
            <w:tcBorders>
              <w:top w:val="nil"/>
              <w:left w:val="nil"/>
              <w:bottom w:val="single" w:sz="4" w:space="0" w:color="auto"/>
              <w:right w:val="single" w:sz="4" w:space="0" w:color="auto"/>
            </w:tcBorders>
            <w:shd w:val="clear" w:color="auto" w:fill="auto"/>
            <w:noWrap/>
            <w:vAlign w:val="bottom"/>
            <w:hideMark/>
          </w:tcPr>
          <w:p w14:paraId="130F3885"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r>
      <w:tr w:rsidR="00540F9E" w:rsidRPr="008667A0" w14:paraId="443C59DD"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BB1F5D6"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880" w:type="dxa"/>
            <w:tcBorders>
              <w:top w:val="nil"/>
              <w:left w:val="nil"/>
              <w:bottom w:val="single" w:sz="4" w:space="0" w:color="auto"/>
              <w:right w:val="single" w:sz="4" w:space="0" w:color="auto"/>
            </w:tcBorders>
            <w:shd w:val="clear" w:color="auto" w:fill="auto"/>
            <w:noWrap/>
            <w:vAlign w:val="bottom"/>
            <w:hideMark/>
          </w:tcPr>
          <w:p w14:paraId="0530F61A"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425DF160"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2901D6FA"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800" w:type="dxa"/>
            <w:tcBorders>
              <w:top w:val="nil"/>
              <w:left w:val="nil"/>
              <w:bottom w:val="single" w:sz="4" w:space="0" w:color="auto"/>
              <w:right w:val="single" w:sz="4" w:space="0" w:color="auto"/>
            </w:tcBorders>
            <w:shd w:val="clear" w:color="auto" w:fill="auto"/>
            <w:noWrap/>
            <w:vAlign w:val="bottom"/>
            <w:hideMark/>
          </w:tcPr>
          <w:p w14:paraId="46A10C43"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w:t>
            </w:r>
          </w:p>
        </w:tc>
        <w:tc>
          <w:tcPr>
            <w:tcW w:w="260" w:type="dxa"/>
            <w:tcBorders>
              <w:top w:val="nil"/>
              <w:left w:val="nil"/>
              <w:bottom w:val="nil"/>
              <w:right w:val="nil"/>
            </w:tcBorders>
            <w:shd w:val="clear" w:color="auto" w:fill="auto"/>
            <w:noWrap/>
            <w:vAlign w:val="bottom"/>
            <w:hideMark/>
          </w:tcPr>
          <w:p w14:paraId="2B603F35"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26659811"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1260" w:type="dxa"/>
            <w:tcBorders>
              <w:top w:val="nil"/>
              <w:left w:val="nil"/>
              <w:bottom w:val="single" w:sz="4" w:space="0" w:color="auto"/>
              <w:right w:val="single" w:sz="4" w:space="0" w:color="auto"/>
            </w:tcBorders>
            <w:shd w:val="clear" w:color="auto" w:fill="auto"/>
            <w:noWrap/>
            <w:vAlign w:val="bottom"/>
            <w:hideMark/>
          </w:tcPr>
          <w:p w14:paraId="2287866A"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r>
      <w:tr w:rsidR="00540F9E" w:rsidRPr="008667A0" w14:paraId="3372618B"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5A504674"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880" w:type="dxa"/>
            <w:tcBorders>
              <w:top w:val="nil"/>
              <w:left w:val="nil"/>
              <w:bottom w:val="single" w:sz="4" w:space="0" w:color="auto"/>
              <w:right w:val="single" w:sz="4" w:space="0" w:color="auto"/>
            </w:tcBorders>
            <w:shd w:val="clear" w:color="auto" w:fill="auto"/>
            <w:noWrap/>
            <w:vAlign w:val="bottom"/>
            <w:hideMark/>
          </w:tcPr>
          <w:p w14:paraId="54ABC1CE"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5C36EABA"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1D7DB2E"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800" w:type="dxa"/>
            <w:tcBorders>
              <w:top w:val="nil"/>
              <w:left w:val="nil"/>
              <w:bottom w:val="single" w:sz="4" w:space="0" w:color="auto"/>
              <w:right w:val="single" w:sz="4" w:space="0" w:color="auto"/>
            </w:tcBorders>
            <w:shd w:val="clear" w:color="auto" w:fill="auto"/>
            <w:noWrap/>
            <w:vAlign w:val="bottom"/>
            <w:hideMark/>
          </w:tcPr>
          <w:p w14:paraId="110045FC"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w:t>
            </w:r>
          </w:p>
        </w:tc>
        <w:tc>
          <w:tcPr>
            <w:tcW w:w="260" w:type="dxa"/>
            <w:tcBorders>
              <w:top w:val="nil"/>
              <w:left w:val="nil"/>
              <w:bottom w:val="nil"/>
              <w:right w:val="nil"/>
            </w:tcBorders>
            <w:shd w:val="clear" w:color="auto" w:fill="auto"/>
            <w:noWrap/>
            <w:vAlign w:val="bottom"/>
            <w:hideMark/>
          </w:tcPr>
          <w:p w14:paraId="528998F5"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3BDC2A1"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1260" w:type="dxa"/>
            <w:tcBorders>
              <w:top w:val="nil"/>
              <w:left w:val="nil"/>
              <w:bottom w:val="single" w:sz="4" w:space="0" w:color="auto"/>
              <w:right w:val="single" w:sz="4" w:space="0" w:color="auto"/>
            </w:tcBorders>
            <w:shd w:val="clear" w:color="auto" w:fill="auto"/>
            <w:noWrap/>
            <w:vAlign w:val="bottom"/>
            <w:hideMark/>
          </w:tcPr>
          <w:p w14:paraId="21E042E0"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r>
      <w:tr w:rsidR="00540F9E" w:rsidRPr="008667A0" w14:paraId="5DA0252E"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614E6FD"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Trust Bank Limited </w:t>
            </w:r>
          </w:p>
        </w:tc>
        <w:tc>
          <w:tcPr>
            <w:tcW w:w="880" w:type="dxa"/>
            <w:tcBorders>
              <w:top w:val="nil"/>
              <w:left w:val="nil"/>
              <w:bottom w:val="single" w:sz="4" w:space="0" w:color="auto"/>
              <w:right w:val="single" w:sz="4" w:space="0" w:color="auto"/>
            </w:tcBorders>
            <w:shd w:val="clear" w:color="auto" w:fill="auto"/>
            <w:noWrap/>
            <w:vAlign w:val="bottom"/>
            <w:hideMark/>
          </w:tcPr>
          <w:p w14:paraId="2AEE5B6B"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1535D3BE"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D08D885"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Trust Bank Limited </w:t>
            </w:r>
          </w:p>
        </w:tc>
        <w:tc>
          <w:tcPr>
            <w:tcW w:w="800" w:type="dxa"/>
            <w:tcBorders>
              <w:top w:val="nil"/>
              <w:left w:val="nil"/>
              <w:bottom w:val="single" w:sz="4" w:space="0" w:color="auto"/>
              <w:right w:val="single" w:sz="4" w:space="0" w:color="auto"/>
            </w:tcBorders>
            <w:shd w:val="clear" w:color="auto" w:fill="auto"/>
            <w:noWrap/>
            <w:vAlign w:val="bottom"/>
            <w:hideMark/>
          </w:tcPr>
          <w:p w14:paraId="67673E81"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18%</w:t>
            </w:r>
          </w:p>
        </w:tc>
        <w:tc>
          <w:tcPr>
            <w:tcW w:w="260" w:type="dxa"/>
            <w:tcBorders>
              <w:top w:val="nil"/>
              <w:left w:val="nil"/>
              <w:bottom w:val="nil"/>
              <w:right w:val="nil"/>
            </w:tcBorders>
            <w:shd w:val="clear" w:color="auto" w:fill="auto"/>
            <w:noWrap/>
            <w:vAlign w:val="bottom"/>
            <w:hideMark/>
          </w:tcPr>
          <w:p w14:paraId="7ED5D30B"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C0E5AAF"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Trust Bank Limited </w:t>
            </w:r>
          </w:p>
        </w:tc>
        <w:tc>
          <w:tcPr>
            <w:tcW w:w="1260" w:type="dxa"/>
            <w:tcBorders>
              <w:top w:val="nil"/>
              <w:left w:val="nil"/>
              <w:bottom w:val="single" w:sz="4" w:space="0" w:color="auto"/>
              <w:right w:val="single" w:sz="4" w:space="0" w:color="auto"/>
            </w:tcBorders>
            <w:shd w:val="clear" w:color="auto" w:fill="auto"/>
            <w:noWrap/>
            <w:vAlign w:val="bottom"/>
            <w:hideMark/>
          </w:tcPr>
          <w:p w14:paraId="7DB9D7FE"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r>
      <w:tr w:rsidR="00540F9E" w:rsidRPr="008667A0" w14:paraId="68B28733"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3BF43EE"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880" w:type="dxa"/>
            <w:tcBorders>
              <w:top w:val="nil"/>
              <w:left w:val="nil"/>
              <w:bottom w:val="single" w:sz="4" w:space="0" w:color="auto"/>
              <w:right w:val="single" w:sz="4" w:space="0" w:color="auto"/>
            </w:tcBorders>
            <w:shd w:val="clear" w:color="auto" w:fill="auto"/>
            <w:noWrap/>
            <w:vAlign w:val="bottom"/>
            <w:hideMark/>
          </w:tcPr>
          <w:p w14:paraId="3B9DE2B8"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330F7DD8"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45B8881"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800" w:type="dxa"/>
            <w:tcBorders>
              <w:top w:val="nil"/>
              <w:left w:val="nil"/>
              <w:bottom w:val="single" w:sz="4" w:space="0" w:color="auto"/>
              <w:right w:val="single" w:sz="4" w:space="0" w:color="auto"/>
            </w:tcBorders>
            <w:shd w:val="clear" w:color="auto" w:fill="auto"/>
            <w:noWrap/>
            <w:vAlign w:val="bottom"/>
            <w:hideMark/>
          </w:tcPr>
          <w:p w14:paraId="7690B02D"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18%</w:t>
            </w:r>
          </w:p>
        </w:tc>
        <w:tc>
          <w:tcPr>
            <w:tcW w:w="260" w:type="dxa"/>
            <w:tcBorders>
              <w:top w:val="nil"/>
              <w:left w:val="nil"/>
              <w:bottom w:val="nil"/>
              <w:right w:val="nil"/>
            </w:tcBorders>
            <w:shd w:val="clear" w:color="auto" w:fill="auto"/>
            <w:noWrap/>
            <w:vAlign w:val="bottom"/>
            <w:hideMark/>
          </w:tcPr>
          <w:p w14:paraId="27C39D2B"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67146FA"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1260" w:type="dxa"/>
            <w:tcBorders>
              <w:top w:val="nil"/>
              <w:left w:val="nil"/>
              <w:bottom w:val="single" w:sz="4" w:space="0" w:color="auto"/>
              <w:right w:val="single" w:sz="4" w:space="0" w:color="auto"/>
            </w:tcBorders>
            <w:shd w:val="clear" w:color="auto" w:fill="auto"/>
            <w:noWrap/>
            <w:vAlign w:val="bottom"/>
            <w:hideMark/>
          </w:tcPr>
          <w:p w14:paraId="12BC9BD2"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r>
      <w:tr w:rsidR="00540F9E" w:rsidRPr="008667A0" w14:paraId="041B3D60" w14:textId="77777777" w:rsidTr="006437F5">
        <w:trPr>
          <w:trHeight w:val="288"/>
          <w:jc w:val="center"/>
        </w:trPr>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23F9AD69"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880" w:type="dxa"/>
            <w:tcBorders>
              <w:top w:val="nil"/>
              <w:left w:val="nil"/>
              <w:bottom w:val="single" w:sz="4" w:space="0" w:color="auto"/>
              <w:right w:val="single" w:sz="4" w:space="0" w:color="auto"/>
            </w:tcBorders>
            <w:shd w:val="clear" w:color="auto" w:fill="auto"/>
            <w:noWrap/>
            <w:vAlign w:val="bottom"/>
            <w:hideMark/>
          </w:tcPr>
          <w:p w14:paraId="3C7E4E9D"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549AC316"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503B0BF7"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800" w:type="dxa"/>
            <w:tcBorders>
              <w:top w:val="nil"/>
              <w:left w:val="nil"/>
              <w:bottom w:val="single" w:sz="4" w:space="0" w:color="auto"/>
              <w:right w:val="single" w:sz="4" w:space="0" w:color="auto"/>
            </w:tcBorders>
            <w:shd w:val="clear" w:color="auto" w:fill="auto"/>
            <w:noWrap/>
            <w:vAlign w:val="bottom"/>
            <w:hideMark/>
          </w:tcPr>
          <w:p w14:paraId="0446EEEE"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23%</w:t>
            </w:r>
          </w:p>
        </w:tc>
        <w:tc>
          <w:tcPr>
            <w:tcW w:w="260" w:type="dxa"/>
            <w:tcBorders>
              <w:top w:val="nil"/>
              <w:left w:val="nil"/>
              <w:bottom w:val="nil"/>
              <w:right w:val="nil"/>
            </w:tcBorders>
            <w:shd w:val="clear" w:color="auto" w:fill="auto"/>
            <w:noWrap/>
            <w:vAlign w:val="bottom"/>
            <w:hideMark/>
          </w:tcPr>
          <w:p w14:paraId="3048DF07"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6A0DCB7" w14:textId="77777777" w:rsidR="00540F9E" w:rsidRPr="008667A0" w:rsidRDefault="00540F9E" w:rsidP="00540F9E">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1260" w:type="dxa"/>
            <w:tcBorders>
              <w:top w:val="nil"/>
              <w:left w:val="nil"/>
              <w:bottom w:val="single" w:sz="4" w:space="0" w:color="auto"/>
              <w:right w:val="single" w:sz="4" w:space="0" w:color="auto"/>
            </w:tcBorders>
            <w:shd w:val="clear" w:color="auto" w:fill="auto"/>
            <w:noWrap/>
            <w:vAlign w:val="bottom"/>
            <w:hideMark/>
          </w:tcPr>
          <w:p w14:paraId="14405C22" w14:textId="77777777" w:rsidR="00540F9E" w:rsidRPr="008667A0" w:rsidRDefault="00540F9E" w:rsidP="00540F9E">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w:t>
            </w:r>
          </w:p>
        </w:tc>
      </w:tr>
    </w:tbl>
    <w:p w14:paraId="240E481F" w14:textId="77777777" w:rsidR="00540F9E" w:rsidRDefault="00540F9E" w:rsidP="00540F9E">
      <w:pPr>
        <w:pStyle w:val="Caption"/>
      </w:pPr>
      <w:bookmarkStart w:id="41" w:name="_Toc53355886"/>
      <w:r>
        <w:t xml:space="preserve">Table </w:t>
      </w:r>
      <w:fldSimple w:instr=" SEQ Table \* ARABIC ">
        <w:r w:rsidR="009F7CAB">
          <w:rPr>
            <w:noProof/>
          </w:rPr>
          <w:t>5</w:t>
        </w:r>
      </w:fldSimple>
      <w:r>
        <w:t xml:space="preserve">: </w:t>
      </w:r>
      <w:r w:rsidRPr="004B4DC9">
        <w:t>Average CRR</w:t>
      </w:r>
      <w:r>
        <w:t xml:space="preserve">                                  Table </w:t>
      </w:r>
      <w:fldSimple w:instr=" SEQ Table \* ARABIC ">
        <w:r w:rsidR="009F7CAB">
          <w:rPr>
            <w:noProof/>
          </w:rPr>
          <w:t>6</w:t>
        </w:r>
      </w:fldSimple>
      <w:r>
        <w:t xml:space="preserve">: </w:t>
      </w:r>
      <w:r w:rsidRPr="004E51F0">
        <w:t>Average SLR</w:t>
      </w:r>
      <w:r>
        <w:t xml:space="preserve">                           Table </w:t>
      </w:r>
      <w:fldSimple w:instr=" SEQ Table \* ARABIC ">
        <w:r w:rsidR="009F7CAB">
          <w:rPr>
            <w:noProof/>
          </w:rPr>
          <w:t>7</w:t>
        </w:r>
      </w:fldSimple>
      <w:r>
        <w:t xml:space="preserve">: </w:t>
      </w:r>
      <w:r w:rsidRPr="005416EF">
        <w:t>Average NPL to Total loans and Advances</w:t>
      </w:r>
      <w:bookmarkEnd w:id="41"/>
    </w:p>
    <w:tbl>
      <w:tblPr>
        <w:tblW w:w="6060" w:type="dxa"/>
        <w:jc w:val="center"/>
        <w:tblLook w:val="04A0" w:firstRow="1" w:lastRow="0" w:firstColumn="1" w:lastColumn="0" w:noHBand="0" w:noVBand="1"/>
      </w:tblPr>
      <w:tblGrid>
        <w:gridCol w:w="1700"/>
        <w:gridCol w:w="1400"/>
        <w:gridCol w:w="280"/>
        <w:gridCol w:w="1720"/>
        <w:gridCol w:w="960"/>
      </w:tblGrid>
      <w:tr w:rsidR="00980F97" w:rsidRPr="008667A0" w14:paraId="26EE2A1C" w14:textId="77777777" w:rsidTr="00980F97">
        <w:trPr>
          <w:trHeight w:val="1440"/>
          <w:jc w:val="center"/>
        </w:trPr>
        <w:tc>
          <w:tcPr>
            <w:tcW w:w="170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F1823C" w14:textId="77777777" w:rsidR="00980F97" w:rsidRPr="008667A0" w:rsidRDefault="00980F97" w:rsidP="00980F97">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Name</w:t>
            </w:r>
          </w:p>
        </w:tc>
        <w:tc>
          <w:tcPr>
            <w:tcW w:w="1400" w:type="dxa"/>
            <w:tcBorders>
              <w:top w:val="single" w:sz="4" w:space="0" w:color="auto"/>
              <w:left w:val="nil"/>
              <w:bottom w:val="single" w:sz="4" w:space="0" w:color="auto"/>
              <w:right w:val="single" w:sz="4" w:space="0" w:color="auto"/>
            </w:tcBorders>
            <w:shd w:val="clear" w:color="auto" w:fill="auto"/>
            <w:vAlign w:val="center"/>
            <w:hideMark/>
          </w:tcPr>
          <w:p w14:paraId="161E21C0" w14:textId="77777777" w:rsidR="00980F97" w:rsidRPr="008667A0" w:rsidRDefault="00980F97" w:rsidP="00980F97">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Average Percentage of CL against Total Loans and Advances</w:t>
            </w:r>
          </w:p>
        </w:tc>
        <w:tc>
          <w:tcPr>
            <w:tcW w:w="280" w:type="dxa"/>
            <w:tcBorders>
              <w:top w:val="nil"/>
              <w:left w:val="nil"/>
              <w:bottom w:val="nil"/>
              <w:right w:val="nil"/>
            </w:tcBorders>
            <w:shd w:val="clear" w:color="auto" w:fill="auto"/>
            <w:vAlign w:val="center"/>
            <w:hideMark/>
          </w:tcPr>
          <w:p w14:paraId="1D017016" w14:textId="77777777" w:rsidR="00980F97" w:rsidRPr="008667A0" w:rsidRDefault="00980F97" w:rsidP="00980F97">
            <w:pPr>
              <w:spacing w:after="0" w:line="240" w:lineRule="auto"/>
              <w:jc w:val="center"/>
              <w:rPr>
                <w:rFonts w:ascii="Times New Roman" w:eastAsia="Times New Roman" w:hAnsi="Times New Roman" w:cs="Times New Roman"/>
                <w:color w:val="000000"/>
                <w:sz w:val="20"/>
                <w:szCs w:val="20"/>
              </w:rPr>
            </w:pP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35AB58" w14:textId="77777777" w:rsidR="00980F97" w:rsidRPr="008667A0" w:rsidRDefault="00980F97" w:rsidP="00980F97">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Name</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34FB4761" w14:textId="77777777" w:rsidR="00980F97" w:rsidRPr="008667A0" w:rsidRDefault="00980F97" w:rsidP="00980F97">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Average Credit Deposit Ratio </w:t>
            </w:r>
          </w:p>
        </w:tc>
      </w:tr>
      <w:tr w:rsidR="00980F97" w:rsidRPr="008667A0" w14:paraId="639E0003"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19D22DCB"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1400" w:type="dxa"/>
            <w:tcBorders>
              <w:top w:val="nil"/>
              <w:left w:val="nil"/>
              <w:bottom w:val="single" w:sz="4" w:space="0" w:color="auto"/>
              <w:right w:val="single" w:sz="4" w:space="0" w:color="auto"/>
            </w:tcBorders>
            <w:shd w:val="clear" w:color="auto" w:fill="auto"/>
            <w:noWrap/>
            <w:vAlign w:val="bottom"/>
            <w:hideMark/>
          </w:tcPr>
          <w:p w14:paraId="2F339260"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c>
          <w:tcPr>
            <w:tcW w:w="280" w:type="dxa"/>
            <w:tcBorders>
              <w:top w:val="nil"/>
              <w:left w:val="nil"/>
              <w:bottom w:val="nil"/>
              <w:right w:val="nil"/>
            </w:tcBorders>
            <w:shd w:val="clear" w:color="auto" w:fill="auto"/>
            <w:noWrap/>
            <w:vAlign w:val="bottom"/>
            <w:hideMark/>
          </w:tcPr>
          <w:p w14:paraId="6883273E"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A856279"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960" w:type="dxa"/>
            <w:tcBorders>
              <w:top w:val="nil"/>
              <w:left w:val="nil"/>
              <w:bottom w:val="single" w:sz="4" w:space="0" w:color="auto"/>
              <w:right w:val="single" w:sz="4" w:space="0" w:color="auto"/>
            </w:tcBorders>
            <w:shd w:val="clear" w:color="auto" w:fill="auto"/>
            <w:noWrap/>
            <w:vAlign w:val="bottom"/>
            <w:hideMark/>
          </w:tcPr>
          <w:p w14:paraId="3A1F737B"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88.42%</w:t>
            </w:r>
          </w:p>
        </w:tc>
      </w:tr>
      <w:tr w:rsidR="00980F97" w:rsidRPr="008667A0" w14:paraId="25B60C70"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3F73541F"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1400" w:type="dxa"/>
            <w:tcBorders>
              <w:top w:val="nil"/>
              <w:left w:val="nil"/>
              <w:bottom w:val="single" w:sz="4" w:space="0" w:color="auto"/>
              <w:right w:val="single" w:sz="4" w:space="0" w:color="auto"/>
            </w:tcBorders>
            <w:shd w:val="clear" w:color="auto" w:fill="auto"/>
            <w:noWrap/>
            <w:vAlign w:val="bottom"/>
            <w:hideMark/>
          </w:tcPr>
          <w:p w14:paraId="466F0BB8"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c>
          <w:tcPr>
            <w:tcW w:w="280" w:type="dxa"/>
            <w:tcBorders>
              <w:top w:val="nil"/>
              <w:left w:val="nil"/>
              <w:bottom w:val="nil"/>
              <w:right w:val="nil"/>
            </w:tcBorders>
            <w:shd w:val="clear" w:color="auto" w:fill="auto"/>
            <w:noWrap/>
            <w:vAlign w:val="bottom"/>
            <w:hideMark/>
          </w:tcPr>
          <w:p w14:paraId="2D215F3F"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44FBFB6"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960" w:type="dxa"/>
            <w:tcBorders>
              <w:top w:val="nil"/>
              <w:left w:val="nil"/>
              <w:bottom w:val="single" w:sz="4" w:space="0" w:color="auto"/>
              <w:right w:val="single" w:sz="4" w:space="0" w:color="auto"/>
            </w:tcBorders>
            <w:shd w:val="clear" w:color="auto" w:fill="auto"/>
            <w:noWrap/>
            <w:vAlign w:val="bottom"/>
            <w:hideMark/>
          </w:tcPr>
          <w:p w14:paraId="327AA26D"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77.55%</w:t>
            </w:r>
          </w:p>
        </w:tc>
      </w:tr>
      <w:tr w:rsidR="00980F97" w:rsidRPr="008667A0" w14:paraId="24B2FA5D"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5407DA2F"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1400" w:type="dxa"/>
            <w:tcBorders>
              <w:top w:val="nil"/>
              <w:left w:val="nil"/>
              <w:bottom w:val="single" w:sz="4" w:space="0" w:color="auto"/>
              <w:right w:val="single" w:sz="4" w:space="0" w:color="auto"/>
            </w:tcBorders>
            <w:shd w:val="clear" w:color="auto" w:fill="auto"/>
            <w:noWrap/>
            <w:vAlign w:val="bottom"/>
            <w:hideMark/>
          </w:tcPr>
          <w:p w14:paraId="4C4A3170"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c>
          <w:tcPr>
            <w:tcW w:w="280" w:type="dxa"/>
            <w:tcBorders>
              <w:top w:val="nil"/>
              <w:left w:val="nil"/>
              <w:bottom w:val="nil"/>
              <w:right w:val="nil"/>
            </w:tcBorders>
            <w:shd w:val="clear" w:color="auto" w:fill="auto"/>
            <w:noWrap/>
            <w:vAlign w:val="bottom"/>
            <w:hideMark/>
          </w:tcPr>
          <w:p w14:paraId="555772E6"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6DFB9E6"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960" w:type="dxa"/>
            <w:tcBorders>
              <w:top w:val="nil"/>
              <w:left w:val="nil"/>
              <w:bottom w:val="single" w:sz="4" w:space="0" w:color="auto"/>
              <w:right w:val="single" w:sz="4" w:space="0" w:color="auto"/>
            </w:tcBorders>
            <w:shd w:val="clear" w:color="auto" w:fill="auto"/>
            <w:noWrap/>
            <w:vAlign w:val="bottom"/>
            <w:hideMark/>
          </w:tcPr>
          <w:p w14:paraId="1FEB65F4"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82.65%</w:t>
            </w:r>
          </w:p>
        </w:tc>
      </w:tr>
      <w:tr w:rsidR="00980F97" w:rsidRPr="008667A0" w14:paraId="78CD2C41"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013B8886"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1400" w:type="dxa"/>
            <w:tcBorders>
              <w:top w:val="nil"/>
              <w:left w:val="nil"/>
              <w:bottom w:val="single" w:sz="4" w:space="0" w:color="auto"/>
              <w:right w:val="single" w:sz="4" w:space="0" w:color="auto"/>
            </w:tcBorders>
            <w:shd w:val="clear" w:color="auto" w:fill="auto"/>
            <w:noWrap/>
            <w:vAlign w:val="bottom"/>
            <w:hideMark/>
          </w:tcPr>
          <w:p w14:paraId="63F11BC6"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33C36362"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9C86D7B"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960" w:type="dxa"/>
            <w:tcBorders>
              <w:top w:val="nil"/>
              <w:left w:val="nil"/>
              <w:bottom w:val="single" w:sz="4" w:space="0" w:color="auto"/>
              <w:right w:val="single" w:sz="4" w:space="0" w:color="auto"/>
            </w:tcBorders>
            <w:shd w:val="clear" w:color="auto" w:fill="auto"/>
            <w:noWrap/>
            <w:vAlign w:val="bottom"/>
            <w:hideMark/>
          </w:tcPr>
          <w:p w14:paraId="491D0171"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81%</w:t>
            </w:r>
          </w:p>
        </w:tc>
      </w:tr>
      <w:tr w:rsidR="00980F97" w:rsidRPr="008667A0" w14:paraId="5C333A0C"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7227C281"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1400" w:type="dxa"/>
            <w:tcBorders>
              <w:top w:val="nil"/>
              <w:left w:val="nil"/>
              <w:bottom w:val="single" w:sz="4" w:space="0" w:color="auto"/>
              <w:right w:val="single" w:sz="4" w:space="0" w:color="auto"/>
            </w:tcBorders>
            <w:shd w:val="clear" w:color="auto" w:fill="auto"/>
            <w:noWrap/>
            <w:vAlign w:val="bottom"/>
            <w:hideMark/>
          </w:tcPr>
          <w:p w14:paraId="7A5DC9AB"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c>
          <w:tcPr>
            <w:tcW w:w="280" w:type="dxa"/>
            <w:tcBorders>
              <w:top w:val="nil"/>
              <w:left w:val="nil"/>
              <w:bottom w:val="nil"/>
              <w:right w:val="nil"/>
            </w:tcBorders>
            <w:shd w:val="clear" w:color="auto" w:fill="auto"/>
            <w:noWrap/>
            <w:vAlign w:val="bottom"/>
            <w:hideMark/>
          </w:tcPr>
          <w:p w14:paraId="7B0E9A3B"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A3FC609"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960" w:type="dxa"/>
            <w:tcBorders>
              <w:top w:val="nil"/>
              <w:left w:val="nil"/>
              <w:bottom w:val="single" w:sz="4" w:space="0" w:color="auto"/>
              <w:right w:val="single" w:sz="4" w:space="0" w:color="auto"/>
            </w:tcBorders>
            <w:shd w:val="clear" w:color="auto" w:fill="auto"/>
            <w:noWrap/>
            <w:vAlign w:val="bottom"/>
            <w:hideMark/>
          </w:tcPr>
          <w:p w14:paraId="7B9D4A2A"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84%</w:t>
            </w:r>
          </w:p>
        </w:tc>
      </w:tr>
      <w:tr w:rsidR="00980F97" w:rsidRPr="008667A0" w14:paraId="7614B59F"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3446C3E3"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1400" w:type="dxa"/>
            <w:tcBorders>
              <w:top w:val="nil"/>
              <w:left w:val="nil"/>
              <w:bottom w:val="single" w:sz="4" w:space="0" w:color="auto"/>
              <w:right w:val="single" w:sz="4" w:space="0" w:color="auto"/>
            </w:tcBorders>
            <w:shd w:val="clear" w:color="auto" w:fill="auto"/>
            <w:noWrap/>
            <w:vAlign w:val="bottom"/>
            <w:hideMark/>
          </w:tcPr>
          <w:p w14:paraId="19D5BA07"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c>
          <w:tcPr>
            <w:tcW w:w="280" w:type="dxa"/>
            <w:tcBorders>
              <w:top w:val="nil"/>
              <w:left w:val="nil"/>
              <w:bottom w:val="nil"/>
              <w:right w:val="nil"/>
            </w:tcBorders>
            <w:shd w:val="clear" w:color="auto" w:fill="auto"/>
            <w:noWrap/>
            <w:vAlign w:val="bottom"/>
            <w:hideMark/>
          </w:tcPr>
          <w:p w14:paraId="374E5ADC"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54008C3A"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960" w:type="dxa"/>
            <w:tcBorders>
              <w:top w:val="nil"/>
              <w:left w:val="nil"/>
              <w:bottom w:val="single" w:sz="4" w:space="0" w:color="auto"/>
              <w:right w:val="single" w:sz="4" w:space="0" w:color="auto"/>
            </w:tcBorders>
            <w:shd w:val="clear" w:color="auto" w:fill="auto"/>
            <w:noWrap/>
            <w:vAlign w:val="bottom"/>
            <w:hideMark/>
          </w:tcPr>
          <w:p w14:paraId="341072E6"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81.09%</w:t>
            </w:r>
          </w:p>
        </w:tc>
      </w:tr>
      <w:tr w:rsidR="00980F97" w:rsidRPr="008667A0" w14:paraId="64F77095"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13888D53"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1400" w:type="dxa"/>
            <w:tcBorders>
              <w:top w:val="nil"/>
              <w:left w:val="nil"/>
              <w:bottom w:val="single" w:sz="4" w:space="0" w:color="auto"/>
              <w:right w:val="single" w:sz="4" w:space="0" w:color="auto"/>
            </w:tcBorders>
            <w:shd w:val="clear" w:color="auto" w:fill="auto"/>
            <w:noWrap/>
            <w:vAlign w:val="bottom"/>
            <w:hideMark/>
          </w:tcPr>
          <w:p w14:paraId="78A266AA"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c>
          <w:tcPr>
            <w:tcW w:w="280" w:type="dxa"/>
            <w:tcBorders>
              <w:top w:val="nil"/>
              <w:left w:val="nil"/>
              <w:bottom w:val="nil"/>
              <w:right w:val="nil"/>
            </w:tcBorders>
            <w:shd w:val="clear" w:color="auto" w:fill="auto"/>
            <w:noWrap/>
            <w:vAlign w:val="bottom"/>
            <w:hideMark/>
          </w:tcPr>
          <w:p w14:paraId="09498CD6"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5AC91A2"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960" w:type="dxa"/>
            <w:tcBorders>
              <w:top w:val="nil"/>
              <w:left w:val="nil"/>
              <w:bottom w:val="single" w:sz="4" w:space="0" w:color="auto"/>
              <w:right w:val="single" w:sz="4" w:space="0" w:color="auto"/>
            </w:tcBorders>
            <w:shd w:val="clear" w:color="auto" w:fill="auto"/>
            <w:noWrap/>
            <w:vAlign w:val="bottom"/>
            <w:hideMark/>
          </w:tcPr>
          <w:p w14:paraId="285BCDEB"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104.32%</w:t>
            </w:r>
          </w:p>
        </w:tc>
      </w:tr>
      <w:tr w:rsidR="00980F97" w:rsidRPr="008667A0" w14:paraId="10A0B2B3"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03A6F786"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1400" w:type="dxa"/>
            <w:tcBorders>
              <w:top w:val="nil"/>
              <w:left w:val="nil"/>
              <w:bottom w:val="single" w:sz="4" w:space="0" w:color="auto"/>
              <w:right w:val="single" w:sz="4" w:space="0" w:color="auto"/>
            </w:tcBorders>
            <w:shd w:val="clear" w:color="auto" w:fill="auto"/>
            <w:noWrap/>
            <w:vAlign w:val="bottom"/>
            <w:hideMark/>
          </w:tcPr>
          <w:p w14:paraId="377278AB"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3D8BF94F"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DE82696"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960" w:type="dxa"/>
            <w:tcBorders>
              <w:top w:val="nil"/>
              <w:left w:val="nil"/>
              <w:bottom w:val="single" w:sz="4" w:space="0" w:color="auto"/>
              <w:right w:val="single" w:sz="4" w:space="0" w:color="auto"/>
            </w:tcBorders>
            <w:shd w:val="clear" w:color="auto" w:fill="auto"/>
            <w:noWrap/>
            <w:vAlign w:val="bottom"/>
            <w:hideMark/>
          </w:tcPr>
          <w:p w14:paraId="0E1D2EFF"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84.31%</w:t>
            </w:r>
          </w:p>
        </w:tc>
      </w:tr>
      <w:tr w:rsidR="00980F97" w:rsidRPr="008667A0" w14:paraId="5811B196"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7FF42A21"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1400" w:type="dxa"/>
            <w:tcBorders>
              <w:top w:val="nil"/>
              <w:left w:val="nil"/>
              <w:bottom w:val="single" w:sz="4" w:space="0" w:color="auto"/>
              <w:right w:val="single" w:sz="4" w:space="0" w:color="auto"/>
            </w:tcBorders>
            <w:shd w:val="clear" w:color="auto" w:fill="auto"/>
            <w:noWrap/>
            <w:vAlign w:val="bottom"/>
            <w:hideMark/>
          </w:tcPr>
          <w:p w14:paraId="55014187"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c>
          <w:tcPr>
            <w:tcW w:w="280" w:type="dxa"/>
            <w:tcBorders>
              <w:top w:val="nil"/>
              <w:left w:val="nil"/>
              <w:bottom w:val="nil"/>
              <w:right w:val="nil"/>
            </w:tcBorders>
            <w:shd w:val="clear" w:color="auto" w:fill="auto"/>
            <w:noWrap/>
            <w:vAlign w:val="bottom"/>
            <w:hideMark/>
          </w:tcPr>
          <w:p w14:paraId="2C3BB687"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9D634C2"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960" w:type="dxa"/>
            <w:tcBorders>
              <w:top w:val="nil"/>
              <w:left w:val="nil"/>
              <w:bottom w:val="single" w:sz="4" w:space="0" w:color="auto"/>
              <w:right w:val="single" w:sz="4" w:space="0" w:color="auto"/>
            </w:tcBorders>
            <w:shd w:val="clear" w:color="auto" w:fill="auto"/>
            <w:noWrap/>
            <w:vAlign w:val="bottom"/>
            <w:hideMark/>
          </w:tcPr>
          <w:p w14:paraId="79B2B689"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82.43%</w:t>
            </w:r>
          </w:p>
        </w:tc>
      </w:tr>
      <w:tr w:rsidR="00980F97" w:rsidRPr="008667A0" w14:paraId="4766D535"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39D69F3C"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1400" w:type="dxa"/>
            <w:tcBorders>
              <w:top w:val="nil"/>
              <w:left w:val="nil"/>
              <w:bottom w:val="single" w:sz="4" w:space="0" w:color="auto"/>
              <w:right w:val="single" w:sz="4" w:space="0" w:color="auto"/>
            </w:tcBorders>
            <w:shd w:val="clear" w:color="auto" w:fill="auto"/>
            <w:noWrap/>
            <w:vAlign w:val="bottom"/>
            <w:hideMark/>
          </w:tcPr>
          <w:p w14:paraId="79A78F2B"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c>
          <w:tcPr>
            <w:tcW w:w="280" w:type="dxa"/>
            <w:tcBorders>
              <w:top w:val="nil"/>
              <w:left w:val="nil"/>
              <w:bottom w:val="nil"/>
              <w:right w:val="nil"/>
            </w:tcBorders>
            <w:shd w:val="clear" w:color="auto" w:fill="auto"/>
            <w:noWrap/>
            <w:vAlign w:val="bottom"/>
            <w:hideMark/>
          </w:tcPr>
          <w:p w14:paraId="2C2C64AD"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E1F04A9"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960" w:type="dxa"/>
            <w:tcBorders>
              <w:top w:val="nil"/>
              <w:left w:val="nil"/>
              <w:bottom w:val="single" w:sz="4" w:space="0" w:color="auto"/>
              <w:right w:val="single" w:sz="4" w:space="0" w:color="auto"/>
            </w:tcBorders>
            <w:shd w:val="clear" w:color="auto" w:fill="auto"/>
            <w:noWrap/>
            <w:vAlign w:val="bottom"/>
            <w:hideMark/>
          </w:tcPr>
          <w:p w14:paraId="470289A2"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83.67%</w:t>
            </w:r>
          </w:p>
        </w:tc>
      </w:tr>
      <w:tr w:rsidR="00980F97" w:rsidRPr="008667A0" w14:paraId="5A9F248D"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4F0E256C"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1400" w:type="dxa"/>
            <w:tcBorders>
              <w:top w:val="nil"/>
              <w:left w:val="nil"/>
              <w:bottom w:val="single" w:sz="4" w:space="0" w:color="auto"/>
              <w:right w:val="single" w:sz="4" w:space="0" w:color="auto"/>
            </w:tcBorders>
            <w:shd w:val="clear" w:color="auto" w:fill="auto"/>
            <w:noWrap/>
            <w:vAlign w:val="bottom"/>
            <w:hideMark/>
          </w:tcPr>
          <w:p w14:paraId="6CBE91E6"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w:t>
            </w:r>
          </w:p>
        </w:tc>
        <w:tc>
          <w:tcPr>
            <w:tcW w:w="280" w:type="dxa"/>
            <w:tcBorders>
              <w:top w:val="nil"/>
              <w:left w:val="nil"/>
              <w:bottom w:val="nil"/>
              <w:right w:val="nil"/>
            </w:tcBorders>
            <w:shd w:val="clear" w:color="auto" w:fill="auto"/>
            <w:noWrap/>
            <w:vAlign w:val="bottom"/>
            <w:hideMark/>
          </w:tcPr>
          <w:p w14:paraId="65F01372"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626F606"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960" w:type="dxa"/>
            <w:tcBorders>
              <w:top w:val="nil"/>
              <w:left w:val="nil"/>
              <w:bottom w:val="single" w:sz="4" w:space="0" w:color="auto"/>
              <w:right w:val="single" w:sz="4" w:space="0" w:color="auto"/>
            </w:tcBorders>
            <w:shd w:val="clear" w:color="auto" w:fill="auto"/>
            <w:noWrap/>
            <w:vAlign w:val="bottom"/>
            <w:hideMark/>
          </w:tcPr>
          <w:p w14:paraId="5FB91673"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92.96%</w:t>
            </w:r>
          </w:p>
        </w:tc>
      </w:tr>
      <w:tr w:rsidR="00980F97" w:rsidRPr="008667A0" w14:paraId="086BC1CD"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264A08D8"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1400" w:type="dxa"/>
            <w:tcBorders>
              <w:top w:val="nil"/>
              <w:left w:val="nil"/>
              <w:bottom w:val="single" w:sz="4" w:space="0" w:color="auto"/>
              <w:right w:val="single" w:sz="4" w:space="0" w:color="auto"/>
            </w:tcBorders>
            <w:shd w:val="clear" w:color="auto" w:fill="auto"/>
            <w:noWrap/>
            <w:vAlign w:val="bottom"/>
            <w:hideMark/>
          </w:tcPr>
          <w:p w14:paraId="01421539"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w:t>
            </w:r>
          </w:p>
        </w:tc>
        <w:tc>
          <w:tcPr>
            <w:tcW w:w="280" w:type="dxa"/>
            <w:tcBorders>
              <w:top w:val="nil"/>
              <w:left w:val="nil"/>
              <w:bottom w:val="nil"/>
              <w:right w:val="nil"/>
            </w:tcBorders>
            <w:shd w:val="clear" w:color="auto" w:fill="auto"/>
            <w:noWrap/>
            <w:vAlign w:val="bottom"/>
            <w:hideMark/>
          </w:tcPr>
          <w:p w14:paraId="5F34DB82"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9D60616"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960" w:type="dxa"/>
            <w:tcBorders>
              <w:top w:val="nil"/>
              <w:left w:val="nil"/>
              <w:bottom w:val="single" w:sz="4" w:space="0" w:color="auto"/>
              <w:right w:val="single" w:sz="4" w:space="0" w:color="auto"/>
            </w:tcBorders>
            <w:shd w:val="clear" w:color="auto" w:fill="auto"/>
            <w:noWrap/>
            <w:vAlign w:val="bottom"/>
            <w:hideMark/>
          </w:tcPr>
          <w:p w14:paraId="72B44298"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90.42%</w:t>
            </w:r>
          </w:p>
        </w:tc>
      </w:tr>
      <w:tr w:rsidR="00980F97" w:rsidRPr="008667A0" w14:paraId="00046CA5"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28F67D43"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1400" w:type="dxa"/>
            <w:tcBorders>
              <w:top w:val="nil"/>
              <w:left w:val="nil"/>
              <w:bottom w:val="single" w:sz="4" w:space="0" w:color="auto"/>
              <w:right w:val="single" w:sz="4" w:space="0" w:color="auto"/>
            </w:tcBorders>
            <w:shd w:val="clear" w:color="auto" w:fill="auto"/>
            <w:noWrap/>
            <w:vAlign w:val="bottom"/>
            <w:hideMark/>
          </w:tcPr>
          <w:p w14:paraId="13303821"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3BE5F3B9"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FC3E0B6"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960" w:type="dxa"/>
            <w:tcBorders>
              <w:top w:val="nil"/>
              <w:left w:val="nil"/>
              <w:bottom w:val="single" w:sz="4" w:space="0" w:color="auto"/>
              <w:right w:val="single" w:sz="4" w:space="0" w:color="auto"/>
            </w:tcBorders>
            <w:shd w:val="clear" w:color="auto" w:fill="auto"/>
            <w:noWrap/>
            <w:vAlign w:val="bottom"/>
            <w:hideMark/>
          </w:tcPr>
          <w:p w14:paraId="1890A486"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83.35%</w:t>
            </w:r>
          </w:p>
        </w:tc>
      </w:tr>
      <w:tr w:rsidR="00980F97" w:rsidRPr="008667A0" w14:paraId="1FE39FB9"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44C89FC0"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1400" w:type="dxa"/>
            <w:tcBorders>
              <w:top w:val="nil"/>
              <w:left w:val="nil"/>
              <w:bottom w:val="single" w:sz="4" w:space="0" w:color="auto"/>
              <w:right w:val="single" w:sz="4" w:space="0" w:color="auto"/>
            </w:tcBorders>
            <w:shd w:val="clear" w:color="auto" w:fill="auto"/>
            <w:noWrap/>
            <w:vAlign w:val="bottom"/>
            <w:hideMark/>
          </w:tcPr>
          <w:p w14:paraId="5FA5703A"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68CF42D9"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244809B"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960" w:type="dxa"/>
            <w:tcBorders>
              <w:top w:val="nil"/>
              <w:left w:val="nil"/>
              <w:bottom w:val="single" w:sz="4" w:space="0" w:color="auto"/>
              <w:right w:val="single" w:sz="4" w:space="0" w:color="auto"/>
            </w:tcBorders>
            <w:shd w:val="clear" w:color="auto" w:fill="auto"/>
            <w:noWrap/>
            <w:vAlign w:val="bottom"/>
            <w:hideMark/>
          </w:tcPr>
          <w:p w14:paraId="4906AB3A"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78%</w:t>
            </w:r>
          </w:p>
        </w:tc>
      </w:tr>
      <w:tr w:rsidR="00980F97" w:rsidRPr="008667A0" w14:paraId="556F2B32"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7A7332E7"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1400" w:type="dxa"/>
            <w:tcBorders>
              <w:top w:val="nil"/>
              <w:left w:val="nil"/>
              <w:bottom w:val="single" w:sz="4" w:space="0" w:color="auto"/>
              <w:right w:val="single" w:sz="4" w:space="0" w:color="auto"/>
            </w:tcBorders>
            <w:shd w:val="clear" w:color="auto" w:fill="auto"/>
            <w:noWrap/>
            <w:vAlign w:val="bottom"/>
            <w:hideMark/>
          </w:tcPr>
          <w:p w14:paraId="3074B8B0"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c>
          <w:tcPr>
            <w:tcW w:w="280" w:type="dxa"/>
            <w:tcBorders>
              <w:top w:val="nil"/>
              <w:left w:val="nil"/>
              <w:bottom w:val="nil"/>
              <w:right w:val="nil"/>
            </w:tcBorders>
            <w:shd w:val="clear" w:color="auto" w:fill="auto"/>
            <w:noWrap/>
            <w:vAlign w:val="bottom"/>
            <w:hideMark/>
          </w:tcPr>
          <w:p w14:paraId="08DDF9A7"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46BF3A9C"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960" w:type="dxa"/>
            <w:tcBorders>
              <w:top w:val="nil"/>
              <w:left w:val="nil"/>
              <w:bottom w:val="single" w:sz="4" w:space="0" w:color="auto"/>
              <w:right w:val="single" w:sz="4" w:space="0" w:color="auto"/>
            </w:tcBorders>
            <w:shd w:val="clear" w:color="auto" w:fill="auto"/>
            <w:noWrap/>
            <w:vAlign w:val="bottom"/>
            <w:hideMark/>
          </w:tcPr>
          <w:p w14:paraId="31383C54"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86%</w:t>
            </w:r>
          </w:p>
        </w:tc>
      </w:tr>
      <w:tr w:rsidR="00980F97" w:rsidRPr="008667A0" w14:paraId="2A76B994"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24D8FE59"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1400" w:type="dxa"/>
            <w:tcBorders>
              <w:top w:val="nil"/>
              <w:left w:val="nil"/>
              <w:bottom w:val="single" w:sz="4" w:space="0" w:color="auto"/>
              <w:right w:val="single" w:sz="4" w:space="0" w:color="auto"/>
            </w:tcBorders>
            <w:shd w:val="clear" w:color="auto" w:fill="auto"/>
            <w:noWrap/>
            <w:vAlign w:val="bottom"/>
            <w:hideMark/>
          </w:tcPr>
          <w:p w14:paraId="33A2665D"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783DC2F1"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46C8A7D"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960" w:type="dxa"/>
            <w:tcBorders>
              <w:top w:val="nil"/>
              <w:left w:val="nil"/>
              <w:bottom w:val="single" w:sz="4" w:space="0" w:color="auto"/>
              <w:right w:val="single" w:sz="4" w:space="0" w:color="auto"/>
            </w:tcBorders>
            <w:shd w:val="clear" w:color="auto" w:fill="auto"/>
            <w:noWrap/>
            <w:vAlign w:val="bottom"/>
            <w:hideMark/>
          </w:tcPr>
          <w:p w14:paraId="0309CFD4"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80.31%</w:t>
            </w:r>
          </w:p>
        </w:tc>
      </w:tr>
      <w:tr w:rsidR="00980F97" w:rsidRPr="008667A0" w14:paraId="13558ADF"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27BA3A23"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1400" w:type="dxa"/>
            <w:tcBorders>
              <w:top w:val="nil"/>
              <w:left w:val="nil"/>
              <w:bottom w:val="single" w:sz="4" w:space="0" w:color="auto"/>
              <w:right w:val="single" w:sz="4" w:space="0" w:color="auto"/>
            </w:tcBorders>
            <w:shd w:val="clear" w:color="auto" w:fill="auto"/>
            <w:noWrap/>
            <w:vAlign w:val="bottom"/>
            <w:hideMark/>
          </w:tcPr>
          <w:p w14:paraId="2E551341"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10D0637B"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2585285F"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960" w:type="dxa"/>
            <w:tcBorders>
              <w:top w:val="nil"/>
              <w:left w:val="nil"/>
              <w:bottom w:val="single" w:sz="4" w:space="0" w:color="auto"/>
              <w:right w:val="single" w:sz="4" w:space="0" w:color="auto"/>
            </w:tcBorders>
            <w:shd w:val="clear" w:color="auto" w:fill="auto"/>
            <w:noWrap/>
            <w:vAlign w:val="bottom"/>
            <w:hideMark/>
          </w:tcPr>
          <w:p w14:paraId="006A9151"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83%</w:t>
            </w:r>
          </w:p>
        </w:tc>
      </w:tr>
      <w:tr w:rsidR="00980F97" w:rsidRPr="008667A0" w14:paraId="13B0635C"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53BD5A90"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1400" w:type="dxa"/>
            <w:tcBorders>
              <w:top w:val="nil"/>
              <w:left w:val="nil"/>
              <w:bottom w:val="single" w:sz="4" w:space="0" w:color="auto"/>
              <w:right w:val="single" w:sz="4" w:space="0" w:color="auto"/>
            </w:tcBorders>
            <w:shd w:val="clear" w:color="auto" w:fill="auto"/>
            <w:noWrap/>
            <w:vAlign w:val="bottom"/>
            <w:hideMark/>
          </w:tcPr>
          <w:p w14:paraId="22482B95"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c>
          <w:tcPr>
            <w:tcW w:w="280" w:type="dxa"/>
            <w:tcBorders>
              <w:top w:val="nil"/>
              <w:left w:val="nil"/>
              <w:bottom w:val="nil"/>
              <w:right w:val="nil"/>
            </w:tcBorders>
            <w:shd w:val="clear" w:color="auto" w:fill="auto"/>
            <w:noWrap/>
            <w:vAlign w:val="bottom"/>
            <w:hideMark/>
          </w:tcPr>
          <w:p w14:paraId="45BCA615"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713C3AE2"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960" w:type="dxa"/>
            <w:tcBorders>
              <w:top w:val="nil"/>
              <w:left w:val="nil"/>
              <w:bottom w:val="single" w:sz="4" w:space="0" w:color="auto"/>
              <w:right w:val="single" w:sz="4" w:space="0" w:color="auto"/>
            </w:tcBorders>
            <w:shd w:val="clear" w:color="auto" w:fill="auto"/>
            <w:noWrap/>
            <w:vAlign w:val="bottom"/>
            <w:hideMark/>
          </w:tcPr>
          <w:p w14:paraId="2EABE657"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81.80%</w:t>
            </w:r>
          </w:p>
        </w:tc>
      </w:tr>
      <w:tr w:rsidR="00980F97" w:rsidRPr="008667A0" w14:paraId="4ACD394E"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70E08C66"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1400" w:type="dxa"/>
            <w:tcBorders>
              <w:top w:val="nil"/>
              <w:left w:val="nil"/>
              <w:bottom w:val="single" w:sz="4" w:space="0" w:color="auto"/>
              <w:right w:val="single" w:sz="4" w:space="0" w:color="auto"/>
            </w:tcBorders>
            <w:shd w:val="clear" w:color="auto" w:fill="auto"/>
            <w:noWrap/>
            <w:vAlign w:val="bottom"/>
            <w:hideMark/>
          </w:tcPr>
          <w:p w14:paraId="717705EF"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c>
          <w:tcPr>
            <w:tcW w:w="280" w:type="dxa"/>
            <w:tcBorders>
              <w:top w:val="nil"/>
              <w:left w:val="nil"/>
              <w:bottom w:val="nil"/>
              <w:right w:val="nil"/>
            </w:tcBorders>
            <w:shd w:val="clear" w:color="auto" w:fill="auto"/>
            <w:noWrap/>
            <w:vAlign w:val="bottom"/>
            <w:hideMark/>
          </w:tcPr>
          <w:p w14:paraId="7E2B9CC7"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6A2A8157"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960" w:type="dxa"/>
            <w:tcBorders>
              <w:top w:val="nil"/>
              <w:left w:val="nil"/>
              <w:bottom w:val="single" w:sz="4" w:space="0" w:color="auto"/>
              <w:right w:val="single" w:sz="4" w:space="0" w:color="auto"/>
            </w:tcBorders>
            <w:shd w:val="clear" w:color="auto" w:fill="auto"/>
            <w:noWrap/>
            <w:vAlign w:val="bottom"/>
            <w:hideMark/>
          </w:tcPr>
          <w:p w14:paraId="7BB0DAF7"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84.00%</w:t>
            </w:r>
          </w:p>
        </w:tc>
      </w:tr>
      <w:tr w:rsidR="00980F97" w:rsidRPr="008667A0" w14:paraId="51804389"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3E1C3DAD"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Trust Bank Limited </w:t>
            </w:r>
          </w:p>
        </w:tc>
        <w:tc>
          <w:tcPr>
            <w:tcW w:w="1400" w:type="dxa"/>
            <w:tcBorders>
              <w:top w:val="nil"/>
              <w:left w:val="nil"/>
              <w:bottom w:val="single" w:sz="4" w:space="0" w:color="auto"/>
              <w:right w:val="single" w:sz="4" w:space="0" w:color="auto"/>
            </w:tcBorders>
            <w:shd w:val="clear" w:color="auto" w:fill="auto"/>
            <w:noWrap/>
            <w:vAlign w:val="bottom"/>
            <w:hideMark/>
          </w:tcPr>
          <w:p w14:paraId="5C76F59B"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5%</w:t>
            </w:r>
          </w:p>
        </w:tc>
        <w:tc>
          <w:tcPr>
            <w:tcW w:w="280" w:type="dxa"/>
            <w:tcBorders>
              <w:top w:val="nil"/>
              <w:left w:val="nil"/>
              <w:bottom w:val="nil"/>
              <w:right w:val="nil"/>
            </w:tcBorders>
            <w:shd w:val="clear" w:color="auto" w:fill="auto"/>
            <w:noWrap/>
            <w:vAlign w:val="bottom"/>
            <w:hideMark/>
          </w:tcPr>
          <w:p w14:paraId="5AB91A64"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0A365B6D"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Trust Bank Limited </w:t>
            </w:r>
          </w:p>
        </w:tc>
        <w:tc>
          <w:tcPr>
            <w:tcW w:w="960" w:type="dxa"/>
            <w:tcBorders>
              <w:top w:val="nil"/>
              <w:left w:val="nil"/>
              <w:bottom w:val="single" w:sz="4" w:space="0" w:color="auto"/>
              <w:right w:val="single" w:sz="4" w:space="0" w:color="auto"/>
            </w:tcBorders>
            <w:shd w:val="clear" w:color="auto" w:fill="auto"/>
            <w:noWrap/>
            <w:vAlign w:val="bottom"/>
            <w:hideMark/>
          </w:tcPr>
          <w:p w14:paraId="625E2A0E"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88.13%</w:t>
            </w:r>
          </w:p>
        </w:tc>
      </w:tr>
      <w:tr w:rsidR="00980F97" w:rsidRPr="008667A0" w14:paraId="68482182"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40ABC08D"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1400" w:type="dxa"/>
            <w:tcBorders>
              <w:top w:val="nil"/>
              <w:left w:val="nil"/>
              <w:bottom w:val="single" w:sz="4" w:space="0" w:color="auto"/>
              <w:right w:val="single" w:sz="4" w:space="0" w:color="auto"/>
            </w:tcBorders>
            <w:shd w:val="clear" w:color="auto" w:fill="auto"/>
            <w:noWrap/>
            <w:vAlign w:val="bottom"/>
            <w:hideMark/>
          </w:tcPr>
          <w:p w14:paraId="1806BCA3"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6%</w:t>
            </w:r>
          </w:p>
        </w:tc>
        <w:tc>
          <w:tcPr>
            <w:tcW w:w="280" w:type="dxa"/>
            <w:tcBorders>
              <w:top w:val="nil"/>
              <w:left w:val="nil"/>
              <w:bottom w:val="nil"/>
              <w:right w:val="nil"/>
            </w:tcBorders>
            <w:shd w:val="clear" w:color="auto" w:fill="auto"/>
            <w:noWrap/>
            <w:vAlign w:val="bottom"/>
            <w:hideMark/>
          </w:tcPr>
          <w:p w14:paraId="557F83C4"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w:t>
            </w: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17EEEC25"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960" w:type="dxa"/>
            <w:tcBorders>
              <w:top w:val="nil"/>
              <w:left w:val="nil"/>
              <w:bottom w:val="single" w:sz="4" w:space="0" w:color="auto"/>
              <w:right w:val="single" w:sz="4" w:space="0" w:color="auto"/>
            </w:tcBorders>
            <w:shd w:val="clear" w:color="auto" w:fill="auto"/>
            <w:noWrap/>
            <w:vAlign w:val="bottom"/>
            <w:hideMark/>
          </w:tcPr>
          <w:p w14:paraId="43E5F72C"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80%</w:t>
            </w:r>
          </w:p>
        </w:tc>
      </w:tr>
      <w:tr w:rsidR="00980F97" w:rsidRPr="008667A0" w14:paraId="53AC8187" w14:textId="77777777" w:rsidTr="00980F97">
        <w:trPr>
          <w:trHeight w:val="288"/>
          <w:jc w:val="center"/>
        </w:trPr>
        <w:tc>
          <w:tcPr>
            <w:tcW w:w="1700" w:type="dxa"/>
            <w:tcBorders>
              <w:top w:val="nil"/>
              <w:left w:val="single" w:sz="4" w:space="0" w:color="auto"/>
              <w:bottom w:val="single" w:sz="4" w:space="0" w:color="auto"/>
              <w:right w:val="single" w:sz="4" w:space="0" w:color="auto"/>
            </w:tcBorders>
            <w:shd w:val="clear" w:color="auto" w:fill="auto"/>
            <w:noWrap/>
            <w:vAlign w:val="bottom"/>
            <w:hideMark/>
          </w:tcPr>
          <w:p w14:paraId="323A5FDB"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1400" w:type="dxa"/>
            <w:tcBorders>
              <w:top w:val="nil"/>
              <w:left w:val="nil"/>
              <w:bottom w:val="single" w:sz="4" w:space="0" w:color="auto"/>
              <w:right w:val="single" w:sz="4" w:space="0" w:color="auto"/>
            </w:tcBorders>
            <w:shd w:val="clear" w:color="auto" w:fill="auto"/>
            <w:noWrap/>
            <w:vAlign w:val="bottom"/>
            <w:hideMark/>
          </w:tcPr>
          <w:p w14:paraId="047C100E"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w:t>
            </w:r>
          </w:p>
        </w:tc>
        <w:tc>
          <w:tcPr>
            <w:tcW w:w="280" w:type="dxa"/>
            <w:tcBorders>
              <w:top w:val="nil"/>
              <w:left w:val="nil"/>
              <w:bottom w:val="nil"/>
              <w:right w:val="nil"/>
            </w:tcBorders>
            <w:shd w:val="clear" w:color="auto" w:fill="auto"/>
            <w:noWrap/>
            <w:vAlign w:val="bottom"/>
            <w:hideMark/>
          </w:tcPr>
          <w:p w14:paraId="2680A51B"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p>
        </w:tc>
        <w:tc>
          <w:tcPr>
            <w:tcW w:w="1720" w:type="dxa"/>
            <w:tcBorders>
              <w:top w:val="nil"/>
              <w:left w:val="single" w:sz="4" w:space="0" w:color="auto"/>
              <w:bottom w:val="single" w:sz="4" w:space="0" w:color="auto"/>
              <w:right w:val="single" w:sz="4" w:space="0" w:color="auto"/>
            </w:tcBorders>
            <w:shd w:val="clear" w:color="auto" w:fill="auto"/>
            <w:noWrap/>
            <w:vAlign w:val="bottom"/>
            <w:hideMark/>
          </w:tcPr>
          <w:p w14:paraId="304AC33E" w14:textId="77777777" w:rsidR="00980F97" w:rsidRPr="008667A0" w:rsidRDefault="00980F97" w:rsidP="00980F97">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960" w:type="dxa"/>
            <w:tcBorders>
              <w:top w:val="nil"/>
              <w:left w:val="nil"/>
              <w:bottom w:val="single" w:sz="4" w:space="0" w:color="auto"/>
              <w:right w:val="single" w:sz="4" w:space="0" w:color="auto"/>
            </w:tcBorders>
            <w:shd w:val="clear" w:color="auto" w:fill="auto"/>
            <w:noWrap/>
            <w:vAlign w:val="bottom"/>
            <w:hideMark/>
          </w:tcPr>
          <w:p w14:paraId="3F30F179" w14:textId="77777777" w:rsidR="00980F97" w:rsidRPr="008667A0" w:rsidRDefault="00980F97" w:rsidP="00980F97">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70%</w:t>
            </w:r>
          </w:p>
        </w:tc>
      </w:tr>
    </w:tbl>
    <w:p w14:paraId="1BF1F854" w14:textId="77777777" w:rsidR="00540F9E" w:rsidRPr="00540F9E" w:rsidRDefault="00980F97" w:rsidP="00980F97">
      <w:pPr>
        <w:pStyle w:val="Caption"/>
      </w:pPr>
      <w:bookmarkStart w:id="42" w:name="_Toc53355887"/>
      <w:r>
        <w:t xml:space="preserve">Table </w:t>
      </w:r>
      <w:fldSimple w:instr=" SEQ Table \* ARABIC ">
        <w:r w:rsidR="009F7CAB">
          <w:rPr>
            <w:noProof/>
          </w:rPr>
          <w:t>8</w:t>
        </w:r>
      </w:fldSimple>
      <w:r>
        <w:t xml:space="preserve">: </w:t>
      </w:r>
      <w:r w:rsidRPr="00D74261">
        <w:t>Average Percentage of CL against Total Loans and Advances</w:t>
      </w:r>
      <w:r>
        <w:t xml:space="preserve"> Table </w:t>
      </w:r>
      <w:fldSimple w:instr=" SEQ Table \* ARABIC ">
        <w:r w:rsidR="009F7CAB">
          <w:rPr>
            <w:noProof/>
          </w:rPr>
          <w:t>9</w:t>
        </w:r>
      </w:fldSimple>
      <w:r>
        <w:t xml:space="preserve">: </w:t>
      </w:r>
      <w:r w:rsidRPr="00BD65DB">
        <w:t>Average Credit Deposit Ratio</w:t>
      </w:r>
      <w:bookmarkEnd w:id="42"/>
    </w:p>
    <w:p w14:paraId="2CD071A7" w14:textId="77777777" w:rsidR="007E6739" w:rsidRDefault="007E6739" w:rsidP="006A6E88">
      <w:pPr>
        <w:pStyle w:val="Heading2"/>
        <w:rPr>
          <w:b/>
          <w:sz w:val="28"/>
          <w:shd w:val="clear" w:color="auto" w:fill="FFFFFF"/>
        </w:rPr>
      </w:pPr>
      <w:bookmarkStart w:id="43" w:name="_Toc53357707"/>
      <w:r w:rsidRPr="006A6E88">
        <w:rPr>
          <w:b/>
          <w:sz w:val="28"/>
          <w:shd w:val="clear" w:color="auto" w:fill="FFFFFF"/>
        </w:rPr>
        <w:t>SOLVENCY RATIOS</w:t>
      </w:r>
      <w:bookmarkEnd w:id="43"/>
    </w:p>
    <w:p w14:paraId="53A4E3EA" w14:textId="77777777" w:rsidR="006A6E88" w:rsidRPr="006A6E88" w:rsidRDefault="006A6E88" w:rsidP="006A6E88"/>
    <w:p w14:paraId="77C87673" w14:textId="77777777" w:rsidR="008D404C" w:rsidRDefault="008D404C" w:rsidP="00453647">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Solvency ratios are the tools for measuring banks long term ability to cope up with their obligations. Solvency ratios are: </w:t>
      </w:r>
    </w:p>
    <w:p w14:paraId="60750FF0" w14:textId="77777777" w:rsidR="00DE6C34" w:rsidRPr="00540F9E" w:rsidRDefault="00DE6C34" w:rsidP="00540F9E">
      <w:pPr>
        <w:pStyle w:val="ListParagraph"/>
        <w:numPr>
          <w:ilvl w:val="0"/>
          <w:numId w:val="17"/>
        </w:numPr>
        <w:spacing w:line="360" w:lineRule="auto"/>
        <w:jc w:val="both"/>
        <w:rPr>
          <w:rFonts w:ascii="Times New Roman" w:hAnsi="Times New Roman" w:cs="Times New Roman"/>
          <w:color w:val="222222"/>
          <w:sz w:val="24"/>
          <w:szCs w:val="24"/>
          <w:shd w:val="clear" w:color="auto" w:fill="FFFFFF"/>
        </w:rPr>
      </w:pPr>
      <w:r w:rsidRPr="00DE6C34">
        <w:rPr>
          <w:rFonts w:ascii="Times New Roman" w:hAnsi="Times New Roman" w:cs="Times New Roman"/>
          <w:color w:val="222222"/>
          <w:sz w:val="24"/>
          <w:szCs w:val="24"/>
          <w:shd w:val="clear" w:color="auto" w:fill="FFFFFF"/>
        </w:rPr>
        <w:lastRenderedPageBreak/>
        <w:t>Debt to Equity Ratio</w:t>
      </w:r>
    </w:p>
    <w:p w14:paraId="05F15544" w14:textId="77777777" w:rsidR="00DE6C34" w:rsidRPr="00DE6C34" w:rsidRDefault="00DE6C34" w:rsidP="00BD4680">
      <w:pPr>
        <w:pStyle w:val="ListParagraph"/>
        <w:numPr>
          <w:ilvl w:val="0"/>
          <w:numId w:val="17"/>
        </w:numPr>
        <w:spacing w:line="360" w:lineRule="auto"/>
        <w:jc w:val="both"/>
        <w:rPr>
          <w:rFonts w:ascii="Times New Roman" w:hAnsi="Times New Roman" w:cs="Times New Roman"/>
          <w:color w:val="222222"/>
          <w:sz w:val="24"/>
          <w:szCs w:val="24"/>
          <w:shd w:val="clear" w:color="auto" w:fill="FFFFFF"/>
        </w:rPr>
      </w:pPr>
      <w:r w:rsidRPr="00DE6C34">
        <w:rPr>
          <w:rFonts w:ascii="Times New Roman" w:hAnsi="Times New Roman" w:cs="Times New Roman"/>
          <w:color w:val="222222"/>
          <w:sz w:val="24"/>
          <w:szCs w:val="24"/>
          <w:shd w:val="clear" w:color="auto" w:fill="FFFFFF"/>
        </w:rPr>
        <w:t>Equity Multiplier Ratio</w:t>
      </w:r>
    </w:p>
    <w:p w14:paraId="1660B479" w14:textId="77777777" w:rsidR="00DE6C34" w:rsidRPr="00DE6C34" w:rsidRDefault="00DE6C34" w:rsidP="00DE6C34">
      <w:pPr>
        <w:pStyle w:val="ListParagraph"/>
        <w:numPr>
          <w:ilvl w:val="0"/>
          <w:numId w:val="17"/>
        </w:numPr>
        <w:spacing w:line="360" w:lineRule="auto"/>
        <w:jc w:val="both"/>
        <w:rPr>
          <w:rFonts w:ascii="Times New Roman" w:hAnsi="Times New Roman" w:cs="Times New Roman"/>
          <w:color w:val="222222"/>
          <w:sz w:val="24"/>
          <w:szCs w:val="24"/>
          <w:shd w:val="clear" w:color="auto" w:fill="FFFFFF"/>
        </w:rPr>
      </w:pPr>
      <w:r w:rsidRPr="00DE6C34">
        <w:rPr>
          <w:rFonts w:ascii="Times New Roman" w:hAnsi="Times New Roman" w:cs="Times New Roman"/>
          <w:color w:val="222222"/>
          <w:sz w:val="24"/>
          <w:szCs w:val="24"/>
          <w:shd w:val="clear" w:color="auto" w:fill="FFFFFF"/>
        </w:rPr>
        <w:t>Debt to capital</w:t>
      </w:r>
    </w:p>
    <w:p w14:paraId="16F8443A" w14:textId="77777777" w:rsidR="00DE6C34" w:rsidRDefault="00DE6C34" w:rsidP="00DE6C34">
      <w:pPr>
        <w:pStyle w:val="ListParagraph"/>
        <w:numPr>
          <w:ilvl w:val="0"/>
          <w:numId w:val="17"/>
        </w:numPr>
        <w:spacing w:line="360" w:lineRule="auto"/>
        <w:jc w:val="both"/>
        <w:rPr>
          <w:rFonts w:ascii="Times New Roman" w:hAnsi="Times New Roman" w:cs="Times New Roman"/>
          <w:color w:val="222222"/>
          <w:sz w:val="24"/>
          <w:szCs w:val="24"/>
          <w:shd w:val="clear" w:color="auto" w:fill="FFFFFF"/>
        </w:rPr>
      </w:pPr>
      <w:r w:rsidRPr="00DE6C34">
        <w:rPr>
          <w:rFonts w:ascii="Times New Roman" w:hAnsi="Times New Roman" w:cs="Times New Roman"/>
          <w:color w:val="222222"/>
          <w:sz w:val="24"/>
          <w:szCs w:val="24"/>
          <w:shd w:val="clear" w:color="auto" w:fill="FFFFFF"/>
        </w:rPr>
        <w:t>Capital Adequacy Ratio</w:t>
      </w:r>
    </w:p>
    <w:p w14:paraId="4D5E165F" w14:textId="77777777" w:rsidR="005D7704" w:rsidRDefault="00551EAB" w:rsidP="00467100">
      <w:pPr>
        <w:pStyle w:val="Heading3"/>
        <w:rPr>
          <w:b/>
          <w:shd w:val="clear" w:color="auto" w:fill="FFFFFF"/>
        </w:rPr>
      </w:pPr>
      <w:bookmarkStart w:id="44" w:name="_Toc53357708"/>
      <w:r w:rsidRPr="00467100">
        <w:rPr>
          <w:b/>
          <w:shd w:val="clear" w:color="auto" w:fill="FFFFFF"/>
        </w:rPr>
        <w:t>DEBT TO EQUITY RATIO</w:t>
      </w:r>
      <w:bookmarkEnd w:id="44"/>
    </w:p>
    <w:p w14:paraId="2D8D2848" w14:textId="77777777" w:rsidR="00467100" w:rsidRPr="00467100" w:rsidRDefault="00467100" w:rsidP="00467100"/>
    <w:p w14:paraId="1B4F2FF8" w14:textId="77777777" w:rsidR="00C13C6B" w:rsidRDefault="00C13C6B" w:rsidP="00C13C6B">
      <w:pPr>
        <w:spacing w:line="360" w:lineRule="auto"/>
        <w:jc w:val="both"/>
        <w:rPr>
          <w:rFonts w:ascii="Times New Roman" w:hAnsi="Times New Roman" w:cs="Times New Roman"/>
          <w:color w:val="222222"/>
          <w:sz w:val="24"/>
          <w:szCs w:val="24"/>
          <w:shd w:val="clear" w:color="auto" w:fill="FFFFFF"/>
        </w:rPr>
      </w:pPr>
      <w:r w:rsidRPr="00551EAB">
        <w:rPr>
          <w:rFonts w:ascii="Times New Roman" w:hAnsi="Times New Roman" w:cs="Times New Roman"/>
          <w:color w:val="222222"/>
          <w:sz w:val="24"/>
          <w:szCs w:val="24"/>
          <w:shd w:val="clear" w:color="auto" w:fill="FFFFFF"/>
        </w:rPr>
        <w:t>Debt to equity ratio</w:t>
      </w:r>
      <w:r>
        <w:rPr>
          <w:rFonts w:ascii="Times New Roman" w:hAnsi="Times New Roman" w:cs="Times New Roman"/>
          <w:color w:val="222222"/>
          <w:sz w:val="24"/>
          <w:szCs w:val="24"/>
          <w:shd w:val="clear" w:color="auto" w:fill="FFFFFF"/>
        </w:rPr>
        <w:t xml:space="preserve"> is the relation </w:t>
      </w:r>
      <w:r w:rsidRPr="00C13C6B">
        <w:rPr>
          <w:rFonts w:ascii="Times New Roman" w:hAnsi="Times New Roman" w:cs="Times New Roman"/>
          <w:color w:val="222222"/>
          <w:sz w:val="24"/>
          <w:szCs w:val="24"/>
          <w:shd w:val="clear" w:color="auto" w:fill="FFFFFF"/>
        </w:rPr>
        <w:t>of the total long term debt and</w:t>
      </w:r>
      <w:r>
        <w:rPr>
          <w:rFonts w:ascii="Times New Roman" w:hAnsi="Times New Roman" w:cs="Times New Roman"/>
          <w:color w:val="222222"/>
          <w:sz w:val="24"/>
          <w:szCs w:val="24"/>
          <w:shd w:val="clear" w:color="auto" w:fill="FFFFFF"/>
        </w:rPr>
        <w:t xml:space="preserve"> equity capital in the business entity that describes the </w:t>
      </w:r>
      <w:r w:rsidRPr="00C13C6B">
        <w:rPr>
          <w:rFonts w:ascii="Times New Roman" w:hAnsi="Times New Roman" w:cs="Times New Roman"/>
          <w:color w:val="222222"/>
          <w:sz w:val="24"/>
          <w:szCs w:val="24"/>
          <w:shd w:val="clear" w:color="auto" w:fill="FFFFFF"/>
        </w:rPr>
        <w:t>contribution of the creditors and shareholders or owners in the capital</w:t>
      </w:r>
      <w:r>
        <w:rPr>
          <w:rFonts w:ascii="Times New Roman" w:hAnsi="Times New Roman" w:cs="Times New Roman"/>
          <w:color w:val="222222"/>
          <w:sz w:val="24"/>
          <w:szCs w:val="24"/>
          <w:shd w:val="clear" w:color="auto" w:fill="FFFFFF"/>
        </w:rPr>
        <w:t xml:space="preserve"> of the entity </w:t>
      </w:r>
      <w:sdt>
        <w:sdtPr>
          <w:rPr>
            <w:rFonts w:ascii="Times New Roman" w:hAnsi="Times New Roman" w:cs="Times New Roman"/>
            <w:color w:val="222222"/>
            <w:sz w:val="24"/>
            <w:szCs w:val="24"/>
            <w:shd w:val="clear" w:color="auto" w:fill="FFFFFF"/>
          </w:rPr>
          <w:id w:val="-789131193"/>
          <w:citation/>
        </w:sdtPr>
        <w:sdtContent>
          <w:r>
            <w:rPr>
              <w:rFonts w:ascii="Times New Roman" w:hAnsi="Times New Roman" w:cs="Times New Roman"/>
              <w:color w:val="222222"/>
              <w:sz w:val="24"/>
              <w:szCs w:val="24"/>
              <w:shd w:val="clear" w:color="auto" w:fill="FFFFFF"/>
            </w:rPr>
            <w:fldChar w:fldCharType="begin"/>
          </w:r>
          <w:r>
            <w:rPr>
              <w:rFonts w:ascii="Times New Roman" w:hAnsi="Times New Roman" w:cs="Times New Roman"/>
              <w:color w:val="222222"/>
              <w:sz w:val="24"/>
              <w:szCs w:val="24"/>
              <w:shd w:val="clear" w:color="auto" w:fill="FFFFFF"/>
              <w:lang w:val="en-SG"/>
            </w:rPr>
            <w:instrText xml:space="preserve"> CITATION The1 \l 18441 </w:instrText>
          </w:r>
          <w:r>
            <w:rPr>
              <w:rFonts w:ascii="Times New Roman" w:hAnsi="Times New Roman" w:cs="Times New Roman"/>
              <w:color w:val="222222"/>
              <w:sz w:val="24"/>
              <w:szCs w:val="24"/>
              <w:shd w:val="clear" w:color="auto" w:fill="FFFFFF"/>
            </w:rPr>
            <w:fldChar w:fldCharType="separate"/>
          </w:r>
          <w:r w:rsidR="007C5EAF" w:rsidRPr="007C5EAF">
            <w:rPr>
              <w:rFonts w:ascii="Times New Roman" w:hAnsi="Times New Roman" w:cs="Times New Roman"/>
              <w:noProof/>
              <w:color w:val="222222"/>
              <w:sz w:val="24"/>
              <w:szCs w:val="24"/>
              <w:shd w:val="clear" w:color="auto" w:fill="FFFFFF"/>
              <w:lang w:val="en-SG"/>
            </w:rPr>
            <w:t>(The Economic Times, n.d.)</w:t>
          </w:r>
          <w:r>
            <w:rPr>
              <w:rFonts w:ascii="Times New Roman" w:hAnsi="Times New Roman" w:cs="Times New Roman"/>
              <w:color w:val="222222"/>
              <w:sz w:val="24"/>
              <w:szCs w:val="24"/>
              <w:shd w:val="clear" w:color="auto" w:fill="FFFFFF"/>
            </w:rPr>
            <w:fldChar w:fldCharType="end"/>
          </w:r>
        </w:sdtContent>
      </w:sdt>
      <w:r>
        <w:rPr>
          <w:rFonts w:ascii="Times New Roman" w:hAnsi="Times New Roman" w:cs="Times New Roman"/>
          <w:color w:val="222222"/>
          <w:sz w:val="24"/>
          <w:szCs w:val="24"/>
          <w:shd w:val="clear" w:color="auto" w:fill="FFFFFF"/>
        </w:rPr>
        <w:t xml:space="preserve">. </w:t>
      </w:r>
    </w:p>
    <w:p w14:paraId="47F00074" w14:textId="77777777" w:rsidR="009F458F" w:rsidRDefault="009F458F" w:rsidP="00C13C6B">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21D8A372" wp14:editId="0F030BE2">
            <wp:extent cx="5943600" cy="2613660"/>
            <wp:effectExtent l="0" t="0" r="0"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D4E474B" w14:textId="77777777" w:rsidR="001D01D6" w:rsidRDefault="001D01D6" w:rsidP="001D01D6">
      <w:pPr>
        <w:pStyle w:val="Caption"/>
        <w:jc w:val="center"/>
        <w:rPr>
          <w:rFonts w:ascii="Times New Roman" w:hAnsi="Times New Roman" w:cs="Times New Roman"/>
          <w:color w:val="222222"/>
          <w:sz w:val="24"/>
          <w:szCs w:val="24"/>
          <w:shd w:val="clear" w:color="auto" w:fill="FFFFFF"/>
        </w:rPr>
      </w:pPr>
      <w:bookmarkStart w:id="45" w:name="_Toc53356070"/>
      <w:r>
        <w:t xml:space="preserve">Figure </w:t>
      </w:r>
      <w:fldSimple w:instr=" SEQ Figure \* ARABIC ">
        <w:r w:rsidR="008B60A5">
          <w:rPr>
            <w:noProof/>
          </w:rPr>
          <w:t>11</w:t>
        </w:r>
      </w:fldSimple>
      <w:r>
        <w:t>: Average Debt to Equity Ratio</w:t>
      </w:r>
      <w:bookmarkEnd w:id="45"/>
    </w:p>
    <w:p w14:paraId="1F11EA54" w14:textId="67EDFC5A" w:rsidR="009F458F" w:rsidRDefault="009F458F" w:rsidP="00FB578F">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Dutch Bangla Bank has the highest debt-equity ratio, 35.06 times. </w:t>
      </w:r>
      <w:r w:rsidR="00BD4680">
        <w:rPr>
          <w:rFonts w:ascii="Times New Roman" w:hAnsi="Times New Roman" w:cs="Times New Roman"/>
          <w:color w:val="222222"/>
          <w:sz w:val="24"/>
          <w:szCs w:val="24"/>
          <w:shd w:val="clear" w:color="auto" w:fill="FFFFFF"/>
        </w:rPr>
        <w:t xml:space="preserve">That means against every </w:t>
      </w:r>
      <w:r w:rsidR="005872FB">
        <w:rPr>
          <w:rFonts w:ascii="Times New Roman" w:hAnsi="Times New Roman" w:cs="Times New Roman"/>
          <w:color w:val="222222"/>
          <w:sz w:val="24"/>
          <w:szCs w:val="24"/>
          <w:shd w:val="clear" w:color="auto" w:fill="FFFFFF"/>
        </w:rPr>
        <w:t>1-taka</w:t>
      </w:r>
      <w:r w:rsidR="00BD4680">
        <w:rPr>
          <w:rFonts w:ascii="Times New Roman" w:hAnsi="Times New Roman" w:cs="Times New Roman"/>
          <w:color w:val="222222"/>
          <w:sz w:val="24"/>
          <w:szCs w:val="24"/>
          <w:shd w:val="clear" w:color="auto" w:fill="FFFFFF"/>
        </w:rPr>
        <w:t xml:space="preserve"> capital, DBBL has</w:t>
      </w:r>
      <w:r w:rsidR="00986E6B">
        <w:rPr>
          <w:rFonts w:ascii="Times New Roman" w:hAnsi="Times New Roman" w:cs="Times New Roman"/>
          <w:color w:val="222222"/>
          <w:sz w:val="24"/>
          <w:szCs w:val="24"/>
          <w:shd w:val="clear" w:color="auto" w:fill="FFFFFF"/>
        </w:rPr>
        <w:t xml:space="preserve"> 35.06 taka liability. Higher the ratio; higher the risk. This indicates that the bank </w:t>
      </w:r>
      <w:r w:rsidR="005872FB">
        <w:rPr>
          <w:rFonts w:ascii="Times New Roman" w:hAnsi="Times New Roman" w:cs="Times New Roman"/>
          <w:color w:val="222222"/>
          <w:sz w:val="24"/>
          <w:szCs w:val="24"/>
          <w:shd w:val="clear" w:color="auto" w:fill="FFFFFF"/>
        </w:rPr>
        <w:t>invests</w:t>
      </w:r>
      <w:r w:rsidR="00986E6B">
        <w:rPr>
          <w:rFonts w:ascii="Times New Roman" w:hAnsi="Times New Roman" w:cs="Times New Roman"/>
          <w:color w:val="222222"/>
          <w:sz w:val="24"/>
          <w:szCs w:val="24"/>
          <w:shd w:val="clear" w:color="auto" w:fill="FFFFFF"/>
        </w:rPr>
        <w:t xml:space="preserve"> a lot of money on its assets.</w:t>
      </w:r>
      <w:r w:rsidR="002F266C">
        <w:rPr>
          <w:rFonts w:ascii="Times New Roman" w:hAnsi="Times New Roman" w:cs="Times New Roman"/>
          <w:color w:val="222222"/>
          <w:sz w:val="24"/>
          <w:szCs w:val="24"/>
          <w:shd w:val="clear" w:color="auto" w:fill="FFFFFF"/>
        </w:rPr>
        <w:t xml:space="preserve"> </w:t>
      </w:r>
    </w:p>
    <w:p w14:paraId="0D576971" w14:textId="77777777" w:rsidR="002F266C" w:rsidRDefault="00551EAB" w:rsidP="00F577FB">
      <w:pPr>
        <w:pStyle w:val="Heading3"/>
        <w:rPr>
          <w:b/>
          <w:color w:val="365F91" w:themeColor="accent1" w:themeShade="BF"/>
          <w:shd w:val="clear" w:color="auto" w:fill="FFFFFF"/>
        </w:rPr>
      </w:pPr>
      <w:bookmarkStart w:id="46" w:name="_Toc53357709"/>
      <w:r w:rsidRPr="00F577FB">
        <w:rPr>
          <w:b/>
          <w:color w:val="365F91" w:themeColor="accent1" w:themeShade="BF"/>
          <w:shd w:val="clear" w:color="auto" w:fill="FFFFFF"/>
        </w:rPr>
        <w:t>EQUITY MULTIPLIER RATIO</w:t>
      </w:r>
      <w:bookmarkEnd w:id="46"/>
    </w:p>
    <w:p w14:paraId="6D74CE1E" w14:textId="77777777" w:rsidR="00F577FB" w:rsidRPr="00F577FB" w:rsidRDefault="00F577FB" w:rsidP="00F577FB"/>
    <w:p w14:paraId="35144C56" w14:textId="77777777" w:rsidR="002F266C" w:rsidRDefault="002F266C" w:rsidP="00FB578F">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equity multiplier shows the percentage of assets that are financed or owed by the shareholders </w:t>
      </w:r>
      <w:sdt>
        <w:sdtPr>
          <w:rPr>
            <w:rFonts w:ascii="Times New Roman" w:hAnsi="Times New Roman" w:cs="Times New Roman"/>
            <w:sz w:val="24"/>
            <w:szCs w:val="24"/>
          </w:rPr>
          <w:id w:val="272525248"/>
          <w:citation/>
        </w:sdtPr>
        <w:sdtContent>
          <w:r>
            <w:rPr>
              <w:rFonts w:ascii="Times New Roman" w:hAnsi="Times New Roman" w:cs="Times New Roman"/>
              <w:sz w:val="24"/>
              <w:szCs w:val="24"/>
            </w:rPr>
            <w:fldChar w:fldCharType="begin"/>
          </w:r>
          <w:r>
            <w:rPr>
              <w:rFonts w:ascii="Times New Roman" w:hAnsi="Times New Roman" w:cs="Times New Roman"/>
              <w:sz w:val="24"/>
              <w:szCs w:val="24"/>
              <w:lang w:val="en-SG"/>
            </w:rPr>
            <w:instrText xml:space="preserve"> CITATION MyA1 \l 18441 </w:instrText>
          </w:r>
          <w:r>
            <w:rPr>
              <w:rFonts w:ascii="Times New Roman" w:hAnsi="Times New Roman" w:cs="Times New Roman"/>
              <w:sz w:val="24"/>
              <w:szCs w:val="24"/>
            </w:rPr>
            <w:fldChar w:fldCharType="separate"/>
          </w:r>
          <w:r w:rsidR="007C5EAF" w:rsidRPr="007C5EAF">
            <w:rPr>
              <w:rFonts w:ascii="Times New Roman" w:hAnsi="Times New Roman" w:cs="Times New Roman"/>
              <w:noProof/>
              <w:sz w:val="24"/>
              <w:szCs w:val="24"/>
              <w:lang w:val="en-SG"/>
            </w:rPr>
            <w:t>(My Accounting Course , n.d.)</w:t>
          </w:r>
          <w:r>
            <w:rPr>
              <w:rFonts w:ascii="Times New Roman" w:hAnsi="Times New Roman" w:cs="Times New Roman"/>
              <w:sz w:val="24"/>
              <w:szCs w:val="24"/>
            </w:rPr>
            <w:fldChar w:fldCharType="end"/>
          </w:r>
        </w:sdtContent>
      </w:sdt>
      <w:r>
        <w:rPr>
          <w:rFonts w:ascii="Times New Roman" w:hAnsi="Times New Roman" w:cs="Times New Roman"/>
          <w:sz w:val="24"/>
          <w:szCs w:val="24"/>
        </w:rPr>
        <w:t>. Conversely, this ratio also shows the level of debt financing is used to acquire assets and maintain operations.</w:t>
      </w:r>
    </w:p>
    <w:p w14:paraId="66C14765" w14:textId="77777777" w:rsidR="002F266C" w:rsidRDefault="00EF67B0" w:rsidP="002F266C">
      <w:pPr>
        <w:spacing w:line="360" w:lineRule="auto"/>
        <w:rPr>
          <w:rFonts w:ascii="Times New Roman" w:hAnsi="Times New Roman" w:cs="Times New Roman"/>
          <w:sz w:val="24"/>
          <w:szCs w:val="24"/>
        </w:rPr>
      </w:pPr>
      <w:r>
        <w:rPr>
          <w:noProof/>
        </w:rPr>
        <w:lastRenderedPageBreak/>
        <w:drawing>
          <wp:inline distT="0" distB="0" distL="0" distR="0" wp14:anchorId="02EB8AD0" wp14:editId="2138F966">
            <wp:extent cx="5943600" cy="25146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1FDCEAD3" w14:textId="77777777" w:rsidR="001D01D6" w:rsidRDefault="001D01D6" w:rsidP="001D01D6">
      <w:pPr>
        <w:pStyle w:val="Caption"/>
        <w:jc w:val="center"/>
        <w:rPr>
          <w:rFonts w:ascii="Times New Roman" w:hAnsi="Times New Roman" w:cs="Times New Roman"/>
          <w:color w:val="222222"/>
          <w:sz w:val="24"/>
          <w:szCs w:val="24"/>
          <w:shd w:val="clear" w:color="auto" w:fill="FFFFFF"/>
        </w:rPr>
      </w:pPr>
      <w:bookmarkStart w:id="47" w:name="_Toc53356071"/>
      <w:r>
        <w:t xml:space="preserve">Figure </w:t>
      </w:r>
      <w:fldSimple w:instr=" SEQ Figure \* ARABIC ">
        <w:r w:rsidR="008B60A5">
          <w:rPr>
            <w:noProof/>
          </w:rPr>
          <w:t>12</w:t>
        </w:r>
      </w:fldSimple>
      <w:r>
        <w:t>: Average Equity Multiplier</w:t>
      </w:r>
      <w:bookmarkEnd w:id="47"/>
    </w:p>
    <w:p w14:paraId="7929612A" w14:textId="62AE4AB0" w:rsidR="002F266C" w:rsidRPr="00551EAB" w:rsidRDefault="00EF67B0" w:rsidP="00EF67B0">
      <w:pPr>
        <w:spacing w:line="360" w:lineRule="auto"/>
        <w:jc w:val="both"/>
        <w:rPr>
          <w:rFonts w:ascii="Times New Roman" w:hAnsi="Times New Roman" w:cs="Times New Roman"/>
          <w:color w:val="222222"/>
          <w:sz w:val="24"/>
          <w:szCs w:val="24"/>
          <w:shd w:val="clear" w:color="auto" w:fill="FFFFFF"/>
        </w:rPr>
      </w:pPr>
      <w:r w:rsidRPr="00EF67B0">
        <w:rPr>
          <w:rFonts w:ascii="Times New Roman" w:hAnsi="Times New Roman" w:cs="Times New Roman"/>
          <w:color w:val="222222"/>
          <w:sz w:val="24"/>
          <w:szCs w:val="24"/>
          <w:shd w:val="clear" w:color="auto" w:fill="FFFFFF"/>
        </w:rPr>
        <w:t>We ca</w:t>
      </w:r>
      <w:r>
        <w:rPr>
          <w:rFonts w:ascii="Times New Roman" w:hAnsi="Times New Roman" w:cs="Times New Roman"/>
          <w:color w:val="222222"/>
          <w:sz w:val="24"/>
          <w:szCs w:val="24"/>
          <w:shd w:val="clear" w:color="auto" w:fill="FFFFFF"/>
        </w:rPr>
        <w:t>n see that the ratio of EBL is higher than other banks, 65.38</w:t>
      </w:r>
      <w:r w:rsidRPr="00EF67B0">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 </w:t>
      </w:r>
      <w:r w:rsidRPr="00EF67B0">
        <w:rPr>
          <w:rFonts w:ascii="Times New Roman" w:hAnsi="Times New Roman" w:cs="Times New Roman"/>
          <w:color w:val="222222"/>
          <w:sz w:val="24"/>
          <w:szCs w:val="24"/>
          <w:shd w:val="clear" w:color="auto" w:fill="FFFFFF"/>
        </w:rPr>
        <w:t xml:space="preserve">A high equity </w:t>
      </w:r>
      <w:r>
        <w:rPr>
          <w:rFonts w:ascii="Times New Roman" w:hAnsi="Times New Roman" w:cs="Times New Roman"/>
          <w:color w:val="222222"/>
          <w:sz w:val="24"/>
          <w:szCs w:val="24"/>
          <w:shd w:val="clear" w:color="auto" w:fill="FFFFFF"/>
        </w:rPr>
        <w:t>multiplier indicates that Eastern Bank</w:t>
      </w:r>
      <w:r w:rsidRPr="00EF67B0">
        <w:rPr>
          <w:rFonts w:ascii="Times New Roman" w:hAnsi="Times New Roman" w:cs="Times New Roman"/>
          <w:color w:val="222222"/>
          <w:sz w:val="24"/>
          <w:szCs w:val="24"/>
          <w:shd w:val="clear" w:color="auto" w:fill="FFFFFF"/>
        </w:rPr>
        <w:t xml:space="preserve"> has been using more debt than equity to finance its asset purchase</w:t>
      </w:r>
      <w:r>
        <w:rPr>
          <w:rFonts w:ascii="Times New Roman" w:hAnsi="Times New Roman" w:cs="Times New Roman"/>
          <w:color w:val="222222"/>
          <w:sz w:val="24"/>
          <w:szCs w:val="24"/>
          <w:shd w:val="clear" w:color="auto" w:fill="FFFFFF"/>
        </w:rPr>
        <w:t xml:space="preserve">. It can be best used of EBL </w:t>
      </w:r>
      <w:r w:rsidRPr="00EF67B0">
        <w:rPr>
          <w:rFonts w:ascii="Times New Roman" w:hAnsi="Times New Roman" w:cs="Times New Roman"/>
          <w:color w:val="222222"/>
          <w:sz w:val="24"/>
          <w:szCs w:val="24"/>
          <w:shd w:val="clear" w:color="auto" w:fill="FFFFFF"/>
        </w:rPr>
        <w:t xml:space="preserve">comparing with other </w:t>
      </w:r>
      <w:r>
        <w:rPr>
          <w:rFonts w:ascii="Times New Roman" w:hAnsi="Times New Roman" w:cs="Times New Roman"/>
          <w:color w:val="222222"/>
          <w:sz w:val="24"/>
          <w:szCs w:val="24"/>
          <w:shd w:val="clear" w:color="auto" w:fill="FFFFFF"/>
        </w:rPr>
        <w:t>banks</w:t>
      </w:r>
      <w:r w:rsidRPr="00EF67B0">
        <w:rPr>
          <w:rFonts w:ascii="Times New Roman" w:hAnsi="Times New Roman" w:cs="Times New Roman"/>
          <w:color w:val="222222"/>
          <w:sz w:val="24"/>
          <w:szCs w:val="24"/>
          <w:shd w:val="clear" w:color="auto" w:fill="FFFFFF"/>
        </w:rPr>
        <w:t xml:space="preserve">. It </w:t>
      </w:r>
      <w:r w:rsidR="005872FB" w:rsidRPr="00EF67B0">
        <w:rPr>
          <w:rFonts w:ascii="Times New Roman" w:hAnsi="Times New Roman" w:cs="Times New Roman"/>
          <w:color w:val="222222"/>
          <w:sz w:val="24"/>
          <w:szCs w:val="24"/>
          <w:shd w:val="clear" w:color="auto" w:fill="FFFFFF"/>
        </w:rPr>
        <w:t>will be</w:t>
      </w:r>
      <w:r w:rsidRPr="00EF67B0">
        <w:rPr>
          <w:rFonts w:ascii="Times New Roman" w:hAnsi="Times New Roman" w:cs="Times New Roman"/>
          <w:color w:val="222222"/>
          <w:sz w:val="24"/>
          <w:szCs w:val="24"/>
          <w:shd w:val="clear" w:color="auto" w:fill="FFFFFF"/>
        </w:rPr>
        <w:t xml:space="preserve"> more appropriate to use of </w:t>
      </w:r>
      <w:r>
        <w:rPr>
          <w:rFonts w:ascii="Times New Roman" w:hAnsi="Times New Roman" w:cs="Times New Roman"/>
          <w:color w:val="222222"/>
          <w:sz w:val="24"/>
          <w:szCs w:val="24"/>
          <w:shd w:val="clear" w:color="auto" w:fill="FFFFFF"/>
        </w:rPr>
        <w:t>higher level of debt when bank</w:t>
      </w:r>
      <w:r w:rsidRPr="00EF67B0">
        <w:rPr>
          <w:rFonts w:ascii="Times New Roman" w:hAnsi="Times New Roman" w:cs="Times New Roman"/>
          <w:color w:val="222222"/>
          <w:sz w:val="24"/>
          <w:szCs w:val="24"/>
          <w:shd w:val="clear" w:color="auto" w:fill="FFFFFF"/>
        </w:rPr>
        <w:t xml:space="preserve"> is operating profitability and using its asset effectively. </w:t>
      </w:r>
    </w:p>
    <w:p w14:paraId="43817128" w14:textId="77777777" w:rsidR="004C74A6" w:rsidRDefault="00551EAB" w:rsidP="00017814">
      <w:pPr>
        <w:pStyle w:val="Heading3"/>
        <w:rPr>
          <w:b/>
          <w:color w:val="365F91" w:themeColor="accent1" w:themeShade="BF"/>
          <w:shd w:val="clear" w:color="auto" w:fill="FFFFFF"/>
        </w:rPr>
      </w:pPr>
      <w:bookmarkStart w:id="48" w:name="_Toc53357710"/>
      <w:r w:rsidRPr="00017814">
        <w:rPr>
          <w:b/>
          <w:color w:val="365F91" w:themeColor="accent1" w:themeShade="BF"/>
          <w:shd w:val="clear" w:color="auto" w:fill="FFFFFF"/>
        </w:rPr>
        <w:t>DEBT TO CAPITAL</w:t>
      </w:r>
      <w:bookmarkEnd w:id="48"/>
    </w:p>
    <w:p w14:paraId="57DEF0C2" w14:textId="77777777" w:rsidR="00017814" w:rsidRPr="00017814" w:rsidRDefault="00017814" w:rsidP="00017814"/>
    <w:p w14:paraId="1EC72B87" w14:textId="77777777" w:rsidR="00310B44" w:rsidRDefault="00310B44" w:rsidP="00551EAB">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Debt to capital ratio used to measure</w:t>
      </w:r>
      <w:r w:rsidR="00AD73E2">
        <w:rPr>
          <w:rFonts w:ascii="Times New Roman" w:hAnsi="Times New Roman" w:cs="Times New Roman"/>
          <w:color w:val="222222"/>
          <w:sz w:val="24"/>
          <w:szCs w:val="24"/>
          <w:shd w:val="clear" w:color="auto" w:fill="FFFFFF"/>
        </w:rPr>
        <w:t xml:space="preserve"> how much</w:t>
      </w:r>
      <w:r w:rsidRPr="00310B44">
        <w:rPr>
          <w:rFonts w:ascii="Times New Roman" w:hAnsi="Times New Roman" w:cs="Times New Roman"/>
          <w:color w:val="222222"/>
          <w:sz w:val="24"/>
          <w:szCs w:val="24"/>
          <w:shd w:val="clear" w:color="auto" w:fill="FFFFFF"/>
        </w:rPr>
        <w:t xml:space="preserve"> debt </w:t>
      </w:r>
      <w:r w:rsidR="00AD73E2">
        <w:rPr>
          <w:rFonts w:ascii="Times New Roman" w:hAnsi="Times New Roman" w:cs="Times New Roman"/>
          <w:color w:val="222222"/>
          <w:sz w:val="24"/>
          <w:szCs w:val="24"/>
          <w:shd w:val="clear" w:color="auto" w:fill="FFFFFF"/>
        </w:rPr>
        <w:t xml:space="preserve">a company should use </w:t>
      </w:r>
      <w:r w:rsidRPr="00310B44">
        <w:rPr>
          <w:rFonts w:ascii="Times New Roman" w:hAnsi="Times New Roman" w:cs="Times New Roman"/>
          <w:color w:val="222222"/>
          <w:sz w:val="24"/>
          <w:szCs w:val="24"/>
          <w:shd w:val="clear" w:color="auto" w:fill="FFFFFF"/>
        </w:rPr>
        <w:t>in comparison with its total external financing, including shareholder equity. Most companies finance their operations through a mixture of debt and equity.</w:t>
      </w:r>
      <w:r w:rsidR="00DD0EB2">
        <w:rPr>
          <w:rFonts w:ascii="Times New Roman" w:hAnsi="Times New Roman" w:cs="Times New Roman"/>
          <w:color w:val="222222"/>
          <w:sz w:val="24"/>
          <w:szCs w:val="24"/>
          <w:shd w:val="clear" w:color="auto" w:fill="FFFFFF"/>
        </w:rPr>
        <w:t xml:space="preserve"> </w:t>
      </w:r>
      <w:sdt>
        <w:sdtPr>
          <w:rPr>
            <w:rFonts w:ascii="Times New Roman" w:hAnsi="Times New Roman" w:cs="Times New Roman"/>
            <w:color w:val="222222"/>
            <w:sz w:val="24"/>
            <w:szCs w:val="24"/>
            <w:shd w:val="clear" w:color="auto" w:fill="FFFFFF"/>
          </w:rPr>
          <w:id w:val="-578755877"/>
          <w:citation/>
        </w:sdtPr>
        <w:sdtContent>
          <w:r w:rsidR="00DD0EB2">
            <w:rPr>
              <w:rFonts w:ascii="Times New Roman" w:hAnsi="Times New Roman" w:cs="Times New Roman"/>
              <w:color w:val="222222"/>
              <w:sz w:val="24"/>
              <w:szCs w:val="24"/>
              <w:shd w:val="clear" w:color="auto" w:fill="FFFFFF"/>
            </w:rPr>
            <w:fldChar w:fldCharType="begin"/>
          </w:r>
          <w:r w:rsidR="00DD0EB2">
            <w:rPr>
              <w:rFonts w:ascii="Times New Roman" w:hAnsi="Times New Roman" w:cs="Times New Roman"/>
              <w:color w:val="222222"/>
              <w:sz w:val="24"/>
              <w:szCs w:val="24"/>
              <w:shd w:val="clear" w:color="auto" w:fill="FFFFFF"/>
              <w:lang w:val="en-SG"/>
            </w:rPr>
            <w:instrText xml:space="preserve"> CITATION cap \l 18441 </w:instrText>
          </w:r>
          <w:r w:rsidR="00DD0EB2">
            <w:rPr>
              <w:rFonts w:ascii="Times New Roman" w:hAnsi="Times New Roman" w:cs="Times New Roman"/>
              <w:color w:val="222222"/>
              <w:sz w:val="24"/>
              <w:szCs w:val="24"/>
              <w:shd w:val="clear" w:color="auto" w:fill="FFFFFF"/>
            </w:rPr>
            <w:fldChar w:fldCharType="separate"/>
          </w:r>
          <w:r w:rsidR="007C5EAF" w:rsidRPr="007C5EAF">
            <w:rPr>
              <w:rFonts w:ascii="Times New Roman" w:hAnsi="Times New Roman" w:cs="Times New Roman"/>
              <w:noProof/>
              <w:color w:val="222222"/>
              <w:sz w:val="24"/>
              <w:szCs w:val="24"/>
              <w:shd w:val="clear" w:color="auto" w:fill="FFFFFF"/>
              <w:lang w:val="en-SG"/>
            </w:rPr>
            <w:t>(capital.com, n.d.)</w:t>
          </w:r>
          <w:r w:rsidR="00DD0EB2">
            <w:rPr>
              <w:rFonts w:ascii="Times New Roman" w:hAnsi="Times New Roman" w:cs="Times New Roman"/>
              <w:color w:val="222222"/>
              <w:sz w:val="24"/>
              <w:szCs w:val="24"/>
              <w:shd w:val="clear" w:color="auto" w:fill="FFFFFF"/>
            </w:rPr>
            <w:fldChar w:fldCharType="end"/>
          </w:r>
        </w:sdtContent>
      </w:sdt>
    </w:p>
    <w:p w14:paraId="59DDA6D8" w14:textId="77777777" w:rsidR="00B962C8" w:rsidRDefault="00867054" w:rsidP="00551EAB">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21C47B80" wp14:editId="09C2A5E2">
            <wp:extent cx="5943600" cy="215646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27568D47" w14:textId="77777777" w:rsidR="00B962C8" w:rsidRDefault="00B962C8" w:rsidP="00551EAB">
      <w:pPr>
        <w:spacing w:line="360" w:lineRule="auto"/>
        <w:jc w:val="both"/>
        <w:rPr>
          <w:rFonts w:ascii="Times New Roman" w:hAnsi="Times New Roman" w:cs="Times New Roman"/>
          <w:color w:val="222222"/>
          <w:sz w:val="24"/>
          <w:szCs w:val="24"/>
          <w:shd w:val="clear" w:color="auto" w:fill="FFFFFF"/>
        </w:rPr>
      </w:pPr>
    </w:p>
    <w:p w14:paraId="3E76AA58" w14:textId="77777777" w:rsidR="00B962C8" w:rsidRDefault="00B962C8" w:rsidP="00B962C8">
      <w:pPr>
        <w:pStyle w:val="Caption"/>
        <w:jc w:val="center"/>
        <w:rPr>
          <w:rFonts w:ascii="Times New Roman" w:hAnsi="Times New Roman" w:cs="Times New Roman"/>
          <w:color w:val="222222"/>
          <w:sz w:val="24"/>
          <w:szCs w:val="24"/>
          <w:shd w:val="clear" w:color="auto" w:fill="FFFFFF"/>
        </w:rPr>
      </w:pPr>
      <w:bookmarkStart w:id="49" w:name="_Toc53356072"/>
      <w:r>
        <w:lastRenderedPageBreak/>
        <w:t xml:space="preserve">Figure </w:t>
      </w:r>
      <w:fldSimple w:instr=" SEQ Figure \* ARABIC ">
        <w:r w:rsidR="008B60A5">
          <w:rPr>
            <w:noProof/>
          </w:rPr>
          <w:t>13</w:t>
        </w:r>
      </w:fldSimple>
      <w:r>
        <w:t>: Average Debt to Capital Ratio</w:t>
      </w:r>
      <w:bookmarkEnd w:id="49"/>
    </w:p>
    <w:p w14:paraId="6971CBBB" w14:textId="77777777" w:rsidR="007303E7" w:rsidRPr="00551EAB" w:rsidRDefault="00D466DD" w:rsidP="00551EAB">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chart showing that, almost all the banks have average debt to capital ratio, in between the range of 88 to 93 percent. </w:t>
      </w:r>
      <w:r w:rsidR="007402CE">
        <w:rPr>
          <w:rFonts w:ascii="Times New Roman" w:hAnsi="Times New Roman" w:cs="Times New Roman"/>
          <w:color w:val="222222"/>
          <w:sz w:val="24"/>
          <w:szCs w:val="24"/>
          <w:shd w:val="clear" w:color="auto" w:fill="FFFFFF"/>
        </w:rPr>
        <w:t>It indicates banks in average uses 88% to 93%</w:t>
      </w:r>
      <w:r w:rsidR="007402CE" w:rsidRPr="007402CE">
        <w:rPr>
          <w:rFonts w:ascii="Times New Roman" w:hAnsi="Times New Roman" w:cs="Times New Roman"/>
          <w:color w:val="222222"/>
          <w:sz w:val="24"/>
          <w:szCs w:val="24"/>
          <w:shd w:val="clear" w:color="auto" w:fill="FFFFFF"/>
        </w:rPr>
        <w:t xml:space="preserve"> of debt to finance operations through external fu</w:t>
      </w:r>
      <w:r w:rsidR="007402CE">
        <w:rPr>
          <w:rFonts w:ascii="Times New Roman" w:hAnsi="Times New Roman" w:cs="Times New Roman"/>
          <w:color w:val="222222"/>
          <w:sz w:val="24"/>
          <w:szCs w:val="24"/>
          <w:shd w:val="clear" w:color="auto" w:fill="FFFFFF"/>
        </w:rPr>
        <w:t xml:space="preserve">nding. This involves high risk. </w:t>
      </w:r>
    </w:p>
    <w:p w14:paraId="4DA1B600" w14:textId="77777777" w:rsidR="00551EAB" w:rsidRDefault="00551EAB" w:rsidP="00B53450">
      <w:pPr>
        <w:pStyle w:val="Heading3"/>
        <w:rPr>
          <w:b/>
          <w:color w:val="365F91" w:themeColor="accent1" w:themeShade="BF"/>
          <w:shd w:val="clear" w:color="auto" w:fill="FFFFFF"/>
        </w:rPr>
      </w:pPr>
      <w:bookmarkStart w:id="50" w:name="_Toc53357711"/>
      <w:r w:rsidRPr="00B53450">
        <w:rPr>
          <w:b/>
          <w:color w:val="365F91" w:themeColor="accent1" w:themeShade="BF"/>
          <w:shd w:val="clear" w:color="auto" w:fill="FFFFFF"/>
        </w:rPr>
        <w:t>CAPITAL ADEQUACY RATIO</w:t>
      </w:r>
      <w:bookmarkEnd w:id="50"/>
    </w:p>
    <w:p w14:paraId="4FCFFB83" w14:textId="77777777" w:rsidR="00B53450" w:rsidRPr="00B53450" w:rsidRDefault="00B53450" w:rsidP="00FB578F">
      <w:pPr>
        <w:spacing w:line="360" w:lineRule="auto"/>
        <w:jc w:val="both"/>
      </w:pPr>
    </w:p>
    <w:p w14:paraId="78F09E70" w14:textId="77777777" w:rsidR="009334EF" w:rsidRDefault="00EE53E5" w:rsidP="00FB578F">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Capital adequacy</w:t>
      </w:r>
      <w:r w:rsidRPr="00EE53E5">
        <w:rPr>
          <w:rFonts w:ascii="Times New Roman" w:hAnsi="Times New Roman" w:cs="Times New Roman"/>
          <w:color w:val="222222"/>
          <w:sz w:val="24"/>
          <w:szCs w:val="24"/>
          <w:shd w:val="clear" w:color="auto" w:fill="FFFFFF"/>
        </w:rPr>
        <w:t xml:space="preserve"> ratio ensures banks have enough capital to cover potential losses, which prot</w:t>
      </w:r>
      <w:r w:rsidR="00781C2D">
        <w:rPr>
          <w:rFonts w:ascii="Times New Roman" w:hAnsi="Times New Roman" w:cs="Times New Roman"/>
          <w:color w:val="222222"/>
          <w:sz w:val="24"/>
          <w:szCs w:val="24"/>
          <w:shd w:val="clear" w:color="auto" w:fill="FFFFFF"/>
        </w:rPr>
        <w:t xml:space="preserve">ects them from insolvency. Higher the ratio indicates that </w:t>
      </w:r>
      <w:r w:rsidRPr="00EE53E5">
        <w:rPr>
          <w:rFonts w:ascii="Times New Roman" w:hAnsi="Times New Roman" w:cs="Times New Roman"/>
          <w:color w:val="222222"/>
          <w:sz w:val="24"/>
          <w:szCs w:val="24"/>
          <w:shd w:val="clear" w:color="auto" w:fill="FFFFFF"/>
        </w:rPr>
        <w:t>the</w:t>
      </w:r>
      <w:r w:rsidR="00781C2D">
        <w:rPr>
          <w:rFonts w:ascii="Times New Roman" w:hAnsi="Times New Roman" w:cs="Times New Roman"/>
          <w:color w:val="222222"/>
          <w:sz w:val="24"/>
          <w:szCs w:val="24"/>
          <w:shd w:val="clear" w:color="auto" w:fill="FFFFFF"/>
        </w:rPr>
        <w:t xml:space="preserve"> bank is</w:t>
      </w:r>
      <w:r w:rsidRPr="00EE53E5">
        <w:rPr>
          <w:rFonts w:ascii="Times New Roman" w:hAnsi="Times New Roman" w:cs="Times New Roman"/>
          <w:color w:val="222222"/>
          <w:sz w:val="24"/>
          <w:szCs w:val="24"/>
          <w:shd w:val="clear" w:color="auto" w:fill="FFFFFF"/>
        </w:rPr>
        <w:t xml:space="preserve"> more stable a</w:t>
      </w:r>
      <w:r w:rsidR="00781C2D">
        <w:rPr>
          <w:rFonts w:ascii="Times New Roman" w:hAnsi="Times New Roman" w:cs="Times New Roman"/>
          <w:color w:val="222222"/>
          <w:sz w:val="24"/>
          <w:szCs w:val="24"/>
          <w:shd w:val="clear" w:color="auto" w:fill="FFFFFF"/>
        </w:rPr>
        <w:t>nd efficient and the lower ratio indicates that the bank is deemed to be</w:t>
      </w:r>
      <w:r w:rsidRPr="00EE53E5">
        <w:rPr>
          <w:rFonts w:ascii="Times New Roman" w:hAnsi="Times New Roman" w:cs="Times New Roman"/>
          <w:color w:val="222222"/>
          <w:sz w:val="24"/>
          <w:szCs w:val="24"/>
          <w:shd w:val="clear" w:color="auto" w:fill="FFFFFF"/>
        </w:rPr>
        <w:t xml:space="preserve"> insolvent</w:t>
      </w:r>
      <w:r w:rsidR="001C3540">
        <w:rPr>
          <w:rFonts w:ascii="Times New Roman" w:hAnsi="Times New Roman" w:cs="Times New Roman"/>
          <w:color w:val="222222"/>
          <w:sz w:val="24"/>
          <w:szCs w:val="24"/>
          <w:shd w:val="clear" w:color="auto" w:fill="FFFFFF"/>
        </w:rPr>
        <w:t xml:space="preserve"> </w:t>
      </w:r>
      <w:sdt>
        <w:sdtPr>
          <w:rPr>
            <w:rFonts w:ascii="Times New Roman" w:hAnsi="Times New Roman" w:cs="Times New Roman"/>
            <w:color w:val="222222"/>
            <w:sz w:val="24"/>
            <w:szCs w:val="24"/>
            <w:shd w:val="clear" w:color="auto" w:fill="FFFFFF"/>
          </w:rPr>
          <w:id w:val="-2121370932"/>
          <w:citation/>
        </w:sdtPr>
        <w:sdtContent>
          <w:r w:rsidR="001C3540">
            <w:rPr>
              <w:rFonts w:ascii="Times New Roman" w:hAnsi="Times New Roman" w:cs="Times New Roman"/>
              <w:color w:val="222222"/>
              <w:sz w:val="24"/>
              <w:szCs w:val="24"/>
              <w:shd w:val="clear" w:color="auto" w:fill="FFFFFF"/>
            </w:rPr>
            <w:fldChar w:fldCharType="begin"/>
          </w:r>
          <w:r w:rsidR="001C3540">
            <w:rPr>
              <w:rFonts w:ascii="Times New Roman" w:hAnsi="Times New Roman" w:cs="Times New Roman"/>
              <w:color w:val="222222"/>
              <w:sz w:val="24"/>
              <w:szCs w:val="24"/>
              <w:shd w:val="clear" w:color="auto" w:fill="FFFFFF"/>
              <w:lang w:val="en-SG"/>
            </w:rPr>
            <w:instrText xml:space="preserve"> CITATION cap1 \l 18441 </w:instrText>
          </w:r>
          <w:r w:rsidR="001C3540">
            <w:rPr>
              <w:rFonts w:ascii="Times New Roman" w:hAnsi="Times New Roman" w:cs="Times New Roman"/>
              <w:color w:val="222222"/>
              <w:sz w:val="24"/>
              <w:szCs w:val="24"/>
              <w:shd w:val="clear" w:color="auto" w:fill="FFFFFF"/>
            </w:rPr>
            <w:fldChar w:fldCharType="separate"/>
          </w:r>
          <w:r w:rsidR="007C5EAF" w:rsidRPr="007C5EAF">
            <w:rPr>
              <w:rFonts w:ascii="Times New Roman" w:hAnsi="Times New Roman" w:cs="Times New Roman"/>
              <w:noProof/>
              <w:color w:val="222222"/>
              <w:sz w:val="24"/>
              <w:szCs w:val="24"/>
              <w:shd w:val="clear" w:color="auto" w:fill="FFFFFF"/>
              <w:lang w:val="en-SG"/>
            </w:rPr>
            <w:t>(capital.com, n.d.)</w:t>
          </w:r>
          <w:r w:rsidR="001C3540">
            <w:rPr>
              <w:rFonts w:ascii="Times New Roman" w:hAnsi="Times New Roman" w:cs="Times New Roman"/>
              <w:color w:val="222222"/>
              <w:sz w:val="24"/>
              <w:szCs w:val="24"/>
              <w:shd w:val="clear" w:color="auto" w:fill="FFFFFF"/>
            </w:rPr>
            <w:fldChar w:fldCharType="end"/>
          </w:r>
        </w:sdtContent>
      </w:sdt>
      <w:r w:rsidRPr="00EE53E5">
        <w:rPr>
          <w:rFonts w:ascii="Times New Roman" w:hAnsi="Times New Roman" w:cs="Times New Roman"/>
          <w:color w:val="222222"/>
          <w:sz w:val="24"/>
          <w:szCs w:val="24"/>
          <w:shd w:val="clear" w:color="auto" w:fill="FFFFFF"/>
        </w:rPr>
        <w:t>.</w:t>
      </w:r>
    </w:p>
    <w:p w14:paraId="41FB2453" w14:textId="77777777" w:rsidR="00EC3D66" w:rsidRDefault="00170609" w:rsidP="00551EAB">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0B62946A" wp14:editId="5FE45AA8">
            <wp:extent cx="5852160" cy="233172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5AAD64E2" w14:textId="77777777" w:rsidR="00B962C8" w:rsidRDefault="00B962C8" w:rsidP="00B962C8">
      <w:pPr>
        <w:pStyle w:val="Caption"/>
        <w:jc w:val="center"/>
        <w:rPr>
          <w:rFonts w:ascii="Times New Roman" w:hAnsi="Times New Roman" w:cs="Times New Roman"/>
          <w:color w:val="222222"/>
          <w:sz w:val="24"/>
          <w:szCs w:val="24"/>
          <w:shd w:val="clear" w:color="auto" w:fill="FFFFFF"/>
        </w:rPr>
      </w:pPr>
      <w:bookmarkStart w:id="51" w:name="_Toc53356073"/>
      <w:r>
        <w:t xml:space="preserve">Figure </w:t>
      </w:r>
      <w:fldSimple w:instr=" SEQ Figure \* ARABIC ">
        <w:r w:rsidR="008B60A5">
          <w:rPr>
            <w:noProof/>
          </w:rPr>
          <w:t>14</w:t>
        </w:r>
      </w:fldSimple>
      <w:r>
        <w:t>: Average Capital Adequacy Ratio</w:t>
      </w:r>
      <w:bookmarkEnd w:id="51"/>
    </w:p>
    <w:p w14:paraId="49041F0C" w14:textId="77777777" w:rsidR="009334EF" w:rsidRDefault="00170609" w:rsidP="00551EAB">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Compatibly, AB Bank has the lowest average capital adequacy ratio, 10.61%. It has more chances to be insolvent than other banks. </w:t>
      </w:r>
      <w:r w:rsidR="00D84886">
        <w:rPr>
          <w:rFonts w:ascii="Times New Roman" w:hAnsi="Times New Roman" w:cs="Times New Roman"/>
          <w:color w:val="222222"/>
          <w:sz w:val="24"/>
          <w:szCs w:val="24"/>
          <w:shd w:val="clear" w:color="auto" w:fill="FFFFFF"/>
        </w:rPr>
        <w:t xml:space="preserve">Other banks adequacy ratio is in between the range of 11% to 15%. </w:t>
      </w:r>
    </w:p>
    <w:tbl>
      <w:tblPr>
        <w:tblW w:w="10786" w:type="dxa"/>
        <w:jc w:val="center"/>
        <w:tblLook w:val="04A0" w:firstRow="1" w:lastRow="0" w:firstColumn="1" w:lastColumn="0" w:noHBand="0" w:noVBand="1"/>
      </w:tblPr>
      <w:tblGrid>
        <w:gridCol w:w="1506"/>
        <w:gridCol w:w="948"/>
        <w:gridCol w:w="222"/>
        <w:gridCol w:w="1493"/>
        <w:gridCol w:w="1098"/>
        <w:gridCol w:w="222"/>
        <w:gridCol w:w="1505"/>
        <w:gridCol w:w="948"/>
        <w:gridCol w:w="222"/>
        <w:gridCol w:w="1524"/>
        <w:gridCol w:w="1098"/>
      </w:tblGrid>
      <w:tr w:rsidR="00CF10C5" w:rsidRPr="008667A0" w14:paraId="0B1AEF81" w14:textId="77777777" w:rsidTr="00CF10C5">
        <w:trPr>
          <w:trHeight w:val="1728"/>
          <w:jc w:val="center"/>
        </w:trPr>
        <w:tc>
          <w:tcPr>
            <w:tcW w:w="150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7ED3F" w14:textId="77777777" w:rsidR="00CF10C5" w:rsidRPr="008667A0" w:rsidRDefault="00CF10C5" w:rsidP="00CF10C5">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Name</w:t>
            </w:r>
          </w:p>
        </w:tc>
        <w:tc>
          <w:tcPr>
            <w:tcW w:w="948" w:type="dxa"/>
            <w:tcBorders>
              <w:top w:val="single" w:sz="4" w:space="0" w:color="auto"/>
              <w:left w:val="nil"/>
              <w:bottom w:val="single" w:sz="4" w:space="0" w:color="auto"/>
              <w:right w:val="single" w:sz="4" w:space="0" w:color="auto"/>
            </w:tcBorders>
            <w:shd w:val="clear" w:color="auto" w:fill="auto"/>
            <w:vAlign w:val="center"/>
            <w:hideMark/>
          </w:tcPr>
          <w:p w14:paraId="1CC55438" w14:textId="77777777" w:rsidR="00CF10C5" w:rsidRPr="008667A0" w:rsidRDefault="00CF10C5" w:rsidP="00CF10C5">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Average Debt to Equity Ratio </w:t>
            </w:r>
          </w:p>
        </w:tc>
        <w:tc>
          <w:tcPr>
            <w:tcW w:w="222" w:type="dxa"/>
            <w:tcBorders>
              <w:top w:val="nil"/>
              <w:left w:val="nil"/>
              <w:bottom w:val="nil"/>
              <w:right w:val="nil"/>
            </w:tcBorders>
            <w:shd w:val="clear" w:color="auto" w:fill="auto"/>
            <w:vAlign w:val="center"/>
            <w:hideMark/>
          </w:tcPr>
          <w:p w14:paraId="593CA303" w14:textId="77777777" w:rsidR="00CF10C5" w:rsidRPr="008667A0" w:rsidRDefault="00CF10C5" w:rsidP="00CF10C5">
            <w:pPr>
              <w:spacing w:after="0" w:line="240" w:lineRule="auto"/>
              <w:jc w:val="center"/>
              <w:rPr>
                <w:rFonts w:ascii="Times New Roman" w:eastAsia="Times New Roman" w:hAnsi="Times New Roman" w:cs="Times New Roman"/>
                <w:color w:val="000000"/>
                <w:sz w:val="20"/>
                <w:szCs w:val="20"/>
              </w:rPr>
            </w:pPr>
          </w:p>
        </w:tc>
        <w:tc>
          <w:tcPr>
            <w:tcW w:w="14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468C8D" w14:textId="77777777" w:rsidR="00CF10C5" w:rsidRPr="008667A0" w:rsidRDefault="00CF10C5" w:rsidP="00CF10C5">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Name</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14:paraId="5B8AA442" w14:textId="77777777" w:rsidR="00CF10C5" w:rsidRPr="008667A0" w:rsidRDefault="00CF10C5" w:rsidP="00CF10C5">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Average Equity Multiplier  </w:t>
            </w:r>
          </w:p>
        </w:tc>
        <w:tc>
          <w:tcPr>
            <w:tcW w:w="222" w:type="dxa"/>
            <w:tcBorders>
              <w:top w:val="nil"/>
              <w:left w:val="nil"/>
              <w:bottom w:val="nil"/>
              <w:right w:val="nil"/>
            </w:tcBorders>
            <w:shd w:val="clear" w:color="auto" w:fill="auto"/>
            <w:vAlign w:val="center"/>
            <w:hideMark/>
          </w:tcPr>
          <w:p w14:paraId="70CC6A2A" w14:textId="77777777" w:rsidR="00CF10C5" w:rsidRPr="008667A0" w:rsidRDefault="00CF10C5" w:rsidP="00CF10C5">
            <w:pPr>
              <w:spacing w:after="0" w:line="240" w:lineRule="auto"/>
              <w:jc w:val="center"/>
              <w:rPr>
                <w:rFonts w:ascii="Times New Roman" w:eastAsia="Times New Roman" w:hAnsi="Times New Roman" w:cs="Times New Roman"/>
                <w:color w:val="000000"/>
                <w:sz w:val="20"/>
                <w:szCs w:val="20"/>
              </w:rPr>
            </w:pPr>
          </w:p>
        </w:tc>
        <w:tc>
          <w:tcPr>
            <w:tcW w:w="150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11C690" w14:textId="77777777" w:rsidR="00CF10C5" w:rsidRPr="008667A0" w:rsidRDefault="00CF10C5" w:rsidP="00CF10C5">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Name</w:t>
            </w:r>
          </w:p>
        </w:tc>
        <w:tc>
          <w:tcPr>
            <w:tcW w:w="948" w:type="dxa"/>
            <w:tcBorders>
              <w:top w:val="single" w:sz="4" w:space="0" w:color="auto"/>
              <w:left w:val="nil"/>
              <w:bottom w:val="single" w:sz="4" w:space="0" w:color="auto"/>
              <w:right w:val="single" w:sz="4" w:space="0" w:color="auto"/>
            </w:tcBorders>
            <w:shd w:val="clear" w:color="auto" w:fill="auto"/>
            <w:vAlign w:val="center"/>
            <w:hideMark/>
          </w:tcPr>
          <w:p w14:paraId="5DFB8583" w14:textId="77777777" w:rsidR="00CF10C5" w:rsidRPr="008667A0" w:rsidRDefault="00CF10C5" w:rsidP="00CF10C5">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Average Debt to Capital Ratio </w:t>
            </w:r>
          </w:p>
        </w:tc>
        <w:tc>
          <w:tcPr>
            <w:tcW w:w="222" w:type="dxa"/>
            <w:tcBorders>
              <w:top w:val="nil"/>
              <w:left w:val="nil"/>
              <w:bottom w:val="nil"/>
              <w:right w:val="nil"/>
            </w:tcBorders>
            <w:shd w:val="clear" w:color="auto" w:fill="auto"/>
            <w:vAlign w:val="center"/>
            <w:hideMark/>
          </w:tcPr>
          <w:p w14:paraId="153DCE88" w14:textId="77777777" w:rsidR="00CF10C5" w:rsidRPr="008667A0" w:rsidRDefault="00CF10C5" w:rsidP="00CF10C5">
            <w:pPr>
              <w:spacing w:after="0" w:line="240" w:lineRule="auto"/>
              <w:jc w:val="center"/>
              <w:rPr>
                <w:rFonts w:ascii="Times New Roman" w:eastAsia="Times New Roman" w:hAnsi="Times New Roman" w:cs="Times New Roman"/>
                <w:color w:val="000000"/>
                <w:sz w:val="20"/>
                <w:szCs w:val="20"/>
              </w:rPr>
            </w:pPr>
          </w:p>
        </w:tc>
        <w:tc>
          <w:tcPr>
            <w:tcW w:w="152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8E602" w14:textId="77777777" w:rsidR="00CF10C5" w:rsidRPr="008667A0" w:rsidRDefault="00CF10C5" w:rsidP="00CF10C5">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Name</w:t>
            </w:r>
          </w:p>
        </w:tc>
        <w:tc>
          <w:tcPr>
            <w:tcW w:w="1098" w:type="dxa"/>
            <w:tcBorders>
              <w:top w:val="single" w:sz="4" w:space="0" w:color="auto"/>
              <w:left w:val="nil"/>
              <w:bottom w:val="single" w:sz="4" w:space="0" w:color="auto"/>
              <w:right w:val="single" w:sz="4" w:space="0" w:color="auto"/>
            </w:tcBorders>
            <w:shd w:val="clear" w:color="auto" w:fill="auto"/>
            <w:vAlign w:val="center"/>
            <w:hideMark/>
          </w:tcPr>
          <w:p w14:paraId="5F0CDA2E" w14:textId="77777777" w:rsidR="00CF10C5" w:rsidRPr="008667A0" w:rsidRDefault="00CF10C5" w:rsidP="00CF10C5">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Average Capital Adequacy Ratio</w:t>
            </w:r>
          </w:p>
        </w:tc>
      </w:tr>
      <w:tr w:rsidR="00CF10C5" w:rsidRPr="008667A0" w14:paraId="4A0480BC"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2362E4B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948" w:type="dxa"/>
            <w:tcBorders>
              <w:top w:val="nil"/>
              <w:left w:val="nil"/>
              <w:bottom w:val="single" w:sz="4" w:space="0" w:color="auto"/>
              <w:right w:val="single" w:sz="4" w:space="0" w:color="auto"/>
            </w:tcBorders>
            <w:shd w:val="clear" w:color="auto" w:fill="auto"/>
            <w:noWrap/>
            <w:vAlign w:val="bottom"/>
            <w:hideMark/>
          </w:tcPr>
          <w:p w14:paraId="23ECBA1D"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13.04 </w:t>
            </w:r>
          </w:p>
        </w:tc>
        <w:tc>
          <w:tcPr>
            <w:tcW w:w="222" w:type="dxa"/>
            <w:tcBorders>
              <w:top w:val="nil"/>
              <w:left w:val="nil"/>
              <w:bottom w:val="nil"/>
              <w:right w:val="nil"/>
            </w:tcBorders>
            <w:shd w:val="clear" w:color="auto" w:fill="auto"/>
            <w:noWrap/>
            <w:vAlign w:val="bottom"/>
            <w:hideMark/>
          </w:tcPr>
          <w:p w14:paraId="4BACB38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3B6FA5A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1098" w:type="dxa"/>
            <w:tcBorders>
              <w:top w:val="nil"/>
              <w:left w:val="nil"/>
              <w:bottom w:val="single" w:sz="4" w:space="0" w:color="auto"/>
              <w:right w:val="single" w:sz="4" w:space="0" w:color="auto"/>
            </w:tcBorders>
            <w:shd w:val="clear" w:color="auto" w:fill="auto"/>
            <w:noWrap/>
            <w:vAlign w:val="bottom"/>
            <w:hideMark/>
          </w:tcPr>
          <w:p w14:paraId="45328ADA"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14.04 </w:t>
            </w:r>
          </w:p>
        </w:tc>
        <w:tc>
          <w:tcPr>
            <w:tcW w:w="222" w:type="dxa"/>
            <w:tcBorders>
              <w:top w:val="nil"/>
              <w:left w:val="nil"/>
              <w:bottom w:val="nil"/>
              <w:right w:val="nil"/>
            </w:tcBorders>
            <w:shd w:val="clear" w:color="auto" w:fill="auto"/>
            <w:noWrap/>
            <w:vAlign w:val="bottom"/>
            <w:hideMark/>
          </w:tcPr>
          <w:p w14:paraId="3F0593DA"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5405F70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948" w:type="dxa"/>
            <w:tcBorders>
              <w:top w:val="nil"/>
              <w:left w:val="nil"/>
              <w:bottom w:val="single" w:sz="4" w:space="0" w:color="auto"/>
              <w:right w:val="single" w:sz="4" w:space="0" w:color="auto"/>
            </w:tcBorders>
            <w:shd w:val="clear" w:color="auto" w:fill="auto"/>
            <w:noWrap/>
            <w:vAlign w:val="bottom"/>
            <w:hideMark/>
          </w:tcPr>
          <w:p w14:paraId="03E373EF"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92.83%</w:t>
            </w:r>
          </w:p>
        </w:tc>
        <w:tc>
          <w:tcPr>
            <w:tcW w:w="222" w:type="dxa"/>
            <w:tcBorders>
              <w:top w:val="nil"/>
              <w:left w:val="nil"/>
              <w:bottom w:val="nil"/>
              <w:right w:val="nil"/>
            </w:tcBorders>
            <w:shd w:val="clear" w:color="auto" w:fill="auto"/>
            <w:noWrap/>
            <w:vAlign w:val="bottom"/>
            <w:hideMark/>
          </w:tcPr>
          <w:p w14:paraId="47E352DE"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76EEED9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1098" w:type="dxa"/>
            <w:tcBorders>
              <w:top w:val="nil"/>
              <w:left w:val="nil"/>
              <w:bottom w:val="single" w:sz="4" w:space="0" w:color="auto"/>
              <w:right w:val="single" w:sz="4" w:space="0" w:color="auto"/>
            </w:tcBorders>
            <w:shd w:val="clear" w:color="auto" w:fill="auto"/>
            <w:noWrap/>
            <w:vAlign w:val="bottom"/>
            <w:hideMark/>
          </w:tcPr>
          <w:p w14:paraId="471D4C4A"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10.61%</w:t>
            </w:r>
          </w:p>
        </w:tc>
      </w:tr>
      <w:tr w:rsidR="00CF10C5" w:rsidRPr="008667A0" w14:paraId="361D8C5C"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29CB7B93"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948" w:type="dxa"/>
            <w:tcBorders>
              <w:top w:val="nil"/>
              <w:left w:val="nil"/>
              <w:bottom w:val="single" w:sz="4" w:space="0" w:color="auto"/>
              <w:right w:val="single" w:sz="4" w:space="0" w:color="auto"/>
            </w:tcBorders>
            <w:shd w:val="clear" w:color="auto" w:fill="auto"/>
            <w:noWrap/>
            <w:vAlign w:val="bottom"/>
            <w:hideMark/>
          </w:tcPr>
          <w:p w14:paraId="7E50709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12.26 </w:t>
            </w:r>
          </w:p>
        </w:tc>
        <w:tc>
          <w:tcPr>
            <w:tcW w:w="222" w:type="dxa"/>
            <w:tcBorders>
              <w:top w:val="nil"/>
              <w:left w:val="nil"/>
              <w:bottom w:val="nil"/>
              <w:right w:val="nil"/>
            </w:tcBorders>
            <w:shd w:val="clear" w:color="auto" w:fill="auto"/>
            <w:noWrap/>
            <w:vAlign w:val="bottom"/>
            <w:hideMark/>
          </w:tcPr>
          <w:p w14:paraId="6EFD62C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09C305B3"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1098" w:type="dxa"/>
            <w:tcBorders>
              <w:top w:val="nil"/>
              <w:left w:val="nil"/>
              <w:bottom w:val="single" w:sz="4" w:space="0" w:color="auto"/>
              <w:right w:val="single" w:sz="4" w:space="0" w:color="auto"/>
            </w:tcBorders>
            <w:shd w:val="clear" w:color="auto" w:fill="auto"/>
            <w:noWrap/>
            <w:vAlign w:val="bottom"/>
            <w:hideMark/>
          </w:tcPr>
          <w:p w14:paraId="19BE4752"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13.26 </w:t>
            </w:r>
          </w:p>
        </w:tc>
        <w:tc>
          <w:tcPr>
            <w:tcW w:w="222" w:type="dxa"/>
            <w:tcBorders>
              <w:top w:val="nil"/>
              <w:left w:val="nil"/>
              <w:bottom w:val="nil"/>
              <w:right w:val="nil"/>
            </w:tcBorders>
            <w:shd w:val="clear" w:color="auto" w:fill="auto"/>
            <w:noWrap/>
            <w:vAlign w:val="bottom"/>
            <w:hideMark/>
          </w:tcPr>
          <w:p w14:paraId="33C2DD78"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55B725C6"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948" w:type="dxa"/>
            <w:tcBorders>
              <w:top w:val="nil"/>
              <w:left w:val="nil"/>
              <w:bottom w:val="single" w:sz="4" w:space="0" w:color="auto"/>
              <w:right w:val="single" w:sz="4" w:space="0" w:color="auto"/>
            </w:tcBorders>
            <w:shd w:val="clear" w:color="auto" w:fill="auto"/>
            <w:noWrap/>
            <w:vAlign w:val="bottom"/>
            <w:hideMark/>
          </w:tcPr>
          <w:p w14:paraId="6E310D52"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92.43%</w:t>
            </w:r>
          </w:p>
        </w:tc>
        <w:tc>
          <w:tcPr>
            <w:tcW w:w="222" w:type="dxa"/>
            <w:tcBorders>
              <w:top w:val="nil"/>
              <w:left w:val="nil"/>
              <w:bottom w:val="nil"/>
              <w:right w:val="nil"/>
            </w:tcBorders>
            <w:shd w:val="clear" w:color="auto" w:fill="auto"/>
            <w:noWrap/>
            <w:vAlign w:val="bottom"/>
            <w:hideMark/>
          </w:tcPr>
          <w:p w14:paraId="6AD8EE4F"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1F3B3FB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1098" w:type="dxa"/>
            <w:tcBorders>
              <w:top w:val="nil"/>
              <w:left w:val="nil"/>
              <w:bottom w:val="single" w:sz="4" w:space="0" w:color="auto"/>
              <w:right w:val="single" w:sz="4" w:space="0" w:color="auto"/>
            </w:tcBorders>
            <w:shd w:val="clear" w:color="auto" w:fill="auto"/>
            <w:noWrap/>
            <w:vAlign w:val="bottom"/>
            <w:hideMark/>
          </w:tcPr>
          <w:p w14:paraId="3F08226D"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14.55%</w:t>
            </w:r>
          </w:p>
        </w:tc>
      </w:tr>
      <w:tr w:rsidR="00CF10C5" w:rsidRPr="008667A0" w14:paraId="4FDA1D53"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269E7A51"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948" w:type="dxa"/>
            <w:tcBorders>
              <w:top w:val="nil"/>
              <w:left w:val="nil"/>
              <w:bottom w:val="single" w:sz="4" w:space="0" w:color="auto"/>
              <w:right w:val="single" w:sz="4" w:space="0" w:color="auto"/>
            </w:tcBorders>
            <w:shd w:val="clear" w:color="auto" w:fill="auto"/>
            <w:noWrap/>
            <w:vAlign w:val="bottom"/>
            <w:hideMark/>
          </w:tcPr>
          <w:p w14:paraId="28C7478D"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9.80 </w:t>
            </w:r>
          </w:p>
        </w:tc>
        <w:tc>
          <w:tcPr>
            <w:tcW w:w="222" w:type="dxa"/>
            <w:tcBorders>
              <w:top w:val="nil"/>
              <w:left w:val="nil"/>
              <w:bottom w:val="nil"/>
              <w:right w:val="nil"/>
            </w:tcBorders>
            <w:shd w:val="clear" w:color="auto" w:fill="auto"/>
            <w:noWrap/>
            <w:vAlign w:val="bottom"/>
            <w:hideMark/>
          </w:tcPr>
          <w:p w14:paraId="0010A2B3"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193E628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1098" w:type="dxa"/>
            <w:tcBorders>
              <w:top w:val="nil"/>
              <w:left w:val="nil"/>
              <w:bottom w:val="single" w:sz="4" w:space="0" w:color="auto"/>
              <w:right w:val="single" w:sz="4" w:space="0" w:color="auto"/>
            </w:tcBorders>
            <w:shd w:val="clear" w:color="auto" w:fill="auto"/>
            <w:noWrap/>
            <w:vAlign w:val="bottom"/>
            <w:hideMark/>
          </w:tcPr>
          <w:p w14:paraId="0956A30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10.80 </w:t>
            </w:r>
          </w:p>
        </w:tc>
        <w:tc>
          <w:tcPr>
            <w:tcW w:w="222" w:type="dxa"/>
            <w:tcBorders>
              <w:top w:val="nil"/>
              <w:left w:val="nil"/>
              <w:bottom w:val="nil"/>
              <w:right w:val="nil"/>
            </w:tcBorders>
            <w:shd w:val="clear" w:color="auto" w:fill="auto"/>
            <w:noWrap/>
            <w:vAlign w:val="bottom"/>
            <w:hideMark/>
          </w:tcPr>
          <w:p w14:paraId="5BB9C7D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01353C0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948" w:type="dxa"/>
            <w:tcBorders>
              <w:top w:val="nil"/>
              <w:left w:val="nil"/>
              <w:bottom w:val="single" w:sz="4" w:space="0" w:color="auto"/>
              <w:right w:val="single" w:sz="4" w:space="0" w:color="auto"/>
            </w:tcBorders>
            <w:shd w:val="clear" w:color="auto" w:fill="auto"/>
            <w:noWrap/>
            <w:vAlign w:val="bottom"/>
            <w:hideMark/>
          </w:tcPr>
          <w:p w14:paraId="724C9887"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90.68%</w:t>
            </w:r>
          </w:p>
        </w:tc>
        <w:tc>
          <w:tcPr>
            <w:tcW w:w="222" w:type="dxa"/>
            <w:tcBorders>
              <w:top w:val="nil"/>
              <w:left w:val="nil"/>
              <w:bottom w:val="nil"/>
              <w:right w:val="nil"/>
            </w:tcBorders>
            <w:shd w:val="clear" w:color="auto" w:fill="auto"/>
            <w:noWrap/>
            <w:vAlign w:val="bottom"/>
            <w:hideMark/>
          </w:tcPr>
          <w:p w14:paraId="7F8477E3"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17F84D28"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1098" w:type="dxa"/>
            <w:tcBorders>
              <w:top w:val="nil"/>
              <w:left w:val="nil"/>
              <w:bottom w:val="single" w:sz="4" w:space="0" w:color="auto"/>
              <w:right w:val="single" w:sz="4" w:space="0" w:color="auto"/>
            </w:tcBorders>
            <w:shd w:val="clear" w:color="auto" w:fill="auto"/>
            <w:noWrap/>
            <w:vAlign w:val="bottom"/>
            <w:hideMark/>
          </w:tcPr>
          <w:p w14:paraId="2BB4BD97"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13.19%</w:t>
            </w:r>
          </w:p>
        </w:tc>
      </w:tr>
      <w:tr w:rsidR="00CF10C5" w:rsidRPr="008667A0" w14:paraId="62DCACD0"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7DA3E053"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lastRenderedPageBreak/>
              <w:t>City Bank</w:t>
            </w:r>
          </w:p>
        </w:tc>
        <w:tc>
          <w:tcPr>
            <w:tcW w:w="948" w:type="dxa"/>
            <w:tcBorders>
              <w:top w:val="nil"/>
              <w:left w:val="nil"/>
              <w:bottom w:val="single" w:sz="4" w:space="0" w:color="auto"/>
              <w:right w:val="single" w:sz="4" w:space="0" w:color="auto"/>
            </w:tcBorders>
            <w:shd w:val="clear" w:color="auto" w:fill="auto"/>
            <w:noWrap/>
            <w:vAlign w:val="bottom"/>
            <w:hideMark/>
          </w:tcPr>
          <w:p w14:paraId="12E1D4E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11.16 </w:t>
            </w:r>
          </w:p>
        </w:tc>
        <w:tc>
          <w:tcPr>
            <w:tcW w:w="222" w:type="dxa"/>
            <w:tcBorders>
              <w:top w:val="nil"/>
              <w:left w:val="nil"/>
              <w:bottom w:val="nil"/>
              <w:right w:val="nil"/>
            </w:tcBorders>
            <w:shd w:val="clear" w:color="auto" w:fill="auto"/>
            <w:noWrap/>
            <w:vAlign w:val="bottom"/>
            <w:hideMark/>
          </w:tcPr>
          <w:p w14:paraId="7CB25CD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61A08EA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1098" w:type="dxa"/>
            <w:tcBorders>
              <w:top w:val="nil"/>
              <w:left w:val="nil"/>
              <w:bottom w:val="single" w:sz="4" w:space="0" w:color="auto"/>
              <w:right w:val="single" w:sz="4" w:space="0" w:color="auto"/>
            </w:tcBorders>
            <w:shd w:val="clear" w:color="auto" w:fill="auto"/>
            <w:noWrap/>
            <w:vAlign w:val="bottom"/>
            <w:hideMark/>
          </w:tcPr>
          <w:p w14:paraId="678D81E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11.82 </w:t>
            </w:r>
          </w:p>
        </w:tc>
        <w:tc>
          <w:tcPr>
            <w:tcW w:w="222" w:type="dxa"/>
            <w:tcBorders>
              <w:top w:val="nil"/>
              <w:left w:val="nil"/>
              <w:bottom w:val="nil"/>
              <w:right w:val="nil"/>
            </w:tcBorders>
            <w:shd w:val="clear" w:color="auto" w:fill="auto"/>
            <w:noWrap/>
            <w:vAlign w:val="bottom"/>
            <w:hideMark/>
          </w:tcPr>
          <w:p w14:paraId="3ABD173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0331725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948" w:type="dxa"/>
            <w:tcBorders>
              <w:top w:val="nil"/>
              <w:left w:val="nil"/>
              <w:bottom w:val="single" w:sz="4" w:space="0" w:color="auto"/>
              <w:right w:val="single" w:sz="4" w:space="0" w:color="auto"/>
            </w:tcBorders>
            <w:shd w:val="clear" w:color="auto" w:fill="auto"/>
            <w:noWrap/>
            <w:vAlign w:val="bottom"/>
            <w:hideMark/>
          </w:tcPr>
          <w:p w14:paraId="1AFBBAF6"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91.26%</w:t>
            </w:r>
          </w:p>
        </w:tc>
        <w:tc>
          <w:tcPr>
            <w:tcW w:w="222" w:type="dxa"/>
            <w:tcBorders>
              <w:top w:val="nil"/>
              <w:left w:val="nil"/>
              <w:bottom w:val="nil"/>
              <w:right w:val="nil"/>
            </w:tcBorders>
            <w:shd w:val="clear" w:color="auto" w:fill="auto"/>
            <w:noWrap/>
            <w:vAlign w:val="bottom"/>
            <w:hideMark/>
          </w:tcPr>
          <w:p w14:paraId="46403CEC"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296DF42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1098" w:type="dxa"/>
            <w:tcBorders>
              <w:top w:val="nil"/>
              <w:left w:val="nil"/>
              <w:bottom w:val="single" w:sz="4" w:space="0" w:color="auto"/>
              <w:right w:val="single" w:sz="4" w:space="0" w:color="auto"/>
            </w:tcBorders>
            <w:shd w:val="clear" w:color="auto" w:fill="auto"/>
            <w:noWrap/>
            <w:vAlign w:val="bottom"/>
            <w:hideMark/>
          </w:tcPr>
          <w:p w14:paraId="7A3BCAB6"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12.60%</w:t>
            </w:r>
          </w:p>
        </w:tc>
      </w:tr>
      <w:tr w:rsidR="00CF10C5" w:rsidRPr="008667A0" w14:paraId="0D6D8BEB"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46DE9BC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948" w:type="dxa"/>
            <w:tcBorders>
              <w:top w:val="nil"/>
              <w:left w:val="nil"/>
              <w:bottom w:val="single" w:sz="4" w:space="0" w:color="auto"/>
              <w:right w:val="single" w:sz="4" w:space="0" w:color="auto"/>
            </w:tcBorders>
            <w:shd w:val="clear" w:color="auto" w:fill="auto"/>
            <w:noWrap/>
            <w:vAlign w:val="bottom"/>
            <w:hideMark/>
          </w:tcPr>
          <w:p w14:paraId="650AF091"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14.05 </w:t>
            </w:r>
          </w:p>
        </w:tc>
        <w:tc>
          <w:tcPr>
            <w:tcW w:w="222" w:type="dxa"/>
            <w:tcBorders>
              <w:top w:val="nil"/>
              <w:left w:val="nil"/>
              <w:bottom w:val="nil"/>
              <w:right w:val="nil"/>
            </w:tcBorders>
            <w:shd w:val="clear" w:color="auto" w:fill="auto"/>
            <w:noWrap/>
            <w:vAlign w:val="bottom"/>
            <w:hideMark/>
          </w:tcPr>
          <w:p w14:paraId="6FBBCB41"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127181FD"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1098" w:type="dxa"/>
            <w:tcBorders>
              <w:top w:val="nil"/>
              <w:left w:val="nil"/>
              <w:bottom w:val="single" w:sz="4" w:space="0" w:color="auto"/>
              <w:right w:val="single" w:sz="4" w:space="0" w:color="auto"/>
            </w:tcBorders>
            <w:shd w:val="clear" w:color="auto" w:fill="auto"/>
            <w:noWrap/>
            <w:vAlign w:val="bottom"/>
            <w:hideMark/>
          </w:tcPr>
          <w:p w14:paraId="279486AD"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15.00 </w:t>
            </w:r>
          </w:p>
        </w:tc>
        <w:tc>
          <w:tcPr>
            <w:tcW w:w="222" w:type="dxa"/>
            <w:tcBorders>
              <w:top w:val="nil"/>
              <w:left w:val="nil"/>
              <w:bottom w:val="nil"/>
              <w:right w:val="nil"/>
            </w:tcBorders>
            <w:shd w:val="clear" w:color="auto" w:fill="auto"/>
            <w:noWrap/>
            <w:vAlign w:val="bottom"/>
            <w:hideMark/>
          </w:tcPr>
          <w:p w14:paraId="07FF646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6BBC91A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948" w:type="dxa"/>
            <w:tcBorders>
              <w:top w:val="nil"/>
              <w:left w:val="nil"/>
              <w:bottom w:val="single" w:sz="4" w:space="0" w:color="auto"/>
              <w:right w:val="single" w:sz="4" w:space="0" w:color="auto"/>
            </w:tcBorders>
            <w:shd w:val="clear" w:color="auto" w:fill="auto"/>
            <w:noWrap/>
            <w:vAlign w:val="bottom"/>
            <w:hideMark/>
          </w:tcPr>
          <w:p w14:paraId="3C2D58CA"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93.30%</w:t>
            </w:r>
          </w:p>
        </w:tc>
        <w:tc>
          <w:tcPr>
            <w:tcW w:w="222" w:type="dxa"/>
            <w:tcBorders>
              <w:top w:val="nil"/>
              <w:left w:val="nil"/>
              <w:bottom w:val="nil"/>
              <w:right w:val="nil"/>
            </w:tcBorders>
            <w:shd w:val="clear" w:color="auto" w:fill="auto"/>
            <w:noWrap/>
            <w:vAlign w:val="bottom"/>
            <w:hideMark/>
          </w:tcPr>
          <w:p w14:paraId="32B4070A"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3F7ED350"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1098" w:type="dxa"/>
            <w:tcBorders>
              <w:top w:val="nil"/>
              <w:left w:val="nil"/>
              <w:bottom w:val="single" w:sz="4" w:space="0" w:color="auto"/>
              <w:right w:val="single" w:sz="4" w:space="0" w:color="auto"/>
            </w:tcBorders>
            <w:shd w:val="clear" w:color="auto" w:fill="auto"/>
            <w:noWrap/>
            <w:vAlign w:val="bottom"/>
            <w:hideMark/>
          </w:tcPr>
          <w:p w14:paraId="7F7D853E"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13.21%</w:t>
            </w:r>
          </w:p>
        </w:tc>
      </w:tr>
      <w:tr w:rsidR="00CF10C5" w:rsidRPr="008667A0" w14:paraId="0AB161BF"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3E9D7B88"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948" w:type="dxa"/>
            <w:tcBorders>
              <w:top w:val="nil"/>
              <w:left w:val="nil"/>
              <w:bottom w:val="single" w:sz="4" w:space="0" w:color="auto"/>
              <w:right w:val="single" w:sz="4" w:space="0" w:color="auto"/>
            </w:tcBorders>
            <w:shd w:val="clear" w:color="auto" w:fill="auto"/>
            <w:noWrap/>
            <w:vAlign w:val="bottom"/>
            <w:hideMark/>
          </w:tcPr>
          <w:p w14:paraId="3A98DCF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35.06 </w:t>
            </w:r>
          </w:p>
        </w:tc>
        <w:tc>
          <w:tcPr>
            <w:tcW w:w="222" w:type="dxa"/>
            <w:tcBorders>
              <w:top w:val="nil"/>
              <w:left w:val="nil"/>
              <w:bottom w:val="nil"/>
              <w:right w:val="nil"/>
            </w:tcBorders>
            <w:shd w:val="clear" w:color="auto" w:fill="auto"/>
            <w:noWrap/>
            <w:vAlign w:val="bottom"/>
            <w:hideMark/>
          </w:tcPr>
          <w:p w14:paraId="15627B7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7E26C4B0"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1098" w:type="dxa"/>
            <w:tcBorders>
              <w:top w:val="nil"/>
              <w:left w:val="nil"/>
              <w:bottom w:val="single" w:sz="4" w:space="0" w:color="auto"/>
              <w:right w:val="single" w:sz="4" w:space="0" w:color="auto"/>
            </w:tcBorders>
            <w:shd w:val="clear" w:color="auto" w:fill="auto"/>
            <w:noWrap/>
            <w:vAlign w:val="bottom"/>
            <w:hideMark/>
          </w:tcPr>
          <w:p w14:paraId="305492F1"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15.00 </w:t>
            </w:r>
          </w:p>
        </w:tc>
        <w:tc>
          <w:tcPr>
            <w:tcW w:w="222" w:type="dxa"/>
            <w:tcBorders>
              <w:top w:val="nil"/>
              <w:left w:val="nil"/>
              <w:bottom w:val="nil"/>
              <w:right w:val="nil"/>
            </w:tcBorders>
            <w:shd w:val="clear" w:color="auto" w:fill="auto"/>
            <w:noWrap/>
            <w:vAlign w:val="bottom"/>
            <w:hideMark/>
          </w:tcPr>
          <w:p w14:paraId="3795FCE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1013B2C3"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948" w:type="dxa"/>
            <w:tcBorders>
              <w:top w:val="nil"/>
              <w:left w:val="nil"/>
              <w:bottom w:val="single" w:sz="4" w:space="0" w:color="auto"/>
              <w:right w:val="single" w:sz="4" w:space="0" w:color="auto"/>
            </w:tcBorders>
            <w:shd w:val="clear" w:color="auto" w:fill="auto"/>
            <w:noWrap/>
            <w:vAlign w:val="bottom"/>
            <w:hideMark/>
          </w:tcPr>
          <w:p w14:paraId="5EBDA6F3"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93.27%</w:t>
            </w:r>
          </w:p>
        </w:tc>
        <w:tc>
          <w:tcPr>
            <w:tcW w:w="222" w:type="dxa"/>
            <w:tcBorders>
              <w:top w:val="nil"/>
              <w:left w:val="nil"/>
              <w:bottom w:val="nil"/>
              <w:right w:val="nil"/>
            </w:tcBorders>
            <w:shd w:val="clear" w:color="auto" w:fill="auto"/>
            <w:noWrap/>
            <w:vAlign w:val="bottom"/>
            <w:hideMark/>
          </w:tcPr>
          <w:p w14:paraId="2CBA9664"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0D28333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1098" w:type="dxa"/>
            <w:tcBorders>
              <w:top w:val="nil"/>
              <w:left w:val="nil"/>
              <w:bottom w:val="single" w:sz="4" w:space="0" w:color="auto"/>
              <w:right w:val="single" w:sz="4" w:space="0" w:color="auto"/>
            </w:tcBorders>
            <w:shd w:val="clear" w:color="auto" w:fill="auto"/>
            <w:noWrap/>
            <w:vAlign w:val="bottom"/>
            <w:hideMark/>
          </w:tcPr>
          <w:p w14:paraId="5A410032"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14.48%</w:t>
            </w:r>
          </w:p>
        </w:tc>
      </w:tr>
      <w:tr w:rsidR="00CF10C5" w:rsidRPr="008667A0" w14:paraId="4B31937B"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51FF9F39"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948" w:type="dxa"/>
            <w:tcBorders>
              <w:top w:val="nil"/>
              <w:left w:val="nil"/>
              <w:bottom w:val="single" w:sz="4" w:space="0" w:color="auto"/>
              <w:right w:val="single" w:sz="4" w:space="0" w:color="auto"/>
            </w:tcBorders>
            <w:shd w:val="clear" w:color="auto" w:fill="auto"/>
            <w:noWrap/>
            <w:vAlign w:val="bottom"/>
            <w:hideMark/>
          </w:tcPr>
          <w:p w14:paraId="568C2872"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6.50 </w:t>
            </w:r>
          </w:p>
        </w:tc>
        <w:tc>
          <w:tcPr>
            <w:tcW w:w="222" w:type="dxa"/>
            <w:tcBorders>
              <w:top w:val="nil"/>
              <w:left w:val="nil"/>
              <w:bottom w:val="nil"/>
              <w:right w:val="nil"/>
            </w:tcBorders>
            <w:shd w:val="clear" w:color="auto" w:fill="auto"/>
            <w:noWrap/>
            <w:vAlign w:val="bottom"/>
            <w:hideMark/>
          </w:tcPr>
          <w:p w14:paraId="59F875FA"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2BD2EC7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1098" w:type="dxa"/>
            <w:tcBorders>
              <w:top w:val="nil"/>
              <w:left w:val="nil"/>
              <w:bottom w:val="single" w:sz="4" w:space="0" w:color="auto"/>
              <w:right w:val="single" w:sz="4" w:space="0" w:color="auto"/>
            </w:tcBorders>
            <w:shd w:val="clear" w:color="auto" w:fill="auto"/>
            <w:noWrap/>
            <w:vAlign w:val="bottom"/>
            <w:hideMark/>
          </w:tcPr>
          <w:p w14:paraId="55C723C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65.38 </w:t>
            </w:r>
          </w:p>
        </w:tc>
        <w:tc>
          <w:tcPr>
            <w:tcW w:w="222" w:type="dxa"/>
            <w:tcBorders>
              <w:top w:val="nil"/>
              <w:left w:val="nil"/>
              <w:bottom w:val="nil"/>
              <w:right w:val="nil"/>
            </w:tcBorders>
            <w:shd w:val="clear" w:color="auto" w:fill="auto"/>
            <w:noWrap/>
            <w:vAlign w:val="bottom"/>
            <w:hideMark/>
          </w:tcPr>
          <w:p w14:paraId="53B4046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3C1A847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948" w:type="dxa"/>
            <w:tcBorders>
              <w:top w:val="nil"/>
              <w:left w:val="nil"/>
              <w:bottom w:val="single" w:sz="4" w:space="0" w:color="auto"/>
              <w:right w:val="single" w:sz="4" w:space="0" w:color="auto"/>
            </w:tcBorders>
            <w:shd w:val="clear" w:color="auto" w:fill="auto"/>
            <w:noWrap/>
            <w:vAlign w:val="bottom"/>
            <w:hideMark/>
          </w:tcPr>
          <w:p w14:paraId="6059A6C5"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81.34%</w:t>
            </w:r>
          </w:p>
        </w:tc>
        <w:tc>
          <w:tcPr>
            <w:tcW w:w="222" w:type="dxa"/>
            <w:tcBorders>
              <w:top w:val="nil"/>
              <w:left w:val="nil"/>
              <w:bottom w:val="nil"/>
              <w:right w:val="nil"/>
            </w:tcBorders>
            <w:shd w:val="clear" w:color="auto" w:fill="auto"/>
            <w:noWrap/>
            <w:vAlign w:val="bottom"/>
            <w:hideMark/>
          </w:tcPr>
          <w:p w14:paraId="6A5FBAF7"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7594890B"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1098" w:type="dxa"/>
            <w:tcBorders>
              <w:top w:val="nil"/>
              <w:left w:val="nil"/>
              <w:bottom w:val="single" w:sz="4" w:space="0" w:color="auto"/>
              <w:right w:val="single" w:sz="4" w:space="0" w:color="auto"/>
            </w:tcBorders>
            <w:shd w:val="clear" w:color="auto" w:fill="auto"/>
            <w:noWrap/>
            <w:vAlign w:val="bottom"/>
            <w:hideMark/>
          </w:tcPr>
          <w:p w14:paraId="5E5A59BD"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14.07%</w:t>
            </w:r>
          </w:p>
        </w:tc>
      </w:tr>
      <w:tr w:rsidR="00CF10C5" w:rsidRPr="008667A0" w14:paraId="6CB37495"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47F3BE22"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948" w:type="dxa"/>
            <w:tcBorders>
              <w:top w:val="nil"/>
              <w:left w:val="nil"/>
              <w:bottom w:val="single" w:sz="4" w:space="0" w:color="auto"/>
              <w:right w:val="single" w:sz="4" w:space="0" w:color="auto"/>
            </w:tcBorders>
            <w:shd w:val="clear" w:color="auto" w:fill="auto"/>
            <w:noWrap/>
            <w:vAlign w:val="bottom"/>
            <w:hideMark/>
          </w:tcPr>
          <w:p w14:paraId="6CD20021"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12.73 </w:t>
            </w:r>
          </w:p>
        </w:tc>
        <w:tc>
          <w:tcPr>
            <w:tcW w:w="222" w:type="dxa"/>
            <w:tcBorders>
              <w:top w:val="nil"/>
              <w:left w:val="nil"/>
              <w:bottom w:val="nil"/>
              <w:right w:val="nil"/>
            </w:tcBorders>
            <w:shd w:val="clear" w:color="auto" w:fill="auto"/>
            <w:noWrap/>
            <w:vAlign w:val="bottom"/>
            <w:hideMark/>
          </w:tcPr>
          <w:p w14:paraId="4F5BF3C3"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15A370C2"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1098" w:type="dxa"/>
            <w:tcBorders>
              <w:top w:val="nil"/>
              <w:left w:val="nil"/>
              <w:bottom w:val="single" w:sz="4" w:space="0" w:color="auto"/>
              <w:right w:val="single" w:sz="4" w:space="0" w:color="auto"/>
            </w:tcBorders>
            <w:shd w:val="clear" w:color="auto" w:fill="auto"/>
            <w:noWrap/>
            <w:vAlign w:val="bottom"/>
            <w:hideMark/>
          </w:tcPr>
          <w:p w14:paraId="3A29920D"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13.73 </w:t>
            </w:r>
          </w:p>
        </w:tc>
        <w:tc>
          <w:tcPr>
            <w:tcW w:w="222" w:type="dxa"/>
            <w:tcBorders>
              <w:top w:val="nil"/>
              <w:left w:val="nil"/>
              <w:bottom w:val="nil"/>
              <w:right w:val="nil"/>
            </w:tcBorders>
            <w:shd w:val="clear" w:color="auto" w:fill="auto"/>
            <w:noWrap/>
            <w:vAlign w:val="bottom"/>
            <w:hideMark/>
          </w:tcPr>
          <w:p w14:paraId="67D4D2D0"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6AA86A73"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948" w:type="dxa"/>
            <w:tcBorders>
              <w:top w:val="nil"/>
              <w:left w:val="nil"/>
              <w:bottom w:val="single" w:sz="4" w:space="0" w:color="auto"/>
              <w:right w:val="single" w:sz="4" w:space="0" w:color="auto"/>
            </w:tcBorders>
            <w:shd w:val="clear" w:color="auto" w:fill="auto"/>
            <w:noWrap/>
            <w:vAlign w:val="bottom"/>
            <w:hideMark/>
          </w:tcPr>
          <w:p w14:paraId="5A08A567"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92.65%</w:t>
            </w:r>
          </w:p>
        </w:tc>
        <w:tc>
          <w:tcPr>
            <w:tcW w:w="222" w:type="dxa"/>
            <w:tcBorders>
              <w:top w:val="nil"/>
              <w:left w:val="nil"/>
              <w:bottom w:val="nil"/>
              <w:right w:val="nil"/>
            </w:tcBorders>
            <w:shd w:val="clear" w:color="auto" w:fill="auto"/>
            <w:noWrap/>
            <w:vAlign w:val="bottom"/>
            <w:hideMark/>
          </w:tcPr>
          <w:p w14:paraId="18BE4247"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560159CF"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1098" w:type="dxa"/>
            <w:tcBorders>
              <w:top w:val="nil"/>
              <w:left w:val="nil"/>
              <w:bottom w:val="single" w:sz="4" w:space="0" w:color="auto"/>
              <w:right w:val="single" w:sz="4" w:space="0" w:color="auto"/>
            </w:tcBorders>
            <w:shd w:val="clear" w:color="auto" w:fill="auto"/>
            <w:noWrap/>
            <w:vAlign w:val="bottom"/>
            <w:hideMark/>
          </w:tcPr>
          <w:p w14:paraId="0CDF4700"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11.86%</w:t>
            </w:r>
          </w:p>
        </w:tc>
      </w:tr>
      <w:tr w:rsidR="00CF10C5" w:rsidRPr="008667A0" w14:paraId="32CD85CC"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3B8C7110"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948" w:type="dxa"/>
            <w:tcBorders>
              <w:top w:val="nil"/>
              <w:left w:val="nil"/>
              <w:bottom w:val="single" w:sz="4" w:space="0" w:color="auto"/>
              <w:right w:val="single" w:sz="4" w:space="0" w:color="auto"/>
            </w:tcBorders>
            <w:shd w:val="clear" w:color="auto" w:fill="auto"/>
            <w:noWrap/>
            <w:vAlign w:val="bottom"/>
            <w:hideMark/>
          </w:tcPr>
          <w:p w14:paraId="15DA5340"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10.88 </w:t>
            </w:r>
          </w:p>
        </w:tc>
        <w:tc>
          <w:tcPr>
            <w:tcW w:w="222" w:type="dxa"/>
            <w:tcBorders>
              <w:top w:val="nil"/>
              <w:left w:val="nil"/>
              <w:bottom w:val="nil"/>
              <w:right w:val="nil"/>
            </w:tcBorders>
            <w:shd w:val="clear" w:color="auto" w:fill="auto"/>
            <w:noWrap/>
            <w:vAlign w:val="bottom"/>
            <w:hideMark/>
          </w:tcPr>
          <w:p w14:paraId="73B868F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049F6D61"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1098" w:type="dxa"/>
            <w:tcBorders>
              <w:top w:val="nil"/>
              <w:left w:val="nil"/>
              <w:bottom w:val="single" w:sz="4" w:space="0" w:color="auto"/>
              <w:right w:val="single" w:sz="4" w:space="0" w:color="auto"/>
            </w:tcBorders>
            <w:shd w:val="clear" w:color="auto" w:fill="auto"/>
            <w:noWrap/>
            <w:vAlign w:val="bottom"/>
            <w:hideMark/>
          </w:tcPr>
          <w:p w14:paraId="7333C4C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11.88 </w:t>
            </w:r>
          </w:p>
        </w:tc>
        <w:tc>
          <w:tcPr>
            <w:tcW w:w="222" w:type="dxa"/>
            <w:tcBorders>
              <w:top w:val="nil"/>
              <w:left w:val="nil"/>
              <w:bottom w:val="nil"/>
              <w:right w:val="nil"/>
            </w:tcBorders>
            <w:shd w:val="clear" w:color="auto" w:fill="auto"/>
            <w:noWrap/>
            <w:vAlign w:val="bottom"/>
            <w:hideMark/>
          </w:tcPr>
          <w:p w14:paraId="2410FC62"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3AAEF94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948" w:type="dxa"/>
            <w:tcBorders>
              <w:top w:val="nil"/>
              <w:left w:val="nil"/>
              <w:bottom w:val="single" w:sz="4" w:space="0" w:color="auto"/>
              <w:right w:val="single" w:sz="4" w:space="0" w:color="auto"/>
            </w:tcBorders>
            <w:shd w:val="clear" w:color="auto" w:fill="auto"/>
            <w:noWrap/>
            <w:vAlign w:val="bottom"/>
            <w:hideMark/>
          </w:tcPr>
          <w:p w14:paraId="659D9259"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91.38%</w:t>
            </w:r>
          </w:p>
        </w:tc>
        <w:tc>
          <w:tcPr>
            <w:tcW w:w="222" w:type="dxa"/>
            <w:tcBorders>
              <w:top w:val="nil"/>
              <w:left w:val="nil"/>
              <w:bottom w:val="nil"/>
              <w:right w:val="nil"/>
            </w:tcBorders>
            <w:shd w:val="clear" w:color="auto" w:fill="auto"/>
            <w:noWrap/>
            <w:vAlign w:val="bottom"/>
            <w:hideMark/>
          </w:tcPr>
          <w:p w14:paraId="690448B4"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64662291"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1098" w:type="dxa"/>
            <w:tcBorders>
              <w:top w:val="nil"/>
              <w:left w:val="nil"/>
              <w:bottom w:val="single" w:sz="4" w:space="0" w:color="auto"/>
              <w:right w:val="single" w:sz="4" w:space="0" w:color="auto"/>
            </w:tcBorders>
            <w:shd w:val="clear" w:color="auto" w:fill="auto"/>
            <w:noWrap/>
            <w:vAlign w:val="bottom"/>
            <w:hideMark/>
          </w:tcPr>
          <w:p w14:paraId="3D48F436"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12.65%</w:t>
            </w:r>
          </w:p>
        </w:tc>
      </w:tr>
      <w:tr w:rsidR="00CF10C5" w:rsidRPr="008667A0" w14:paraId="23883B33"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1192B63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948" w:type="dxa"/>
            <w:tcBorders>
              <w:top w:val="nil"/>
              <w:left w:val="nil"/>
              <w:bottom w:val="single" w:sz="4" w:space="0" w:color="auto"/>
              <w:right w:val="single" w:sz="4" w:space="0" w:color="auto"/>
            </w:tcBorders>
            <w:shd w:val="clear" w:color="auto" w:fill="auto"/>
            <w:noWrap/>
            <w:vAlign w:val="bottom"/>
            <w:hideMark/>
          </w:tcPr>
          <w:p w14:paraId="4464D39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7.80 </w:t>
            </w:r>
          </w:p>
        </w:tc>
        <w:tc>
          <w:tcPr>
            <w:tcW w:w="222" w:type="dxa"/>
            <w:tcBorders>
              <w:top w:val="nil"/>
              <w:left w:val="nil"/>
              <w:bottom w:val="nil"/>
              <w:right w:val="nil"/>
            </w:tcBorders>
            <w:shd w:val="clear" w:color="auto" w:fill="auto"/>
            <w:noWrap/>
            <w:vAlign w:val="bottom"/>
            <w:hideMark/>
          </w:tcPr>
          <w:p w14:paraId="6B161481"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491D9219"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1098" w:type="dxa"/>
            <w:tcBorders>
              <w:top w:val="nil"/>
              <w:left w:val="nil"/>
              <w:bottom w:val="single" w:sz="4" w:space="0" w:color="auto"/>
              <w:right w:val="single" w:sz="4" w:space="0" w:color="auto"/>
            </w:tcBorders>
            <w:shd w:val="clear" w:color="auto" w:fill="auto"/>
            <w:noWrap/>
            <w:vAlign w:val="bottom"/>
            <w:hideMark/>
          </w:tcPr>
          <w:p w14:paraId="0E7A9F0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8.80 </w:t>
            </w:r>
          </w:p>
        </w:tc>
        <w:tc>
          <w:tcPr>
            <w:tcW w:w="222" w:type="dxa"/>
            <w:tcBorders>
              <w:top w:val="nil"/>
              <w:left w:val="nil"/>
              <w:bottom w:val="nil"/>
              <w:right w:val="nil"/>
            </w:tcBorders>
            <w:shd w:val="clear" w:color="auto" w:fill="auto"/>
            <w:noWrap/>
            <w:vAlign w:val="bottom"/>
            <w:hideMark/>
          </w:tcPr>
          <w:p w14:paraId="11339022"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022D31D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948" w:type="dxa"/>
            <w:tcBorders>
              <w:top w:val="nil"/>
              <w:left w:val="nil"/>
              <w:bottom w:val="single" w:sz="4" w:space="0" w:color="auto"/>
              <w:right w:val="single" w:sz="4" w:space="0" w:color="auto"/>
            </w:tcBorders>
            <w:shd w:val="clear" w:color="auto" w:fill="auto"/>
            <w:noWrap/>
            <w:vAlign w:val="bottom"/>
            <w:hideMark/>
          </w:tcPr>
          <w:p w14:paraId="1ADE7FAB"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72.04%</w:t>
            </w:r>
          </w:p>
        </w:tc>
        <w:tc>
          <w:tcPr>
            <w:tcW w:w="222" w:type="dxa"/>
            <w:tcBorders>
              <w:top w:val="nil"/>
              <w:left w:val="nil"/>
              <w:bottom w:val="nil"/>
              <w:right w:val="nil"/>
            </w:tcBorders>
            <w:shd w:val="clear" w:color="auto" w:fill="auto"/>
            <w:noWrap/>
            <w:vAlign w:val="bottom"/>
            <w:hideMark/>
          </w:tcPr>
          <w:p w14:paraId="64D4862F"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482C995B"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1098" w:type="dxa"/>
            <w:tcBorders>
              <w:top w:val="nil"/>
              <w:left w:val="nil"/>
              <w:bottom w:val="single" w:sz="4" w:space="0" w:color="auto"/>
              <w:right w:val="single" w:sz="4" w:space="0" w:color="auto"/>
            </w:tcBorders>
            <w:shd w:val="clear" w:color="auto" w:fill="auto"/>
            <w:noWrap/>
            <w:vAlign w:val="bottom"/>
            <w:hideMark/>
          </w:tcPr>
          <w:p w14:paraId="7204218E"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12.81%</w:t>
            </w:r>
          </w:p>
        </w:tc>
      </w:tr>
      <w:tr w:rsidR="00CF10C5" w:rsidRPr="008667A0" w14:paraId="008937EF"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3C53DBAF"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948" w:type="dxa"/>
            <w:tcBorders>
              <w:top w:val="nil"/>
              <w:left w:val="nil"/>
              <w:bottom w:val="single" w:sz="4" w:space="0" w:color="auto"/>
              <w:right w:val="single" w:sz="4" w:space="0" w:color="auto"/>
            </w:tcBorders>
            <w:shd w:val="clear" w:color="auto" w:fill="auto"/>
            <w:noWrap/>
            <w:vAlign w:val="bottom"/>
            <w:hideMark/>
          </w:tcPr>
          <w:p w14:paraId="781F9F5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15.56 </w:t>
            </w:r>
          </w:p>
        </w:tc>
        <w:tc>
          <w:tcPr>
            <w:tcW w:w="222" w:type="dxa"/>
            <w:tcBorders>
              <w:top w:val="nil"/>
              <w:left w:val="nil"/>
              <w:bottom w:val="nil"/>
              <w:right w:val="nil"/>
            </w:tcBorders>
            <w:shd w:val="clear" w:color="auto" w:fill="auto"/>
            <w:noWrap/>
            <w:vAlign w:val="bottom"/>
            <w:hideMark/>
          </w:tcPr>
          <w:p w14:paraId="7030B37B"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17625EA9"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1098" w:type="dxa"/>
            <w:tcBorders>
              <w:top w:val="nil"/>
              <w:left w:val="nil"/>
              <w:bottom w:val="single" w:sz="4" w:space="0" w:color="auto"/>
              <w:right w:val="single" w:sz="4" w:space="0" w:color="auto"/>
            </w:tcBorders>
            <w:shd w:val="clear" w:color="auto" w:fill="auto"/>
            <w:noWrap/>
            <w:vAlign w:val="bottom"/>
            <w:hideMark/>
          </w:tcPr>
          <w:p w14:paraId="33D63F4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16.56 </w:t>
            </w:r>
          </w:p>
        </w:tc>
        <w:tc>
          <w:tcPr>
            <w:tcW w:w="222" w:type="dxa"/>
            <w:tcBorders>
              <w:top w:val="nil"/>
              <w:left w:val="nil"/>
              <w:bottom w:val="nil"/>
              <w:right w:val="nil"/>
            </w:tcBorders>
            <w:shd w:val="clear" w:color="auto" w:fill="auto"/>
            <w:noWrap/>
            <w:vAlign w:val="bottom"/>
            <w:hideMark/>
          </w:tcPr>
          <w:p w14:paraId="3D4758DF"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75292C10"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948" w:type="dxa"/>
            <w:tcBorders>
              <w:top w:val="nil"/>
              <w:left w:val="nil"/>
              <w:bottom w:val="single" w:sz="4" w:space="0" w:color="auto"/>
              <w:right w:val="single" w:sz="4" w:space="0" w:color="auto"/>
            </w:tcBorders>
            <w:shd w:val="clear" w:color="auto" w:fill="auto"/>
            <w:noWrap/>
            <w:vAlign w:val="bottom"/>
            <w:hideMark/>
          </w:tcPr>
          <w:p w14:paraId="478C65D6"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93.96%</w:t>
            </w:r>
          </w:p>
        </w:tc>
        <w:tc>
          <w:tcPr>
            <w:tcW w:w="222" w:type="dxa"/>
            <w:tcBorders>
              <w:top w:val="nil"/>
              <w:left w:val="nil"/>
              <w:bottom w:val="nil"/>
              <w:right w:val="nil"/>
            </w:tcBorders>
            <w:shd w:val="clear" w:color="auto" w:fill="auto"/>
            <w:noWrap/>
            <w:vAlign w:val="bottom"/>
            <w:hideMark/>
          </w:tcPr>
          <w:p w14:paraId="702B9EAD"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54734E2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1098" w:type="dxa"/>
            <w:tcBorders>
              <w:top w:val="nil"/>
              <w:left w:val="nil"/>
              <w:bottom w:val="single" w:sz="4" w:space="0" w:color="auto"/>
              <w:right w:val="single" w:sz="4" w:space="0" w:color="auto"/>
            </w:tcBorders>
            <w:shd w:val="clear" w:color="auto" w:fill="auto"/>
            <w:noWrap/>
            <w:vAlign w:val="bottom"/>
            <w:hideMark/>
          </w:tcPr>
          <w:p w14:paraId="668B13F3"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12.07%</w:t>
            </w:r>
          </w:p>
        </w:tc>
      </w:tr>
      <w:tr w:rsidR="00CF10C5" w:rsidRPr="008667A0" w14:paraId="6870B106"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2B33797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948" w:type="dxa"/>
            <w:tcBorders>
              <w:top w:val="nil"/>
              <w:left w:val="nil"/>
              <w:bottom w:val="single" w:sz="4" w:space="0" w:color="auto"/>
              <w:right w:val="single" w:sz="4" w:space="0" w:color="auto"/>
            </w:tcBorders>
            <w:shd w:val="clear" w:color="auto" w:fill="auto"/>
            <w:noWrap/>
            <w:vAlign w:val="bottom"/>
            <w:hideMark/>
          </w:tcPr>
          <w:p w14:paraId="70C748BB"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7.65 </w:t>
            </w:r>
          </w:p>
        </w:tc>
        <w:tc>
          <w:tcPr>
            <w:tcW w:w="222" w:type="dxa"/>
            <w:tcBorders>
              <w:top w:val="nil"/>
              <w:left w:val="nil"/>
              <w:bottom w:val="nil"/>
              <w:right w:val="nil"/>
            </w:tcBorders>
            <w:shd w:val="clear" w:color="auto" w:fill="auto"/>
            <w:noWrap/>
            <w:vAlign w:val="bottom"/>
            <w:hideMark/>
          </w:tcPr>
          <w:p w14:paraId="283E215D"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7292AC8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1098" w:type="dxa"/>
            <w:tcBorders>
              <w:top w:val="nil"/>
              <w:left w:val="nil"/>
              <w:bottom w:val="single" w:sz="4" w:space="0" w:color="auto"/>
              <w:right w:val="single" w:sz="4" w:space="0" w:color="auto"/>
            </w:tcBorders>
            <w:shd w:val="clear" w:color="auto" w:fill="auto"/>
            <w:noWrap/>
            <w:vAlign w:val="bottom"/>
            <w:hideMark/>
          </w:tcPr>
          <w:p w14:paraId="7FF266C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8.65 </w:t>
            </w:r>
          </w:p>
        </w:tc>
        <w:tc>
          <w:tcPr>
            <w:tcW w:w="222" w:type="dxa"/>
            <w:tcBorders>
              <w:top w:val="nil"/>
              <w:left w:val="nil"/>
              <w:bottom w:val="nil"/>
              <w:right w:val="nil"/>
            </w:tcBorders>
            <w:shd w:val="clear" w:color="auto" w:fill="auto"/>
            <w:noWrap/>
            <w:vAlign w:val="bottom"/>
            <w:hideMark/>
          </w:tcPr>
          <w:p w14:paraId="115EAEB3"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7860D5FA"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948" w:type="dxa"/>
            <w:tcBorders>
              <w:top w:val="nil"/>
              <w:left w:val="nil"/>
              <w:bottom w:val="single" w:sz="4" w:space="0" w:color="auto"/>
              <w:right w:val="single" w:sz="4" w:space="0" w:color="auto"/>
            </w:tcBorders>
            <w:shd w:val="clear" w:color="auto" w:fill="auto"/>
            <w:noWrap/>
            <w:vAlign w:val="bottom"/>
            <w:hideMark/>
          </w:tcPr>
          <w:p w14:paraId="35FDC691"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88.43%</w:t>
            </w:r>
          </w:p>
        </w:tc>
        <w:tc>
          <w:tcPr>
            <w:tcW w:w="222" w:type="dxa"/>
            <w:tcBorders>
              <w:top w:val="nil"/>
              <w:left w:val="nil"/>
              <w:bottom w:val="nil"/>
              <w:right w:val="nil"/>
            </w:tcBorders>
            <w:shd w:val="clear" w:color="auto" w:fill="auto"/>
            <w:noWrap/>
            <w:vAlign w:val="bottom"/>
            <w:hideMark/>
          </w:tcPr>
          <w:p w14:paraId="63B76E22"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0F08F6C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1098" w:type="dxa"/>
            <w:tcBorders>
              <w:top w:val="nil"/>
              <w:left w:val="nil"/>
              <w:bottom w:val="single" w:sz="4" w:space="0" w:color="auto"/>
              <w:right w:val="single" w:sz="4" w:space="0" w:color="auto"/>
            </w:tcBorders>
            <w:shd w:val="clear" w:color="auto" w:fill="auto"/>
            <w:noWrap/>
            <w:vAlign w:val="bottom"/>
            <w:hideMark/>
          </w:tcPr>
          <w:p w14:paraId="65F0F841"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13.27%</w:t>
            </w:r>
          </w:p>
        </w:tc>
      </w:tr>
      <w:tr w:rsidR="00CF10C5" w:rsidRPr="008667A0" w14:paraId="4A511F9B"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46442419"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948" w:type="dxa"/>
            <w:tcBorders>
              <w:top w:val="nil"/>
              <w:left w:val="nil"/>
              <w:bottom w:val="single" w:sz="4" w:space="0" w:color="auto"/>
              <w:right w:val="single" w:sz="4" w:space="0" w:color="auto"/>
            </w:tcBorders>
            <w:shd w:val="clear" w:color="auto" w:fill="auto"/>
            <w:noWrap/>
            <w:vAlign w:val="bottom"/>
            <w:hideMark/>
          </w:tcPr>
          <w:p w14:paraId="3F29A2A8"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9.38 </w:t>
            </w:r>
          </w:p>
        </w:tc>
        <w:tc>
          <w:tcPr>
            <w:tcW w:w="222" w:type="dxa"/>
            <w:tcBorders>
              <w:top w:val="nil"/>
              <w:left w:val="nil"/>
              <w:bottom w:val="nil"/>
              <w:right w:val="nil"/>
            </w:tcBorders>
            <w:shd w:val="clear" w:color="auto" w:fill="auto"/>
            <w:noWrap/>
            <w:vAlign w:val="bottom"/>
            <w:hideMark/>
          </w:tcPr>
          <w:p w14:paraId="3B51DD20"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4E9CE326"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1098" w:type="dxa"/>
            <w:tcBorders>
              <w:top w:val="nil"/>
              <w:left w:val="nil"/>
              <w:bottom w:val="single" w:sz="4" w:space="0" w:color="auto"/>
              <w:right w:val="single" w:sz="4" w:space="0" w:color="auto"/>
            </w:tcBorders>
            <w:shd w:val="clear" w:color="auto" w:fill="auto"/>
            <w:noWrap/>
            <w:vAlign w:val="bottom"/>
            <w:hideMark/>
          </w:tcPr>
          <w:p w14:paraId="73C3106D"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24.51 </w:t>
            </w:r>
          </w:p>
        </w:tc>
        <w:tc>
          <w:tcPr>
            <w:tcW w:w="222" w:type="dxa"/>
            <w:tcBorders>
              <w:top w:val="nil"/>
              <w:left w:val="nil"/>
              <w:bottom w:val="nil"/>
              <w:right w:val="nil"/>
            </w:tcBorders>
            <w:shd w:val="clear" w:color="auto" w:fill="auto"/>
            <w:noWrap/>
            <w:vAlign w:val="bottom"/>
            <w:hideMark/>
          </w:tcPr>
          <w:p w14:paraId="1D5A2DD2"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279C8D7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948" w:type="dxa"/>
            <w:tcBorders>
              <w:top w:val="nil"/>
              <w:left w:val="nil"/>
              <w:bottom w:val="single" w:sz="4" w:space="0" w:color="auto"/>
              <w:right w:val="single" w:sz="4" w:space="0" w:color="auto"/>
            </w:tcBorders>
            <w:shd w:val="clear" w:color="auto" w:fill="auto"/>
            <w:noWrap/>
            <w:vAlign w:val="bottom"/>
            <w:hideMark/>
          </w:tcPr>
          <w:p w14:paraId="3BEB95E0"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86.10%</w:t>
            </w:r>
          </w:p>
        </w:tc>
        <w:tc>
          <w:tcPr>
            <w:tcW w:w="222" w:type="dxa"/>
            <w:tcBorders>
              <w:top w:val="nil"/>
              <w:left w:val="nil"/>
              <w:bottom w:val="nil"/>
              <w:right w:val="nil"/>
            </w:tcBorders>
            <w:shd w:val="clear" w:color="auto" w:fill="auto"/>
            <w:noWrap/>
            <w:vAlign w:val="bottom"/>
            <w:hideMark/>
          </w:tcPr>
          <w:p w14:paraId="57E17A15"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00154AF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1098" w:type="dxa"/>
            <w:tcBorders>
              <w:top w:val="nil"/>
              <w:left w:val="nil"/>
              <w:bottom w:val="single" w:sz="4" w:space="0" w:color="auto"/>
              <w:right w:val="single" w:sz="4" w:space="0" w:color="auto"/>
            </w:tcBorders>
            <w:shd w:val="clear" w:color="auto" w:fill="auto"/>
            <w:noWrap/>
            <w:vAlign w:val="bottom"/>
            <w:hideMark/>
          </w:tcPr>
          <w:p w14:paraId="4BE92584"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12.61%</w:t>
            </w:r>
          </w:p>
        </w:tc>
      </w:tr>
      <w:tr w:rsidR="00CF10C5" w:rsidRPr="008667A0" w14:paraId="74E186DC"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25365EF1"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948" w:type="dxa"/>
            <w:tcBorders>
              <w:top w:val="nil"/>
              <w:left w:val="nil"/>
              <w:bottom w:val="single" w:sz="4" w:space="0" w:color="auto"/>
              <w:right w:val="single" w:sz="4" w:space="0" w:color="auto"/>
            </w:tcBorders>
            <w:shd w:val="clear" w:color="auto" w:fill="auto"/>
            <w:noWrap/>
            <w:vAlign w:val="bottom"/>
            <w:hideMark/>
          </w:tcPr>
          <w:p w14:paraId="31E5110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9.93 </w:t>
            </w:r>
          </w:p>
        </w:tc>
        <w:tc>
          <w:tcPr>
            <w:tcW w:w="222" w:type="dxa"/>
            <w:tcBorders>
              <w:top w:val="nil"/>
              <w:left w:val="nil"/>
              <w:bottom w:val="nil"/>
              <w:right w:val="nil"/>
            </w:tcBorders>
            <w:shd w:val="clear" w:color="auto" w:fill="auto"/>
            <w:noWrap/>
            <w:vAlign w:val="bottom"/>
            <w:hideMark/>
          </w:tcPr>
          <w:p w14:paraId="3BCB0C5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77A5346D"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1098" w:type="dxa"/>
            <w:tcBorders>
              <w:top w:val="nil"/>
              <w:left w:val="nil"/>
              <w:bottom w:val="single" w:sz="4" w:space="0" w:color="auto"/>
              <w:right w:val="single" w:sz="4" w:space="0" w:color="auto"/>
            </w:tcBorders>
            <w:shd w:val="clear" w:color="auto" w:fill="auto"/>
            <w:noWrap/>
            <w:vAlign w:val="bottom"/>
            <w:hideMark/>
          </w:tcPr>
          <w:p w14:paraId="17D93D19"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11.11 </w:t>
            </w:r>
          </w:p>
        </w:tc>
        <w:tc>
          <w:tcPr>
            <w:tcW w:w="222" w:type="dxa"/>
            <w:tcBorders>
              <w:top w:val="nil"/>
              <w:left w:val="nil"/>
              <w:bottom w:val="nil"/>
              <w:right w:val="nil"/>
            </w:tcBorders>
            <w:shd w:val="clear" w:color="auto" w:fill="auto"/>
            <w:noWrap/>
            <w:vAlign w:val="bottom"/>
            <w:hideMark/>
          </w:tcPr>
          <w:p w14:paraId="0409B988"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041F5AE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948" w:type="dxa"/>
            <w:tcBorders>
              <w:top w:val="nil"/>
              <w:left w:val="nil"/>
              <w:bottom w:val="single" w:sz="4" w:space="0" w:color="auto"/>
              <w:right w:val="single" w:sz="4" w:space="0" w:color="auto"/>
            </w:tcBorders>
            <w:shd w:val="clear" w:color="auto" w:fill="auto"/>
            <w:noWrap/>
            <w:vAlign w:val="bottom"/>
            <w:hideMark/>
          </w:tcPr>
          <w:p w14:paraId="41EEB76B"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90.97%</w:t>
            </w:r>
          </w:p>
        </w:tc>
        <w:tc>
          <w:tcPr>
            <w:tcW w:w="222" w:type="dxa"/>
            <w:tcBorders>
              <w:top w:val="nil"/>
              <w:left w:val="nil"/>
              <w:bottom w:val="nil"/>
              <w:right w:val="nil"/>
            </w:tcBorders>
            <w:shd w:val="clear" w:color="auto" w:fill="auto"/>
            <w:noWrap/>
            <w:vAlign w:val="bottom"/>
            <w:hideMark/>
          </w:tcPr>
          <w:p w14:paraId="7DFF4E7F"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46735B0B"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1098" w:type="dxa"/>
            <w:tcBorders>
              <w:top w:val="nil"/>
              <w:left w:val="nil"/>
              <w:bottom w:val="single" w:sz="4" w:space="0" w:color="auto"/>
              <w:right w:val="single" w:sz="4" w:space="0" w:color="auto"/>
            </w:tcBorders>
            <w:shd w:val="clear" w:color="auto" w:fill="auto"/>
            <w:noWrap/>
            <w:vAlign w:val="bottom"/>
            <w:hideMark/>
          </w:tcPr>
          <w:p w14:paraId="5278870B"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14.73%</w:t>
            </w:r>
          </w:p>
        </w:tc>
      </w:tr>
      <w:tr w:rsidR="00CF10C5" w:rsidRPr="008667A0" w14:paraId="06325DE8"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0AFFAC46"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948" w:type="dxa"/>
            <w:tcBorders>
              <w:top w:val="nil"/>
              <w:left w:val="nil"/>
              <w:bottom w:val="single" w:sz="4" w:space="0" w:color="auto"/>
              <w:right w:val="single" w:sz="4" w:space="0" w:color="auto"/>
            </w:tcBorders>
            <w:shd w:val="clear" w:color="auto" w:fill="auto"/>
            <w:noWrap/>
            <w:vAlign w:val="bottom"/>
            <w:hideMark/>
          </w:tcPr>
          <w:p w14:paraId="0D80A0C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11.78 </w:t>
            </w:r>
          </w:p>
        </w:tc>
        <w:tc>
          <w:tcPr>
            <w:tcW w:w="222" w:type="dxa"/>
            <w:tcBorders>
              <w:top w:val="nil"/>
              <w:left w:val="nil"/>
              <w:bottom w:val="nil"/>
              <w:right w:val="nil"/>
            </w:tcBorders>
            <w:shd w:val="clear" w:color="auto" w:fill="auto"/>
            <w:noWrap/>
            <w:vAlign w:val="bottom"/>
            <w:hideMark/>
          </w:tcPr>
          <w:p w14:paraId="1AA466E8"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300C94B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1098" w:type="dxa"/>
            <w:tcBorders>
              <w:top w:val="nil"/>
              <w:left w:val="nil"/>
              <w:bottom w:val="single" w:sz="4" w:space="0" w:color="auto"/>
              <w:right w:val="single" w:sz="4" w:space="0" w:color="auto"/>
            </w:tcBorders>
            <w:shd w:val="clear" w:color="auto" w:fill="auto"/>
            <w:noWrap/>
            <w:vAlign w:val="bottom"/>
            <w:hideMark/>
          </w:tcPr>
          <w:p w14:paraId="6DB31B48"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11.10 </w:t>
            </w:r>
          </w:p>
        </w:tc>
        <w:tc>
          <w:tcPr>
            <w:tcW w:w="222" w:type="dxa"/>
            <w:tcBorders>
              <w:top w:val="nil"/>
              <w:left w:val="nil"/>
              <w:bottom w:val="nil"/>
              <w:right w:val="nil"/>
            </w:tcBorders>
            <w:shd w:val="clear" w:color="auto" w:fill="auto"/>
            <w:noWrap/>
            <w:vAlign w:val="bottom"/>
            <w:hideMark/>
          </w:tcPr>
          <w:p w14:paraId="0B2A865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7970110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948" w:type="dxa"/>
            <w:tcBorders>
              <w:top w:val="nil"/>
              <w:left w:val="nil"/>
              <w:bottom w:val="single" w:sz="4" w:space="0" w:color="auto"/>
              <w:right w:val="single" w:sz="4" w:space="0" w:color="auto"/>
            </w:tcBorders>
            <w:shd w:val="clear" w:color="auto" w:fill="auto"/>
            <w:noWrap/>
            <w:vAlign w:val="bottom"/>
            <w:hideMark/>
          </w:tcPr>
          <w:p w14:paraId="5B49B1C0"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91.01%</w:t>
            </w:r>
          </w:p>
        </w:tc>
        <w:tc>
          <w:tcPr>
            <w:tcW w:w="222" w:type="dxa"/>
            <w:tcBorders>
              <w:top w:val="nil"/>
              <w:left w:val="nil"/>
              <w:bottom w:val="nil"/>
              <w:right w:val="nil"/>
            </w:tcBorders>
            <w:shd w:val="clear" w:color="auto" w:fill="auto"/>
            <w:noWrap/>
            <w:vAlign w:val="bottom"/>
            <w:hideMark/>
          </w:tcPr>
          <w:p w14:paraId="3534F0C9"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4B062749"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1098" w:type="dxa"/>
            <w:tcBorders>
              <w:top w:val="nil"/>
              <w:left w:val="nil"/>
              <w:bottom w:val="single" w:sz="4" w:space="0" w:color="auto"/>
              <w:right w:val="single" w:sz="4" w:space="0" w:color="auto"/>
            </w:tcBorders>
            <w:shd w:val="clear" w:color="auto" w:fill="auto"/>
            <w:noWrap/>
            <w:vAlign w:val="bottom"/>
            <w:hideMark/>
          </w:tcPr>
          <w:p w14:paraId="461DF44F"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11.68%</w:t>
            </w:r>
          </w:p>
        </w:tc>
      </w:tr>
      <w:tr w:rsidR="00CF10C5" w:rsidRPr="008667A0" w14:paraId="077BB759"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554953A3"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948" w:type="dxa"/>
            <w:tcBorders>
              <w:top w:val="nil"/>
              <w:left w:val="nil"/>
              <w:bottom w:val="single" w:sz="4" w:space="0" w:color="auto"/>
              <w:right w:val="single" w:sz="4" w:space="0" w:color="auto"/>
            </w:tcBorders>
            <w:shd w:val="clear" w:color="auto" w:fill="auto"/>
            <w:noWrap/>
            <w:vAlign w:val="bottom"/>
            <w:hideMark/>
          </w:tcPr>
          <w:p w14:paraId="791A838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13.18 </w:t>
            </w:r>
          </w:p>
        </w:tc>
        <w:tc>
          <w:tcPr>
            <w:tcW w:w="222" w:type="dxa"/>
            <w:tcBorders>
              <w:top w:val="nil"/>
              <w:left w:val="nil"/>
              <w:bottom w:val="nil"/>
              <w:right w:val="nil"/>
            </w:tcBorders>
            <w:shd w:val="clear" w:color="auto" w:fill="auto"/>
            <w:noWrap/>
            <w:vAlign w:val="bottom"/>
            <w:hideMark/>
          </w:tcPr>
          <w:p w14:paraId="0935DBA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7238028F"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1098" w:type="dxa"/>
            <w:tcBorders>
              <w:top w:val="nil"/>
              <w:left w:val="nil"/>
              <w:bottom w:val="single" w:sz="4" w:space="0" w:color="auto"/>
              <w:right w:val="single" w:sz="4" w:space="0" w:color="auto"/>
            </w:tcBorders>
            <w:shd w:val="clear" w:color="auto" w:fill="auto"/>
            <w:noWrap/>
            <w:vAlign w:val="bottom"/>
            <w:hideMark/>
          </w:tcPr>
          <w:p w14:paraId="69C71BF0"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14.18 </w:t>
            </w:r>
          </w:p>
        </w:tc>
        <w:tc>
          <w:tcPr>
            <w:tcW w:w="222" w:type="dxa"/>
            <w:tcBorders>
              <w:top w:val="nil"/>
              <w:left w:val="nil"/>
              <w:bottom w:val="nil"/>
              <w:right w:val="nil"/>
            </w:tcBorders>
            <w:shd w:val="clear" w:color="auto" w:fill="auto"/>
            <w:noWrap/>
            <w:vAlign w:val="bottom"/>
            <w:hideMark/>
          </w:tcPr>
          <w:p w14:paraId="1687A6E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6D1B7250"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948" w:type="dxa"/>
            <w:tcBorders>
              <w:top w:val="nil"/>
              <w:left w:val="nil"/>
              <w:bottom w:val="single" w:sz="4" w:space="0" w:color="auto"/>
              <w:right w:val="single" w:sz="4" w:space="0" w:color="auto"/>
            </w:tcBorders>
            <w:shd w:val="clear" w:color="auto" w:fill="auto"/>
            <w:noWrap/>
            <w:vAlign w:val="bottom"/>
            <w:hideMark/>
          </w:tcPr>
          <w:p w14:paraId="50FD6B4F"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92.82%</w:t>
            </w:r>
          </w:p>
        </w:tc>
        <w:tc>
          <w:tcPr>
            <w:tcW w:w="222" w:type="dxa"/>
            <w:tcBorders>
              <w:top w:val="nil"/>
              <w:left w:val="nil"/>
              <w:bottom w:val="nil"/>
              <w:right w:val="nil"/>
            </w:tcBorders>
            <w:shd w:val="clear" w:color="auto" w:fill="auto"/>
            <w:noWrap/>
            <w:vAlign w:val="bottom"/>
            <w:hideMark/>
          </w:tcPr>
          <w:p w14:paraId="250AA678"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24A10B3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1098" w:type="dxa"/>
            <w:tcBorders>
              <w:top w:val="nil"/>
              <w:left w:val="nil"/>
              <w:bottom w:val="single" w:sz="4" w:space="0" w:color="auto"/>
              <w:right w:val="single" w:sz="4" w:space="0" w:color="auto"/>
            </w:tcBorders>
            <w:shd w:val="clear" w:color="auto" w:fill="auto"/>
            <w:noWrap/>
            <w:vAlign w:val="bottom"/>
            <w:hideMark/>
          </w:tcPr>
          <w:p w14:paraId="5138B4C5"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12.28%</w:t>
            </w:r>
          </w:p>
        </w:tc>
      </w:tr>
      <w:tr w:rsidR="00CF10C5" w:rsidRPr="008667A0" w14:paraId="0DCD7566"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3035734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948" w:type="dxa"/>
            <w:tcBorders>
              <w:top w:val="nil"/>
              <w:left w:val="nil"/>
              <w:bottom w:val="single" w:sz="4" w:space="0" w:color="auto"/>
              <w:right w:val="single" w:sz="4" w:space="0" w:color="auto"/>
            </w:tcBorders>
            <w:shd w:val="clear" w:color="auto" w:fill="auto"/>
            <w:noWrap/>
            <w:vAlign w:val="bottom"/>
            <w:hideMark/>
          </w:tcPr>
          <w:p w14:paraId="0D942923"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12.84 </w:t>
            </w:r>
          </w:p>
        </w:tc>
        <w:tc>
          <w:tcPr>
            <w:tcW w:w="222" w:type="dxa"/>
            <w:tcBorders>
              <w:top w:val="nil"/>
              <w:left w:val="nil"/>
              <w:bottom w:val="nil"/>
              <w:right w:val="nil"/>
            </w:tcBorders>
            <w:shd w:val="clear" w:color="auto" w:fill="auto"/>
            <w:noWrap/>
            <w:vAlign w:val="bottom"/>
            <w:hideMark/>
          </w:tcPr>
          <w:p w14:paraId="07FADBFD"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3DD63C32"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1098" w:type="dxa"/>
            <w:tcBorders>
              <w:top w:val="nil"/>
              <w:left w:val="nil"/>
              <w:bottom w:val="single" w:sz="4" w:space="0" w:color="auto"/>
              <w:right w:val="single" w:sz="4" w:space="0" w:color="auto"/>
            </w:tcBorders>
            <w:shd w:val="clear" w:color="auto" w:fill="auto"/>
            <w:noWrap/>
            <w:vAlign w:val="bottom"/>
            <w:hideMark/>
          </w:tcPr>
          <w:p w14:paraId="5ED02859"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37.28 </w:t>
            </w:r>
          </w:p>
        </w:tc>
        <w:tc>
          <w:tcPr>
            <w:tcW w:w="222" w:type="dxa"/>
            <w:tcBorders>
              <w:top w:val="nil"/>
              <w:left w:val="nil"/>
              <w:bottom w:val="nil"/>
              <w:right w:val="nil"/>
            </w:tcBorders>
            <w:shd w:val="clear" w:color="auto" w:fill="auto"/>
            <w:noWrap/>
            <w:vAlign w:val="bottom"/>
            <w:hideMark/>
          </w:tcPr>
          <w:p w14:paraId="72A8C488"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4F888C51"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948" w:type="dxa"/>
            <w:tcBorders>
              <w:top w:val="nil"/>
              <w:left w:val="nil"/>
              <w:bottom w:val="single" w:sz="4" w:space="0" w:color="auto"/>
              <w:right w:val="single" w:sz="4" w:space="0" w:color="auto"/>
            </w:tcBorders>
            <w:shd w:val="clear" w:color="auto" w:fill="auto"/>
            <w:noWrap/>
            <w:vAlign w:val="bottom"/>
            <w:hideMark/>
          </w:tcPr>
          <w:p w14:paraId="447BE375"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81.83%</w:t>
            </w:r>
          </w:p>
        </w:tc>
        <w:tc>
          <w:tcPr>
            <w:tcW w:w="222" w:type="dxa"/>
            <w:tcBorders>
              <w:top w:val="nil"/>
              <w:left w:val="nil"/>
              <w:bottom w:val="nil"/>
              <w:right w:val="nil"/>
            </w:tcBorders>
            <w:shd w:val="clear" w:color="auto" w:fill="auto"/>
            <w:noWrap/>
            <w:vAlign w:val="bottom"/>
            <w:hideMark/>
          </w:tcPr>
          <w:p w14:paraId="5FD1C5C9"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0D9D9866"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1098" w:type="dxa"/>
            <w:tcBorders>
              <w:top w:val="nil"/>
              <w:left w:val="nil"/>
              <w:bottom w:val="single" w:sz="4" w:space="0" w:color="auto"/>
              <w:right w:val="single" w:sz="4" w:space="0" w:color="auto"/>
            </w:tcBorders>
            <w:shd w:val="clear" w:color="auto" w:fill="auto"/>
            <w:noWrap/>
            <w:vAlign w:val="bottom"/>
            <w:hideMark/>
          </w:tcPr>
          <w:p w14:paraId="71EC3580"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12.22%</w:t>
            </w:r>
          </w:p>
        </w:tc>
      </w:tr>
      <w:tr w:rsidR="00CF10C5" w:rsidRPr="008667A0" w14:paraId="0A400642"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1E1D9450"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948" w:type="dxa"/>
            <w:tcBorders>
              <w:top w:val="nil"/>
              <w:left w:val="nil"/>
              <w:bottom w:val="single" w:sz="4" w:space="0" w:color="auto"/>
              <w:right w:val="single" w:sz="4" w:space="0" w:color="auto"/>
            </w:tcBorders>
            <w:shd w:val="clear" w:color="auto" w:fill="auto"/>
            <w:noWrap/>
            <w:vAlign w:val="bottom"/>
            <w:hideMark/>
          </w:tcPr>
          <w:p w14:paraId="6FCF74C3"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11.23 </w:t>
            </w:r>
          </w:p>
        </w:tc>
        <w:tc>
          <w:tcPr>
            <w:tcW w:w="222" w:type="dxa"/>
            <w:tcBorders>
              <w:top w:val="nil"/>
              <w:left w:val="nil"/>
              <w:bottom w:val="nil"/>
              <w:right w:val="nil"/>
            </w:tcBorders>
            <w:shd w:val="clear" w:color="auto" w:fill="auto"/>
            <w:noWrap/>
            <w:vAlign w:val="bottom"/>
            <w:hideMark/>
          </w:tcPr>
          <w:p w14:paraId="04BF436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388A2CF9"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1098" w:type="dxa"/>
            <w:tcBorders>
              <w:top w:val="nil"/>
              <w:left w:val="nil"/>
              <w:bottom w:val="single" w:sz="4" w:space="0" w:color="auto"/>
              <w:right w:val="single" w:sz="4" w:space="0" w:color="auto"/>
            </w:tcBorders>
            <w:shd w:val="clear" w:color="auto" w:fill="auto"/>
            <w:noWrap/>
            <w:vAlign w:val="bottom"/>
            <w:hideMark/>
          </w:tcPr>
          <w:p w14:paraId="27EC22C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12.24 </w:t>
            </w:r>
          </w:p>
        </w:tc>
        <w:tc>
          <w:tcPr>
            <w:tcW w:w="222" w:type="dxa"/>
            <w:tcBorders>
              <w:top w:val="nil"/>
              <w:left w:val="nil"/>
              <w:bottom w:val="nil"/>
              <w:right w:val="nil"/>
            </w:tcBorders>
            <w:shd w:val="clear" w:color="auto" w:fill="auto"/>
            <w:noWrap/>
            <w:vAlign w:val="bottom"/>
            <w:hideMark/>
          </w:tcPr>
          <w:p w14:paraId="28FEE95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564B49AF"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948" w:type="dxa"/>
            <w:tcBorders>
              <w:top w:val="nil"/>
              <w:left w:val="nil"/>
              <w:bottom w:val="single" w:sz="4" w:space="0" w:color="auto"/>
              <w:right w:val="single" w:sz="4" w:space="0" w:color="auto"/>
            </w:tcBorders>
            <w:shd w:val="clear" w:color="auto" w:fill="auto"/>
            <w:noWrap/>
            <w:vAlign w:val="bottom"/>
            <w:hideMark/>
          </w:tcPr>
          <w:p w14:paraId="2156A18F"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91.66%</w:t>
            </w:r>
          </w:p>
        </w:tc>
        <w:tc>
          <w:tcPr>
            <w:tcW w:w="222" w:type="dxa"/>
            <w:tcBorders>
              <w:top w:val="nil"/>
              <w:left w:val="nil"/>
              <w:bottom w:val="nil"/>
              <w:right w:val="nil"/>
            </w:tcBorders>
            <w:shd w:val="clear" w:color="auto" w:fill="auto"/>
            <w:noWrap/>
            <w:vAlign w:val="bottom"/>
            <w:hideMark/>
          </w:tcPr>
          <w:p w14:paraId="13809C68"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47FCF0C3"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1098" w:type="dxa"/>
            <w:tcBorders>
              <w:top w:val="nil"/>
              <w:left w:val="nil"/>
              <w:bottom w:val="single" w:sz="4" w:space="0" w:color="auto"/>
              <w:right w:val="single" w:sz="4" w:space="0" w:color="auto"/>
            </w:tcBorders>
            <w:shd w:val="clear" w:color="auto" w:fill="auto"/>
            <w:noWrap/>
            <w:vAlign w:val="bottom"/>
            <w:hideMark/>
          </w:tcPr>
          <w:p w14:paraId="4DAD3E68"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11.68%</w:t>
            </w:r>
          </w:p>
        </w:tc>
      </w:tr>
      <w:tr w:rsidR="00CF10C5" w:rsidRPr="008667A0" w14:paraId="7FF7571A"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553CC9B9"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948" w:type="dxa"/>
            <w:tcBorders>
              <w:top w:val="nil"/>
              <w:left w:val="nil"/>
              <w:bottom w:val="single" w:sz="4" w:space="0" w:color="auto"/>
              <w:right w:val="single" w:sz="4" w:space="0" w:color="auto"/>
            </w:tcBorders>
            <w:shd w:val="clear" w:color="auto" w:fill="auto"/>
            <w:noWrap/>
            <w:vAlign w:val="bottom"/>
            <w:hideMark/>
          </w:tcPr>
          <w:p w14:paraId="18139D72"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11.75 </w:t>
            </w:r>
          </w:p>
        </w:tc>
        <w:tc>
          <w:tcPr>
            <w:tcW w:w="222" w:type="dxa"/>
            <w:tcBorders>
              <w:top w:val="nil"/>
              <w:left w:val="nil"/>
              <w:bottom w:val="nil"/>
              <w:right w:val="nil"/>
            </w:tcBorders>
            <w:shd w:val="clear" w:color="auto" w:fill="auto"/>
            <w:noWrap/>
            <w:vAlign w:val="bottom"/>
            <w:hideMark/>
          </w:tcPr>
          <w:p w14:paraId="438BCCB8"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6539926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1098" w:type="dxa"/>
            <w:tcBorders>
              <w:top w:val="nil"/>
              <w:left w:val="nil"/>
              <w:bottom w:val="single" w:sz="4" w:space="0" w:color="auto"/>
              <w:right w:val="single" w:sz="4" w:space="0" w:color="auto"/>
            </w:tcBorders>
            <w:shd w:val="clear" w:color="auto" w:fill="auto"/>
            <w:noWrap/>
            <w:vAlign w:val="bottom"/>
            <w:hideMark/>
          </w:tcPr>
          <w:p w14:paraId="6CB3226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12.70 </w:t>
            </w:r>
          </w:p>
        </w:tc>
        <w:tc>
          <w:tcPr>
            <w:tcW w:w="222" w:type="dxa"/>
            <w:tcBorders>
              <w:top w:val="nil"/>
              <w:left w:val="nil"/>
              <w:bottom w:val="nil"/>
              <w:right w:val="nil"/>
            </w:tcBorders>
            <w:shd w:val="clear" w:color="auto" w:fill="auto"/>
            <w:noWrap/>
            <w:vAlign w:val="bottom"/>
            <w:hideMark/>
          </w:tcPr>
          <w:p w14:paraId="2F3CD710"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4C13597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948" w:type="dxa"/>
            <w:tcBorders>
              <w:top w:val="nil"/>
              <w:left w:val="nil"/>
              <w:bottom w:val="single" w:sz="4" w:space="0" w:color="auto"/>
              <w:right w:val="single" w:sz="4" w:space="0" w:color="auto"/>
            </w:tcBorders>
            <w:shd w:val="clear" w:color="auto" w:fill="auto"/>
            <w:noWrap/>
            <w:vAlign w:val="bottom"/>
            <w:hideMark/>
          </w:tcPr>
          <w:p w14:paraId="1D5B8C69"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92.10%</w:t>
            </w:r>
          </w:p>
        </w:tc>
        <w:tc>
          <w:tcPr>
            <w:tcW w:w="222" w:type="dxa"/>
            <w:tcBorders>
              <w:top w:val="nil"/>
              <w:left w:val="nil"/>
              <w:bottom w:val="nil"/>
              <w:right w:val="nil"/>
            </w:tcBorders>
            <w:shd w:val="clear" w:color="auto" w:fill="auto"/>
            <w:noWrap/>
            <w:vAlign w:val="bottom"/>
            <w:hideMark/>
          </w:tcPr>
          <w:p w14:paraId="5C2666BE"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4840759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1098" w:type="dxa"/>
            <w:tcBorders>
              <w:top w:val="nil"/>
              <w:left w:val="nil"/>
              <w:bottom w:val="single" w:sz="4" w:space="0" w:color="auto"/>
              <w:right w:val="single" w:sz="4" w:space="0" w:color="auto"/>
            </w:tcBorders>
            <w:shd w:val="clear" w:color="auto" w:fill="auto"/>
            <w:noWrap/>
            <w:vAlign w:val="bottom"/>
            <w:hideMark/>
          </w:tcPr>
          <w:p w14:paraId="6BED0C22"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13.12%</w:t>
            </w:r>
          </w:p>
        </w:tc>
      </w:tr>
      <w:tr w:rsidR="00CF10C5" w:rsidRPr="008667A0" w14:paraId="483793F0"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4ED5903B"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Trust Bank</w:t>
            </w:r>
          </w:p>
        </w:tc>
        <w:tc>
          <w:tcPr>
            <w:tcW w:w="948" w:type="dxa"/>
            <w:tcBorders>
              <w:top w:val="nil"/>
              <w:left w:val="nil"/>
              <w:bottom w:val="single" w:sz="4" w:space="0" w:color="auto"/>
              <w:right w:val="single" w:sz="4" w:space="0" w:color="auto"/>
            </w:tcBorders>
            <w:shd w:val="clear" w:color="auto" w:fill="auto"/>
            <w:noWrap/>
            <w:vAlign w:val="bottom"/>
            <w:hideMark/>
          </w:tcPr>
          <w:p w14:paraId="720B1726"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18.49 </w:t>
            </w:r>
          </w:p>
        </w:tc>
        <w:tc>
          <w:tcPr>
            <w:tcW w:w="222" w:type="dxa"/>
            <w:tcBorders>
              <w:top w:val="nil"/>
              <w:left w:val="nil"/>
              <w:bottom w:val="nil"/>
              <w:right w:val="nil"/>
            </w:tcBorders>
            <w:shd w:val="clear" w:color="auto" w:fill="auto"/>
            <w:noWrap/>
            <w:vAlign w:val="bottom"/>
            <w:hideMark/>
          </w:tcPr>
          <w:p w14:paraId="2E84065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19F40310"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Trust Bank</w:t>
            </w:r>
          </w:p>
        </w:tc>
        <w:tc>
          <w:tcPr>
            <w:tcW w:w="1098" w:type="dxa"/>
            <w:tcBorders>
              <w:top w:val="nil"/>
              <w:left w:val="nil"/>
              <w:bottom w:val="single" w:sz="4" w:space="0" w:color="auto"/>
              <w:right w:val="single" w:sz="4" w:space="0" w:color="auto"/>
            </w:tcBorders>
            <w:shd w:val="clear" w:color="auto" w:fill="auto"/>
            <w:noWrap/>
            <w:vAlign w:val="bottom"/>
            <w:hideMark/>
          </w:tcPr>
          <w:p w14:paraId="41262CEB"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19.49 </w:t>
            </w:r>
          </w:p>
        </w:tc>
        <w:tc>
          <w:tcPr>
            <w:tcW w:w="222" w:type="dxa"/>
            <w:tcBorders>
              <w:top w:val="nil"/>
              <w:left w:val="nil"/>
              <w:bottom w:val="nil"/>
              <w:right w:val="nil"/>
            </w:tcBorders>
            <w:shd w:val="clear" w:color="auto" w:fill="auto"/>
            <w:noWrap/>
            <w:vAlign w:val="bottom"/>
            <w:hideMark/>
          </w:tcPr>
          <w:p w14:paraId="7095FE5F"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454C7BE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Trust Bank</w:t>
            </w:r>
          </w:p>
        </w:tc>
        <w:tc>
          <w:tcPr>
            <w:tcW w:w="948" w:type="dxa"/>
            <w:tcBorders>
              <w:top w:val="nil"/>
              <w:left w:val="nil"/>
              <w:bottom w:val="single" w:sz="4" w:space="0" w:color="auto"/>
              <w:right w:val="single" w:sz="4" w:space="0" w:color="auto"/>
            </w:tcBorders>
            <w:shd w:val="clear" w:color="auto" w:fill="auto"/>
            <w:noWrap/>
            <w:vAlign w:val="bottom"/>
            <w:hideMark/>
          </w:tcPr>
          <w:p w14:paraId="2239E3EC"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94.87%</w:t>
            </w:r>
          </w:p>
        </w:tc>
        <w:tc>
          <w:tcPr>
            <w:tcW w:w="222" w:type="dxa"/>
            <w:tcBorders>
              <w:top w:val="nil"/>
              <w:left w:val="nil"/>
              <w:bottom w:val="nil"/>
              <w:right w:val="nil"/>
            </w:tcBorders>
            <w:shd w:val="clear" w:color="auto" w:fill="auto"/>
            <w:noWrap/>
            <w:vAlign w:val="bottom"/>
            <w:hideMark/>
          </w:tcPr>
          <w:p w14:paraId="21E9A582"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1B7F3EBA"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Trust Bank</w:t>
            </w:r>
          </w:p>
        </w:tc>
        <w:tc>
          <w:tcPr>
            <w:tcW w:w="1098" w:type="dxa"/>
            <w:tcBorders>
              <w:top w:val="nil"/>
              <w:left w:val="nil"/>
              <w:bottom w:val="single" w:sz="4" w:space="0" w:color="auto"/>
              <w:right w:val="single" w:sz="4" w:space="0" w:color="auto"/>
            </w:tcBorders>
            <w:shd w:val="clear" w:color="auto" w:fill="auto"/>
            <w:noWrap/>
            <w:vAlign w:val="bottom"/>
            <w:hideMark/>
          </w:tcPr>
          <w:p w14:paraId="7B961885"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13.35%</w:t>
            </w:r>
          </w:p>
        </w:tc>
      </w:tr>
      <w:tr w:rsidR="00CF10C5" w:rsidRPr="008667A0" w14:paraId="44234472"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17332E2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948" w:type="dxa"/>
            <w:tcBorders>
              <w:top w:val="nil"/>
              <w:left w:val="nil"/>
              <w:bottom w:val="single" w:sz="4" w:space="0" w:color="auto"/>
              <w:right w:val="single" w:sz="4" w:space="0" w:color="auto"/>
            </w:tcBorders>
            <w:shd w:val="clear" w:color="auto" w:fill="auto"/>
            <w:noWrap/>
            <w:vAlign w:val="bottom"/>
            <w:hideMark/>
          </w:tcPr>
          <w:p w14:paraId="217DC74A"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10.98 </w:t>
            </w:r>
          </w:p>
        </w:tc>
        <w:tc>
          <w:tcPr>
            <w:tcW w:w="222" w:type="dxa"/>
            <w:tcBorders>
              <w:top w:val="nil"/>
              <w:left w:val="nil"/>
              <w:bottom w:val="nil"/>
              <w:right w:val="nil"/>
            </w:tcBorders>
            <w:shd w:val="clear" w:color="auto" w:fill="auto"/>
            <w:noWrap/>
            <w:vAlign w:val="bottom"/>
            <w:hideMark/>
          </w:tcPr>
          <w:p w14:paraId="71531BCD"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1C5E70F9"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1098" w:type="dxa"/>
            <w:tcBorders>
              <w:top w:val="nil"/>
              <w:left w:val="nil"/>
              <w:bottom w:val="single" w:sz="4" w:space="0" w:color="auto"/>
              <w:right w:val="single" w:sz="4" w:space="0" w:color="auto"/>
            </w:tcBorders>
            <w:shd w:val="clear" w:color="auto" w:fill="auto"/>
            <w:noWrap/>
            <w:vAlign w:val="bottom"/>
            <w:hideMark/>
          </w:tcPr>
          <w:p w14:paraId="6E20D0B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13.00 </w:t>
            </w:r>
          </w:p>
        </w:tc>
        <w:tc>
          <w:tcPr>
            <w:tcW w:w="222" w:type="dxa"/>
            <w:tcBorders>
              <w:top w:val="nil"/>
              <w:left w:val="nil"/>
              <w:bottom w:val="nil"/>
              <w:right w:val="nil"/>
            </w:tcBorders>
            <w:shd w:val="clear" w:color="auto" w:fill="auto"/>
            <w:noWrap/>
            <w:vAlign w:val="bottom"/>
            <w:hideMark/>
          </w:tcPr>
          <w:p w14:paraId="7BF377D5"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46491CB1"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948" w:type="dxa"/>
            <w:tcBorders>
              <w:top w:val="nil"/>
              <w:left w:val="nil"/>
              <w:bottom w:val="single" w:sz="4" w:space="0" w:color="auto"/>
              <w:right w:val="single" w:sz="4" w:space="0" w:color="auto"/>
            </w:tcBorders>
            <w:shd w:val="clear" w:color="auto" w:fill="auto"/>
            <w:noWrap/>
            <w:vAlign w:val="bottom"/>
            <w:hideMark/>
          </w:tcPr>
          <w:p w14:paraId="7DDE84F1"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92.28%</w:t>
            </w:r>
          </w:p>
        </w:tc>
        <w:tc>
          <w:tcPr>
            <w:tcW w:w="222" w:type="dxa"/>
            <w:tcBorders>
              <w:top w:val="nil"/>
              <w:left w:val="nil"/>
              <w:bottom w:val="nil"/>
              <w:right w:val="nil"/>
            </w:tcBorders>
            <w:shd w:val="clear" w:color="auto" w:fill="auto"/>
            <w:noWrap/>
            <w:vAlign w:val="bottom"/>
            <w:hideMark/>
          </w:tcPr>
          <w:p w14:paraId="5C9F1F2A"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5F7B73C9"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1098" w:type="dxa"/>
            <w:tcBorders>
              <w:top w:val="nil"/>
              <w:left w:val="nil"/>
              <w:bottom w:val="single" w:sz="4" w:space="0" w:color="auto"/>
              <w:right w:val="single" w:sz="4" w:space="0" w:color="auto"/>
            </w:tcBorders>
            <w:shd w:val="clear" w:color="auto" w:fill="auto"/>
            <w:noWrap/>
            <w:vAlign w:val="bottom"/>
            <w:hideMark/>
          </w:tcPr>
          <w:p w14:paraId="1E15C495"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12.64%</w:t>
            </w:r>
          </w:p>
        </w:tc>
      </w:tr>
      <w:tr w:rsidR="00CF10C5" w:rsidRPr="008667A0" w14:paraId="70345398" w14:textId="77777777" w:rsidTr="00CF10C5">
        <w:trPr>
          <w:trHeight w:val="288"/>
          <w:jc w:val="center"/>
        </w:trPr>
        <w:tc>
          <w:tcPr>
            <w:tcW w:w="1506" w:type="dxa"/>
            <w:tcBorders>
              <w:top w:val="nil"/>
              <w:left w:val="single" w:sz="4" w:space="0" w:color="auto"/>
              <w:bottom w:val="single" w:sz="4" w:space="0" w:color="auto"/>
              <w:right w:val="single" w:sz="4" w:space="0" w:color="auto"/>
            </w:tcBorders>
            <w:shd w:val="clear" w:color="auto" w:fill="auto"/>
            <w:noWrap/>
            <w:vAlign w:val="bottom"/>
            <w:hideMark/>
          </w:tcPr>
          <w:p w14:paraId="1805ABB9"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948" w:type="dxa"/>
            <w:tcBorders>
              <w:top w:val="nil"/>
              <w:left w:val="nil"/>
              <w:bottom w:val="single" w:sz="4" w:space="0" w:color="auto"/>
              <w:right w:val="single" w:sz="4" w:space="0" w:color="auto"/>
            </w:tcBorders>
            <w:shd w:val="clear" w:color="auto" w:fill="auto"/>
            <w:noWrap/>
            <w:vAlign w:val="bottom"/>
            <w:hideMark/>
          </w:tcPr>
          <w:p w14:paraId="2C9997A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11.36 </w:t>
            </w:r>
          </w:p>
        </w:tc>
        <w:tc>
          <w:tcPr>
            <w:tcW w:w="222" w:type="dxa"/>
            <w:tcBorders>
              <w:top w:val="nil"/>
              <w:left w:val="nil"/>
              <w:bottom w:val="nil"/>
              <w:right w:val="nil"/>
            </w:tcBorders>
            <w:shd w:val="clear" w:color="auto" w:fill="auto"/>
            <w:noWrap/>
            <w:vAlign w:val="bottom"/>
            <w:hideMark/>
          </w:tcPr>
          <w:p w14:paraId="1B5C758E"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493" w:type="dxa"/>
            <w:tcBorders>
              <w:top w:val="nil"/>
              <w:left w:val="single" w:sz="4" w:space="0" w:color="auto"/>
              <w:bottom w:val="single" w:sz="4" w:space="0" w:color="auto"/>
              <w:right w:val="single" w:sz="4" w:space="0" w:color="auto"/>
            </w:tcBorders>
            <w:shd w:val="clear" w:color="auto" w:fill="auto"/>
            <w:noWrap/>
            <w:vAlign w:val="bottom"/>
            <w:hideMark/>
          </w:tcPr>
          <w:p w14:paraId="45169AC8"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1098" w:type="dxa"/>
            <w:tcBorders>
              <w:top w:val="nil"/>
              <w:left w:val="nil"/>
              <w:bottom w:val="single" w:sz="4" w:space="0" w:color="auto"/>
              <w:right w:val="single" w:sz="4" w:space="0" w:color="auto"/>
            </w:tcBorders>
            <w:shd w:val="clear" w:color="auto" w:fill="auto"/>
            <w:noWrap/>
            <w:vAlign w:val="bottom"/>
            <w:hideMark/>
          </w:tcPr>
          <w:p w14:paraId="0F3CCE77"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12.36 </w:t>
            </w:r>
          </w:p>
        </w:tc>
        <w:tc>
          <w:tcPr>
            <w:tcW w:w="222" w:type="dxa"/>
            <w:tcBorders>
              <w:top w:val="nil"/>
              <w:left w:val="nil"/>
              <w:bottom w:val="nil"/>
              <w:right w:val="nil"/>
            </w:tcBorders>
            <w:shd w:val="clear" w:color="auto" w:fill="auto"/>
            <w:noWrap/>
            <w:vAlign w:val="bottom"/>
            <w:hideMark/>
          </w:tcPr>
          <w:p w14:paraId="2AC95C9C"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p>
        </w:tc>
        <w:tc>
          <w:tcPr>
            <w:tcW w:w="1505" w:type="dxa"/>
            <w:tcBorders>
              <w:top w:val="nil"/>
              <w:left w:val="single" w:sz="4" w:space="0" w:color="auto"/>
              <w:bottom w:val="single" w:sz="4" w:space="0" w:color="auto"/>
              <w:right w:val="single" w:sz="4" w:space="0" w:color="auto"/>
            </w:tcBorders>
            <w:shd w:val="clear" w:color="auto" w:fill="auto"/>
            <w:noWrap/>
            <w:vAlign w:val="bottom"/>
            <w:hideMark/>
          </w:tcPr>
          <w:p w14:paraId="09F29B0D"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948" w:type="dxa"/>
            <w:tcBorders>
              <w:top w:val="nil"/>
              <w:left w:val="nil"/>
              <w:bottom w:val="single" w:sz="4" w:space="0" w:color="auto"/>
              <w:right w:val="single" w:sz="4" w:space="0" w:color="auto"/>
            </w:tcBorders>
            <w:shd w:val="clear" w:color="auto" w:fill="auto"/>
            <w:noWrap/>
            <w:vAlign w:val="bottom"/>
            <w:hideMark/>
          </w:tcPr>
          <w:p w14:paraId="3B32F50D"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91.89%</w:t>
            </w:r>
          </w:p>
        </w:tc>
        <w:tc>
          <w:tcPr>
            <w:tcW w:w="222" w:type="dxa"/>
            <w:tcBorders>
              <w:top w:val="nil"/>
              <w:left w:val="nil"/>
              <w:bottom w:val="nil"/>
              <w:right w:val="nil"/>
            </w:tcBorders>
            <w:shd w:val="clear" w:color="auto" w:fill="auto"/>
            <w:noWrap/>
            <w:vAlign w:val="bottom"/>
            <w:hideMark/>
          </w:tcPr>
          <w:p w14:paraId="2CEFB776"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p>
        </w:tc>
        <w:tc>
          <w:tcPr>
            <w:tcW w:w="1524" w:type="dxa"/>
            <w:tcBorders>
              <w:top w:val="nil"/>
              <w:left w:val="single" w:sz="4" w:space="0" w:color="auto"/>
              <w:bottom w:val="single" w:sz="4" w:space="0" w:color="auto"/>
              <w:right w:val="single" w:sz="4" w:space="0" w:color="auto"/>
            </w:tcBorders>
            <w:shd w:val="clear" w:color="auto" w:fill="auto"/>
            <w:noWrap/>
            <w:vAlign w:val="bottom"/>
            <w:hideMark/>
          </w:tcPr>
          <w:p w14:paraId="035DE524" w14:textId="77777777" w:rsidR="00CF10C5" w:rsidRPr="008667A0" w:rsidRDefault="00CF10C5" w:rsidP="00CF10C5">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1098" w:type="dxa"/>
            <w:tcBorders>
              <w:top w:val="nil"/>
              <w:left w:val="nil"/>
              <w:bottom w:val="single" w:sz="4" w:space="0" w:color="auto"/>
              <w:right w:val="single" w:sz="4" w:space="0" w:color="auto"/>
            </w:tcBorders>
            <w:shd w:val="clear" w:color="auto" w:fill="auto"/>
            <w:noWrap/>
            <w:vAlign w:val="bottom"/>
            <w:hideMark/>
          </w:tcPr>
          <w:p w14:paraId="442C3D31" w14:textId="77777777" w:rsidR="00CF10C5" w:rsidRPr="008667A0" w:rsidRDefault="00CF10C5" w:rsidP="00CF10C5">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12.88%</w:t>
            </w:r>
          </w:p>
        </w:tc>
      </w:tr>
    </w:tbl>
    <w:p w14:paraId="2277E369" w14:textId="77777777" w:rsidR="00D07B7A" w:rsidRDefault="00CF10C5" w:rsidP="00742FDA">
      <w:pPr>
        <w:pStyle w:val="Caption"/>
        <w:ind w:left="-720" w:right="-720"/>
      </w:pPr>
      <w:bookmarkStart w:id="52" w:name="_Toc53355888"/>
      <w:r>
        <w:t xml:space="preserve">Table </w:t>
      </w:r>
      <w:fldSimple w:instr=" SEQ Table \* ARABIC ">
        <w:r w:rsidR="009F7CAB">
          <w:rPr>
            <w:noProof/>
          </w:rPr>
          <w:t>10</w:t>
        </w:r>
      </w:fldSimple>
      <w:r>
        <w:t xml:space="preserve">:  Average D/E </w:t>
      </w:r>
      <w:r w:rsidRPr="00607A0A">
        <w:t>Ratio</w:t>
      </w:r>
      <w:r w:rsidR="00742FDA">
        <w:t xml:space="preserve">    Table </w:t>
      </w:r>
      <w:fldSimple w:instr=" SEQ Table \* ARABIC ">
        <w:r w:rsidR="009F7CAB">
          <w:rPr>
            <w:noProof/>
          </w:rPr>
          <w:t>11</w:t>
        </w:r>
      </w:fldSimple>
      <w:r w:rsidR="00742FDA">
        <w:t xml:space="preserve">: </w:t>
      </w:r>
      <w:r w:rsidR="00742FDA" w:rsidRPr="00E46F2E">
        <w:t xml:space="preserve"> Average Equity Multiplier</w:t>
      </w:r>
      <w:r w:rsidR="00742FDA">
        <w:t xml:space="preserve"> Table </w:t>
      </w:r>
      <w:fldSimple w:instr=" SEQ Table \* ARABIC ">
        <w:r w:rsidR="009F7CAB">
          <w:rPr>
            <w:noProof/>
          </w:rPr>
          <w:t>12</w:t>
        </w:r>
      </w:fldSimple>
      <w:r w:rsidR="00742FDA">
        <w:t>: Average Debt/</w:t>
      </w:r>
      <w:r w:rsidR="00742FDA" w:rsidRPr="00FC110F">
        <w:t>Capital Ratio</w:t>
      </w:r>
      <w:r w:rsidR="00F92372">
        <w:t xml:space="preserve"> </w:t>
      </w:r>
      <w:r w:rsidR="00742FDA">
        <w:t xml:space="preserve">Table </w:t>
      </w:r>
      <w:fldSimple w:instr=" SEQ Table \* ARABIC ">
        <w:r w:rsidR="009F7CAB">
          <w:rPr>
            <w:noProof/>
          </w:rPr>
          <w:t>13</w:t>
        </w:r>
      </w:fldSimple>
      <w:r w:rsidR="00742FDA">
        <w:t xml:space="preserve">: </w:t>
      </w:r>
      <w:r w:rsidR="00742FDA" w:rsidRPr="009F43D3">
        <w:t>Average</w:t>
      </w:r>
      <w:r w:rsidR="00742FDA">
        <w:t xml:space="preserve"> Capital </w:t>
      </w:r>
      <w:r w:rsidR="00742FDA" w:rsidRPr="009F43D3">
        <w:t>Adequacy Ratio</w:t>
      </w:r>
      <w:bookmarkEnd w:id="52"/>
    </w:p>
    <w:p w14:paraId="6C5BE9EA" w14:textId="77777777" w:rsidR="00775D61" w:rsidRPr="00775D61" w:rsidRDefault="00775D61" w:rsidP="00775D61"/>
    <w:p w14:paraId="1D29ADBF" w14:textId="77777777" w:rsidR="00D8741C" w:rsidRDefault="00D8741C" w:rsidP="00320486">
      <w:pPr>
        <w:pStyle w:val="Heading2"/>
        <w:rPr>
          <w:b/>
          <w:sz w:val="28"/>
          <w:shd w:val="clear" w:color="auto" w:fill="FFFFFF"/>
        </w:rPr>
      </w:pPr>
      <w:bookmarkStart w:id="53" w:name="_Toc53357712"/>
      <w:r w:rsidRPr="00320486">
        <w:rPr>
          <w:b/>
          <w:sz w:val="28"/>
          <w:shd w:val="clear" w:color="auto" w:fill="FFFFFF"/>
        </w:rPr>
        <w:t>MARKET PROSPECT RATIOS</w:t>
      </w:r>
      <w:bookmarkEnd w:id="53"/>
    </w:p>
    <w:p w14:paraId="62FB360D" w14:textId="77777777" w:rsidR="00320486" w:rsidRPr="00320486" w:rsidRDefault="00320486" w:rsidP="00320486"/>
    <w:p w14:paraId="5A557D5E" w14:textId="001B7985" w:rsidR="000844EA" w:rsidRPr="00D8741C" w:rsidRDefault="00656A4F" w:rsidP="00D8741C">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Market prospect ratios are especially for the invest</w:t>
      </w:r>
      <w:r w:rsidR="00DC51C8">
        <w:rPr>
          <w:rFonts w:ascii="Times New Roman" w:hAnsi="Times New Roman" w:cs="Times New Roman"/>
          <w:color w:val="222222"/>
          <w:sz w:val="24"/>
          <w:szCs w:val="24"/>
          <w:shd w:val="clear" w:color="auto" w:fill="FFFFFF"/>
        </w:rPr>
        <w:t xml:space="preserve">ors. What is the real situation inside the company and what </w:t>
      </w:r>
      <w:r w:rsidR="00B86648">
        <w:rPr>
          <w:rFonts w:ascii="Times New Roman" w:hAnsi="Times New Roman" w:cs="Times New Roman"/>
          <w:color w:val="222222"/>
          <w:sz w:val="24"/>
          <w:szCs w:val="24"/>
          <w:shd w:val="clear" w:color="auto" w:fill="FFFFFF"/>
        </w:rPr>
        <w:t>an investor should</w:t>
      </w:r>
      <w:r w:rsidR="00DC51C8">
        <w:rPr>
          <w:rFonts w:ascii="Times New Roman" w:hAnsi="Times New Roman" w:cs="Times New Roman"/>
          <w:color w:val="222222"/>
          <w:sz w:val="24"/>
          <w:szCs w:val="24"/>
          <w:shd w:val="clear" w:color="auto" w:fill="FFFFFF"/>
        </w:rPr>
        <w:t xml:space="preserve"> expect, market prospect ratios describe</w:t>
      </w:r>
      <w:r w:rsidR="00DB40CD">
        <w:rPr>
          <w:rFonts w:ascii="Times New Roman" w:hAnsi="Times New Roman" w:cs="Times New Roman"/>
          <w:color w:val="222222"/>
          <w:sz w:val="24"/>
          <w:szCs w:val="24"/>
          <w:shd w:val="clear" w:color="auto" w:fill="FFFFFF"/>
        </w:rPr>
        <w:t xml:space="preserve">. </w:t>
      </w:r>
      <w:r w:rsidR="00C24DF0">
        <w:rPr>
          <w:rFonts w:ascii="Times New Roman" w:hAnsi="Times New Roman" w:cs="Times New Roman"/>
          <w:color w:val="222222"/>
          <w:sz w:val="24"/>
          <w:szCs w:val="24"/>
          <w:shd w:val="clear" w:color="auto" w:fill="FFFFFF"/>
        </w:rPr>
        <w:t xml:space="preserve">Market prospect ratios are: </w:t>
      </w:r>
    </w:p>
    <w:p w14:paraId="1CB76787" w14:textId="77777777" w:rsidR="00D8741C" w:rsidRPr="00A007F3" w:rsidRDefault="007079DA" w:rsidP="00A007F3">
      <w:pPr>
        <w:pStyle w:val="ListParagraph"/>
        <w:numPr>
          <w:ilvl w:val="0"/>
          <w:numId w:val="28"/>
        </w:numPr>
        <w:spacing w:line="360" w:lineRule="auto"/>
        <w:jc w:val="both"/>
        <w:rPr>
          <w:rFonts w:ascii="Times New Roman" w:hAnsi="Times New Roman" w:cs="Times New Roman"/>
          <w:color w:val="222222"/>
          <w:sz w:val="24"/>
          <w:szCs w:val="24"/>
          <w:shd w:val="clear" w:color="auto" w:fill="FFFFFF"/>
        </w:rPr>
      </w:pPr>
      <w:r w:rsidRPr="00A007F3">
        <w:rPr>
          <w:rFonts w:ascii="Times New Roman" w:hAnsi="Times New Roman" w:cs="Times New Roman"/>
          <w:color w:val="222222"/>
          <w:sz w:val="24"/>
          <w:szCs w:val="24"/>
          <w:shd w:val="clear" w:color="auto" w:fill="FFFFFF"/>
        </w:rPr>
        <w:t>Market Price per Share</w:t>
      </w:r>
    </w:p>
    <w:p w14:paraId="430B5A7E" w14:textId="77777777" w:rsidR="007079DA" w:rsidRPr="00A007F3" w:rsidRDefault="007079DA" w:rsidP="00A007F3">
      <w:pPr>
        <w:pStyle w:val="ListParagraph"/>
        <w:numPr>
          <w:ilvl w:val="0"/>
          <w:numId w:val="28"/>
        </w:numPr>
        <w:spacing w:line="360" w:lineRule="auto"/>
        <w:jc w:val="both"/>
        <w:rPr>
          <w:rFonts w:ascii="Times New Roman" w:hAnsi="Times New Roman" w:cs="Times New Roman"/>
          <w:color w:val="222222"/>
          <w:sz w:val="24"/>
          <w:szCs w:val="24"/>
          <w:shd w:val="clear" w:color="auto" w:fill="FFFFFF"/>
        </w:rPr>
      </w:pPr>
      <w:r w:rsidRPr="00A007F3">
        <w:rPr>
          <w:rFonts w:ascii="Times New Roman" w:hAnsi="Times New Roman" w:cs="Times New Roman"/>
          <w:color w:val="222222"/>
          <w:sz w:val="24"/>
          <w:szCs w:val="24"/>
          <w:shd w:val="clear" w:color="auto" w:fill="FFFFFF"/>
        </w:rPr>
        <w:t>Earnings per Share  </w:t>
      </w:r>
    </w:p>
    <w:p w14:paraId="259B734F" w14:textId="77777777" w:rsidR="007079DA" w:rsidRPr="00A007F3" w:rsidRDefault="007079DA" w:rsidP="00A007F3">
      <w:pPr>
        <w:pStyle w:val="ListParagraph"/>
        <w:numPr>
          <w:ilvl w:val="0"/>
          <w:numId w:val="28"/>
        </w:numPr>
        <w:spacing w:line="360" w:lineRule="auto"/>
        <w:jc w:val="both"/>
        <w:rPr>
          <w:rFonts w:ascii="Times New Roman" w:hAnsi="Times New Roman" w:cs="Times New Roman"/>
          <w:color w:val="222222"/>
          <w:sz w:val="24"/>
          <w:szCs w:val="24"/>
          <w:shd w:val="clear" w:color="auto" w:fill="FFFFFF"/>
        </w:rPr>
      </w:pPr>
      <w:r w:rsidRPr="00A007F3">
        <w:rPr>
          <w:rFonts w:ascii="Times New Roman" w:hAnsi="Times New Roman" w:cs="Times New Roman"/>
          <w:color w:val="222222"/>
          <w:sz w:val="24"/>
          <w:szCs w:val="24"/>
          <w:shd w:val="clear" w:color="auto" w:fill="FFFFFF"/>
        </w:rPr>
        <w:t>Price to Earnings Ratio</w:t>
      </w:r>
    </w:p>
    <w:p w14:paraId="57A367E1" w14:textId="77777777" w:rsidR="00D8741C" w:rsidRPr="00A007F3" w:rsidRDefault="007079DA" w:rsidP="00A007F3">
      <w:pPr>
        <w:pStyle w:val="ListParagraph"/>
        <w:numPr>
          <w:ilvl w:val="0"/>
          <w:numId w:val="28"/>
        </w:numPr>
        <w:spacing w:line="360" w:lineRule="auto"/>
        <w:jc w:val="both"/>
        <w:rPr>
          <w:rFonts w:ascii="Times New Roman" w:hAnsi="Times New Roman" w:cs="Times New Roman"/>
          <w:color w:val="222222"/>
          <w:sz w:val="24"/>
          <w:szCs w:val="24"/>
          <w:shd w:val="clear" w:color="auto" w:fill="FFFFFF"/>
        </w:rPr>
      </w:pPr>
      <w:r w:rsidRPr="00A007F3">
        <w:rPr>
          <w:rFonts w:ascii="Times New Roman" w:hAnsi="Times New Roman" w:cs="Times New Roman"/>
          <w:color w:val="222222"/>
          <w:sz w:val="24"/>
          <w:szCs w:val="24"/>
          <w:shd w:val="clear" w:color="auto" w:fill="FFFFFF"/>
        </w:rPr>
        <w:t>Net Assets Value per Share</w:t>
      </w:r>
    </w:p>
    <w:p w14:paraId="32D4F5D6" w14:textId="77777777" w:rsidR="007079DA" w:rsidRPr="00A007F3" w:rsidRDefault="007079DA" w:rsidP="00A007F3">
      <w:pPr>
        <w:pStyle w:val="ListParagraph"/>
        <w:numPr>
          <w:ilvl w:val="0"/>
          <w:numId w:val="28"/>
        </w:numPr>
        <w:spacing w:line="360" w:lineRule="auto"/>
        <w:jc w:val="both"/>
        <w:rPr>
          <w:rFonts w:ascii="Times New Roman" w:hAnsi="Times New Roman" w:cs="Times New Roman"/>
          <w:color w:val="222222"/>
          <w:sz w:val="24"/>
          <w:szCs w:val="24"/>
          <w:shd w:val="clear" w:color="auto" w:fill="FFFFFF"/>
        </w:rPr>
      </w:pPr>
      <w:r w:rsidRPr="00A007F3">
        <w:rPr>
          <w:rFonts w:ascii="Times New Roman" w:hAnsi="Times New Roman" w:cs="Times New Roman"/>
          <w:color w:val="222222"/>
          <w:sz w:val="24"/>
          <w:szCs w:val="24"/>
          <w:shd w:val="clear" w:color="auto" w:fill="FFFFFF"/>
        </w:rPr>
        <w:t>Dividend Coverage Ratio</w:t>
      </w:r>
    </w:p>
    <w:p w14:paraId="2EE7D714" w14:textId="77777777" w:rsidR="007079DA" w:rsidRPr="00A007F3" w:rsidRDefault="007079DA" w:rsidP="00A007F3">
      <w:pPr>
        <w:pStyle w:val="ListParagraph"/>
        <w:numPr>
          <w:ilvl w:val="0"/>
          <w:numId w:val="28"/>
        </w:numPr>
        <w:spacing w:line="360" w:lineRule="auto"/>
        <w:jc w:val="both"/>
        <w:rPr>
          <w:rFonts w:ascii="Times New Roman" w:hAnsi="Times New Roman" w:cs="Times New Roman"/>
          <w:color w:val="222222"/>
          <w:sz w:val="24"/>
          <w:szCs w:val="24"/>
          <w:shd w:val="clear" w:color="auto" w:fill="FFFFFF"/>
        </w:rPr>
      </w:pPr>
      <w:r w:rsidRPr="00A007F3">
        <w:rPr>
          <w:rFonts w:ascii="Times New Roman" w:hAnsi="Times New Roman" w:cs="Times New Roman"/>
          <w:color w:val="222222"/>
          <w:sz w:val="24"/>
          <w:szCs w:val="24"/>
          <w:shd w:val="clear" w:color="auto" w:fill="FFFFFF"/>
        </w:rPr>
        <w:t>Operating Profit per Share</w:t>
      </w:r>
    </w:p>
    <w:p w14:paraId="0F32E6EC" w14:textId="77777777" w:rsidR="007079DA" w:rsidRPr="00A007F3" w:rsidRDefault="007079DA" w:rsidP="00A007F3">
      <w:pPr>
        <w:pStyle w:val="ListParagraph"/>
        <w:numPr>
          <w:ilvl w:val="0"/>
          <w:numId w:val="28"/>
        </w:numPr>
        <w:spacing w:line="360" w:lineRule="auto"/>
        <w:jc w:val="both"/>
        <w:rPr>
          <w:rFonts w:ascii="Times New Roman" w:hAnsi="Times New Roman" w:cs="Times New Roman"/>
          <w:color w:val="222222"/>
          <w:sz w:val="24"/>
          <w:szCs w:val="24"/>
          <w:shd w:val="clear" w:color="auto" w:fill="FFFFFF"/>
        </w:rPr>
      </w:pPr>
      <w:r w:rsidRPr="00A007F3">
        <w:rPr>
          <w:rFonts w:ascii="Times New Roman" w:hAnsi="Times New Roman" w:cs="Times New Roman"/>
          <w:color w:val="222222"/>
          <w:sz w:val="24"/>
          <w:szCs w:val="24"/>
          <w:shd w:val="clear" w:color="auto" w:fill="FFFFFF"/>
        </w:rPr>
        <w:t>Net Operating Cash Flow per Share</w:t>
      </w:r>
    </w:p>
    <w:p w14:paraId="2ED1983E" w14:textId="77777777" w:rsidR="007079DA" w:rsidRPr="00A007F3" w:rsidRDefault="007079DA" w:rsidP="00A007F3">
      <w:pPr>
        <w:pStyle w:val="ListParagraph"/>
        <w:numPr>
          <w:ilvl w:val="0"/>
          <w:numId w:val="28"/>
        </w:numPr>
        <w:spacing w:line="360" w:lineRule="auto"/>
        <w:jc w:val="both"/>
        <w:rPr>
          <w:rFonts w:ascii="Times New Roman" w:hAnsi="Times New Roman" w:cs="Times New Roman"/>
          <w:color w:val="222222"/>
          <w:sz w:val="24"/>
          <w:szCs w:val="24"/>
          <w:shd w:val="clear" w:color="auto" w:fill="FFFFFF"/>
        </w:rPr>
      </w:pPr>
      <w:r w:rsidRPr="00A007F3">
        <w:rPr>
          <w:rFonts w:ascii="Times New Roman" w:hAnsi="Times New Roman" w:cs="Times New Roman"/>
          <w:color w:val="222222"/>
          <w:sz w:val="24"/>
          <w:szCs w:val="24"/>
          <w:shd w:val="clear" w:color="auto" w:fill="FFFFFF"/>
        </w:rPr>
        <w:t xml:space="preserve">Dividend </w:t>
      </w:r>
      <w:r w:rsidR="00D8741C" w:rsidRPr="00A007F3">
        <w:rPr>
          <w:rFonts w:ascii="Times New Roman" w:hAnsi="Times New Roman" w:cs="Times New Roman"/>
          <w:color w:val="222222"/>
          <w:sz w:val="24"/>
          <w:szCs w:val="24"/>
          <w:shd w:val="clear" w:color="auto" w:fill="FFFFFF"/>
        </w:rPr>
        <w:t>Yield</w:t>
      </w:r>
      <w:r w:rsidRPr="00A007F3">
        <w:rPr>
          <w:rFonts w:ascii="Times New Roman" w:hAnsi="Times New Roman" w:cs="Times New Roman"/>
          <w:color w:val="222222"/>
          <w:sz w:val="24"/>
          <w:szCs w:val="24"/>
          <w:shd w:val="clear" w:color="auto" w:fill="FFFFFF"/>
        </w:rPr>
        <w:t xml:space="preserve"> Ratio </w:t>
      </w:r>
    </w:p>
    <w:p w14:paraId="39CA5851" w14:textId="77777777" w:rsidR="007079DA" w:rsidRPr="00A007F3" w:rsidRDefault="00D8741C" w:rsidP="00A007F3">
      <w:pPr>
        <w:pStyle w:val="ListParagraph"/>
        <w:numPr>
          <w:ilvl w:val="0"/>
          <w:numId w:val="28"/>
        </w:numPr>
        <w:spacing w:line="360" w:lineRule="auto"/>
        <w:jc w:val="both"/>
        <w:rPr>
          <w:rFonts w:ascii="Times New Roman" w:hAnsi="Times New Roman" w:cs="Times New Roman"/>
          <w:color w:val="222222"/>
          <w:sz w:val="24"/>
          <w:szCs w:val="24"/>
          <w:shd w:val="clear" w:color="auto" w:fill="FFFFFF"/>
        </w:rPr>
      </w:pPr>
      <w:r w:rsidRPr="00A007F3">
        <w:rPr>
          <w:rFonts w:ascii="Times New Roman" w:hAnsi="Times New Roman" w:cs="Times New Roman"/>
          <w:color w:val="222222"/>
          <w:sz w:val="24"/>
          <w:szCs w:val="24"/>
          <w:shd w:val="clear" w:color="auto" w:fill="FFFFFF"/>
        </w:rPr>
        <w:t>Dividend Payout Ratio</w:t>
      </w:r>
    </w:p>
    <w:p w14:paraId="22AAF471" w14:textId="77777777" w:rsidR="00A007F3" w:rsidRDefault="00A007F3" w:rsidP="00775D61">
      <w:pPr>
        <w:pStyle w:val="Heading3"/>
        <w:rPr>
          <w:b/>
          <w:color w:val="365F91" w:themeColor="accent1" w:themeShade="BF"/>
          <w:shd w:val="clear" w:color="auto" w:fill="FFFFFF"/>
        </w:rPr>
      </w:pPr>
      <w:bookmarkStart w:id="54" w:name="_Toc53357713"/>
      <w:r w:rsidRPr="00775D61">
        <w:rPr>
          <w:b/>
          <w:color w:val="365F91" w:themeColor="accent1" w:themeShade="BF"/>
          <w:shd w:val="clear" w:color="auto" w:fill="FFFFFF"/>
        </w:rPr>
        <w:lastRenderedPageBreak/>
        <w:t>MARKET PRICE PER SHARE</w:t>
      </w:r>
      <w:bookmarkEnd w:id="54"/>
    </w:p>
    <w:p w14:paraId="137064CD" w14:textId="77777777" w:rsidR="00775D61" w:rsidRPr="00775D61" w:rsidRDefault="00775D61" w:rsidP="00775D61"/>
    <w:p w14:paraId="59D7C677" w14:textId="77777777" w:rsidR="00A007F3" w:rsidRDefault="00A17D24" w:rsidP="00775D61">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In the simple words, market price per share is share value of the banks in the current </w:t>
      </w:r>
      <w:r w:rsidR="00C6264A">
        <w:rPr>
          <w:rFonts w:ascii="Times New Roman" w:hAnsi="Times New Roman" w:cs="Times New Roman"/>
          <w:color w:val="222222"/>
          <w:sz w:val="24"/>
          <w:szCs w:val="24"/>
          <w:shd w:val="clear" w:color="auto" w:fill="FFFFFF"/>
        </w:rPr>
        <w:t xml:space="preserve">market. The </w:t>
      </w:r>
      <w:r w:rsidR="004023AA">
        <w:rPr>
          <w:rFonts w:ascii="Times New Roman" w:hAnsi="Times New Roman" w:cs="Times New Roman"/>
          <w:color w:val="222222"/>
          <w:sz w:val="24"/>
          <w:szCs w:val="24"/>
          <w:shd w:val="clear" w:color="auto" w:fill="FFFFFF"/>
        </w:rPr>
        <w:t xml:space="preserve">current </w:t>
      </w:r>
      <w:r w:rsidR="00C6264A">
        <w:rPr>
          <w:rFonts w:ascii="Times New Roman" w:hAnsi="Times New Roman" w:cs="Times New Roman"/>
          <w:color w:val="222222"/>
          <w:sz w:val="24"/>
          <w:szCs w:val="24"/>
          <w:shd w:val="clear" w:color="auto" w:fill="FFFFFF"/>
        </w:rPr>
        <w:t>price for which one can sell or buy the share</w:t>
      </w:r>
      <w:r>
        <w:rPr>
          <w:rFonts w:ascii="Times New Roman" w:hAnsi="Times New Roman" w:cs="Times New Roman"/>
          <w:color w:val="222222"/>
          <w:sz w:val="24"/>
          <w:szCs w:val="24"/>
          <w:shd w:val="clear" w:color="auto" w:fill="FFFFFF"/>
        </w:rPr>
        <w:t>.</w:t>
      </w:r>
    </w:p>
    <w:p w14:paraId="45E5B3B3" w14:textId="77777777" w:rsidR="006E0448" w:rsidRPr="00A007F3" w:rsidRDefault="003C33AE" w:rsidP="00A007F3">
      <w:pPr>
        <w:spacing w:line="360" w:lineRule="auto"/>
        <w:ind w:left="360"/>
        <w:jc w:val="both"/>
        <w:rPr>
          <w:rFonts w:ascii="Times New Roman" w:hAnsi="Times New Roman" w:cs="Times New Roman"/>
          <w:color w:val="222222"/>
          <w:sz w:val="24"/>
          <w:szCs w:val="24"/>
          <w:shd w:val="clear" w:color="auto" w:fill="FFFFFF"/>
        </w:rPr>
      </w:pPr>
      <w:r>
        <w:rPr>
          <w:noProof/>
        </w:rPr>
        <w:drawing>
          <wp:inline distT="0" distB="0" distL="0" distR="0" wp14:anchorId="5676C90E" wp14:editId="260BF8C0">
            <wp:extent cx="5943600" cy="25527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182BA628" w14:textId="77777777" w:rsidR="00B962C8" w:rsidRDefault="00B962C8" w:rsidP="000A5903">
      <w:pPr>
        <w:pStyle w:val="Caption"/>
        <w:jc w:val="center"/>
        <w:rPr>
          <w:rFonts w:ascii="Times New Roman" w:hAnsi="Times New Roman" w:cs="Times New Roman"/>
          <w:color w:val="222222"/>
          <w:sz w:val="24"/>
          <w:szCs w:val="24"/>
          <w:shd w:val="clear" w:color="auto" w:fill="FFFFFF"/>
        </w:rPr>
      </w:pPr>
      <w:bookmarkStart w:id="55" w:name="_Toc53356074"/>
      <w:r>
        <w:t xml:space="preserve">Figure </w:t>
      </w:r>
      <w:fldSimple w:instr=" SEQ Figure \* ARABIC ">
        <w:r w:rsidR="008B60A5">
          <w:rPr>
            <w:noProof/>
          </w:rPr>
          <w:t>15</w:t>
        </w:r>
      </w:fldSimple>
      <w:r>
        <w:t xml:space="preserve">: Average Market Price </w:t>
      </w:r>
      <w:r w:rsidR="000A5903">
        <w:t>per</w:t>
      </w:r>
      <w:r>
        <w:t xml:space="preserve"> Share</w:t>
      </w:r>
      <w:bookmarkEnd w:id="55"/>
    </w:p>
    <w:p w14:paraId="5D9214FC" w14:textId="77777777" w:rsidR="00CD1BA4" w:rsidRDefault="003C33AE" w:rsidP="00CD1BA4">
      <w:pPr>
        <w:spacing w:line="360" w:lineRule="auto"/>
        <w:ind w:left="36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Dutch Bangla Bank has the highest market price for it per share</w:t>
      </w:r>
      <w:r w:rsidR="00E71061">
        <w:rPr>
          <w:rFonts w:ascii="Times New Roman" w:hAnsi="Times New Roman" w:cs="Times New Roman"/>
          <w:color w:val="222222"/>
          <w:sz w:val="24"/>
          <w:szCs w:val="24"/>
          <w:shd w:val="clear" w:color="auto" w:fill="FFFFFF"/>
        </w:rPr>
        <w:t>, 118.62 taka per share</w:t>
      </w:r>
      <w:r>
        <w:rPr>
          <w:rFonts w:ascii="Times New Roman" w:hAnsi="Times New Roman" w:cs="Times New Roman"/>
          <w:color w:val="222222"/>
          <w:sz w:val="24"/>
          <w:szCs w:val="24"/>
          <w:shd w:val="clear" w:color="auto" w:fill="FFFFFF"/>
        </w:rPr>
        <w:t>.</w:t>
      </w:r>
      <w:r w:rsidR="00211792">
        <w:rPr>
          <w:rFonts w:ascii="Times New Roman" w:hAnsi="Times New Roman" w:cs="Times New Roman"/>
          <w:color w:val="222222"/>
          <w:sz w:val="24"/>
          <w:szCs w:val="24"/>
          <w:shd w:val="clear" w:color="auto" w:fill="FFFFFF"/>
        </w:rPr>
        <w:t xml:space="preserve"> Market price increases when the bank has high reputation in the market and among the customers. </w:t>
      </w:r>
      <w:r w:rsidR="00E71061">
        <w:rPr>
          <w:rFonts w:ascii="Times New Roman" w:hAnsi="Times New Roman" w:cs="Times New Roman"/>
          <w:color w:val="222222"/>
          <w:sz w:val="24"/>
          <w:szCs w:val="24"/>
          <w:shd w:val="clear" w:color="auto" w:fill="FFFFFF"/>
        </w:rPr>
        <w:t xml:space="preserve">Investors motivate to invest in that bank. In the contrary, national banks market price is the lowest among all. </w:t>
      </w:r>
      <w:r w:rsidR="00B2154B">
        <w:rPr>
          <w:rFonts w:ascii="Times New Roman" w:hAnsi="Times New Roman" w:cs="Times New Roman"/>
          <w:color w:val="222222"/>
          <w:sz w:val="24"/>
          <w:szCs w:val="24"/>
          <w:shd w:val="clear" w:color="auto" w:fill="FFFFFF"/>
        </w:rPr>
        <w:t xml:space="preserve">Market price per share for </w:t>
      </w:r>
      <w:r w:rsidR="00B2154B" w:rsidRPr="00B2154B">
        <w:rPr>
          <w:rFonts w:ascii="Times New Roman" w:hAnsi="Times New Roman" w:cs="Times New Roman"/>
          <w:color w:val="222222"/>
          <w:sz w:val="24"/>
          <w:szCs w:val="24"/>
          <w:shd w:val="clear" w:color="auto" w:fill="FFFFFF"/>
        </w:rPr>
        <w:t>Mercantile Bank</w:t>
      </w:r>
      <w:r w:rsidR="00B2154B">
        <w:rPr>
          <w:rFonts w:ascii="Times New Roman" w:hAnsi="Times New Roman" w:cs="Times New Roman"/>
          <w:color w:val="222222"/>
          <w:sz w:val="24"/>
          <w:szCs w:val="24"/>
          <w:shd w:val="clear" w:color="auto" w:fill="FFFFFF"/>
        </w:rPr>
        <w:t xml:space="preserve"> and One Bank could not detect because of the absence of information. </w:t>
      </w:r>
    </w:p>
    <w:p w14:paraId="483BFA30" w14:textId="77777777" w:rsidR="00A007F3" w:rsidRDefault="00A007F3" w:rsidP="0053468C">
      <w:pPr>
        <w:pStyle w:val="Heading3"/>
        <w:rPr>
          <w:b/>
          <w:color w:val="365F91" w:themeColor="accent1" w:themeShade="BF"/>
          <w:shd w:val="clear" w:color="auto" w:fill="FFFFFF"/>
        </w:rPr>
      </w:pPr>
      <w:bookmarkStart w:id="56" w:name="_Toc53357714"/>
      <w:r w:rsidRPr="0053468C">
        <w:rPr>
          <w:b/>
          <w:color w:val="365F91" w:themeColor="accent1" w:themeShade="BF"/>
          <w:shd w:val="clear" w:color="auto" w:fill="FFFFFF"/>
        </w:rPr>
        <w:t>EARNINGS PER SHARE</w:t>
      </w:r>
      <w:bookmarkEnd w:id="56"/>
      <w:r w:rsidRPr="0053468C">
        <w:rPr>
          <w:b/>
          <w:color w:val="365F91" w:themeColor="accent1" w:themeShade="BF"/>
          <w:shd w:val="clear" w:color="auto" w:fill="FFFFFF"/>
        </w:rPr>
        <w:t xml:space="preserve">  </w:t>
      </w:r>
    </w:p>
    <w:p w14:paraId="3FF9D9D5" w14:textId="77777777" w:rsidR="0053468C" w:rsidRPr="0053468C" w:rsidRDefault="0053468C" w:rsidP="0053468C"/>
    <w:p w14:paraId="6F268469" w14:textId="77777777" w:rsidR="00CD1BA4" w:rsidRDefault="004D7541" w:rsidP="00CD1BA4">
      <w:pPr>
        <w:spacing w:line="360" w:lineRule="auto"/>
        <w:ind w:left="36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Earnings per share is bank’s profit for each share.</w:t>
      </w:r>
      <w:r w:rsidR="00477348">
        <w:rPr>
          <w:rFonts w:ascii="Times New Roman" w:hAnsi="Times New Roman" w:cs="Times New Roman"/>
          <w:color w:val="222222"/>
          <w:sz w:val="24"/>
          <w:szCs w:val="24"/>
          <w:shd w:val="clear" w:color="auto" w:fill="FFFFFF"/>
        </w:rPr>
        <w:t xml:space="preserve"> It helps us to understand how much profit a company earn against per share. </w:t>
      </w:r>
      <w:r w:rsidR="00413BCB">
        <w:rPr>
          <w:rFonts w:ascii="Times New Roman" w:hAnsi="Times New Roman" w:cs="Times New Roman"/>
          <w:color w:val="222222"/>
          <w:sz w:val="24"/>
          <w:szCs w:val="24"/>
          <w:shd w:val="clear" w:color="auto" w:fill="FFFFFF"/>
        </w:rPr>
        <w:t>EPS is an important tool to evaluate performance of the entity in comparison to its competition.</w:t>
      </w:r>
    </w:p>
    <w:p w14:paraId="33B2ADA7" w14:textId="77777777" w:rsidR="00631C01" w:rsidRPr="00A007F3" w:rsidRDefault="00631C01" w:rsidP="00CD1BA4">
      <w:pPr>
        <w:spacing w:line="360" w:lineRule="auto"/>
        <w:ind w:left="360"/>
        <w:jc w:val="both"/>
        <w:rPr>
          <w:rFonts w:ascii="Times New Roman" w:hAnsi="Times New Roman" w:cs="Times New Roman"/>
          <w:color w:val="222222"/>
          <w:sz w:val="24"/>
          <w:szCs w:val="24"/>
          <w:shd w:val="clear" w:color="auto" w:fill="FFFFFF"/>
        </w:rPr>
      </w:pPr>
      <w:r>
        <w:rPr>
          <w:noProof/>
        </w:rPr>
        <w:lastRenderedPageBreak/>
        <w:drawing>
          <wp:inline distT="0" distB="0" distL="0" distR="0" wp14:anchorId="3452AF59" wp14:editId="631DBBC0">
            <wp:extent cx="5608320" cy="22860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8BC9CBB" w14:textId="77777777" w:rsidR="000A5903" w:rsidRDefault="000A5903" w:rsidP="000A5903">
      <w:pPr>
        <w:pStyle w:val="Caption"/>
        <w:jc w:val="center"/>
        <w:rPr>
          <w:rFonts w:ascii="Times New Roman" w:hAnsi="Times New Roman" w:cs="Times New Roman"/>
          <w:color w:val="222222"/>
          <w:sz w:val="24"/>
          <w:szCs w:val="24"/>
          <w:shd w:val="clear" w:color="auto" w:fill="FFFFFF"/>
        </w:rPr>
      </w:pPr>
      <w:bookmarkStart w:id="57" w:name="_Toc53356075"/>
      <w:r>
        <w:t xml:space="preserve">Figure </w:t>
      </w:r>
      <w:fldSimple w:instr=" SEQ Figure \* ARABIC ">
        <w:r w:rsidR="008B60A5">
          <w:rPr>
            <w:noProof/>
          </w:rPr>
          <w:t>16</w:t>
        </w:r>
      </w:fldSimple>
      <w:r>
        <w:t>: Average Earning per Share</w:t>
      </w:r>
      <w:bookmarkEnd w:id="57"/>
    </w:p>
    <w:p w14:paraId="26D5B390" w14:textId="77777777" w:rsidR="00631C01" w:rsidRDefault="0024317B" w:rsidP="00A007F3">
      <w:pPr>
        <w:spacing w:line="360" w:lineRule="auto"/>
        <w:ind w:left="360"/>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EPS of Dutch Bangla Banks is 13.2 which is highest among all and AB Banks has the lowest,</w:t>
      </w:r>
      <w:r w:rsidRPr="0024317B">
        <w:t xml:space="preserve"> </w:t>
      </w:r>
      <w:r w:rsidRPr="0024317B">
        <w:rPr>
          <w:rFonts w:ascii="Times New Roman" w:hAnsi="Times New Roman" w:cs="Times New Roman"/>
          <w:color w:val="222222"/>
          <w:sz w:val="24"/>
          <w:szCs w:val="24"/>
          <w:shd w:val="clear" w:color="auto" w:fill="FFFFFF"/>
        </w:rPr>
        <w:t>0.736</w:t>
      </w:r>
      <w:r>
        <w:rPr>
          <w:rFonts w:ascii="Times New Roman" w:hAnsi="Times New Roman" w:cs="Times New Roman"/>
          <w:color w:val="222222"/>
          <w:sz w:val="24"/>
          <w:szCs w:val="24"/>
          <w:shd w:val="clear" w:color="auto" w:fill="FFFFFF"/>
        </w:rPr>
        <w:t xml:space="preserve">. </w:t>
      </w:r>
      <w:r w:rsidR="005E5C14">
        <w:rPr>
          <w:rFonts w:ascii="Times New Roman" w:hAnsi="Times New Roman" w:cs="Times New Roman"/>
          <w:color w:val="222222"/>
          <w:sz w:val="24"/>
          <w:szCs w:val="24"/>
          <w:shd w:val="clear" w:color="auto" w:fill="FFFFFF"/>
        </w:rPr>
        <w:t xml:space="preserve">DBBL can generate more profit per share than other banks and AB Bank can make lower profit. </w:t>
      </w:r>
    </w:p>
    <w:p w14:paraId="6F5657ED" w14:textId="77777777" w:rsidR="00E82FCE" w:rsidRDefault="00A007F3" w:rsidP="00566F89">
      <w:pPr>
        <w:pStyle w:val="Heading3"/>
        <w:rPr>
          <w:b/>
          <w:color w:val="365F91" w:themeColor="accent1" w:themeShade="BF"/>
          <w:shd w:val="clear" w:color="auto" w:fill="FFFFFF"/>
        </w:rPr>
      </w:pPr>
      <w:bookmarkStart w:id="58" w:name="_Toc53357715"/>
      <w:r w:rsidRPr="00566F89">
        <w:rPr>
          <w:b/>
          <w:color w:val="365F91" w:themeColor="accent1" w:themeShade="BF"/>
          <w:shd w:val="clear" w:color="auto" w:fill="FFFFFF"/>
        </w:rPr>
        <w:t>PRICE TO EARNINGS RATIO</w:t>
      </w:r>
      <w:bookmarkEnd w:id="58"/>
    </w:p>
    <w:p w14:paraId="5E781D46" w14:textId="77777777" w:rsidR="00566F89" w:rsidRPr="00566F89" w:rsidRDefault="00566F89" w:rsidP="00566F89"/>
    <w:p w14:paraId="41080223" w14:textId="77777777" w:rsidR="00E82FCE" w:rsidRDefault="00E82FCE" w:rsidP="00E82FCE">
      <w:pPr>
        <w:spacing w:line="360" w:lineRule="auto"/>
        <w:ind w:left="360"/>
        <w:jc w:val="both"/>
        <w:rPr>
          <w:rFonts w:ascii="Times New Roman" w:hAnsi="Times New Roman" w:cs="Times New Roman"/>
          <w:color w:val="222222"/>
          <w:sz w:val="24"/>
          <w:szCs w:val="24"/>
          <w:shd w:val="clear" w:color="auto" w:fill="FFFFFF"/>
        </w:rPr>
      </w:pPr>
      <w:r w:rsidRPr="00E82FCE">
        <w:rPr>
          <w:rFonts w:ascii="Times New Roman" w:hAnsi="Times New Roman" w:cs="Times New Roman"/>
          <w:color w:val="222222"/>
          <w:sz w:val="24"/>
          <w:szCs w:val="24"/>
          <w:shd w:val="clear" w:color="auto" w:fill="FFFFFF"/>
        </w:rPr>
        <w:t>The P/E ratio is calculated by dividing a company's current stock price by its earnings per sh</w:t>
      </w:r>
      <w:r>
        <w:rPr>
          <w:rFonts w:ascii="Times New Roman" w:hAnsi="Times New Roman" w:cs="Times New Roman"/>
          <w:color w:val="222222"/>
          <w:sz w:val="24"/>
          <w:szCs w:val="24"/>
          <w:shd w:val="clear" w:color="auto" w:fill="FFFFFF"/>
        </w:rPr>
        <w:t>are (EPS)</w:t>
      </w:r>
      <w:r w:rsidRPr="00E82FCE">
        <w:rPr>
          <w:rFonts w:ascii="Times New Roman" w:hAnsi="Times New Roman" w:cs="Times New Roman"/>
          <w:color w:val="222222"/>
          <w:sz w:val="24"/>
          <w:szCs w:val="24"/>
          <w:shd w:val="clear" w:color="auto" w:fill="FFFFFF"/>
        </w:rPr>
        <w:t>. P/E ratio is the price an investor is paying for $1 of a company's earnings or profit. The higher the ratio, the greater the amount that an investor is willing to pay for $1 of current earnings.</w:t>
      </w:r>
    </w:p>
    <w:p w14:paraId="6B46CE48" w14:textId="77777777" w:rsidR="000A5903" w:rsidRDefault="00C04AC9" w:rsidP="000A5903">
      <w:pPr>
        <w:spacing w:line="360" w:lineRule="auto"/>
        <w:ind w:left="360"/>
        <w:jc w:val="both"/>
        <w:rPr>
          <w:rFonts w:ascii="Times New Roman" w:hAnsi="Times New Roman" w:cs="Times New Roman"/>
          <w:color w:val="222222"/>
          <w:sz w:val="24"/>
          <w:szCs w:val="24"/>
          <w:shd w:val="clear" w:color="auto" w:fill="FFFFFF"/>
        </w:rPr>
      </w:pPr>
      <w:r>
        <w:rPr>
          <w:noProof/>
        </w:rPr>
        <w:drawing>
          <wp:inline distT="0" distB="0" distL="0" distR="0" wp14:anchorId="06B8AD77" wp14:editId="75E3533E">
            <wp:extent cx="6035040" cy="2278380"/>
            <wp:effectExtent l="0" t="0" r="3810" b="762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16648AA2" w14:textId="77777777" w:rsidR="000A5903" w:rsidRDefault="000A5903" w:rsidP="000A5903">
      <w:pPr>
        <w:pStyle w:val="Caption"/>
        <w:jc w:val="center"/>
        <w:rPr>
          <w:rFonts w:ascii="Times New Roman" w:hAnsi="Times New Roman" w:cs="Times New Roman"/>
          <w:color w:val="222222"/>
          <w:sz w:val="24"/>
          <w:szCs w:val="24"/>
          <w:shd w:val="clear" w:color="auto" w:fill="FFFFFF"/>
        </w:rPr>
      </w:pPr>
      <w:bookmarkStart w:id="59" w:name="_Toc53356076"/>
      <w:r>
        <w:t xml:space="preserve">Figure </w:t>
      </w:r>
      <w:fldSimple w:instr=" SEQ Figure \* ARABIC ">
        <w:r w:rsidR="008B60A5">
          <w:rPr>
            <w:noProof/>
          </w:rPr>
          <w:t>17</w:t>
        </w:r>
      </w:fldSimple>
      <w:r>
        <w:t>: Average P/E Ratio</w:t>
      </w:r>
      <w:bookmarkEnd w:id="59"/>
    </w:p>
    <w:p w14:paraId="2A2720AD" w14:textId="77777777" w:rsidR="00944796" w:rsidRDefault="00C04AC9" w:rsidP="00FB578F">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AB Bank has the highest average price earning</w:t>
      </w:r>
      <w:r w:rsidR="00AD69FD">
        <w:rPr>
          <w:rFonts w:ascii="Times New Roman" w:hAnsi="Times New Roman" w:cs="Times New Roman"/>
          <w:color w:val="222222"/>
          <w:sz w:val="24"/>
          <w:szCs w:val="24"/>
          <w:shd w:val="clear" w:color="auto" w:fill="FFFFFF"/>
        </w:rPr>
        <w:t>s</w:t>
      </w:r>
      <w:r>
        <w:rPr>
          <w:rFonts w:ascii="Times New Roman" w:hAnsi="Times New Roman" w:cs="Times New Roman"/>
          <w:color w:val="222222"/>
          <w:sz w:val="24"/>
          <w:szCs w:val="24"/>
          <w:shd w:val="clear" w:color="auto" w:fill="FFFFFF"/>
        </w:rPr>
        <w:t xml:space="preserve"> ratio</w:t>
      </w:r>
      <w:r w:rsidR="000C7CE3">
        <w:rPr>
          <w:rFonts w:ascii="Times New Roman" w:hAnsi="Times New Roman" w:cs="Times New Roman"/>
          <w:color w:val="222222"/>
          <w:sz w:val="24"/>
          <w:szCs w:val="24"/>
          <w:shd w:val="clear" w:color="auto" w:fill="FFFFFF"/>
        </w:rPr>
        <w:t>,</w:t>
      </w:r>
      <w:r w:rsidR="000C7CE3" w:rsidRPr="000C7CE3">
        <w:rPr>
          <w:rFonts w:ascii="Times New Roman" w:hAnsi="Times New Roman" w:cs="Times New Roman"/>
          <w:color w:val="222222"/>
          <w:sz w:val="24"/>
          <w:szCs w:val="24"/>
          <w:shd w:val="clear" w:color="auto" w:fill="FFFFFF"/>
        </w:rPr>
        <w:t xml:space="preserve"> 224.73</w:t>
      </w:r>
      <w:r>
        <w:rPr>
          <w:rFonts w:ascii="Times New Roman" w:hAnsi="Times New Roman" w:cs="Times New Roman"/>
          <w:color w:val="222222"/>
          <w:sz w:val="24"/>
          <w:szCs w:val="24"/>
          <w:shd w:val="clear" w:color="auto" w:fill="FFFFFF"/>
        </w:rPr>
        <w:t>.</w:t>
      </w:r>
      <w:r w:rsidR="000C7CE3">
        <w:rPr>
          <w:rFonts w:ascii="Times New Roman" w:hAnsi="Times New Roman" w:cs="Times New Roman"/>
          <w:color w:val="222222"/>
          <w:sz w:val="24"/>
          <w:szCs w:val="24"/>
          <w:shd w:val="clear" w:color="auto" w:fill="FFFFFF"/>
        </w:rPr>
        <w:t xml:space="preserve"> </w:t>
      </w:r>
      <w:r w:rsidR="000C7CE3" w:rsidRPr="000C7CE3">
        <w:rPr>
          <w:rFonts w:ascii="Times New Roman" w:hAnsi="Times New Roman" w:cs="Times New Roman"/>
          <w:color w:val="222222"/>
          <w:sz w:val="24"/>
          <w:szCs w:val="24"/>
          <w:shd w:val="clear" w:color="auto" w:fill="FFFFFF"/>
        </w:rPr>
        <w:t>Premier Bank</w:t>
      </w:r>
      <w:r w:rsidR="000C7CE3">
        <w:rPr>
          <w:rFonts w:ascii="Times New Roman" w:hAnsi="Times New Roman" w:cs="Times New Roman"/>
          <w:color w:val="222222"/>
          <w:sz w:val="24"/>
          <w:szCs w:val="24"/>
          <w:shd w:val="clear" w:color="auto" w:fill="FFFFFF"/>
        </w:rPr>
        <w:t xml:space="preserve"> has the lowest P/E ratio. </w:t>
      </w:r>
      <w:r w:rsidR="00AD69FD">
        <w:rPr>
          <w:rFonts w:ascii="Times New Roman" w:hAnsi="Times New Roman" w:cs="Times New Roman"/>
          <w:color w:val="222222"/>
          <w:sz w:val="24"/>
          <w:szCs w:val="24"/>
          <w:shd w:val="clear" w:color="auto" w:fill="FFFFFF"/>
        </w:rPr>
        <w:t>That indicates Premier Bank’s</w:t>
      </w:r>
      <w:r w:rsidR="00AD69FD" w:rsidRPr="00AD69FD">
        <w:rPr>
          <w:rFonts w:ascii="Times New Roman" w:hAnsi="Times New Roman" w:cs="Times New Roman"/>
          <w:color w:val="222222"/>
          <w:sz w:val="24"/>
          <w:szCs w:val="24"/>
          <w:shd w:val="clear" w:color="auto" w:fill="FFFFFF"/>
        </w:rPr>
        <w:t xml:space="preserve"> share price is l</w:t>
      </w:r>
      <w:r w:rsidR="00AD69FD">
        <w:rPr>
          <w:rFonts w:ascii="Times New Roman" w:hAnsi="Times New Roman" w:cs="Times New Roman"/>
          <w:color w:val="222222"/>
          <w:sz w:val="24"/>
          <w:szCs w:val="24"/>
          <w:shd w:val="clear" w:color="auto" w:fill="FFFFFF"/>
        </w:rPr>
        <w:t>owering relative to other banks</w:t>
      </w:r>
      <w:r w:rsidR="00AD69FD" w:rsidRPr="00AD69FD">
        <w:rPr>
          <w:rFonts w:ascii="Times New Roman" w:hAnsi="Times New Roman" w:cs="Times New Roman"/>
          <w:color w:val="222222"/>
          <w:sz w:val="24"/>
          <w:szCs w:val="24"/>
          <w:shd w:val="clear" w:color="auto" w:fill="FFFFFF"/>
        </w:rPr>
        <w:t>. But we cannot say it is undervalued so investors can sti</w:t>
      </w:r>
      <w:r w:rsidR="00AD69FD">
        <w:rPr>
          <w:rFonts w:ascii="Times New Roman" w:hAnsi="Times New Roman" w:cs="Times New Roman"/>
          <w:color w:val="222222"/>
          <w:sz w:val="24"/>
          <w:szCs w:val="24"/>
          <w:shd w:val="clear" w:color="auto" w:fill="FFFFFF"/>
        </w:rPr>
        <w:t>ll</w:t>
      </w:r>
      <w:r w:rsidR="00315559">
        <w:rPr>
          <w:rFonts w:ascii="Times New Roman" w:hAnsi="Times New Roman" w:cs="Times New Roman"/>
          <w:color w:val="222222"/>
          <w:sz w:val="24"/>
          <w:szCs w:val="24"/>
          <w:shd w:val="clear" w:color="auto" w:fill="FFFFFF"/>
        </w:rPr>
        <w:t xml:space="preserve"> anticipate growth from Premier</w:t>
      </w:r>
      <w:r w:rsidR="00AD69FD" w:rsidRPr="00AD69FD">
        <w:rPr>
          <w:rFonts w:ascii="Times New Roman" w:hAnsi="Times New Roman" w:cs="Times New Roman"/>
          <w:color w:val="222222"/>
          <w:sz w:val="24"/>
          <w:szCs w:val="24"/>
          <w:shd w:val="clear" w:color="auto" w:fill="FFFFFF"/>
        </w:rPr>
        <w:t>.</w:t>
      </w:r>
    </w:p>
    <w:p w14:paraId="3A1D4CB0" w14:textId="77777777" w:rsidR="009E3808" w:rsidRDefault="00944796" w:rsidP="00566F89">
      <w:pPr>
        <w:pStyle w:val="Heading3"/>
        <w:rPr>
          <w:b/>
          <w:color w:val="365F91" w:themeColor="accent1" w:themeShade="BF"/>
          <w:shd w:val="clear" w:color="auto" w:fill="FFFFFF"/>
        </w:rPr>
      </w:pPr>
      <w:r w:rsidRPr="00566F89">
        <w:rPr>
          <w:b/>
          <w:color w:val="365F91" w:themeColor="accent1" w:themeShade="BF"/>
          <w:shd w:val="clear" w:color="auto" w:fill="FFFFFF"/>
        </w:rPr>
        <w:t xml:space="preserve">      </w:t>
      </w:r>
      <w:bookmarkStart w:id="60" w:name="_Toc53357716"/>
      <w:r w:rsidR="00A007F3" w:rsidRPr="00566F89">
        <w:rPr>
          <w:b/>
          <w:color w:val="365F91" w:themeColor="accent1" w:themeShade="BF"/>
          <w:shd w:val="clear" w:color="auto" w:fill="FFFFFF"/>
        </w:rPr>
        <w:t>NET ASSETS VALUE PER SHARE</w:t>
      </w:r>
      <w:bookmarkEnd w:id="60"/>
    </w:p>
    <w:p w14:paraId="1113CC7D" w14:textId="77777777" w:rsidR="00566F89" w:rsidRPr="00566F89" w:rsidRDefault="00566F89" w:rsidP="00566F89"/>
    <w:p w14:paraId="3F989500" w14:textId="77777777" w:rsidR="00944BAC" w:rsidRDefault="00517FDA" w:rsidP="00FB578F">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Net asset value per share simply defines how much net asset bank hold against per share. Higher ratio is preferable here.</w:t>
      </w:r>
    </w:p>
    <w:p w14:paraId="5B9906AD" w14:textId="77777777" w:rsidR="00944BAC" w:rsidRPr="00A007F3" w:rsidRDefault="00944BAC" w:rsidP="00944BAC">
      <w:pPr>
        <w:rPr>
          <w:rFonts w:ascii="Times New Roman" w:hAnsi="Times New Roman" w:cs="Times New Roman"/>
          <w:color w:val="222222"/>
          <w:sz w:val="24"/>
          <w:szCs w:val="24"/>
          <w:shd w:val="clear" w:color="auto" w:fill="FFFFFF"/>
        </w:rPr>
      </w:pPr>
      <w:r>
        <w:rPr>
          <w:noProof/>
        </w:rPr>
        <w:drawing>
          <wp:inline distT="0" distB="0" distL="0" distR="0" wp14:anchorId="2CFD6763" wp14:editId="1074102B">
            <wp:extent cx="6217920" cy="2758440"/>
            <wp:effectExtent l="0" t="0" r="0" b="381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18A20759" w14:textId="77777777" w:rsidR="00085A2A" w:rsidRDefault="00085A2A" w:rsidP="00085A2A">
      <w:pPr>
        <w:pStyle w:val="Caption"/>
        <w:jc w:val="center"/>
        <w:rPr>
          <w:rFonts w:ascii="Times New Roman" w:hAnsi="Times New Roman" w:cs="Times New Roman"/>
          <w:color w:val="222222"/>
          <w:sz w:val="24"/>
          <w:szCs w:val="24"/>
          <w:shd w:val="clear" w:color="auto" w:fill="FFFFFF"/>
        </w:rPr>
      </w:pPr>
      <w:bookmarkStart w:id="61" w:name="_Toc53356077"/>
      <w:r>
        <w:t xml:space="preserve">Figure </w:t>
      </w:r>
      <w:fldSimple w:instr=" SEQ Figure \* ARABIC ">
        <w:r w:rsidR="008B60A5">
          <w:rPr>
            <w:noProof/>
          </w:rPr>
          <w:t>18</w:t>
        </w:r>
      </w:fldSimple>
      <w:r>
        <w:t>: Average Net Asset Value per share</w:t>
      </w:r>
      <w:bookmarkEnd w:id="61"/>
    </w:p>
    <w:p w14:paraId="1B009569" w14:textId="77777777" w:rsidR="00944BAC" w:rsidRDefault="00944BAC" w:rsidP="006E3DED">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Dutch Bangla Bank has highest average percentage of NAV per share</w:t>
      </w:r>
      <w:r w:rsidR="00CC4A04">
        <w:rPr>
          <w:rFonts w:ascii="Times New Roman" w:hAnsi="Times New Roman" w:cs="Times New Roman"/>
          <w:color w:val="222222"/>
          <w:sz w:val="24"/>
          <w:szCs w:val="24"/>
          <w:shd w:val="clear" w:color="auto" w:fill="FFFFFF"/>
        </w:rPr>
        <w:t xml:space="preserve">, </w:t>
      </w:r>
      <w:r w:rsidR="00CC4A04" w:rsidRPr="00CC4A04">
        <w:rPr>
          <w:rFonts w:ascii="Times New Roman" w:hAnsi="Times New Roman" w:cs="Times New Roman"/>
          <w:color w:val="222222"/>
          <w:sz w:val="24"/>
          <w:szCs w:val="24"/>
          <w:shd w:val="clear" w:color="auto" w:fill="FFFFFF"/>
        </w:rPr>
        <w:t>87.98</w:t>
      </w:r>
      <w:r>
        <w:rPr>
          <w:rFonts w:ascii="Times New Roman" w:hAnsi="Times New Roman" w:cs="Times New Roman"/>
          <w:color w:val="222222"/>
          <w:sz w:val="24"/>
          <w:szCs w:val="24"/>
          <w:shd w:val="clear" w:color="auto" w:fill="FFFFFF"/>
        </w:rPr>
        <w:t>.</w:t>
      </w:r>
      <w:r w:rsidR="00CC4A04">
        <w:rPr>
          <w:rFonts w:ascii="Times New Roman" w:hAnsi="Times New Roman" w:cs="Times New Roman"/>
          <w:color w:val="222222"/>
          <w:sz w:val="24"/>
          <w:szCs w:val="24"/>
          <w:shd w:val="clear" w:color="auto" w:fill="FFFFFF"/>
        </w:rPr>
        <w:t xml:space="preserve"> Standard bank has lowest NAV per share, 17.02.</w:t>
      </w:r>
      <w:r>
        <w:rPr>
          <w:rFonts w:ascii="Times New Roman" w:hAnsi="Times New Roman" w:cs="Times New Roman"/>
          <w:color w:val="222222"/>
          <w:sz w:val="24"/>
          <w:szCs w:val="24"/>
          <w:shd w:val="clear" w:color="auto" w:fill="FFFFFF"/>
        </w:rPr>
        <w:t xml:space="preserve"> </w:t>
      </w:r>
    </w:p>
    <w:p w14:paraId="007099D7" w14:textId="77777777" w:rsidR="00F956AF" w:rsidRDefault="00A007F3" w:rsidP="009513E3">
      <w:pPr>
        <w:pStyle w:val="Heading3"/>
        <w:rPr>
          <w:b/>
          <w:color w:val="365F91" w:themeColor="accent1" w:themeShade="BF"/>
          <w:shd w:val="clear" w:color="auto" w:fill="FFFFFF"/>
        </w:rPr>
      </w:pPr>
      <w:bookmarkStart w:id="62" w:name="_Toc53357717"/>
      <w:r w:rsidRPr="009513E3">
        <w:rPr>
          <w:b/>
          <w:color w:val="365F91" w:themeColor="accent1" w:themeShade="BF"/>
          <w:shd w:val="clear" w:color="auto" w:fill="FFFFFF"/>
        </w:rPr>
        <w:t>DIVIDEND COVERAGE RATIO</w:t>
      </w:r>
      <w:bookmarkEnd w:id="62"/>
    </w:p>
    <w:p w14:paraId="7ACA8586" w14:textId="77777777" w:rsidR="009513E3" w:rsidRPr="009513E3" w:rsidRDefault="009513E3" w:rsidP="009513E3"/>
    <w:p w14:paraId="46715D44" w14:textId="4CDCF404" w:rsidR="007128FD" w:rsidRDefault="007128FD" w:rsidP="006E3DED">
      <w:pPr>
        <w:spacing w:line="360" w:lineRule="auto"/>
        <w:jc w:val="both"/>
        <w:rPr>
          <w:rFonts w:ascii="Times New Roman" w:hAnsi="Times New Roman" w:cs="Times New Roman"/>
          <w:color w:val="222222"/>
          <w:sz w:val="24"/>
          <w:szCs w:val="24"/>
          <w:shd w:val="clear" w:color="auto" w:fill="FFFFFF"/>
        </w:rPr>
      </w:pPr>
      <w:r w:rsidRPr="007128FD">
        <w:rPr>
          <w:rFonts w:ascii="Times New Roman" w:hAnsi="Times New Roman" w:cs="Times New Roman"/>
          <w:color w:val="222222"/>
          <w:sz w:val="24"/>
          <w:szCs w:val="24"/>
          <w:shd w:val="clear" w:color="auto" w:fill="FFFFFF"/>
        </w:rPr>
        <w:t xml:space="preserve">The dividend coverage ratio </w:t>
      </w:r>
      <w:r>
        <w:rPr>
          <w:rFonts w:ascii="Times New Roman" w:hAnsi="Times New Roman" w:cs="Times New Roman"/>
          <w:color w:val="222222"/>
          <w:sz w:val="24"/>
          <w:szCs w:val="24"/>
          <w:shd w:val="clear" w:color="auto" w:fill="FFFFFF"/>
        </w:rPr>
        <w:t xml:space="preserve">is a measuring tool to know </w:t>
      </w:r>
      <w:r w:rsidRPr="007128FD">
        <w:rPr>
          <w:rFonts w:ascii="Times New Roman" w:hAnsi="Times New Roman" w:cs="Times New Roman"/>
          <w:color w:val="222222"/>
          <w:sz w:val="24"/>
          <w:szCs w:val="24"/>
          <w:shd w:val="clear" w:color="auto" w:fill="FFFFFF"/>
        </w:rPr>
        <w:t>the numb</w:t>
      </w:r>
      <w:r>
        <w:rPr>
          <w:rFonts w:ascii="Times New Roman" w:hAnsi="Times New Roman" w:cs="Times New Roman"/>
          <w:color w:val="222222"/>
          <w:sz w:val="24"/>
          <w:szCs w:val="24"/>
          <w:shd w:val="clear" w:color="auto" w:fill="FFFFFF"/>
        </w:rPr>
        <w:t>er of times that a company will be able to</w:t>
      </w:r>
      <w:r w:rsidRPr="007128FD">
        <w:rPr>
          <w:rFonts w:ascii="Times New Roman" w:hAnsi="Times New Roman" w:cs="Times New Roman"/>
          <w:color w:val="222222"/>
          <w:sz w:val="24"/>
          <w:szCs w:val="24"/>
          <w:shd w:val="clear" w:color="auto" w:fill="FFFFFF"/>
        </w:rPr>
        <w:t xml:space="preserve"> pay dividends to its shareh</w:t>
      </w:r>
      <w:r w:rsidR="00900FFE">
        <w:rPr>
          <w:rFonts w:ascii="Times New Roman" w:hAnsi="Times New Roman" w:cs="Times New Roman"/>
          <w:color w:val="222222"/>
          <w:sz w:val="24"/>
          <w:szCs w:val="24"/>
          <w:shd w:val="clear" w:color="auto" w:fill="FFFFFF"/>
        </w:rPr>
        <w:t>olders. I</w:t>
      </w:r>
      <w:r w:rsidRPr="007128FD">
        <w:rPr>
          <w:rFonts w:ascii="Times New Roman" w:hAnsi="Times New Roman" w:cs="Times New Roman"/>
          <w:color w:val="222222"/>
          <w:sz w:val="24"/>
          <w:szCs w:val="24"/>
          <w:shd w:val="clear" w:color="auto" w:fill="FFFFFF"/>
        </w:rPr>
        <w:t>nvestors</w:t>
      </w:r>
      <w:r w:rsidR="00900FFE">
        <w:rPr>
          <w:rFonts w:ascii="Times New Roman" w:hAnsi="Times New Roman" w:cs="Times New Roman"/>
          <w:color w:val="222222"/>
          <w:sz w:val="24"/>
          <w:szCs w:val="24"/>
          <w:shd w:val="clear" w:color="auto" w:fill="FFFFFF"/>
        </w:rPr>
        <w:t xml:space="preserve"> use </w:t>
      </w:r>
      <w:r w:rsidR="005872FB">
        <w:rPr>
          <w:rFonts w:ascii="Times New Roman" w:hAnsi="Times New Roman" w:cs="Times New Roman"/>
          <w:color w:val="222222"/>
          <w:sz w:val="24"/>
          <w:szCs w:val="24"/>
          <w:shd w:val="clear" w:color="auto" w:fill="FFFFFF"/>
        </w:rPr>
        <w:t>this concept</w:t>
      </w:r>
      <w:r w:rsidRPr="007128FD">
        <w:rPr>
          <w:rFonts w:ascii="Times New Roman" w:hAnsi="Times New Roman" w:cs="Times New Roman"/>
          <w:color w:val="222222"/>
          <w:sz w:val="24"/>
          <w:szCs w:val="24"/>
          <w:shd w:val="clear" w:color="auto" w:fill="FFFFFF"/>
        </w:rPr>
        <w:t xml:space="preserve"> to estimate the</w:t>
      </w:r>
      <w:r w:rsidR="00900FFE">
        <w:rPr>
          <w:rFonts w:ascii="Times New Roman" w:hAnsi="Times New Roman" w:cs="Times New Roman"/>
          <w:color w:val="222222"/>
          <w:sz w:val="24"/>
          <w:szCs w:val="24"/>
          <w:shd w:val="clear" w:color="auto" w:fill="FFFFFF"/>
        </w:rPr>
        <w:t xml:space="preserve"> risk that the bank is not going to pay the dividend</w:t>
      </w:r>
      <w:r w:rsidRPr="007128FD">
        <w:rPr>
          <w:rFonts w:ascii="Times New Roman" w:hAnsi="Times New Roman" w:cs="Times New Roman"/>
          <w:color w:val="222222"/>
          <w:sz w:val="24"/>
          <w:szCs w:val="24"/>
          <w:shd w:val="clear" w:color="auto" w:fill="FFFFFF"/>
        </w:rPr>
        <w:t xml:space="preserve">. </w:t>
      </w:r>
      <w:r w:rsidR="007E328F">
        <w:rPr>
          <w:rFonts w:ascii="Times New Roman" w:hAnsi="Times New Roman" w:cs="Times New Roman"/>
          <w:color w:val="222222"/>
          <w:sz w:val="24"/>
          <w:szCs w:val="24"/>
          <w:shd w:val="clear" w:color="auto" w:fill="FFFFFF"/>
        </w:rPr>
        <w:t>The high coverage ratio means that the risk associated with dividend payment is lower; business will be ab</w:t>
      </w:r>
      <w:r w:rsidR="00C07A8E">
        <w:rPr>
          <w:rFonts w:ascii="Times New Roman" w:hAnsi="Times New Roman" w:cs="Times New Roman"/>
          <w:color w:val="222222"/>
          <w:sz w:val="24"/>
          <w:szCs w:val="24"/>
          <w:shd w:val="clear" w:color="auto" w:fill="FFFFFF"/>
        </w:rPr>
        <w:t xml:space="preserve">le to pay the dividend. </w:t>
      </w:r>
      <w:sdt>
        <w:sdtPr>
          <w:rPr>
            <w:rFonts w:ascii="Times New Roman" w:hAnsi="Times New Roman" w:cs="Times New Roman"/>
            <w:color w:val="222222"/>
            <w:sz w:val="24"/>
            <w:szCs w:val="24"/>
            <w:shd w:val="clear" w:color="auto" w:fill="FFFFFF"/>
          </w:rPr>
          <w:id w:val="-973590968"/>
          <w:citation/>
        </w:sdtPr>
        <w:sdtContent>
          <w:r w:rsidR="007079DA">
            <w:rPr>
              <w:rFonts w:ascii="Times New Roman" w:hAnsi="Times New Roman" w:cs="Times New Roman"/>
              <w:color w:val="222222"/>
              <w:sz w:val="24"/>
              <w:szCs w:val="24"/>
              <w:shd w:val="clear" w:color="auto" w:fill="FFFFFF"/>
            </w:rPr>
            <w:fldChar w:fldCharType="begin"/>
          </w:r>
          <w:r w:rsidR="007079DA">
            <w:rPr>
              <w:rFonts w:ascii="Times New Roman" w:hAnsi="Times New Roman" w:cs="Times New Roman"/>
              <w:color w:val="222222"/>
              <w:sz w:val="24"/>
              <w:szCs w:val="24"/>
              <w:shd w:val="clear" w:color="auto" w:fill="FFFFFF"/>
              <w:lang w:val="en-SG"/>
            </w:rPr>
            <w:instrText xml:space="preserve"> CITATION Acc18 \l 18441 </w:instrText>
          </w:r>
          <w:r w:rsidR="007079DA">
            <w:rPr>
              <w:rFonts w:ascii="Times New Roman" w:hAnsi="Times New Roman" w:cs="Times New Roman"/>
              <w:color w:val="222222"/>
              <w:sz w:val="24"/>
              <w:szCs w:val="24"/>
              <w:shd w:val="clear" w:color="auto" w:fill="FFFFFF"/>
            </w:rPr>
            <w:fldChar w:fldCharType="separate"/>
          </w:r>
          <w:r w:rsidR="007C5EAF" w:rsidRPr="007C5EAF">
            <w:rPr>
              <w:rFonts w:ascii="Times New Roman" w:hAnsi="Times New Roman" w:cs="Times New Roman"/>
              <w:noProof/>
              <w:color w:val="222222"/>
              <w:sz w:val="24"/>
              <w:szCs w:val="24"/>
              <w:shd w:val="clear" w:color="auto" w:fill="FFFFFF"/>
              <w:lang w:val="en-SG"/>
            </w:rPr>
            <w:t>(Accounting Tools, 2018)</w:t>
          </w:r>
          <w:r w:rsidR="007079DA">
            <w:rPr>
              <w:rFonts w:ascii="Times New Roman" w:hAnsi="Times New Roman" w:cs="Times New Roman"/>
              <w:color w:val="222222"/>
              <w:sz w:val="24"/>
              <w:szCs w:val="24"/>
              <w:shd w:val="clear" w:color="auto" w:fill="FFFFFF"/>
            </w:rPr>
            <w:fldChar w:fldCharType="end"/>
          </w:r>
        </w:sdtContent>
      </w:sdt>
      <w:r w:rsidR="004F5885">
        <w:rPr>
          <w:rFonts w:ascii="Times New Roman" w:hAnsi="Times New Roman" w:cs="Times New Roman"/>
          <w:color w:val="222222"/>
          <w:sz w:val="24"/>
          <w:szCs w:val="24"/>
          <w:shd w:val="clear" w:color="auto" w:fill="FFFFFF"/>
        </w:rPr>
        <w:t xml:space="preserve">. </w:t>
      </w:r>
    </w:p>
    <w:p w14:paraId="0613DB30" w14:textId="77777777" w:rsidR="004F5885" w:rsidRPr="00A007F3" w:rsidRDefault="0093437D" w:rsidP="006E3DED">
      <w:pPr>
        <w:spacing w:line="360" w:lineRule="auto"/>
        <w:jc w:val="both"/>
        <w:rPr>
          <w:rFonts w:ascii="Times New Roman" w:hAnsi="Times New Roman" w:cs="Times New Roman"/>
          <w:color w:val="222222"/>
          <w:sz w:val="24"/>
          <w:szCs w:val="24"/>
          <w:shd w:val="clear" w:color="auto" w:fill="FFFFFF"/>
        </w:rPr>
      </w:pPr>
      <w:r>
        <w:rPr>
          <w:noProof/>
        </w:rPr>
        <w:lastRenderedPageBreak/>
        <w:drawing>
          <wp:inline distT="0" distB="0" distL="0" distR="0" wp14:anchorId="4F9CF4DF" wp14:editId="536AF224">
            <wp:extent cx="6012180" cy="2895600"/>
            <wp:effectExtent l="0" t="0" r="7620" b="0"/>
            <wp:docPr id="26"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42CC7FFA" w14:textId="77777777" w:rsidR="00ED58F3" w:rsidRDefault="00ED58F3" w:rsidP="00ED58F3">
      <w:pPr>
        <w:pStyle w:val="Caption"/>
        <w:jc w:val="center"/>
        <w:rPr>
          <w:rFonts w:ascii="Times New Roman" w:hAnsi="Times New Roman" w:cs="Times New Roman"/>
          <w:color w:val="222222"/>
          <w:sz w:val="24"/>
          <w:szCs w:val="24"/>
          <w:shd w:val="clear" w:color="auto" w:fill="FFFFFF"/>
        </w:rPr>
      </w:pPr>
      <w:bookmarkStart w:id="63" w:name="_Toc53356078"/>
      <w:r>
        <w:t xml:space="preserve">Figure </w:t>
      </w:r>
      <w:fldSimple w:instr=" SEQ Figure \* ARABIC ">
        <w:r w:rsidR="008B60A5">
          <w:rPr>
            <w:noProof/>
          </w:rPr>
          <w:t>19</w:t>
        </w:r>
      </w:fldSimple>
      <w:r>
        <w:t>: Average Dividend Coverage Ratio</w:t>
      </w:r>
      <w:bookmarkEnd w:id="63"/>
    </w:p>
    <w:p w14:paraId="3A5674DC" w14:textId="77777777" w:rsidR="006E3DED" w:rsidRDefault="0093437D" w:rsidP="0093437D">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Dutch Bangla Bank has the highest divid</w:t>
      </w:r>
      <w:r w:rsidR="00A74938">
        <w:rPr>
          <w:rFonts w:ascii="Times New Roman" w:hAnsi="Times New Roman" w:cs="Times New Roman"/>
          <w:color w:val="222222"/>
          <w:sz w:val="24"/>
          <w:szCs w:val="24"/>
          <w:shd w:val="clear" w:color="auto" w:fill="FFFFFF"/>
        </w:rPr>
        <w:t>end coverage ratio, 5.08 times; and AB Bank has the lowest, 0.03</w:t>
      </w:r>
      <w:r w:rsidR="00C674E1">
        <w:rPr>
          <w:rFonts w:ascii="Times New Roman" w:hAnsi="Times New Roman" w:cs="Times New Roman"/>
          <w:color w:val="222222"/>
          <w:sz w:val="24"/>
          <w:szCs w:val="24"/>
          <w:shd w:val="clear" w:color="auto" w:fill="FFFFFF"/>
        </w:rPr>
        <w:t xml:space="preserve"> time</w:t>
      </w:r>
      <w:r w:rsidR="00A74938">
        <w:rPr>
          <w:rFonts w:ascii="Times New Roman" w:hAnsi="Times New Roman" w:cs="Times New Roman"/>
          <w:color w:val="222222"/>
          <w:sz w:val="24"/>
          <w:szCs w:val="24"/>
          <w:shd w:val="clear" w:color="auto" w:fill="FFFFFF"/>
        </w:rPr>
        <w:t xml:space="preserve">. </w:t>
      </w:r>
      <w:r w:rsidR="00EA6FEF">
        <w:rPr>
          <w:rFonts w:ascii="Times New Roman" w:hAnsi="Times New Roman" w:cs="Times New Roman"/>
          <w:color w:val="222222"/>
          <w:sz w:val="24"/>
          <w:szCs w:val="24"/>
          <w:shd w:val="clear" w:color="auto" w:fill="FFFFFF"/>
        </w:rPr>
        <w:t xml:space="preserve">As a result, investor have a high risk of not receiving the dividend payment from AB Bank and for DBBL this risk is low comparatively than other banks. </w:t>
      </w:r>
    </w:p>
    <w:p w14:paraId="21CDEA00" w14:textId="77777777" w:rsidR="00017FDB" w:rsidRDefault="00A007F3" w:rsidP="000966C1">
      <w:pPr>
        <w:pStyle w:val="Heading3"/>
        <w:rPr>
          <w:b/>
          <w:color w:val="365F91" w:themeColor="accent1" w:themeShade="BF"/>
          <w:shd w:val="clear" w:color="auto" w:fill="FFFFFF"/>
        </w:rPr>
      </w:pPr>
      <w:bookmarkStart w:id="64" w:name="_Toc53357718"/>
      <w:r w:rsidRPr="000966C1">
        <w:rPr>
          <w:b/>
          <w:color w:val="365F91" w:themeColor="accent1" w:themeShade="BF"/>
          <w:shd w:val="clear" w:color="auto" w:fill="FFFFFF"/>
        </w:rPr>
        <w:t>OPERATING PROFIT PER SHARE</w:t>
      </w:r>
      <w:bookmarkEnd w:id="64"/>
    </w:p>
    <w:p w14:paraId="7396BFD0" w14:textId="77777777" w:rsidR="000966C1" w:rsidRPr="000966C1" w:rsidRDefault="000966C1" w:rsidP="00FB578F">
      <w:pPr>
        <w:spacing w:line="360" w:lineRule="auto"/>
        <w:jc w:val="both"/>
      </w:pPr>
    </w:p>
    <w:p w14:paraId="79498924" w14:textId="77777777" w:rsidR="00E7188B" w:rsidRDefault="00A863C2" w:rsidP="00FB578F">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Operating profit per share means that per </w:t>
      </w:r>
      <w:r w:rsidR="008F399D">
        <w:rPr>
          <w:rFonts w:ascii="Times New Roman" w:hAnsi="Times New Roman" w:cs="Times New Roman"/>
          <w:color w:val="222222"/>
          <w:sz w:val="24"/>
          <w:szCs w:val="24"/>
          <w:shd w:val="clear" w:color="auto" w:fill="FFFFFF"/>
        </w:rPr>
        <w:t>share how much a company earns as</w:t>
      </w:r>
      <w:r>
        <w:rPr>
          <w:rFonts w:ascii="Times New Roman" w:hAnsi="Times New Roman" w:cs="Times New Roman"/>
          <w:color w:val="222222"/>
          <w:sz w:val="24"/>
          <w:szCs w:val="24"/>
          <w:shd w:val="clear" w:color="auto" w:fill="FFFFFF"/>
        </w:rPr>
        <w:t xml:space="preserve"> operating profit. </w:t>
      </w:r>
      <w:r w:rsidR="00E7188B">
        <w:rPr>
          <w:rFonts w:ascii="Times New Roman" w:hAnsi="Times New Roman" w:cs="Times New Roman"/>
          <w:color w:val="222222"/>
          <w:sz w:val="24"/>
          <w:szCs w:val="24"/>
          <w:shd w:val="clear" w:color="auto" w:fill="FFFFFF"/>
        </w:rPr>
        <w:t>Higher ratio is preferable.</w:t>
      </w:r>
    </w:p>
    <w:p w14:paraId="151F3094" w14:textId="77777777" w:rsidR="001F79F4" w:rsidRDefault="003A50C9" w:rsidP="006E3DED">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48D834D5" wp14:editId="296F9C7B">
            <wp:extent cx="5867400" cy="2682240"/>
            <wp:effectExtent l="0" t="0" r="0" b="381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897530A" w14:textId="77777777" w:rsidR="00ED58F3" w:rsidRDefault="00ED58F3" w:rsidP="00ED58F3">
      <w:pPr>
        <w:pStyle w:val="Caption"/>
        <w:jc w:val="center"/>
        <w:rPr>
          <w:rFonts w:ascii="Times New Roman" w:hAnsi="Times New Roman" w:cs="Times New Roman"/>
          <w:color w:val="222222"/>
          <w:sz w:val="24"/>
          <w:szCs w:val="24"/>
          <w:shd w:val="clear" w:color="auto" w:fill="FFFFFF"/>
        </w:rPr>
      </w:pPr>
      <w:bookmarkStart w:id="65" w:name="_Toc53356079"/>
      <w:r>
        <w:lastRenderedPageBreak/>
        <w:t xml:space="preserve">Figure </w:t>
      </w:r>
      <w:fldSimple w:instr=" SEQ Figure \* ARABIC ">
        <w:r w:rsidR="008B60A5">
          <w:rPr>
            <w:noProof/>
          </w:rPr>
          <w:t>20</w:t>
        </w:r>
      </w:fldSimple>
      <w:r>
        <w:t>: Average Operating Profit per Share</w:t>
      </w:r>
      <w:bookmarkEnd w:id="65"/>
    </w:p>
    <w:p w14:paraId="10598618" w14:textId="217B1631" w:rsidR="00A863C2" w:rsidRPr="00A007F3" w:rsidRDefault="003A50C9" w:rsidP="006E3DED">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Per share, Dutch Bangla Bank earn the highest operating profit</w:t>
      </w:r>
      <w:r w:rsidR="00124196">
        <w:rPr>
          <w:rFonts w:ascii="Times New Roman" w:hAnsi="Times New Roman" w:cs="Times New Roman"/>
          <w:color w:val="222222"/>
          <w:sz w:val="24"/>
          <w:szCs w:val="24"/>
          <w:shd w:val="clear" w:color="auto" w:fill="FFFFFF"/>
        </w:rPr>
        <w:t>, 25.62</w:t>
      </w:r>
      <w:r>
        <w:rPr>
          <w:rFonts w:ascii="Times New Roman" w:hAnsi="Times New Roman" w:cs="Times New Roman"/>
          <w:color w:val="222222"/>
          <w:sz w:val="24"/>
          <w:szCs w:val="24"/>
          <w:shd w:val="clear" w:color="auto" w:fill="FFFFFF"/>
        </w:rPr>
        <w:t xml:space="preserve">. </w:t>
      </w:r>
      <w:r w:rsidR="00124196">
        <w:rPr>
          <w:rFonts w:ascii="Times New Roman" w:hAnsi="Times New Roman" w:cs="Times New Roman"/>
          <w:color w:val="222222"/>
          <w:sz w:val="24"/>
          <w:szCs w:val="24"/>
          <w:shd w:val="clear" w:color="auto" w:fill="FFFFFF"/>
        </w:rPr>
        <w:t xml:space="preserve">Most of the banks’ average profit per share is below 10 </w:t>
      </w:r>
      <w:r w:rsidR="009F71F1">
        <w:rPr>
          <w:rFonts w:ascii="Times New Roman" w:hAnsi="Times New Roman" w:cs="Times New Roman"/>
          <w:color w:val="222222"/>
          <w:sz w:val="24"/>
          <w:szCs w:val="24"/>
          <w:shd w:val="clear" w:color="auto" w:fill="FFFFFF"/>
        </w:rPr>
        <w:t>takas</w:t>
      </w:r>
      <w:r w:rsidR="00124196">
        <w:rPr>
          <w:rFonts w:ascii="Times New Roman" w:hAnsi="Times New Roman" w:cs="Times New Roman"/>
          <w:color w:val="222222"/>
          <w:sz w:val="24"/>
          <w:szCs w:val="24"/>
          <w:shd w:val="clear" w:color="auto" w:fill="FFFFFF"/>
        </w:rPr>
        <w:t>, banks should t</w:t>
      </w:r>
      <w:r w:rsidR="00F61014">
        <w:rPr>
          <w:rFonts w:ascii="Times New Roman" w:hAnsi="Times New Roman" w:cs="Times New Roman"/>
          <w:color w:val="222222"/>
          <w:sz w:val="24"/>
          <w:szCs w:val="24"/>
          <w:shd w:val="clear" w:color="auto" w:fill="FFFFFF"/>
        </w:rPr>
        <w:t xml:space="preserve">ry to improve their performance, especially United Commercial Bank. </w:t>
      </w:r>
    </w:p>
    <w:p w14:paraId="557A09EE" w14:textId="77777777" w:rsidR="00A007F3" w:rsidRDefault="00A007F3" w:rsidP="00E044EA">
      <w:pPr>
        <w:pStyle w:val="Heading3"/>
        <w:rPr>
          <w:b/>
          <w:color w:val="365F91" w:themeColor="accent1" w:themeShade="BF"/>
          <w:shd w:val="clear" w:color="auto" w:fill="FFFFFF"/>
        </w:rPr>
      </w:pPr>
      <w:bookmarkStart w:id="66" w:name="_Toc53357719"/>
      <w:r w:rsidRPr="00E044EA">
        <w:rPr>
          <w:b/>
          <w:color w:val="365F91" w:themeColor="accent1" w:themeShade="BF"/>
          <w:shd w:val="clear" w:color="auto" w:fill="FFFFFF"/>
        </w:rPr>
        <w:t>NET OPERATING CASH FLOW PER SHARE</w:t>
      </w:r>
      <w:bookmarkEnd w:id="66"/>
    </w:p>
    <w:p w14:paraId="45DBC6AD" w14:textId="77777777" w:rsidR="00E044EA" w:rsidRPr="00E044EA" w:rsidRDefault="00E044EA" w:rsidP="00E044EA"/>
    <w:p w14:paraId="1B61C52C" w14:textId="77777777" w:rsidR="00E26372" w:rsidRDefault="007069BF" w:rsidP="006E3DED">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Net operating cash flow can be calculated </w:t>
      </w:r>
      <w:r w:rsidR="002C441C">
        <w:rPr>
          <w:rFonts w:ascii="Times New Roman" w:hAnsi="Times New Roman" w:cs="Times New Roman"/>
          <w:color w:val="222222"/>
          <w:sz w:val="24"/>
          <w:szCs w:val="24"/>
          <w:shd w:val="clear" w:color="auto" w:fill="FFFFFF"/>
        </w:rPr>
        <w:t xml:space="preserve">by dividing the net operating cash flow by the total ordinary shares. </w:t>
      </w:r>
    </w:p>
    <w:p w14:paraId="10D5F929" w14:textId="77777777" w:rsidR="004E1359" w:rsidRPr="00A007F3" w:rsidRDefault="004E1359" w:rsidP="006E3DED">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39D2F100" wp14:editId="6C74706D">
            <wp:extent cx="5943600" cy="209550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BC45B01" w14:textId="77777777" w:rsidR="00ED58F3" w:rsidRDefault="00ED58F3" w:rsidP="00ED58F3">
      <w:pPr>
        <w:pStyle w:val="Caption"/>
        <w:jc w:val="center"/>
        <w:rPr>
          <w:rFonts w:ascii="Times New Roman" w:hAnsi="Times New Roman" w:cs="Times New Roman"/>
          <w:color w:val="222222"/>
          <w:sz w:val="24"/>
          <w:szCs w:val="24"/>
          <w:shd w:val="clear" w:color="auto" w:fill="FFFFFF"/>
        </w:rPr>
      </w:pPr>
      <w:bookmarkStart w:id="67" w:name="_Toc53356080"/>
      <w:r>
        <w:t xml:space="preserve">Figure </w:t>
      </w:r>
      <w:fldSimple w:instr=" SEQ Figure \* ARABIC ">
        <w:r w:rsidR="008B60A5">
          <w:rPr>
            <w:noProof/>
          </w:rPr>
          <w:t>21</w:t>
        </w:r>
      </w:fldSimple>
      <w:r>
        <w:t>: Average Net Operating Cash Flow per Share</w:t>
      </w:r>
      <w:bookmarkEnd w:id="67"/>
    </w:p>
    <w:p w14:paraId="36E42FA6" w14:textId="35CF9AE8" w:rsidR="004E1359" w:rsidRDefault="004E1359" w:rsidP="006E3DED">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Dutch Bangla Bank has the highest average net operating cash flow per share, 64.17 taka. </w:t>
      </w:r>
      <w:r w:rsidR="00A419E2">
        <w:rPr>
          <w:rFonts w:ascii="Times New Roman" w:hAnsi="Times New Roman" w:cs="Times New Roman"/>
          <w:color w:val="222222"/>
          <w:sz w:val="24"/>
          <w:szCs w:val="24"/>
          <w:shd w:val="clear" w:color="auto" w:fill="FFFFFF"/>
        </w:rPr>
        <w:t xml:space="preserve">Other banks situation is </w:t>
      </w:r>
      <w:r w:rsidR="009F71F1">
        <w:rPr>
          <w:rFonts w:ascii="Times New Roman" w:hAnsi="Times New Roman" w:cs="Times New Roman"/>
          <w:color w:val="222222"/>
          <w:sz w:val="24"/>
          <w:szCs w:val="24"/>
          <w:shd w:val="clear" w:color="auto" w:fill="FFFFFF"/>
        </w:rPr>
        <w:t>extremely poor</w:t>
      </w:r>
      <w:r w:rsidR="00A419E2">
        <w:rPr>
          <w:rFonts w:ascii="Times New Roman" w:hAnsi="Times New Roman" w:cs="Times New Roman"/>
          <w:color w:val="222222"/>
          <w:sz w:val="24"/>
          <w:szCs w:val="24"/>
          <w:shd w:val="clear" w:color="auto" w:fill="FFFFFF"/>
        </w:rPr>
        <w:t xml:space="preserve">.  Most of banks have </w:t>
      </w:r>
      <w:r w:rsidR="009F71F1">
        <w:rPr>
          <w:rFonts w:ascii="Times New Roman" w:hAnsi="Times New Roman" w:cs="Times New Roman"/>
          <w:color w:val="222222"/>
          <w:sz w:val="24"/>
          <w:szCs w:val="24"/>
          <w:shd w:val="clear" w:color="auto" w:fill="FFFFFF"/>
        </w:rPr>
        <w:t>exceptionally low</w:t>
      </w:r>
      <w:r w:rsidR="00A419E2">
        <w:rPr>
          <w:rFonts w:ascii="Times New Roman" w:hAnsi="Times New Roman" w:cs="Times New Roman"/>
          <w:color w:val="222222"/>
          <w:sz w:val="24"/>
          <w:szCs w:val="24"/>
          <w:shd w:val="clear" w:color="auto" w:fill="FFFFFF"/>
        </w:rPr>
        <w:t xml:space="preserve"> ratio. </w:t>
      </w:r>
      <w:r w:rsidR="0023412C">
        <w:rPr>
          <w:rFonts w:ascii="Times New Roman" w:hAnsi="Times New Roman" w:cs="Times New Roman"/>
          <w:color w:val="222222"/>
          <w:sz w:val="24"/>
          <w:szCs w:val="24"/>
          <w:shd w:val="clear" w:color="auto" w:fill="FFFFFF"/>
        </w:rPr>
        <w:t xml:space="preserve">Prime Bank </w:t>
      </w:r>
      <w:r w:rsidR="009C4086">
        <w:rPr>
          <w:rFonts w:ascii="Times New Roman" w:hAnsi="Times New Roman" w:cs="Times New Roman"/>
          <w:color w:val="222222"/>
          <w:sz w:val="24"/>
          <w:szCs w:val="24"/>
          <w:shd w:val="clear" w:color="auto" w:fill="FFFFFF"/>
        </w:rPr>
        <w:t>and Unit</w:t>
      </w:r>
      <w:r w:rsidR="0023412C">
        <w:rPr>
          <w:rFonts w:ascii="Times New Roman" w:hAnsi="Times New Roman" w:cs="Times New Roman"/>
          <w:color w:val="222222"/>
          <w:sz w:val="24"/>
          <w:szCs w:val="24"/>
          <w:shd w:val="clear" w:color="auto" w:fill="FFFFFF"/>
        </w:rPr>
        <w:t xml:space="preserve">ed Commercial Bank has negative figure. </w:t>
      </w:r>
      <w:r w:rsidR="009F71F1">
        <w:rPr>
          <w:rFonts w:ascii="Times New Roman" w:hAnsi="Times New Roman" w:cs="Times New Roman"/>
          <w:color w:val="222222"/>
          <w:sz w:val="24"/>
          <w:szCs w:val="24"/>
          <w:shd w:val="clear" w:color="auto" w:fill="FFFFFF"/>
        </w:rPr>
        <w:t>So,</w:t>
      </w:r>
      <w:r w:rsidR="0023412C">
        <w:rPr>
          <w:rFonts w:ascii="Times New Roman" w:hAnsi="Times New Roman" w:cs="Times New Roman"/>
          <w:color w:val="222222"/>
          <w:sz w:val="24"/>
          <w:szCs w:val="24"/>
          <w:shd w:val="clear" w:color="auto" w:fill="FFFFFF"/>
        </w:rPr>
        <w:t xml:space="preserve"> they should try hard to improve the ratio. </w:t>
      </w:r>
    </w:p>
    <w:p w14:paraId="6B04B790" w14:textId="77777777" w:rsidR="00A007F3" w:rsidRDefault="00A007F3" w:rsidP="00537263">
      <w:pPr>
        <w:pStyle w:val="Heading3"/>
        <w:rPr>
          <w:b/>
          <w:color w:val="365F91" w:themeColor="accent1" w:themeShade="BF"/>
          <w:shd w:val="clear" w:color="auto" w:fill="FFFFFF"/>
        </w:rPr>
      </w:pPr>
      <w:bookmarkStart w:id="68" w:name="_Toc53357720"/>
      <w:r w:rsidRPr="00537263">
        <w:rPr>
          <w:b/>
          <w:color w:val="365F91" w:themeColor="accent1" w:themeShade="BF"/>
          <w:shd w:val="clear" w:color="auto" w:fill="FFFFFF"/>
        </w:rPr>
        <w:t>DIVIDEND YIELD RATIO</w:t>
      </w:r>
      <w:bookmarkEnd w:id="68"/>
      <w:r w:rsidRPr="00537263">
        <w:rPr>
          <w:b/>
          <w:color w:val="365F91" w:themeColor="accent1" w:themeShade="BF"/>
          <w:shd w:val="clear" w:color="auto" w:fill="FFFFFF"/>
        </w:rPr>
        <w:t xml:space="preserve"> </w:t>
      </w:r>
    </w:p>
    <w:p w14:paraId="2F02FB5C" w14:textId="77777777" w:rsidR="00537263" w:rsidRPr="00537263" w:rsidRDefault="00537263" w:rsidP="00537263"/>
    <w:p w14:paraId="2071CF91" w14:textId="77777777" w:rsidR="002A7427" w:rsidRDefault="002A7427" w:rsidP="00FB578F">
      <w:pPr>
        <w:spacing w:line="360" w:lineRule="auto"/>
        <w:jc w:val="both"/>
        <w:rPr>
          <w:rFonts w:ascii="Times New Roman" w:hAnsi="Times New Roman" w:cs="Times New Roman"/>
          <w:sz w:val="24"/>
          <w:lang w:val="en-SG"/>
        </w:rPr>
      </w:pPr>
      <w:r>
        <w:rPr>
          <w:rFonts w:ascii="Times New Roman" w:hAnsi="Times New Roman" w:cs="Times New Roman"/>
          <w:sz w:val="24"/>
          <w:lang w:val="en-SG"/>
        </w:rPr>
        <w:t>The dividend yield is a financial ratio. It measures the amount of cash dividends given to the common shareholders relative to the market value per share.</w:t>
      </w:r>
    </w:p>
    <w:p w14:paraId="4934AAAB" w14:textId="77777777" w:rsidR="00AC0F35" w:rsidRPr="002A7427" w:rsidRDefault="00AC0F35" w:rsidP="002A7427">
      <w:pPr>
        <w:jc w:val="both"/>
        <w:rPr>
          <w:rFonts w:ascii="Times New Roman" w:hAnsi="Times New Roman" w:cs="Times New Roman"/>
          <w:sz w:val="24"/>
          <w:lang w:val="en-SG"/>
        </w:rPr>
      </w:pPr>
      <w:r>
        <w:rPr>
          <w:noProof/>
        </w:rPr>
        <w:lastRenderedPageBreak/>
        <w:drawing>
          <wp:inline distT="0" distB="0" distL="0" distR="0" wp14:anchorId="4A0A0739" wp14:editId="7DC3F8D5">
            <wp:extent cx="5943600" cy="2202180"/>
            <wp:effectExtent l="0" t="0" r="0" b="7620"/>
            <wp:docPr id="25"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484366B" w14:textId="77777777" w:rsidR="008B60A5" w:rsidRDefault="008B60A5" w:rsidP="008B60A5">
      <w:pPr>
        <w:pStyle w:val="Caption"/>
        <w:jc w:val="center"/>
        <w:rPr>
          <w:rFonts w:ascii="Times New Roman" w:hAnsi="Times New Roman" w:cs="Times New Roman"/>
          <w:color w:val="222222"/>
          <w:sz w:val="24"/>
          <w:szCs w:val="24"/>
          <w:shd w:val="clear" w:color="auto" w:fill="FFFFFF"/>
        </w:rPr>
      </w:pPr>
      <w:bookmarkStart w:id="69" w:name="_Toc53356081"/>
      <w:r>
        <w:t xml:space="preserve">Figure </w:t>
      </w:r>
      <w:fldSimple w:instr=" SEQ Figure \* ARABIC ">
        <w:r>
          <w:rPr>
            <w:noProof/>
          </w:rPr>
          <w:t>22</w:t>
        </w:r>
      </w:fldSimple>
      <w:r>
        <w:t>: Average Dividend Yield</w:t>
      </w:r>
      <w:bookmarkEnd w:id="69"/>
    </w:p>
    <w:p w14:paraId="5F28679C" w14:textId="7724EB33" w:rsidR="00AC0F35" w:rsidRDefault="00AC0F35" w:rsidP="009D6861">
      <w:pPr>
        <w:spacing w:line="360" w:lineRule="auto"/>
        <w:jc w:val="both"/>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AB bank has the highest </w:t>
      </w:r>
      <w:r w:rsidR="009D6861">
        <w:rPr>
          <w:rFonts w:ascii="Times New Roman" w:hAnsi="Times New Roman" w:cs="Times New Roman"/>
          <w:color w:val="222222"/>
          <w:sz w:val="24"/>
          <w:szCs w:val="24"/>
          <w:shd w:val="clear" w:color="auto" w:fill="FFFFFF"/>
        </w:rPr>
        <w:t>average</w:t>
      </w:r>
      <w:r>
        <w:rPr>
          <w:rFonts w:ascii="Times New Roman" w:hAnsi="Times New Roman" w:cs="Times New Roman"/>
          <w:color w:val="222222"/>
          <w:sz w:val="24"/>
          <w:szCs w:val="24"/>
          <w:shd w:val="clear" w:color="auto" w:fill="FFFFFF"/>
        </w:rPr>
        <w:t xml:space="preserve"> dividend yield, 23%; where Mutual trust bank has 0%. </w:t>
      </w:r>
      <w:r w:rsidR="009D6861">
        <w:rPr>
          <w:rFonts w:ascii="Times New Roman" w:hAnsi="Times New Roman" w:cs="Times New Roman"/>
          <w:color w:val="222222"/>
          <w:sz w:val="24"/>
          <w:szCs w:val="24"/>
          <w:shd w:val="clear" w:color="auto" w:fill="FFFFFF"/>
        </w:rPr>
        <w:t xml:space="preserve">For </w:t>
      </w:r>
      <w:r w:rsidR="009F71F1">
        <w:rPr>
          <w:rFonts w:ascii="Times New Roman" w:hAnsi="Times New Roman" w:cs="Times New Roman"/>
          <w:color w:val="222222"/>
          <w:sz w:val="24"/>
          <w:szCs w:val="24"/>
          <w:shd w:val="clear" w:color="auto" w:fill="FFFFFF"/>
        </w:rPr>
        <w:t>lacking</w:t>
      </w:r>
      <w:r w:rsidR="009D6861">
        <w:rPr>
          <w:rFonts w:ascii="Times New Roman" w:hAnsi="Times New Roman" w:cs="Times New Roman"/>
          <w:color w:val="222222"/>
          <w:sz w:val="24"/>
          <w:szCs w:val="24"/>
          <w:shd w:val="clear" w:color="auto" w:fill="FFFFFF"/>
        </w:rPr>
        <w:t xml:space="preserve"> information average dividend yield for </w:t>
      </w:r>
      <w:r w:rsidR="009D6861" w:rsidRPr="009D6861">
        <w:rPr>
          <w:rFonts w:ascii="Times New Roman" w:hAnsi="Times New Roman" w:cs="Times New Roman"/>
          <w:color w:val="222222"/>
          <w:sz w:val="24"/>
          <w:szCs w:val="24"/>
          <w:shd w:val="clear" w:color="auto" w:fill="FFFFFF"/>
        </w:rPr>
        <w:t>Mercantile Bank</w:t>
      </w:r>
      <w:r w:rsidR="009D6861">
        <w:rPr>
          <w:rFonts w:ascii="Times New Roman" w:hAnsi="Times New Roman" w:cs="Times New Roman"/>
          <w:color w:val="222222"/>
          <w:sz w:val="24"/>
          <w:szCs w:val="24"/>
          <w:shd w:val="clear" w:color="auto" w:fill="FFFFFF"/>
        </w:rPr>
        <w:t xml:space="preserve"> could not be calculated. </w:t>
      </w:r>
    </w:p>
    <w:p w14:paraId="2C1BA31D" w14:textId="77777777" w:rsidR="00A007F3" w:rsidRDefault="00A007F3" w:rsidP="002B78AA">
      <w:pPr>
        <w:pStyle w:val="Heading3"/>
        <w:rPr>
          <w:b/>
          <w:color w:val="365F91" w:themeColor="accent1" w:themeShade="BF"/>
          <w:shd w:val="clear" w:color="auto" w:fill="FFFFFF"/>
        </w:rPr>
      </w:pPr>
      <w:bookmarkStart w:id="70" w:name="_Toc53357721"/>
      <w:r w:rsidRPr="002B78AA">
        <w:rPr>
          <w:b/>
          <w:color w:val="365F91" w:themeColor="accent1" w:themeShade="BF"/>
          <w:shd w:val="clear" w:color="auto" w:fill="FFFFFF"/>
        </w:rPr>
        <w:t>DIVIDEND PAYOUT RATIO</w:t>
      </w:r>
      <w:bookmarkEnd w:id="70"/>
    </w:p>
    <w:p w14:paraId="3B4D6867" w14:textId="77777777" w:rsidR="002B78AA" w:rsidRPr="002B78AA" w:rsidRDefault="002B78AA" w:rsidP="002B78AA"/>
    <w:p w14:paraId="23AAFB3B" w14:textId="77777777" w:rsidR="002A7427" w:rsidRDefault="002A7427" w:rsidP="002A7427">
      <w:pPr>
        <w:spacing w:line="360" w:lineRule="auto"/>
        <w:jc w:val="both"/>
        <w:rPr>
          <w:rFonts w:ascii="Times New Roman" w:hAnsi="Times New Roman" w:cs="Times New Roman"/>
          <w:color w:val="222222"/>
          <w:sz w:val="24"/>
          <w:szCs w:val="24"/>
          <w:shd w:val="clear" w:color="auto" w:fill="FFFFFF"/>
        </w:rPr>
      </w:pPr>
      <w:r w:rsidRPr="002A7427">
        <w:rPr>
          <w:rFonts w:ascii="Times New Roman" w:hAnsi="Times New Roman" w:cs="Times New Roman"/>
          <w:color w:val="222222"/>
          <w:sz w:val="24"/>
          <w:szCs w:val="24"/>
          <w:shd w:val="clear" w:color="auto" w:fill="FFFFFF"/>
        </w:rPr>
        <w:t>The dividend payout ratio is the ratio of the total amount of dividends paid out to shareholders relative to the net income of the company. It is the percentage of earnings paid to shareholders in dividends. The amount that is not paid to shareholders is retained by the company to pay off debt or to reinvest in core operations.</w:t>
      </w:r>
    </w:p>
    <w:p w14:paraId="7174C8AB" w14:textId="77777777" w:rsidR="00A73C95" w:rsidRPr="00A007F3" w:rsidRDefault="00A73C95" w:rsidP="002A7427">
      <w:pPr>
        <w:spacing w:line="360" w:lineRule="auto"/>
        <w:jc w:val="both"/>
        <w:rPr>
          <w:rFonts w:ascii="Times New Roman" w:hAnsi="Times New Roman" w:cs="Times New Roman"/>
          <w:color w:val="222222"/>
          <w:sz w:val="24"/>
          <w:szCs w:val="24"/>
          <w:shd w:val="clear" w:color="auto" w:fill="FFFFFF"/>
        </w:rPr>
      </w:pPr>
      <w:r>
        <w:rPr>
          <w:noProof/>
        </w:rPr>
        <w:drawing>
          <wp:inline distT="0" distB="0" distL="0" distR="0" wp14:anchorId="622E0F7E" wp14:editId="1C154864">
            <wp:extent cx="5943600" cy="252222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84337D7" w14:textId="77777777" w:rsidR="008B60A5" w:rsidRDefault="008B60A5" w:rsidP="008B60A5">
      <w:pPr>
        <w:pStyle w:val="Caption"/>
        <w:jc w:val="center"/>
        <w:rPr>
          <w:rFonts w:ascii="Times New Roman" w:hAnsi="Times New Roman" w:cs="Times New Roman"/>
          <w:color w:val="222222"/>
          <w:sz w:val="24"/>
          <w:szCs w:val="24"/>
          <w:shd w:val="clear" w:color="auto" w:fill="FFFFFF"/>
        </w:rPr>
      </w:pPr>
      <w:bookmarkStart w:id="71" w:name="_Toc53356082"/>
      <w:r>
        <w:t xml:space="preserve">Figure </w:t>
      </w:r>
      <w:fldSimple w:instr=" SEQ Figure \* ARABIC ">
        <w:r>
          <w:rPr>
            <w:noProof/>
          </w:rPr>
          <w:t>23</w:t>
        </w:r>
      </w:fldSimple>
      <w:r>
        <w:t>: Average Payout Ratio</w:t>
      </w:r>
      <w:bookmarkEnd w:id="71"/>
    </w:p>
    <w:p w14:paraId="35C2065A" w14:textId="434F66B3" w:rsidR="00A73C95" w:rsidRPr="00FB578F" w:rsidRDefault="00A73C95" w:rsidP="00FB578F">
      <w:pPr>
        <w:spacing w:line="360" w:lineRule="auto"/>
        <w:jc w:val="both"/>
        <w:rPr>
          <w:rFonts w:ascii="Times New Roman" w:eastAsia="Times New Roman" w:hAnsi="Times New Roman" w:cs="Times New Roman"/>
          <w:color w:val="000000"/>
          <w:sz w:val="24"/>
          <w:szCs w:val="24"/>
        </w:rPr>
      </w:pPr>
      <w:r w:rsidRPr="00FB578F">
        <w:rPr>
          <w:rFonts w:ascii="Times New Roman" w:hAnsi="Times New Roman" w:cs="Times New Roman"/>
          <w:color w:val="222222"/>
          <w:sz w:val="24"/>
          <w:szCs w:val="24"/>
          <w:shd w:val="clear" w:color="auto" w:fill="FFFFFF"/>
        </w:rPr>
        <w:lastRenderedPageBreak/>
        <w:t xml:space="preserve">In the last five years, AB Bank paid </w:t>
      </w:r>
      <w:r w:rsidRPr="00FB578F">
        <w:rPr>
          <w:rFonts w:ascii="Times New Roman" w:eastAsia="Times New Roman" w:hAnsi="Times New Roman" w:cs="Times New Roman"/>
          <w:color w:val="000000"/>
          <w:sz w:val="24"/>
          <w:szCs w:val="24"/>
        </w:rPr>
        <w:t>294% of total income on average</w:t>
      </w:r>
      <w:r w:rsidR="00A55006" w:rsidRPr="00FB578F">
        <w:rPr>
          <w:rFonts w:ascii="Times New Roman" w:eastAsia="Times New Roman" w:hAnsi="Times New Roman" w:cs="Times New Roman"/>
          <w:color w:val="000000"/>
          <w:sz w:val="24"/>
          <w:szCs w:val="24"/>
        </w:rPr>
        <w:t xml:space="preserve"> as dividend</w:t>
      </w:r>
      <w:r w:rsidRPr="00FB578F">
        <w:rPr>
          <w:rFonts w:ascii="Times New Roman" w:eastAsia="Times New Roman" w:hAnsi="Times New Roman" w:cs="Times New Roman"/>
          <w:color w:val="000000"/>
          <w:sz w:val="24"/>
          <w:szCs w:val="24"/>
        </w:rPr>
        <w:t>.</w:t>
      </w:r>
      <w:r w:rsidR="00827ADC" w:rsidRPr="00FB578F">
        <w:rPr>
          <w:rFonts w:ascii="Times New Roman" w:eastAsia="Times New Roman" w:hAnsi="Times New Roman" w:cs="Times New Roman"/>
          <w:color w:val="000000"/>
          <w:sz w:val="24"/>
          <w:szCs w:val="24"/>
        </w:rPr>
        <w:t xml:space="preserve"> </w:t>
      </w:r>
      <w:r w:rsidR="00A55006" w:rsidRPr="00FB578F">
        <w:rPr>
          <w:rFonts w:ascii="Times New Roman" w:eastAsia="Times New Roman" w:hAnsi="Times New Roman" w:cs="Times New Roman"/>
          <w:color w:val="000000"/>
          <w:sz w:val="24"/>
          <w:szCs w:val="24"/>
        </w:rPr>
        <w:t xml:space="preserve">This is a very percentage compare to the other banks. On the other </w:t>
      </w:r>
      <w:r w:rsidR="009F71F1" w:rsidRPr="00FB578F">
        <w:rPr>
          <w:rFonts w:ascii="Times New Roman" w:eastAsia="Times New Roman" w:hAnsi="Times New Roman" w:cs="Times New Roman"/>
          <w:color w:val="000000"/>
          <w:sz w:val="24"/>
          <w:szCs w:val="24"/>
        </w:rPr>
        <w:t>hand,</w:t>
      </w:r>
      <w:r w:rsidR="00A55006" w:rsidRPr="00FB578F">
        <w:rPr>
          <w:rFonts w:ascii="Times New Roman" w:eastAsia="Times New Roman" w:hAnsi="Times New Roman" w:cs="Times New Roman"/>
          <w:color w:val="000000"/>
          <w:sz w:val="24"/>
          <w:szCs w:val="24"/>
        </w:rPr>
        <w:t xml:space="preserve"> Pubali Bank just paid 1% of total income as dividend, which is </w:t>
      </w:r>
      <w:r w:rsidR="00745A09" w:rsidRPr="00FB578F">
        <w:rPr>
          <w:rFonts w:ascii="Times New Roman" w:eastAsia="Times New Roman" w:hAnsi="Times New Roman" w:cs="Times New Roman"/>
          <w:color w:val="000000"/>
          <w:sz w:val="24"/>
          <w:szCs w:val="24"/>
        </w:rPr>
        <w:t xml:space="preserve">again </w:t>
      </w:r>
      <w:r w:rsidR="00B86648" w:rsidRPr="00FB578F">
        <w:rPr>
          <w:rFonts w:ascii="Times New Roman" w:eastAsia="Times New Roman" w:hAnsi="Times New Roman" w:cs="Times New Roman"/>
          <w:color w:val="000000"/>
          <w:sz w:val="24"/>
          <w:szCs w:val="24"/>
        </w:rPr>
        <w:t>an exceptionally low</w:t>
      </w:r>
      <w:r w:rsidR="00745A09" w:rsidRPr="00FB578F">
        <w:rPr>
          <w:rFonts w:ascii="Times New Roman" w:eastAsia="Times New Roman" w:hAnsi="Times New Roman" w:cs="Times New Roman"/>
          <w:color w:val="000000"/>
          <w:sz w:val="24"/>
          <w:szCs w:val="24"/>
        </w:rPr>
        <w:t xml:space="preserve"> percentage.</w:t>
      </w:r>
    </w:p>
    <w:tbl>
      <w:tblPr>
        <w:tblW w:w="10460" w:type="dxa"/>
        <w:jc w:val="center"/>
        <w:tblLook w:val="04A0" w:firstRow="1" w:lastRow="0" w:firstColumn="1" w:lastColumn="0" w:noHBand="0" w:noVBand="1"/>
      </w:tblPr>
      <w:tblGrid>
        <w:gridCol w:w="2120"/>
        <w:gridCol w:w="1220"/>
        <w:gridCol w:w="222"/>
        <w:gridCol w:w="2140"/>
        <w:gridCol w:w="1160"/>
        <w:gridCol w:w="222"/>
        <w:gridCol w:w="2080"/>
        <w:gridCol w:w="1300"/>
      </w:tblGrid>
      <w:tr w:rsidR="00797951" w:rsidRPr="008667A0" w14:paraId="4F87A0F0" w14:textId="77777777" w:rsidTr="00797951">
        <w:trPr>
          <w:trHeight w:val="1728"/>
          <w:jc w:val="center"/>
        </w:trPr>
        <w:tc>
          <w:tcPr>
            <w:tcW w:w="2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A7CF7" w14:textId="77777777" w:rsidR="00797951" w:rsidRPr="008667A0" w:rsidRDefault="00797951" w:rsidP="00797951">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Name</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4918FA81" w14:textId="77777777" w:rsidR="00797951" w:rsidRPr="008667A0" w:rsidRDefault="00797951" w:rsidP="00797951">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Average Market Price per Share</w:t>
            </w:r>
          </w:p>
        </w:tc>
        <w:tc>
          <w:tcPr>
            <w:tcW w:w="220" w:type="dxa"/>
            <w:tcBorders>
              <w:top w:val="nil"/>
              <w:left w:val="nil"/>
              <w:bottom w:val="nil"/>
              <w:right w:val="nil"/>
            </w:tcBorders>
            <w:shd w:val="clear" w:color="auto" w:fill="auto"/>
            <w:vAlign w:val="center"/>
            <w:hideMark/>
          </w:tcPr>
          <w:p w14:paraId="5E4EFA8F" w14:textId="77777777" w:rsidR="00797951" w:rsidRPr="008667A0" w:rsidRDefault="00797951" w:rsidP="00797951">
            <w:pPr>
              <w:spacing w:after="0" w:line="240" w:lineRule="auto"/>
              <w:jc w:val="center"/>
              <w:rPr>
                <w:rFonts w:ascii="Times New Roman" w:eastAsia="Times New Roman" w:hAnsi="Times New Roman" w:cs="Times New Roman"/>
                <w:color w:val="000000"/>
                <w:sz w:val="20"/>
                <w:szCs w:val="20"/>
              </w:rPr>
            </w:pP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EF15AC" w14:textId="77777777" w:rsidR="00797951" w:rsidRPr="008667A0" w:rsidRDefault="00797951" w:rsidP="00797951">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Name</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6D1F132A" w14:textId="77777777" w:rsidR="00797951" w:rsidRPr="008667A0" w:rsidRDefault="00797951" w:rsidP="00797951">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Average Earnings per Share</w:t>
            </w:r>
          </w:p>
        </w:tc>
        <w:tc>
          <w:tcPr>
            <w:tcW w:w="220" w:type="dxa"/>
            <w:tcBorders>
              <w:top w:val="nil"/>
              <w:left w:val="nil"/>
              <w:bottom w:val="nil"/>
              <w:right w:val="nil"/>
            </w:tcBorders>
            <w:shd w:val="clear" w:color="auto" w:fill="auto"/>
            <w:vAlign w:val="center"/>
            <w:hideMark/>
          </w:tcPr>
          <w:p w14:paraId="5C2F2E7D" w14:textId="77777777" w:rsidR="00797951" w:rsidRPr="008667A0" w:rsidRDefault="00797951" w:rsidP="00797951">
            <w:pPr>
              <w:spacing w:after="0" w:line="240" w:lineRule="auto"/>
              <w:jc w:val="center"/>
              <w:rPr>
                <w:rFonts w:ascii="Times New Roman" w:eastAsia="Times New Roman" w:hAnsi="Times New Roman" w:cs="Times New Roman"/>
                <w:color w:val="000000"/>
                <w:sz w:val="20"/>
                <w:szCs w:val="20"/>
              </w:rPr>
            </w:pPr>
          </w:p>
        </w:tc>
        <w:tc>
          <w:tcPr>
            <w:tcW w:w="2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17518C" w14:textId="77777777" w:rsidR="00797951" w:rsidRPr="008667A0" w:rsidRDefault="00797951" w:rsidP="00797951">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Name</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14:paraId="2EA01D0F" w14:textId="77777777" w:rsidR="00797951" w:rsidRPr="008667A0" w:rsidRDefault="00797951" w:rsidP="00797951">
            <w:pPr>
              <w:spacing w:after="0" w:line="240" w:lineRule="auto"/>
              <w:jc w:val="center"/>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Average Price Earnings Ratio (Times) </w:t>
            </w:r>
          </w:p>
        </w:tc>
      </w:tr>
      <w:tr w:rsidR="00797951" w:rsidRPr="008667A0" w14:paraId="30EE2254"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213604E2"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1220" w:type="dxa"/>
            <w:tcBorders>
              <w:top w:val="nil"/>
              <w:left w:val="nil"/>
              <w:bottom w:val="single" w:sz="4" w:space="0" w:color="auto"/>
              <w:right w:val="single" w:sz="4" w:space="0" w:color="auto"/>
            </w:tcBorders>
            <w:shd w:val="clear" w:color="auto" w:fill="auto"/>
            <w:noWrap/>
            <w:vAlign w:val="bottom"/>
            <w:hideMark/>
          </w:tcPr>
          <w:p w14:paraId="306628F2"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17.04</w:t>
            </w:r>
          </w:p>
        </w:tc>
        <w:tc>
          <w:tcPr>
            <w:tcW w:w="220" w:type="dxa"/>
            <w:tcBorders>
              <w:top w:val="nil"/>
              <w:left w:val="nil"/>
              <w:bottom w:val="nil"/>
              <w:right w:val="nil"/>
            </w:tcBorders>
            <w:shd w:val="clear" w:color="auto" w:fill="auto"/>
            <w:noWrap/>
            <w:vAlign w:val="bottom"/>
            <w:hideMark/>
          </w:tcPr>
          <w:p w14:paraId="5A3D9365"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74C6E79"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1160" w:type="dxa"/>
            <w:tcBorders>
              <w:top w:val="nil"/>
              <w:left w:val="nil"/>
              <w:bottom w:val="single" w:sz="4" w:space="0" w:color="auto"/>
              <w:right w:val="single" w:sz="4" w:space="0" w:color="auto"/>
            </w:tcBorders>
            <w:shd w:val="clear" w:color="auto" w:fill="auto"/>
            <w:noWrap/>
            <w:vAlign w:val="bottom"/>
            <w:hideMark/>
          </w:tcPr>
          <w:p w14:paraId="1A36D733"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0.736</w:t>
            </w:r>
          </w:p>
        </w:tc>
        <w:tc>
          <w:tcPr>
            <w:tcW w:w="220" w:type="dxa"/>
            <w:tcBorders>
              <w:top w:val="nil"/>
              <w:left w:val="nil"/>
              <w:bottom w:val="nil"/>
              <w:right w:val="nil"/>
            </w:tcBorders>
            <w:shd w:val="clear" w:color="auto" w:fill="auto"/>
            <w:noWrap/>
            <w:vAlign w:val="bottom"/>
            <w:hideMark/>
          </w:tcPr>
          <w:p w14:paraId="44EA7EB1"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30B2ADC"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AB Bank</w:t>
            </w:r>
          </w:p>
        </w:tc>
        <w:tc>
          <w:tcPr>
            <w:tcW w:w="1300" w:type="dxa"/>
            <w:tcBorders>
              <w:top w:val="nil"/>
              <w:left w:val="nil"/>
              <w:bottom w:val="single" w:sz="4" w:space="0" w:color="auto"/>
              <w:right w:val="single" w:sz="4" w:space="0" w:color="auto"/>
            </w:tcBorders>
            <w:shd w:val="clear" w:color="auto" w:fill="auto"/>
            <w:noWrap/>
            <w:vAlign w:val="bottom"/>
            <w:hideMark/>
          </w:tcPr>
          <w:p w14:paraId="0E781C9B"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224.73 </w:t>
            </w:r>
          </w:p>
        </w:tc>
      </w:tr>
      <w:tr w:rsidR="00797951" w:rsidRPr="008667A0" w14:paraId="23952963"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3AA7B6F3"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1220" w:type="dxa"/>
            <w:tcBorders>
              <w:top w:val="nil"/>
              <w:left w:val="nil"/>
              <w:bottom w:val="single" w:sz="4" w:space="0" w:color="auto"/>
              <w:right w:val="single" w:sz="4" w:space="0" w:color="auto"/>
            </w:tcBorders>
            <w:shd w:val="clear" w:color="auto" w:fill="auto"/>
            <w:noWrap/>
            <w:vAlign w:val="bottom"/>
            <w:hideMark/>
          </w:tcPr>
          <w:p w14:paraId="4F22583A"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18.68</w:t>
            </w:r>
          </w:p>
        </w:tc>
        <w:tc>
          <w:tcPr>
            <w:tcW w:w="220" w:type="dxa"/>
            <w:tcBorders>
              <w:top w:val="nil"/>
              <w:left w:val="nil"/>
              <w:bottom w:val="nil"/>
              <w:right w:val="nil"/>
            </w:tcBorders>
            <w:shd w:val="clear" w:color="auto" w:fill="auto"/>
            <w:noWrap/>
            <w:vAlign w:val="bottom"/>
            <w:hideMark/>
          </w:tcPr>
          <w:p w14:paraId="739F7BA3"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85722DC"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1160" w:type="dxa"/>
            <w:tcBorders>
              <w:top w:val="nil"/>
              <w:left w:val="nil"/>
              <w:bottom w:val="single" w:sz="4" w:space="0" w:color="auto"/>
              <w:right w:val="single" w:sz="4" w:space="0" w:color="auto"/>
            </w:tcBorders>
            <w:shd w:val="clear" w:color="auto" w:fill="auto"/>
            <w:noWrap/>
            <w:vAlign w:val="bottom"/>
            <w:hideMark/>
          </w:tcPr>
          <w:p w14:paraId="51E13B7F"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1.99</w:t>
            </w:r>
          </w:p>
        </w:tc>
        <w:tc>
          <w:tcPr>
            <w:tcW w:w="220" w:type="dxa"/>
            <w:tcBorders>
              <w:top w:val="nil"/>
              <w:left w:val="nil"/>
              <w:bottom w:val="nil"/>
              <w:right w:val="nil"/>
            </w:tcBorders>
            <w:shd w:val="clear" w:color="auto" w:fill="auto"/>
            <w:noWrap/>
            <w:vAlign w:val="bottom"/>
            <w:hideMark/>
          </w:tcPr>
          <w:p w14:paraId="48B44E5A"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82EBD05"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Bank Asia</w:t>
            </w:r>
          </w:p>
        </w:tc>
        <w:tc>
          <w:tcPr>
            <w:tcW w:w="1300" w:type="dxa"/>
            <w:tcBorders>
              <w:top w:val="nil"/>
              <w:left w:val="nil"/>
              <w:bottom w:val="single" w:sz="4" w:space="0" w:color="auto"/>
              <w:right w:val="single" w:sz="4" w:space="0" w:color="auto"/>
            </w:tcBorders>
            <w:shd w:val="clear" w:color="auto" w:fill="auto"/>
            <w:noWrap/>
            <w:vAlign w:val="bottom"/>
            <w:hideMark/>
          </w:tcPr>
          <w:p w14:paraId="441638FD"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9.54 </w:t>
            </w:r>
          </w:p>
        </w:tc>
      </w:tr>
      <w:tr w:rsidR="00797951" w:rsidRPr="008667A0" w14:paraId="55EA3FF3"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2C618EE3"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1220" w:type="dxa"/>
            <w:tcBorders>
              <w:top w:val="nil"/>
              <w:left w:val="nil"/>
              <w:bottom w:val="single" w:sz="4" w:space="0" w:color="auto"/>
              <w:right w:val="single" w:sz="4" w:space="0" w:color="auto"/>
            </w:tcBorders>
            <w:shd w:val="clear" w:color="auto" w:fill="auto"/>
            <w:noWrap/>
            <w:vAlign w:val="bottom"/>
            <w:hideMark/>
          </w:tcPr>
          <w:p w14:paraId="35B35EBA"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13.714</w:t>
            </w:r>
          </w:p>
        </w:tc>
        <w:tc>
          <w:tcPr>
            <w:tcW w:w="220" w:type="dxa"/>
            <w:tcBorders>
              <w:top w:val="nil"/>
              <w:left w:val="nil"/>
              <w:bottom w:val="nil"/>
              <w:right w:val="nil"/>
            </w:tcBorders>
            <w:shd w:val="clear" w:color="auto" w:fill="auto"/>
            <w:noWrap/>
            <w:vAlign w:val="bottom"/>
            <w:hideMark/>
          </w:tcPr>
          <w:p w14:paraId="3D45CB41"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3993539B"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1160" w:type="dxa"/>
            <w:tcBorders>
              <w:top w:val="nil"/>
              <w:left w:val="nil"/>
              <w:bottom w:val="single" w:sz="4" w:space="0" w:color="auto"/>
              <w:right w:val="single" w:sz="4" w:space="0" w:color="auto"/>
            </w:tcBorders>
            <w:shd w:val="clear" w:color="auto" w:fill="auto"/>
            <w:noWrap/>
            <w:vAlign w:val="bottom"/>
            <w:hideMark/>
          </w:tcPr>
          <w:p w14:paraId="63FB36BA"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4.53</w:t>
            </w:r>
          </w:p>
        </w:tc>
        <w:tc>
          <w:tcPr>
            <w:tcW w:w="220" w:type="dxa"/>
            <w:tcBorders>
              <w:top w:val="nil"/>
              <w:left w:val="nil"/>
              <w:bottom w:val="nil"/>
              <w:right w:val="nil"/>
            </w:tcBorders>
            <w:shd w:val="clear" w:color="auto" w:fill="auto"/>
            <w:noWrap/>
            <w:vAlign w:val="bottom"/>
            <w:hideMark/>
          </w:tcPr>
          <w:p w14:paraId="376F5A1C"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5E0A429"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Brac Bank</w:t>
            </w:r>
          </w:p>
        </w:tc>
        <w:tc>
          <w:tcPr>
            <w:tcW w:w="1300" w:type="dxa"/>
            <w:tcBorders>
              <w:top w:val="nil"/>
              <w:left w:val="nil"/>
              <w:bottom w:val="single" w:sz="4" w:space="0" w:color="auto"/>
              <w:right w:val="single" w:sz="4" w:space="0" w:color="auto"/>
            </w:tcBorders>
            <w:shd w:val="clear" w:color="auto" w:fill="auto"/>
            <w:noWrap/>
            <w:vAlign w:val="bottom"/>
            <w:hideMark/>
          </w:tcPr>
          <w:p w14:paraId="56069761"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14.12 </w:t>
            </w:r>
          </w:p>
        </w:tc>
      </w:tr>
      <w:tr w:rsidR="00797951" w:rsidRPr="008667A0" w14:paraId="64AD7C53"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6A433B5"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1220" w:type="dxa"/>
            <w:tcBorders>
              <w:top w:val="nil"/>
              <w:left w:val="nil"/>
              <w:bottom w:val="single" w:sz="4" w:space="0" w:color="auto"/>
              <w:right w:val="single" w:sz="4" w:space="0" w:color="auto"/>
            </w:tcBorders>
            <w:shd w:val="clear" w:color="auto" w:fill="auto"/>
            <w:noWrap/>
            <w:vAlign w:val="bottom"/>
            <w:hideMark/>
          </w:tcPr>
          <w:p w14:paraId="346065D8"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30.42</w:t>
            </w:r>
          </w:p>
        </w:tc>
        <w:tc>
          <w:tcPr>
            <w:tcW w:w="220" w:type="dxa"/>
            <w:tcBorders>
              <w:top w:val="nil"/>
              <w:left w:val="nil"/>
              <w:bottom w:val="nil"/>
              <w:right w:val="nil"/>
            </w:tcBorders>
            <w:shd w:val="clear" w:color="auto" w:fill="auto"/>
            <w:noWrap/>
            <w:vAlign w:val="bottom"/>
            <w:hideMark/>
          </w:tcPr>
          <w:p w14:paraId="712FE70F"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55C01140"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1160" w:type="dxa"/>
            <w:tcBorders>
              <w:top w:val="nil"/>
              <w:left w:val="nil"/>
              <w:bottom w:val="single" w:sz="4" w:space="0" w:color="auto"/>
              <w:right w:val="single" w:sz="4" w:space="0" w:color="auto"/>
            </w:tcBorders>
            <w:shd w:val="clear" w:color="auto" w:fill="auto"/>
            <w:noWrap/>
            <w:vAlign w:val="bottom"/>
            <w:hideMark/>
          </w:tcPr>
          <w:p w14:paraId="4462A62E"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3.44</w:t>
            </w:r>
          </w:p>
        </w:tc>
        <w:tc>
          <w:tcPr>
            <w:tcW w:w="220" w:type="dxa"/>
            <w:tcBorders>
              <w:top w:val="nil"/>
              <w:left w:val="nil"/>
              <w:bottom w:val="nil"/>
              <w:right w:val="nil"/>
            </w:tcBorders>
            <w:shd w:val="clear" w:color="auto" w:fill="auto"/>
            <w:noWrap/>
            <w:vAlign w:val="bottom"/>
            <w:hideMark/>
          </w:tcPr>
          <w:p w14:paraId="178E1C10"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1D75420"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City Bank</w:t>
            </w:r>
          </w:p>
        </w:tc>
        <w:tc>
          <w:tcPr>
            <w:tcW w:w="1300" w:type="dxa"/>
            <w:tcBorders>
              <w:top w:val="nil"/>
              <w:left w:val="nil"/>
              <w:bottom w:val="single" w:sz="4" w:space="0" w:color="auto"/>
              <w:right w:val="single" w:sz="4" w:space="0" w:color="auto"/>
            </w:tcBorders>
            <w:shd w:val="clear" w:color="auto" w:fill="auto"/>
            <w:noWrap/>
            <w:vAlign w:val="bottom"/>
            <w:hideMark/>
          </w:tcPr>
          <w:p w14:paraId="7CC31FF2"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9.44 </w:t>
            </w:r>
          </w:p>
        </w:tc>
      </w:tr>
      <w:tr w:rsidR="00797951" w:rsidRPr="008667A0" w14:paraId="14C07FFA"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6E876E44"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1220" w:type="dxa"/>
            <w:tcBorders>
              <w:top w:val="nil"/>
              <w:left w:val="nil"/>
              <w:bottom w:val="single" w:sz="4" w:space="0" w:color="auto"/>
              <w:right w:val="single" w:sz="4" w:space="0" w:color="auto"/>
            </w:tcBorders>
            <w:shd w:val="clear" w:color="auto" w:fill="auto"/>
            <w:noWrap/>
            <w:vAlign w:val="bottom"/>
            <w:hideMark/>
          </w:tcPr>
          <w:p w14:paraId="5C9E190B"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17.16</w:t>
            </w:r>
          </w:p>
        </w:tc>
        <w:tc>
          <w:tcPr>
            <w:tcW w:w="220" w:type="dxa"/>
            <w:tcBorders>
              <w:top w:val="nil"/>
              <w:left w:val="nil"/>
              <w:bottom w:val="nil"/>
              <w:right w:val="nil"/>
            </w:tcBorders>
            <w:shd w:val="clear" w:color="auto" w:fill="auto"/>
            <w:noWrap/>
            <w:vAlign w:val="bottom"/>
            <w:hideMark/>
          </w:tcPr>
          <w:p w14:paraId="38339C07"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EF59B00"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1160" w:type="dxa"/>
            <w:tcBorders>
              <w:top w:val="nil"/>
              <w:left w:val="nil"/>
              <w:bottom w:val="single" w:sz="4" w:space="0" w:color="auto"/>
              <w:right w:val="single" w:sz="4" w:space="0" w:color="auto"/>
            </w:tcBorders>
            <w:shd w:val="clear" w:color="auto" w:fill="auto"/>
            <w:noWrap/>
            <w:vAlign w:val="bottom"/>
            <w:hideMark/>
          </w:tcPr>
          <w:p w14:paraId="1F481C67"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1.986</w:t>
            </w:r>
          </w:p>
        </w:tc>
        <w:tc>
          <w:tcPr>
            <w:tcW w:w="220" w:type="dxa"/>
            <w:tcBorders>
              <w:top w:val="nil"/>
              <w:left w:val="nil"/>
              <w:bottom w:val="nil"/>
              <w:right w:val="nil"/>
            </w:tcBorders>
            <w:shd w:val="clear" w:color="auto" w:fill="auto"/>
            <w:noWrap/>
            <w:vAlign w:val="bottom"/>
            <w:hideMark/>
          </w:tcPr>
          <w:p w14:paraId="2C76673F"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563AED5"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Dhaka Bank</w:t>
            </w:r>
          </w:p>
        </w:tc>
        <w:tc>
          <w:tcPr>
            <w:tcW w:w="1300" w:type="dxa"/>
            <w:tcBorders>
              <w:top w:val="nil"/>
              <w:left w:val="nil"/>
              <w:bottom w:val="single" w:sz="4" w:space="0" w:color="auto"/>
              <w:right w:val="single" w:sz="4" w:space="0" w:color="auto"/>
            </w:tcBorders>
            <w:shd w:val="clear" w:color="auto" w:fill="auto"/>
            <w:noWrap/>
            <w:vAlign w:val="bottom"/>
            <w:hideMark/>
          </w:tcPr>
          <w:p w14:paraId="6C36FE23"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8.51 </w:t>
            </w:r>
          </w:p>
        </w:tc>
      </w:tr>
      <w:tr w:rsidR="00797951" w:rsidRPr="008667A0" w14:paraId="3562420C"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37FA45A7"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1220" w:type="dxa"/>
            <w:tcBorders>
              <w:top w:val="nil"/>
              <w:left w:val="nil"/>
              <w:bottom w:val="single" w:sz="4" w:space="0" w:color="auto"/>
              <w:right w:val="single" w:sz="4" w:space="0" w:color="auto"/>
            </w:tcBorders>
            <w:shd w:val="clear" w:color="auto" w:fill="auto"/>
            <w:noWrap/>
            <w:vAlign w:val="bottom"/>
            <w:hideMark/>
          </w:tcPr>
          <w:p w14:paraId="174EFB7A"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118.62</w:t>
            </w:r>
          </w:p>
        </w:tc>
        <w:tc>
          <w:tcPr>
            <w:tcW w:w="220" w:type="dxa"/>
            <w:tcBorders>
              <w:top w:val="nil"/>
              <w:left w:val="nil"/>
              <w:bottom w:val="nil"/>
              <w:right w:val="nil"/>
            </w:tcBorders>
            <w:shd w:val="clear" w:color="auto" w:fill="auto"/>
            <w:noWrap/>
            <w:vAlign w:val="bottom"/>
            <w:hideMark/>
          </w:tcPr>
          <w:p w14:paraId="4C1228B3"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FB02966"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1160" w:type="dxa"/>
            <w:tcBorders>
              <w:top w:val="nil"/>
              <w:left w:val="nil"/>
              <w:bottom w:val="single" w:sz="4" w:space="0" w:color="auto"/>
              <w:right w:val="single" w:sz="4" w:space="0" w:color="auto"/>
            </w:tcBorders>
            <w:shd w:val="clear" w:color="auto" w:fill="auto"/>
            <w:noWrap/>
            <w:vAlign w:val="bottom"/>
            <w:hideMark/>
          </w:tcPr>
          <w:p w14:paraId="54312E1B"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13.2</w:t>
            </w:r>
          </w:p>
        </w:tc>
        <w:tc>
          <w:tcPr>
            <w:tcW w:w="220" w:type="dxa"/>
            <w:tcBorders>
              <w:top w:val="nil"/>
              <w:left w:val="nil"/>
              <w:bottom w:val="nil"/>
              <w:right w:val="nil"/>
            </w:tcBorders>
            <w:shd w:val="clear" w:color="auto" w:fill="auto"/>
            <w:noWrap/>
            <w:vAlign w:val="bottom"/>
            <w:hideMark/>
          </w:tcPr>
          <w:p w14:paraId="7DC2ABFB"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04CA4C9"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DBBL</w:t>
            </w:r>
          </w:p>
        </w:tc>
        <w:tc>
          <w:tcPr>
            <w:tcW w:w="1300" w:type="dxa"/>
            <w:tcBorders>
              <w:top w:val="nil"/>
              <w:left w:val="nil"/>
              <w:bottom w:val="single" w:sz="4" w:space="0" w:color="auto"/>
              <w:right w:val="single" w:sz="4" w:space="0" w:color="auto"/>
            </w:tcBorders>
            <w:shd w:val="clear" w:color="auto" w:fill="auto"/>
            <w:noWrap/>
            <w:vAlign w:val="bottom"/>
            <w:hideMark/>
          </w:tcPr>
          <w:p w14:paraId="075A7C61"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9.56 </w:t>
            </w:r>
          </w:p>
        </w:tc>
      </w:tr>
      <w:tr w:rsidR="00797951" w:rsidRPr="008667A0" w14:paraId="0AFB67B9"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58C91AA"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1220" w:type="dxa"/>
            <w:tcBorders>
              <w:top w:val="nil"/>
              <w:left w:val="nil"/>
              <w:bottom w:val="single" w:sz="4" w:space="0" w:color="auto"/>
              <w:right w:val="single" w:sz="4" w:space="0" w:color="auto"/>
            </w:tcBorders>
            <w:shd w:val="clear" w:color="auto" w:fill="auto"/>
            <w:noWrap/>
            <w:vAlign w:val="bottom"/>
            <w:hideMark/>
          </w:tcPr>
          <w:p w14:paraId="4CBCEF4A"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35.58</w:t>
            </w:r>
          </w:p>
        </w:tc>
        <w:tc>
          <w:tcPr>
            <w:tcW w:w="220" w:type="dxa"/>
            <w:tcBorders>
              <w:top w:val="nil"/>
              <w:left w:val="nil"/>
              <w:bottom w:val="nil"/>
              <w:right w:val="nil"/>
            </w:tcBorders>
            <w:shd w:val="clear" w:color="auto" w:fill="auto"/>
            <w:noWrap/>
            <w:vAlign w:val="bottom"/>
            <w:hideMark/>
          </w:tcPr>
          <w:p w14:paraId="0734BD22"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D486D43"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1160" w:type="dxa"/>
            <w:tcBorders>
              <w:top w:val="nil"/>
              <w:left w:val="nil"/>
              <w:bottom w:val="single" w:sz="4" w:space="0" w:color="auto"/>
              <w:right w:val="single" w:sz="4" w:space="0" w:color="auto"/>
            </w:tcBorders>
            <w:shd w:val="clear" w:color="auto" w:fill="auto"/>
            <w:noWrap/>
            <w:vAlign w:val="bottom"/>
            <w:hideMark/>
          </w:tcPr>
          <w:p w14:paraId="2E9467C0"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3.956</w:t>
            </w:r>
          </w:p>
        </w:tc>
        <w:tc>
          <w:tcPr>
            <w:tcW w:w="220" w:type="dxa"/>
            <w:tcBorders>
              <w:top w:val="nil"/>
              <w:left w:val="nil"/>
              <w:bottom w:val="nil"/>
              <w:right w:val="nil"/>
            </w:tcBorders>
            <w:shd w:val="clear" w:color="auto" w:fill="auto"/>
            <w:noWrap/>
            <w:vAlign w:val="bottom"/>
            <w:hideMark/>
          </w:tcPr>
          <w:p w14:paraId="0E5D0460"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217D7F43"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EBL</w:t>
            </w:r>
          </w:p>
        </w:tc>
        <w:tc>
          <w:tcPr>
            <w:tcW w:w="1300" w:type="dxa"/>
            <w:tcBorders>
              <w:top w:val="nil"/>
              <w:left w:val="nil"/>
              <w:bottom w:val="single" w:sz="4" w:space="0" w:color="auto"/>
              <w:right w:val="single" w:sz="4" w:space="0" w:color="auto"/>
            </w:tcBorders>
            <w:shd w:val="clear" w:color="auto" w:fill="auto"/>
            <w:noWrap/>
            <w:vAlign w:val="bottom"/>
            <w:hideMark/>
          </w:tcPr>
          <w:p w14:paraId="66880381"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9.31</w:t>
            </w:r>
          </w:p>
        </w:tc>
      </w:tr>
      <w:tr w:rsidR="00797951" w:rsidRPr="008667A0" w14:paraId="2DBADD67"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69C6E159"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1220" w:type="dxa"/>
            <w:tcBorders>
              <w:top w:val="nil"/>
              <w:left w:val="nil"/>
              <w:bottom w:val="single" w:sz="4" w:space="0" w:color="auto"/>
              <w:right w:val="single" w:sz="4" w:space="0" w:color="auto"/>
            </w:tcBorders>
            <w:shd w:val="clear" w:color="auto" w:fill="auto"/>
            <w:noWrap/>
            <w:vAlign w:val="bottom"/>
            <w:hideMark/>
          </w:tcPr>
          <w:p w14:paraId="0DBFF591"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16.18</w:t>
            </w:r>
          </w:p>
        </w:tc>
        <w:tc>
          <w:tcPr>
            <w:tcW w:w="220" w:type="dxa"/>
            <w:tcBorders>
              <w:top w:val="nil"/>
              <w:left w:val="nil"/>
              <w:bottom w:val="nil"/>
              <w:right w:val="nil"/>
            </w:tcBorders>
            <w:shd w:val="clear" w:color="auto" w:fill="auto"/>
            <w:noWrap/>
            <w:vAlign w:val="bottom"/>
            <w:hideMark/>
          </w:tcPr>
          <w:p w14:paraId="183C742D"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241942C"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1160" w:type="dxa"/>
            <w:tcBorders>
              <w:top w:val="nil"/>
              <w:left w:val="nil"/>
              <w:bottom w:val="single" w:sz="4" w:space="0" w:color="auto"/>
              <w:right w:val="single" w:sz="4" w:space="0" w:color="auto"/>
            </w:tcBorders>
            <w:shd w:val="clear" w:color="auto" w:fill="auto"/>
            <w:noWrap/>
            <w:vAlign w:val="bottom"/>
            <w:hideMark/>
          </w:tcPr>
          <w:p w14:paraId="08DE542C"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1.444</w:t>
            </w:r>
          </w:p>
        </w:tc>
        <w:tc>
          <w:tcPr>
            <w:tcW w:w="220" w:type="dxa"/>
            <w:tcBorders>
              <w:top w:val="nil"/>
              <w:left w:val="nil"/>
              <w:bottom w:val="nil"/>
              <w:right w:val="nil"/>
            </w:tcBorders>
            <w:shd w:val="clear" w:color="auto" w:fill="auto"/>
            <w:noWrap/>
            <w:vAlign w:val="bottom"/>
            <w:hideMark/>
          </w:tcPr>
          <w:p w14:paraId="544FDCF2"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6DC1C43"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IFIC Bank</w:t>
            </w:r>
          </w:p>
        </w:tc>
        <w:tc>
          <w:tcPr>
            <w:tcW w:w="1300" w:type="dxa"/>
            <w:tcBorders>
              <w:top w:val="nil"/>
              <w:left w:val="nil"/>
              <w:bottom w:val="single" w:sz="4" w:space="0" w:color="auto"/>
              <w:right w:val="single" w:sz="4" w:space="0" w:color="auto"/>
            </w:tcBorders>
            <w:shd w:val="clear" w:color="auto" w:fill="auto"/>
            <w:noWrap/>
            <w:vAlign w:val="bottom"/>
            <w:hideMark/>
          </w:tcPr>
          <w:p w14:paraId="153502D8"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11.30 </w:t>
            </w:r>
          </w:p>
        </w:tc>
      </w:tr>
      <w:tr w:rsidR="00797951" w:rsidRPr="008667A0" w14:paraId="1F8834EC"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74CC9673"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1220" w:type="dxa"/>
            <w:tcBorders>
              <w:top w:val="nil"/>
              <w:left w:val="nil"/>
              <w:bottom w:val="single" w:sz="4" w:space="0" w:color="auto"/>
              <w:right w:val="single" w:sz="4" w:space="0" w:color="auto"/>
            </w:tcBorders>
            <w:shd w:val="clear" w:color="auto" w:fill="auto"/>
            <w:noWrap/>
            <w:vAlign w:val="bottom"/>
            <w:hideMark/>
          </w:tcPr>
          <w:p w14:paraId="67B4B867"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17.16</w:t>
            </w:r>
          </w:p>
        </w:tc>
        <w:tc>
          <w:tcPr>
            <w:tcW w:w="220" w:type="dxa"/>
            <w:tcBorders>
              <w:top w:val="nil"/>
              <w:left w:val="nil"/>
              <w:bottom w:val="nil"/>
              <w:right w:val="nil"/>
            </w:tcBorders>
            <w:shd w:val="clear" w:color="auto" w:fill="auto"/>
            <w:noWrap/>
            <w:vAlign w:val="bottom"/>
            <w:hideMark/>
          </w:tcPr>
          <w:p w14:paraId="1B1346B9"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D8CF1FC"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1160" w:type="dxa"/>
            <w:tcBorders>
              <w:top w:val="nil"/>
              <w:left w:val="nil"/>
              <w:bottom w:val="single" w:sz="4" w:space="0" w:color="auto"/>
              <w:right w:val="single" w:sz="4" w:space="0" w:color="auto"/>
            </w:tcBorders>
            <w:shd w:val="clear" w:color="auto" w:fill="auto"/>
            <w:noWrap/>
            <w:vAlign w:val="bottom"/>
            <w:hideMark/>
          </w:tcPr>
          <w:p w14:paraId="332C3507"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w:t>
            </w:r>
          </w:p>
        </w:tc>
        <w:tc>
          <w:tcPr>
            <w:tcW w:w="220" w:type="dxa"/>
            <w:tcBorders>
              <w:top w:val="nil"/>
              <w:left w:val="nil"/>
              <w:bottom w:val="nil"/>
              <w:right w:val="nil"/>
            </w:tcBorders>
            <w:shd w:val="clear" w:color="auto" w:fill="auto"/>
            <w:noWrap/>
            <w:vAlign w:val="bottom"/>
            <w:hideMark/>
          </w:tcPr>
          <w:p w14:paraId="41FB1746"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8B8A814"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Jamuna Bank </w:t>
            </w:r>
          </w:p>
        </w:tc>
        <w:tc>
          <w:tcPr>
            <w:tcW w:w="1300" w:type="dxa"/>
            <w:tcBorders>
              <w:top w:val="nil"/>
              <w:left w:val="nil"/>
              <w:bottom w:val="single" w:sz="4" w:space="0" w:color="auto"/>
              <w:right w:val="single" w:sz="4" w:space="0" w:color="auto"/>
            </w:tcBorders>
            <w:shd w:val="clear" w:color="auto" w:fill="auto"/>
            <w:noWrap/>
            <w:vAlign w:val="bottom"/>
            <w:hideMark/>
          </w:tcPr>
          <w:p w14:paraId="3F14E454"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5.80 </w:t>
            </w:r>
          </w:p>
        </w:tc>
      </w:tr>
      <w:tr w:rsidR="00797951" w:rsidRPr="008667A0" w14:paraId="06D17CF1"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4763035F"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1220" w:type="dxa"/>
            <w:tcBorders>
              <w:top w:val="nil"/>
              <w:left w:val="nil"/>
              <w:bottom w:val="single" w:sz="4" w:space="0" w:color="auto"/>
              <w:right w:val="single" w:sz="4" w:space="0" w:color="auto"/>
            </w:tcBorders>
            <w:shd w:val="clear" w:color="auto" w:fill="auto"/>
            <w:noWrap/>
            <w:vAlign w:val="bottom"/>
            <w:hideMark/>
          </w:tcPr>
          <w:p w14:paraId="3C8531D9"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w:t>
            </w:r>
          </w:p>
        </w:tc>
        <w:tc>
          <w:tcPr>
            <w:tcW w:w="220" w:type="dxa"/>
            <w:tcBorders>
              <w:top w:val="nil"/>
              <w:left w:val="nil"/>
              <w:bottom w:val="nil"/>
              <w:right w:val="nil"/>
            </w:tcBorders>
            <w:shd w:val="clear" w:color="auto" w:fill="auto"/>
            <w:noWrap/>
            <w:vAlign w:val="bottom"/>
            <w:hideMark/>
          </w:tcPr>
          <w:p w14:paraId="5CD61F9B"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1D876BFB"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1160" w:type="dxa"/>
            <w:tcBorders>
              <w:top w:val="nil"/>
              <w:left w:val="nil"/>
              <w:bottom w:val="single" w:sz="4" w:space="0" w:color="auto"/>
              <w:right w:val="single" w:sz="4" w:space="0" w:color="auto"/>
            </w:tcBorders>
            <w:shd w:val="clear" w:color="auto" w:fill="auto"/>
            <w:noWrap/>
            <w:vAlign w:val="bottom"/>
            <w:hideMark/>
          </w:tcPr>
          <w:p w14:paraId="6F463A85"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3.094</w:t>
            </w:r>
          </w:p>
        </w:tc>
        <w:tc>
          <w:tcPr>
            <w:tcW w:w="220" w:type="dxa"/>
            <w:tcBorders>
              <w:top w:val="nil"/>
              <w:left w:val="nil"/>
              <w:bottom w:val="nil"/>
              <w:right w:val="nil"/>
            </w:tcBorders>
            <w:shd w:val="clear" w:color="auto" w:fill="auto"/>
            <w:noWrap/>
            <w:vAlign w:val="bottom"/>
            <w:hideMark/>
          </w:tcPr>
          <w:p w14:paraId="74400550"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718B7C9"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Mercantile Bank</w:t>
            </w:r>
          </w:p>
        </w:tc>
        <w:tc>
          <w:tcPr>
            <w:tcW w:w="1300" w:type="dxa"/>
            <w:tcBorders>
              <w:top w:val="nil"/>
              <w:left w:val="nil"/>
              <w:bottom w:val="single" w:sz="4" w:space="0" w:color="auto"/>
              <w:right w:val="single" w:sz="4" w:space="0" w:color="auto"/>
            </w:tcBorders>
            <w:shd w:val="clear" w:color="auto" w:fill="auto"/>
            <w:noWrap/>
            <w:vAlign w:val="bottom"/>
            <w:hideMark/>
          </w:tcPr>
          <w:p w14:paraId="6A4F7F3F"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5.87 </w:t>
            </w:r>
          </w:p>
        </w:tc>
      </w:tr>
      <w:tr w:rsidR="00797951" w:rsidRPr="008667A0" w14:paraId="37507D01"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2DB2CFFE"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1220" w:type="dxa"/>
            <w:tcBorders>
              <w:top w:val="nil"/>
              <w:left w:val="nil"/>
              <w:bottom w:val="single" w:sz="4" w:space="0" w:color="auto"/>
              <w:right w:val="single" w:sz="4" w:space="0" w:color="auto"/>
            </w:tcBorders>
            <w:shd w:val="clear" w:color="auto" w:fill="auto"/>
            <w:noWrap/>
            <w:vAlign w:val="bottom"/>
            <w:hideMark/>
          </w:tcPr>
          <w:p w14:paraId="3FE1FDB8"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27.84</w:t>
            </w:r>
          </w:p>
        </w:tc>
        <w:tc>
          <w:tcPr>
            <w:tcW w:w="220" w:type="dxa"/>
            <w:tcBorders>
              <w:top w:val="nil"/>
              <w:left w:val="nil"/>
              <w:bottom w:val="nil"/>
              <w:right w:val="nil"/>
            </w:tcBorders>
            <w:shd w:val="clear" w:color="auto" w:fill="auto"/>
            <w:noWrap/>
            <w:vAlign w:val="bottom"/>
            <w:hideMark/>
          </w:tcPr>
          <w:p w14:paraId="5BCF4965"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3A3F8175"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1160" w:type="dxa"/>
            <w:tcBorders>
              <w:top w:val="nil"/>
              <w:left w:val="nil"/>
              <w:bottom w:val="single" w:sz="4" w:space="0" w:color="auto"/>
              <w:right w:val="single" w:sz="4" w:space="0" w:color="auto"/>
            </w:tcBorders>
            <w:shd w:val="clear" w:color="auto" w:fill="auto"/>
            <w:noWrap/>
            <w:vAlign w:val="bottom"/>
            <w:hideMark/>
          </w:tcPr>
          <w:p w14:paraId="31563035"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3.044</w:t>
            </w:r>
          </w:p>
        </w:tc>
        <w:tc>
          <w:tcPr>
            <w:tcW w:w="220" w:type="dxa"/>
            <w:tcBorders>
              <w:top w:val="nil"/>
              <w:left w:val="nil"/>
              <w:bottom w:val="nil"/>
              <w:right w:val="nil"/>
            </w:tcBorders>
            <w:shd w:val="clear" w:color="auto" w:fill="auto"/>
            <w:noWrap/>
            <w:vAlign w:val="bottom"/>
            <w:hideMark/>
          </w:tcPr>
          <w:p w14:paraId="52843EC3"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668B30E"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MTB</w:t>
            </w:r>
          </w:p>
        </w:tc>
        <w:tc>
          <w:tcPr>
            <w:tcW w:w="1300" w:type="dxa"/>
            <w:tcBorders>
              <w:top w:val="nil"/>
              <w:left w:val="nil"/>
              <w:bottom w:val="single" w:sz="4" w:space="0" w:color="auto"/>
              <w:right w:val="single" w:sz="4" w:space="0" w:color="auto"/>
            </w:tcBorders>
            <w:shd w:val="clear" w:color="auto" w:fill="auto"/>
            <w:noWrap/>
            <w:vAlign w:val="bottom"/>
            <w:hideMark/>
          </w:tcPr>
          <w:p w14:paraId="69A9EF5C"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9.18 </w:t>
            </w:r>
          </w:p>
        </w:tc>
      </w:tr>
      <w:tr w:rsidR="00797951" w:rsidRPr="008667A0" w14:paraId="5845BC70"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25D86E60"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1220" w:type="dxa"/>
            <w:tcBorders>
              <w:top w:val="nil"/>
              <w:left w:val="nil"/>
              <w:bottom w:val="single" w:sz="4" w:space="0" w:color="auto"/>
              <w:right w:val="single" w:sz="4" w:space="0" w:color="auto"/>
            </w:tcBorders>
            <w:shd w:val="clear" w:color="auto" w:fill="auto"/>
            <w:noWrap/>
            <w:vAlign w:val="bottom"/>
            <w:hideMark/>
          </w:tcPr>
          <w:p w14:paraId="7B0F18A3"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10.525</w:t>
            </w:r>
          </w:p>
        </w:tc>
        <w:tc>
          <w:tcPr>
            <w:tcW w:w="220" w:type="dxa"/>
            <w:tcBorders>
              <w:top w:val="nil"/>
              <w:left w:val="nil"/>
              <w:bottom w:val="nil"/>
              <w:right w:val="nil"/>
            </w:tcBorders>
            <w:shd w:val="clear" w:color="auto" w:fill="auto"/>
            <w:noWrap/>
            <w:vAlign w:val="bottom"/>
            <w:hideMark/>
          </w:tcPr>
          <w:p w14:paraId="0D311529"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F0587C2"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1160" w:type="dxa"/>
            <w:tcBorders>
              <w:top w:val="nil"/>
              <w:left w:val="nil"/>
              <w:bottom w:val="single" w:sz="4" w:space="0" w:color="auto"/>
              <w:right w:val="single" w:sz="4" w:space="0" w:color="auto"/>
            </w:tcBorders>
            <w:shd w:val="clear" w:color="auto" w:fill="auto"/>
            <w:noWrap/>
            <w:vAlign w:val="bottom"/>
            <w:hideMark/>
          </w:tcPr>
          <w:p w14:paraId="0235EA5B"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1.9025</w:t>
            </w:r>
          </w:p>
        </w:tc>
        <w:tc>
          <w:tcPr>
            <w:tcW w:w="220" w:type="dxa"/>
            <w:tcBorders>
              <w:top w:val="nil"/>
              <w:left w:val="nil"/>
              <w:bottom w:val="nil"/>
              <w:right w:val="nil"/>
            </w:tcBorders>
            <w:shd w:val="clear" w:color="auto" w:fill="auto"/>
            <w:noWrap/>
            <w:vAlign w:val="bottom"/>
            <w:hideMark/>
          </w:tcPr>
          <w:p w14:paraId="696C6678"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EA3F963"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National Bank</w:t>
            </w:r>
          </w:p>
        </w:tc>
        <w:tc>
          <w:tcPr>
            <w:tcW w:w="1300" w:type="dxa"/>
            <w:tcBorders>
              <w:top w:val="nil"/>
              <w:left w:val="nil"/>
              <w:bottom w:val="single" w:sz="4" w:space="0" w:color="auto"/>
              <w:right w:val="single" w:sz="4" w:space="0" w:color="auto"/>
            </w:tcBorders>
            <w:shd w:val="clear" w:color="auto" w:fill="auto"/>
            <w:noWrap/>
            <w:vAlign w:val="bottom"/>
            <w:hideMark/>
          </w:tcPr>
          <w:p w14:paraId="73A33C1B"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5.49 </w:t>
            </w:r>
          </w:p>
        </w:tc>
      </w:tr>
      <w:tr w:rsidR="00797951" w:rsidRPr="008667A0" w14:paraId="4242A3FE"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065AEC6F"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1220" w:type="dxa"/>
            <w:tcBorders>
              <w:top w:val="nil"/>
              <w:left w:val="nil"/>
              <w:bottom w:val="single" w:sz="4" w:space="0" w:color="auto"/>
              <w:right w:val="single" w:sz="4" w:space="0" w:color="auto"/>
            </w:tcBorders>
            <w:shd w:val="clear" w:color="auto" w:fill="auto"/>
            <w:noWrap/>
            <w:vAlign w:val="bottom"/>
            <w:hideMark/>
          </w:tcPr>
          <w:p w14:paraId="692D0655"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13.825</w:t>
            </w:r>
          </w:p>
        </w:tc>
        <w:tc>
          <w:tcPr>
            <w:tcW w:w="220" w:type="dxa"/>
            <w:tcBorders>
              <w:top w:val="nil"/>
              <w:left w:val="nil"/>
              <w:bottom w:val="nil"/>
              <w:right w:val="nil"/>
            </w:tcBorders>
            <w:shd w:val="clear" w:color="auto" w:fill="auto"/>
            <w:noWrap/>
            <w:vAlign w:val="bottom"/>
            <w:hideMark/>
          </w:tcPr>
          <w:p w14:paraId="7F58EAEE"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11399690"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1160" w:type="dxa"/>
            <w:tcBorders>
              <w:top w:val="nil"/>
              <w:left w:val="nil"/>
              <w:bottom w:val="single" w:sz="4" w:space="0" w:color="auto"/>
              <w:right w:val="single" w:sz="4" w:space="0" w:color="auto"/>
            </w:tcBorders>
            <w:shd w:val="clear" w:color="auto" w:fill="auto"/>
            <w:noWrap/>
            <w:vAlign w:val="bottom"/>
            <w:hideMark/>
          </w:tcPr>
          <w:p w14:paraId="6951CD94"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2.05</w:t>
            </w:r>
          </w:p>
        </w:tc>
        <w:tc>
          <w:tcPr>
            <w:tcW w:w="220" w:type="dxa"/>
            <w:tcBorders>
              <w:top w:val="nil"/>
              <w:left w:val="nil"/>
              <w:bottom w:val="nil"/>
              <w:right w:val="nil"/>
            </w:tcBorders>
            <w:shd w:val="clear" w:color="auto" w:fill="auto"/>
            <w:noWrap/>
            <w:vAlign w:val="bottom"/>
            <w:hideMark/>
          </w:tcPr>
          <w:p w14:paraId="02489A9C"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65FFF1B"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NCC Bank</w:t>
            </w:r>
          </w:p>
        </w:tc>
        <w:tc>
          <w:tcPr>
            <w:tcW w:w="1300" w:type="dxa"/>
            <w:tcBorders>
              <w:top w:val="nil"/>
              <w:left w:val="nil"/>
              <w:bottom w:val="single" w:sz="4" w:space="0" w:color="auto"/>
              <w:right w:val="single" w:sz="4" w:space="0" w:color="auto"/>
            </w:tcBorders>
            <w:shd w:val="clear" w:color="auto" w:fill="auto"/>
            <w:noWrap/>
            <w:vAlign w:val="bottom"/>
            <w:hideMark/>
          </w:tcPr>
          <w:p w14:paraId="1BCA7DA3"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6.61 </w:t>
            </w:r>
          </w:p>
        </w:tc>
      </w:tr>
      <w:tr w:rsidR="00797951" w:rsidRPr="008667A0" w14:paraId="5A56B1B5"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19A0F95"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1220" w:type="dxa"/>
            <w:tcBorders>
              <w:top w:val="nil"/>
              <w:left w:val="nil"/>
              <w:bottom w:val="single" w:sz="4" w:space="0" w:color="auto"/>
              <w:right w:val="single" w:sz="4" w:space="0" w:color="auto"/>
            </w:tcBorders>
            <w:shd w:val="clear" w:color="auto" w:fill="auto"/>
            <w:noWrap/>
            <w:vAlign w:val="bottom"/>
            <w:hideMark/>
          </w:tcPr>
          <w:p w14:paraId="5E548578"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19.84</w:t>
            </w:r>
          </w:p>
        </w:tc>
        <w:tc>
          <w:tcPr>
            <w:tcW w:w="220" w:type="dxa"/>
            <w:tcBorders>
              <w:top w:val="nil"/>
              <w:left w:val="nil"/>
              <w:bottom w:val="nil"/>
              <w:right w:val="nil"/>
            </w:tcBorders>
            <w:shd w:val="clear" w:color="auto" w:fill="auto"/>
            <w:noWrap/>
            <w:vAlign w:val="bottom"/>
            <w:hideMark/>
          </w:tcPr>
          <w:p w14:paraId="6B912B3A"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3B3439B8"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1160" w:type="dxa"/>
            <w:tcBorders>
              <w:top w:val="nil"/>
              <w:left w:val="nil"/>
              <w:bottom w:val="single" w:sz="4" w:space="0" w:color="auto"/>
              <w:right w:val="single" w:sz="4" w:space="0" w:color="auto"/>
            </w:tcBorders>
            <w:shd w:val="clear" w:color="auto" w:fill="auto"/>
            <w:noWrap/>
            <w:vAlign w:val="bottom"/>
            <w:hideMark/>
          </w:tcPr>
          <w:p w14:paraId="5D97262D"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1.694</w:t>
            </w:r>
          </w:p>
        </w:tc>
        <w:tc>
          <w:tcPr>
            <w:tcW w:w="220" w:type="dxa"/>
            <w:tcBorders>
              <w:top w:val="nil"/>
              <w:left w:val="nil"/>
              <w:bottom w:val="nil"/>
              <w:right w:val="nil"/>
            </w:tcBorders>
            <w:shd w:val="clear" w:color="auto" w:fill="auto"/>
            <w:noWrap/>
            <w:vAlign w:val="bottom"/>
            <w:hideMark/>
          </w:tcPr>
          <w:p w14:paraId="0AA0807D"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A6E03B7"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Prime Bank</w:t>
            </w:r>
          </w:p>
        </w:tc>
        <w:tc>
          <w:tcPr>
            <w:tcW w:w="1300" w:type="dxa"/>
            <w:tcBorders>
              <w:top w:val="nil"/>
              <w:left w:val="nil"/>
              <w:bottom w:val="single" w:sz="4" w:space="0" w:color="auto"/>
              <w:right w:val="single" w:sz="4" w:space="0" w:color="auto"/>
            </w:tcBorders>
            <w:shd w:val="clear" w:color="auto" w:fill="auto"/>
            <w:noWrap/>
            <w:vAlign w:val="bottom"/>
            <w:hideMark/>
          </w:tcPr>
          <w:p w14:paraId="7991682E"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13.16 </w:t>
            </w:r>
          </w:p>
        </w:tc>
      </w:tr>
      <w:tr w:rsidR="00797951" w:rsidRPr="008667A0" w14:paraId="0B46075D"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4AEC567A"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1220" w:type="dxa"/>
            <w:tcBorders>
              <w:top w:val="nil"/>
              <w:left w:val="nil"/>
              <w:bottom w:val="single" w:sz="4" w:space="0" w:color="auto"/>
              <w:right w:val="single" w:sz="4" w:space="0" w:color="auto"/>
            </w:tcBorders>
            <w:shd w:val="clear" w:color="auto" w:fill="auto"/>
            <w:noWrap/>
            <w:vAlign w:val="bottom"/>
            <w:hideMark/>
          </w:tcPr>
          <w:p w14:paraId="67BE6B79"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w:t>
            </w:r>
          </w:p>
        </w:tc>
        <w:tc>
          <w:tcPr>
            <w:tcW w:w="220" w:type="dxa"/>
            <w:tcBorders>
              <w:top w:val="nil"/>
              <w:left w:val="nil"/>
              <w:bottom w:val="nil"/>
              <w:right w:val="nil"/>
            </w:tcBorders>
            <w:shd w:val="clear" w:color="auto" w:fill="auto"/>
            <w:noWrap/>
            <w:vAlign w:val="bottom"/>
            <w:hideMark/>
          </w:tcPr>
          <w:p w14:paraId="0F2DE30B"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E6BC78E"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1160" w:type="dxa"/>
            <w:tcBorders>
              <w:top w:val="nil"/>
              <w:left w:val="nil"/>
              <w:bottom w:val="single" w:sz="4" w:space="0" w:color="auto"/>
              <w:right w:val="single" w:sz="4" w:space="0" w:color="auto"/>
            </w:tcBorders>
            <w:shd w:val="clear" w:color="auto" w:fill="auto"/>
            <w:noWrap/>
            <w:vAlign w:val="bottom"/>
            <w:hideMark/>
          </w:tcPr>
          <w:p w14:paraId="37D37305"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2.42</w:t>
            </w:r>
          </w:p>
        </w:tc>
        <w:tc>
          <w:tcPr>
            <w:tcW w:w="220" w:type="dxa"/>
            <w:tcBorders>
              <w:top w:val="nil"/>
              <w:left w:val="nil"/>
              <w:bottom w:val="nil"/>
              <w:right w:val="nil"/>
            </w:tcBorders>
            <w:shd w:val="clear" w:color="auto" w:fill="auto"/>
            <w:noWrap/>
            <w:vAlign w:val="bottom"/>
            <w:hideMark/>
          </w:tcPr>
          <w:p w14:paraId="45F057F7"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06B6DB5"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Premier Bank</w:t>
            </w:r>
          </w:p>
        </w:tc>
        <w:tc>
          <w:tcPr>
            <w:tcW w:w="1300" w:type="dxa"/>
            <w:tcBorders>
              <w:top w:val="nil"/>
              <w:left w:val="nil"/>
              <w:bottom w:val="single" w:sz="4" w:space="0" w:color="auto"/>
              <w:right w:val="single" w:sz="4" w:space="0" w:color="auto"/>
            </w:tcBorders>
            <w:shd w:val="clear" w:color="auto" w:fill="auto"/>
            <w:noWrap/>
            <w:vAlign w:val="bottom"/>
            <w:hideMark/>
          </w:tcPr>
          <w:p w14:paraId="245C7D77"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4.63 </w:t>
            </w:r>
          </w:p>
        </w:tc>
      </w:tr>
      <w:tr w:rsidR="00797951" w:rsidRPr="008667A0" w14:paraId="2CBDF7BA"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895390E"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1220" w:type="dxa"/>
            <w:tcBorders>
              <w:top w:val="nil"/>
              <w:left w:val="nil"/>
              <w:bottom w:val="single" w:sz="4" w:space="0" w:color="auto"/>
              <w:right w:val="single" w:sz="4" w:space="0" w:color="auto"/>
            </w:tcBorders>
            <w:shd w:val="clear" w:color="auto" w:fill="auto"/>
            <w:noWrap/>
            <w:vAlign w:val="bottom"/>
            <w:hideMark/>
          </w:tcPr>
          <w:p w14:paraId="2FBA7F64"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25.2</w:t>
            </w:r>
          </w:p>
        </w:tc>
        <w:tc>
          <w:tcPr>
            <w:tcW w:w="220" w:type="dxa"/>
            <w:tcBorders>
              <w:top w:val="nil"/>
              <w:left w:val="nil"/>
              <w:bottom w:val="nil"/>
              <w:right w:val="nil"/>
            </w:tcBorders>
            <w:shd w:val="clear" w:color="auto" w:fill="auto"/>
            <w:noWrap/>
            <w:vAlign w:val="bottom"/>
            <w:hideMark/>
          </w:tcPr>
          <w:p w14:paraId="20B5E6BD"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D61981B"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1160" w:type="dxa"/>
            <w:tcBorders>
              <w:top w:val="nil"/>
              <w:left w:val="nil"/>
              <w:bottom w:val="single" w:sz="4" w:space="0" w:color="auto"/>
              <w:right w:val="single" w:sz="4" w:space="0" w:color="auto"/>
            </w:tcBorders>
            <w:shd w:val="clear" w:color="auto" w:fill="auto"/>
            <w:noWrap/>
            <w:vAlign w:val="bottom"/>
            <w:hideMark/>
          </w:tcPr>
          <w:p w14:paraId="24152D89"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1.988</w:t>
            </w:r>
          </w:p>
        </w:tc>
        <w:tc>
          <w:tcPr>
            <w:tcW w:w="220" w:type="dxa"/>
            <w:tcBorders>
              <w:top w:val="nil"/>
              <w:left w:val="nil"/>
              <w:bottom w:val="nil"/>
              <w:right w:val="nil"/>
            </w:tcBorders>
            <w:shd w:val="clear" w:color="auto" w:fill="auto"/>
            <w:noWrap/>
            <w:vAlign w:val="bottom"/>
            <w:hideMark/>
          </w:tcPr>
          <w:p w14:paraId="5B809FA2"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078F2E6"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Pubali Bank</w:t>
            </w:r>
          </w:p>
        </w:tc>
        <w:tc>
          <w:tcPr>
            <w:tcW w:w="1300" w:type="dxa"/>
            <w:tcBorders>
              <w:top w:val="nil"/>
              <w:left w:val="nil"/>
              <w:bottom w:val="single" w:sz="4" w:space="0" w:color="auto"/>
              <w:right w:val="single" w:sz="4" w:space="0" w:color="auto"/>
            </w:tcBorders>
            <w:shd w:val="clear" w:color="auto" w:fill="auto"/>
            <w:noWrap/>
            <w:vAlign w:val="bottom"/>
            <w:hideMark/>
          </w:tcPr>
          <w:p w14:paraId="6B0B54B8"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12.26 </w:t>
            </w:r>
          </w:p>
        </w:tc>
      </w:tr>
      <w:tr w:rsidR="00797951" w:rsidRPr="008667A0" w14:paraId="629BBC9C"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0ED56F2B"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1220" w:type="dxa"/>
            <w:tcBorders>
              <w:top w:val="nil"/>
              <w:left w:val="nil"/>
              <w:bottom w:val="single" w:sz="4" w:space="0" w:color="auto"/>
              <w:right w:val="single" w:sz="4" w:space="0" w:color="auto"/>
            </w:tcBorders>
            <w:shd w:val="clear" w:color="auto" w:fill="auto"/>
            <w:noWrap/>
            <w:vAlign w:val="bottom"/>
            <w:hideMark/>
          </w:tcPr>
          <w:p w14:paraId="2D167ADF"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w:t>
            </w:r>
          </w:p>
        </w:tc>
        <w:tc>
          <w:tcPr>
            <w:tcW w:w="220" w:type="dxa"/>
            <w:tcBorders>
              <w:top w:val="nil"/>
              <w:left w:val="nil"/>
              <w:bottom w:val="nil"/>
              <w:right w:val="nil"/>
            </w:tcBorders>
            <w:shd w:val="clear" w:color="auto" w:fill="auto"/>
            <w:noWrap/>
            <w:vAlign w:val="bottom"/>
            <w:hideMark/>
          </w:tcPr>
          <w:p w14:paraId="527483F8"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5AF79B75"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1160" w:type="dxa"/>
            <w:tcBorders>
              <w:top w:val="nil"/>
              <w:left w:val="nil"/>
              <w:bottom w:val="single" w:sz="4" w:space="0" w:color="auto"/>
              <w:right w:val="single" w:sz="4" w:space="0" w:color="auto"/>
            </w:tcBorders>
            <w:shd w:val="clear" w:color="auto" w:fill="auto"/>
            <w:noWrap/>
            <w:vAlign w:val="bottom"/>
            <w:hideMark/>
          </w:tcPr>
          <w:p w14:paraId="6813B397"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2.628</w:t>
            </w:r>
          </w:p>
        </w:tc>
        <w:tc>
          <w:tcPr>
            <w:tcW w:w="220" w:type="dxa"/>
            <w:tcBorders>
              <w:top w:val="nil"/>
              <w:left w:val="nil"/>
              <w:bottom w:val="nil"/>
              <w:right w:val="nil"/>
            </w:tcBorders>
            <w:shd w:val="clear" w:color="auto" w:fill="auto"/>
            <w:noWrap/>
            <w:vAlign w:val="bottom"/>
            <w:hideMark/>
          </w:tcPr>
          <w:p w14:paraId="56DD8AC2"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0C212BB1"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One Bank</w:t>
            </w:r>
          </w:p>
        </w:tc>
        <w:tc>
          <w:tcPr>
            <w:tcW w:w="1300" w:type="dxa"/>
            <w:tcBorders>
              <w:top w:val="nil"/>
              <w:left w:val="nil"/>
              <w:bottom w:val="single" w:sz="4" w:space="0" w:color="auto"/>
              <w:right w:val="single" w:sz="4" w:space="0" w:color="auto"/>
            </w:tcBorders>
            <w:shd w:val="clear" w:color="auto" w:fill="auto"/>
            <w:noWrap/>
            <w:vAlign w:val="bottom"/>
            <w:hideMark/>
          </w:tcPr>
          <w:p w14:paraId="6F95D866"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6.42 </w:t>
            </w:r>
          </w:p>
        </w:tc>
      </w:tr>
      <w:tr w:rsidR="00797951" w:rsidRPr="008667A0" w14:paraId="36A3F0F7"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0B9F9ABF"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1220" w:type="dxa"/>
            <w:tcBorders>
              <w:top w:val="nil"/>
              <w:left w:val="nil"/>
              <w:bottom w:val="single" w:sz="4" w:space="0" w:color="auto"/>
              <w:right w:val="single" w:sz="4" w:space="0" w:color="auto"/>
            </w:tcBorders>
            <w:shd w:val="clear" w:color="auto" w:fill="auto"/>
            <w:noWrap/>
            <w:vAlign w:val="bottom"/>
            <w:hideMark/>
          </w:tcPr>
          <w:p w14:paraId="05003E59"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17.5</w:t>
            </w:r>
          </w:p>
        </w:tc>
        <w:tc>
          <w:tcPr>
            <w:tcW w:w="220" w:type="dxa"/>
            <w:tcBorders>
              <w:top w:val="nil"/>
              <w:left w:val="nil"/>
              <w:bottom w:val="nil"/>
              <w:right w:val="nil"/>
            </w:tcBorders>
            <w:shd w:val="clear" w:color="auto" w:fill="auto"/>
            <w:noWrap/>
            <w:vAlign w:val="bottom"/>
            <w:hideMark/>
          </w:tcPr>
          <w:p w14:paraId="75648F35"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DD6CAE8"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1160" w:type="dxa"/>
            <w:tcBorders>
              <w:top w:val="nil"/>
              <w:left w:val="nil"/>
              <w:bottom w:val="single" w:sz="4" w:space="0" w:color="auto"/>
              <w:right w:val="single" w:sz="4" w:space="0" w:color="auto"/>
            </w:tcBorders>
            <w:shd w:val="clear" w:color="auto" w:fill="auto"/>
            <w:noWrap/>
            <w:vAlign w:val="bottom"/>
            <w:hideMark/>
          </w:tcPr>
          <w:p w14:paraId="2432FA6E"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2.282</w:t>
            </w:r>
          </w:p>
        </w:tc>
        <w:tc>
          <w:tcPr>
            <w:tcW w:w="220" w:type="dxa"/>
            <w:tcBorders>
              <w:top w:val="nil"/>
              <w:left w:val="nil"/>
              <w:bottom w:val="nil"/>
              <w:right w:val="nil"/>
            </w:tcBorders>
            <w:shd w:val="clear" w:color="auto" w:fill="auto"/>
            <w:noWrap/>
            <w:vAlign w:val="bottom"/>
            <w:hideMark/>
          </w:tcPr>
          <w:p w14:paraId="52BE00C3"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E301886"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SEBL</w:t>
            </w:r>
          </w:p>
        </w:tc>
        <w:tc>
          <w:tcPr>
            <w:tcW w:w="1300" w:type="dxa"/>
            <w:tcBorders>
              <w:top w:val="nil"/>
              <w:left w:val="nil"/>
              <w:bottom w:val="single" w:sz="4" w:space="0" w:color="auto"/>
              <w:right w:val="single" w:sz="4" w:space="0" w:color="auto"/>
            </w:tcBorders>
            <w:shd w:val="clear" w:color="auto" w:fill="auto"/>
            <w:noWrap/>
            <w:vAlign w:val="bottom"/>
            <w:hideMark/>
          </w:tcPr>
          <w:p w14:paraId="7629A4CB"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6.36 </w:t>
            </w:r>
          </w:p>
        </w:tc>
      </w:tr>
      <w:tr w:rsidR="00797951" w:rsidRPr="008667A0" w14:paraId="61839CEA"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4A5FF8E4"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1220" w:type="dxa"/>
            <w:tcBorders>
              <w:top w:val="nil"/>
              <w:left w:val="nil"/>
              <w:bottom w:val="single" w:sz="4" w:space="0" w:color="auto"/>
              <w:right w:val="single" w:sz="4" w:space="0" w:color="auto"/>
            </w:tcBorders>
            <w:shd w:val="clear" w:color="auto" w:fill="auto"/>
            <w:noWrap/>
            <w:vAlign w:val="bottom"/>
            <w:hideMark/>
          </w:tcPr>
          <w:p w14:paraId="5EDC0F67"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13.58</w:t>
            </w:r>
          </w:p>
        </w:tc>
        <w:tc>
          <w:tcPr>
            <w:tcW w:w="220" w:type="dxa"/>
            <w:tcBorders>
              <w:top w:val="nil"/>
              <w:left w:val="nil"/>
              <w:bottom w:val="nil"/>
              <w:right w:val="nil"/>
            </w:tcBorders>
            <w:shd w:val="clear" w:color="auto" w:fill="auto"/>
            <w:noWrap/>
            <w:vAlign w:val="bottom"/>
            <w:hideMark/>
          </w:tcPr>
          <w:p w14:paraId="3B47D4AF"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DB7177D"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1160" w:type="dxa"/>
            <w:tcBorders>
              <w:top w:val="nil"/>
              <w:left w:val="nil"/>
              <w:bottom w:val="single" w:sz="4" w:space="0" w:color="auto"/>
              <w:right w:val="single" w:sz="4" w:space="0" w:color="auto"/>
            </w:tcBorders>
            <w:shd w:val="clear" w:color="auto" w:fill="auto"/>
            <w:noWrap/>
            <w:vAlign w:val="bottom"/>
            <w:hideMark/>
          </w:tcPr>
          <w:p w14:paraId="040CEF0E"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1.572</w:t>
            </w:r>
          </w:p>
        </w:tc>
        <w:tc>
          <w:tcPr>
            <w:tcW w:w="220" w:type="dxa"/>
            <w:tcBorders>
              <w:top w:val="nil"/>
              <w:left w:val="nil"/>
              <w:bottom w:val="nil"/>
              <w:right w:val="nil"/>
            </w:tcBorders>
            <w:shd w:val="clear" w:color="auto" w:fill="auto"/>
            <w:noWrap/>
            <w:vAlign w:val="bottom"/>
            <w:hideMark/>
          </w:tcPr>
          <w:p w14:paraId="7F3B9AFD"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2CB5D0E0"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Standard Bank</w:t>
            </w:r>
          </w:p>
        </w:tc>
        <w:tc>
          <w:tcPr>
            <w:tcW w:w="1300" w:type="dxa"/>
            <w:tcBorders>
              <w:top w:val="nil"/>
              <w:left w:val="nil"/>
              <w:bottom w:val="single" w:sz="4" w:space="0" w:color="auto"/>
              <w:right w:val="single" w:sz="4" w:space="0" w:color="auto"/>
            </w:tcBorders>
            <w:shd w:val="clear" w:color="auto" w:fill="auto"/>
            <w:noWrap/>
            <w:vAlign w:val="bottom"/>
            <w:hideMark/>
          </w:tcPr>
          <w:p w14:paraId="561AE9AE"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8.23 </w:t>
            </w:r>
          </w:p>
        </w:tc>
      </w:tr>
      <w:tr w:rsidR="00797951" w:rsidRPr="008667A0" w14:paraId="722E7E28"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1279BA5"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Trust Bank Limited </w:t>
            </w:r>
          </w:p>
        </w:tc>
        <w:tc>
          <w:tcPr>
            <w:tcW w:w="1220" w:type="dxa"/>
            <w:tcBorders>
              <w:top w:val="nil"/>
              <w:left w:val="nil"/>
              <w:bottom w:val="single" w:sz="4" w:space="0" w:color="auto"/>
              <w:right w:val="single" w:sz="4" w:space="0" w:color="auto"/>
            </w:tcBorders>
            <w:shd w:val="clear" w:color="auto" w:fill="auto"/>
            <w:noWrap/>
            <w:vAlign w:val="bottom"/>
            <w:hideMark/>
          </w:tcPr>
          <w:p w14:paraId="378ACC3A"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30.08</w:t>
            </w:r>
          </w:p>
        </w:tc>
        <w:tc>
          <w:tcPr>
            <w:tcW w:w="220" w:type="dxa"/>
            <w:tcBorders>
              <w:top w:val="nil"/>
              <w:left w:val="nil"/>
              <w:bottom w:val="nil"/>
              <w:right w:val="nil"/>
            </w:tcBorders>
            <w:shd w:val="clear" w:color="auto" w:fill="auto"/>
            <w:noWrap/>
            <w:vAlign w:val="bottom"/>
            <w:hideMark/>
          </w:tcPr>
          <w:p w14:paraId="62C9AB41"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DBBC2D0"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Trust Bank Limited </w:t>
            </w:r>
          </w:p>
        </w:tc>
        <w:tc>
          <w:tcPr>
            <w:tcW w:w="1160" w:type="dxa"/>
            <w:tcBorders>
              <w:top w:val="nil"/>
              <w:left w:val="nil"/>
              <w:bottom w:val="single" w:sz="4" w:space="0" w:color="auto"/>
              <w:right w:val="single" w:sz="4" w:space="0" w:color="auto"/>
            </w:tcBorders>
            <w:shd w:val="clear" w:color="auto" w:fill="auto"/>
            <w:noWrap/>
            <w:vAlign w:val="bottom"/>
            <w:hideMark/>
          </w:tcPr>
          <w:p w14:paraId="572D9C79"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3.234</w:t>
            </w:r>
          </w:p>
        </w:tc>
        <w:tc>
          <w:tcPr>
            <w:tcW w:w="220" w:type="dxa"/>
            <w:tcBorders>
              <w:top w:val="nil"/>
              <w:left w:val="nil"/>
              <w:bottom w:val="nil"/>
              <w:right w:val="nil"/>
            </w:tcBorders>
            <w:shd w:val="clear" w:color="auto" w:fill="auto"/>
            <w:noWrap/>
            <w:vAlign w:val="bottom"/>
            <w:hideMark/>
          </w:tcPr>
          <w:p w14:paraId="0BD8B1FD"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330FD32"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Trust Bank Limited </w:t>
            </w:r>
          </w:p>
        </w:tc>
        <w:tc>
          <w:tcPr>
            <w:tcW w:w="1300" w:type="dxa"/>
            <w:tcBorders>
              <w:top w:val="nil"/>
              <w:left w:val="nil"/>
              <w:bottom w:val="single" w:sz="4" w:space="0" w:color="auto"/>
              <w:right w:val="single" w:sz="4" w:space="0" w:color="auto"/>
            </w:tcBorders>
            <w:shd w:val="clear" w:color="auto" w:fill="auto"/>
            <w:noWrap/>
            <w:vAlign w:val="bottom"/>
            <w:hideMark/>
          </w:tcPr>
          <w:p w14:paraId="596E292D"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9.09 </w:t>
            </w:r>
          </w:p>
        </w:tc>
      </w:tr>
      <w:tr w:rsidR="00797951" w:rsidRPr="008667A0" w14:paraId="23C5731C" w14:textId="77777777" w:rsidTr="00797951">
        <w:trPr>
          <w:trHeight w:val="288"/>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7CAACA6D"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1220" w:type="dxa"/>
            <w:tcBorders>
              <w:top w:val="nil"/>
              <w:left w:val="nil"/>
              <w:bottom w:val="single" w:sz="4" w:space="0" w:color="auto"/>
              <w:right w:val="single" w:sz="4" w:space="0" w:color="auto"/>
            </w:tcBorders>
            <w:shd w:val="clear" w:color="auto" w:fill="auto"/>
            <w:noWrap/>
            <w:vAlign w:val="bottom"/>
            <w:hideMark/>
          </w:tcPr>
          <w:p w14:paraId="3F24A837"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19.42</w:t>
            </w:r>
          </w:p>
        </w:tc>
        <w:tc>
          <w:tcPr>
            <w:tcW w:w="220" w:type="dxa"/>
            <w:tcBorders>
              <w:top w:val="nil"/>
              <w:left w:val="nil"/>
              <w:bottom w:val="nil"/>
              <w:right w:val="nil"/>
            </w:tcBorders>
            <w:shd w:val="clear" w:color="auto" w:fill="auto"/>
            <w:noWrap/>
            <w:vAlign w:val="bottom"/>
            <w:hideMark/>
          </w:tcPr>
          <w:p w14:paraId="7C56201E"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F1B0C72"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1160" w:type="dxa"/>
            <w:tcBorders>
              <w:top w:val="nil"/>
              <w:left w:val="nil"/>
              <w:bottom w:val="single" w:sz="4" w:space="0" w:color="auto"/>
              <w:right w:val="single" w:sz="4" w:space="0" w:color="auto"/>
            </w:tcBorders>
            <w:shd w:val="clear" w:color="auto" w:fill="auto"/>
            <w:noWrap/>
            <w:vAlign w:val="bottom"/>
            <w:hideMark/>
          </w:tcPr>
          <w:p w14:paraId="1BB93A79"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2.638</w:t>
            </w:r>
          </w:p>
        </w:tc>
        <w:tc>
          <w:tcPr>
            <w:tcW w:w="220" w:type="dxa"/>
            <w:tcBorders>
              <w:top w:val="nil"/>
              <w:left w:val="nil"/>
              <w:bottom w:val="nil"/>
              <w:right w:val="nil"/>
            </w:tcBorders>
            <w:shd w:val="clear" w:color="auto" w:fill="auto"/>
            <w:noWrap/>
            <w:vAlign w:val="bottom"/>
            <w:hideMark/>
          </w:tcPr>
          <w:p w14:paraId="2C04EB41"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3C1F866"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UCB </w:t>
            </w:r>
          </w:p>
        </w:tc>
        <w:tc>
          <w:tcPr>
            <w:tcW w:w="1300" w:type="dxa"/>
            <w:tcBorders>
              <w:top w:val="nil"/>
              <w:left w:val="nil"/>
              <w:bottom w:val="single" w:sz="4" w:space="0" w:color="auto"/>
              <w:right w:val="single" w:sz="4" w:space="0" w:color="auto"/>
            </w:tcBorders>
            <w:shd w:val="clear" w:color="auto" w:fill="auto"/>
            <w:noWrap/>
            <w:vAlign w:val="bottom"/>
            <w:hideMark/>
          </w:tcPr>
          <w:p w14:paraId="53634E73"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7.66 </w:t>
            </w:r>
          </w:p>
        </w:tc>
      </w:tr>
      <w:tr w:rsidR="00797951" w:rsidRPr="008667A0" w14:paraId="6BE2DCDA" w14:textId="77777777" w:rsidTr="008667A0">
        <w:trPr>
          <w:trHeight w:val="61"/>
          <w:jc w:val="center"/>
        </w:trPr>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68DDD123"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lastRenderedPageBreak/>
              <w:t>Uttara Bank</w:t>
            </w:r>
          </w:p>
        </w:tc>
        <w:tc>
          <w:tcPr>
            <w:tcW w:w="1220" w:type="dxa"/>
            <w:tcBorders>
              <w:top w:val="nil"/>
              <w:left w:val="nil"/>
              <w:bottom w:val="single" w:sz="4" w:space="0" w:color="auto"/>
              <w:right w:val="single" w:sz="4" w:space="0" w:color="auto"/>
            </w:tcBorders>
            <w:shd w:val="clear" w:color="auto" w:fill="auto"/>
            <w:noWrap/>
            <w:vAlign w:val="bottom"/>
            <w:hideMark/>
          </w:tcPr>
          <w:p w14:paraId="20AD0EFF"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28</w:t>
            </w:r>
          </w:p>
        </w:tc>
        <w:tc>
          <w:tcPr>
            <w:tcW w:w="220" w:type="dxa"/>
            <w:tcBorders>
              <w:top w:val="nil"/>
              <w:left w:val="nil"/>
              <w:bottom w:val="nil"/>
              <w:right w:val="nil"/>
            </w:tcBorders>
            <w:shd w:val="clear" w:color="auto" w:fill="auto"/>
            <w:noWrap/>
            <w:vAlign w:val="bottom"/>
            <w:hideMark/>
          </w:tcPr>
          <w:p w14:paraId="2A2519F7"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C61DD96"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1160" w:type="dxa"/>
            <w:tcBorders>
              <w:top w:val="nil"/>
              <w:left w:val="nil"/>
              <w:bottom w:val="single" w:sz="4" w:space="0" w:color="auto"/>
              <w:right w:val="single" w:sz="4" w:space="0" w:color="auto"/>
            </w:tcBorders>
            <w:shd w:val="clear" w:color="auto" w:fill="auto"/>
            <w:noWrap/>
            <w:vAlign w:val="bottom"/>
            <w:hideMark/>
          </w:tcPr>
          <w:p w14:paraId="017EC0ED"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4.072</w:t>
            </w:r>
          </w:p>
        </w:tc>
        <w:tc>
          <w:tcPr>
            <w:tcW w:w="220" w:type="dxa"/>
            <w:tcBorders>
              <w:top w:val="nil"/>
              <w:left w:val="nil"/>
              <w:bottom w:val="nil"/>
              <w:right w:val="nil"/>
            </w:tcBorders>
            <w:shd w:val="clear" w:color="auto" w:fill="auto"/>
            <w:noWrap/>
            <w:vAlign w:val="bottom"/>
            <w:hideMark/>
          </w:tcPr>
          <w:p w14:paraId="76BBFA45" w14:textId="77777777" w:rsidR="00797951" w:rsidRPr="008667A0" w:rsidRDefault="00797951" w:rsidP="00797951">
            <w:pPr>
              <w:spacing w:after="0" w:line="240" w:lineRule="auto"/>
              <w:jc w:val="right"/>
              <w:rPr>
                <w:rFonts w:ascii="Times New Roman" w:eastAsia="Times New Roman" w:hAnsi="Times New Roman" w:cs="Times New Roman"/>
                <w:color w:val="000000"/>
                <w:sz w:val="20"/>
                <w:szCs w:val="2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247D0F6C" w14:textId="77777777" w:rsidR="00797951" w:rsidRPr="008667A0" w:rsidRDefault="00797951" w:rsidP="00797951">
            <w:pPr>
              <w:spacing w:after="0" w:line="240" w:lineRule="auto"/>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Uttara Bank</w:t>
            </w:r>
          </w:p>
        </w:tc>
        <w:tc>
          <w:tcPr>
            <w:tcW w:w="1300" w:type="dxa"/>
            <w:tcBorders>
              <w:top w:val="nil"/>
              <w:left w:val="nil"/>
              <w:bottom w:val="single" w:sz="4" w:space="0" w:color="auto"/>
              <w:right w:val="single" w:sz="4" w:space="0" w:color="auto"/>
            </w:tcBorders>
            <w:shd w:val="clear" w:color="auto" w:fill="auto"/>
            <w:noWrap/>
            <w:vAlign w:val="bottom"/>
            <w:hideMark/>
          </w:tcPr>
          <w:p w14:paraId="6CC565E4" w14:textId="77777777" w:rsidR="00797951" w:rsidRPr="008667A0" w:rsidRDefault="00797951" w:rsidP="008667A0">
            <w:pPr>
              <w:spacing w:after="0" w:line="240" w:lineRule="auto"/>
              <w:jc w:val="right"/>
              <w:rPr>
                <w:rFonts w:ascii="Times New Roman" w:eastAsia="Times New Roman" w:hAnsi="Times New Roman" w:cs="Times New Roman"/>
                <w:color w:val="000000"/>
                <w:sz w:val="20"/>
                <w:szCs w:val="20"/>
              </w:rPr>
            </w:pPr>
            <w:r w:rsidRPr="008667A0">
              <w:rPr>
                <w:rFonts w:ascii="Times New Roman" w:eastAsia="Times New Roman" w:hAnsi="Times New Roman" w:cs="Times New Roman"/>
                <w:color w:val="000000"/>
                <w:sz w:val="20"/>
                <w:szCs w:val="20"/>
              </w:rPr>
              <w:t xml:space="preserve">              6.83 </w:t>
            </w:r>
          </w:p>
        </w:tc>
      </w:tr>
    </w:tbl>
    <w:p w14:paraId="793F8F4D" w14:textId="77777777" w:rsidR="00797951" w:rsidRDefault="00797951" w:rsidP="00797951">
      <w:pPr>
        <w:pStyle w:val="Caption"/>
      </w:pPr>
      <w:bookmarkStart w:id="72" w:name="_Toc53355889"/>
      <w:r>
        <w:t xml:space="preserve">Table </w:t>
      </w:r>
      <w:fldSimple w:instr=" SEQ Table \* ARABIC ">
        <w:r w:rsidR="009F7CAB">
          <w:rPr>
            <w:noProof/>
          </w:rPr>
          <w:t>14</w:t>
        </w:r>
      </w:fldSimple>
      <w:r>
        <w:t xml:space="preserve">: </w:t>
      </w:r>
      <w:r w:rsidRPr="00F20388">
        <w:t>Average Market Price per Share</w:t>
      </w:r>
      <w:r>
        <w:t xml:space="preserve"> Table </w:t>
      </w:r>
      <w:fldSimple w:instr=" SEQ Table \* ARABIC ">
        <w:r w:rsidR="009F7CAB">
          <w:rPr>
            <w:noProof/>
          </w:rPr>
          <w:t>15</w:t>
        </w:r>
      </w:fldSimple>
      <w:r>
        <w:t xml:space="preserve">: </w:t>
      </w:r>
      <w:r w:rsidRPr="00730E18">
        <w:t>Average Earnings per Share</w:t>
      </w:r>
      <w:r>
        <w:t xml:space="preserve">   Table </w:t>
      </w:r>
      <w:fldSimple w:instr=" SEQ Table \* ARABIC ">
        <w:r w:rsidR="009F7CAB">
          <w:rPr>
            <w:noProof/>
          </w:rPr>
          <w:t>16</w:t>
        </w:r>
      </w:fldSimple>
      <w:r>
        <w:t xml:space="preserve">: </w:t>
      </w:r>
      <w:r w:rsidRPr="00A8717E">
        <w:t xml:space="preserve"> Average Price Earnings Ratio (Times)</w:t>
      </w:r>
      <w:bookmarkEnd w:id="72"/>
    </w:p>
    <w:tbl>
      <w:tblPr>
        <w:tblW w:w="10040" w:type="dxa"/>
        <w:jc w:val="center"/>
        <w:tblLook w:val="04A0" w:firstRow="1" w:lastRow="0" w:firstColumn="1" w:lastColumn="0" w:noHBand="0" w:noVBand="1"/>
      </w:tblPr>
      <w:tblGrid>
        <w:gridCol w:w="2080"/>
        <w:gridCol w:w="1120"/>
        <w:gridCol w:w="222"/>
        <w:gridCol w:w="2080"/>
        <w:gridCol w:w="1060"/>
        <w:gridCol w:w="222"/>
        <w:gridCol w:w="2120"/>
        <w:gridCol w:w="1180"/>
      </w:tblGrid>
      <w:tr w:rsidR="003A5638" w:rsidRPr="003A5638" w14:paraId="3145069D" w14:textId="77777777" w:rsidTr="003A5638">
        <w:trPr>
          <w:trHeight w:val="1728"/>
          <w:jc w:val="center"/>
        </w:trPr>
        <w:tc>
          <w:tcPr>
            <w:tcW w:w="2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6983C6" w14:textId="77777777" w:rsidR="003A5638" w:rsidRPr="003A5638" w:rsidRDefault="003A5638" w:rsidP="003A5638">
            <w:pPr>
              <w:spacing w:after="0" w:line="240" w:lineRule="auto"/>
              <w:jc w:val="center"/>
              <w:rPr>
                <w:rFonts w:ascii="Calibri" w:eastAsia="Times New Roman" w:hAnsi="Calibri" w:cs="Calibri"/>
                <w:color w:val="000000"/>
              </w:rPr>
            </w:pPr>
            <w:r w:rsidRPr="003A5638">
              <w:rPr>
                <w:rFonts w:ascii="Calibri" w:eastAsia="Times New Roman" w:hAnsi="Calibri" w:cs="Calibri"/>
                <w:color w:val="000000"/>
              </w:rPr>
              <w:t>Bank Name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68F0EDB6" w14:textId="77777777" w:rsidR="003A5638" w:rsidRPr="003A5638" w:rsidRDefault="003A5638" w:rsidP="003A5638">
            <w:pPr>
              <w:spacing w:after="0" w:line="240" w:lineRule="auto"/>
              <w:jc w:val="center"/>
              <w:rPr>
                <w:rFonts w:ascii="Calibri" w:eastAsia="Times New Roman" w:hAnsi="Calibri" w:cs="Calibri"/>
                <w:color w:val="000000"/>
              </w:rPr>
            </w:pPr>
            <w:r w:rsidRPr="003A5638">
              <w:rPr>
                <w:rFonts w:ascii="Calibri" w:eastAsia="Times New Roman" w:hAnsi="Calibri" w:cs="Calibri"/>
                <w:color w:val="000000"/>
              </w:rPr>
              <w:t xml:space="preserve"> Average Net Assets Value per Share </w:t>
            </w:r>
          </w:p>
        </w:tc>
        <w:tc>
          <w:tcPr>
            <w:tcW w:w="220" w:type="dxa"/>
            <w:tcBorders>
              <w:top w:val="nil"/>
              <w:left w:val="nil"/>
              <w:bottom w:val="nil"/>
              <w:right w:val="nil"/>
            </w:tcBorders>
            <w:shd w:val="clear" w:color="auto" w:fill="auto"/>
            <w:vAlign w:val="center"/>
            <w:hideMark/>
          </w:tcPr>
          <w:p w14:paraId="7DDC5474" w14:textId="77777777" w:rsidR="003A5638" w:rsidRPr="003A5638" w:rsidRDefault="003A5638" w:rsidP="003A5638">
            <w:pPr>
              <w:spacing w:after="0" w:line="240" w:lineRule="auto"/>
              <w:jc w:val="center"/>
              <w:rPr>
                <w:rFonts w:ascii="Calibri" w:eastAsia="Times New Roman" w:hAnsi="Calibri" w:cs="Calibri"/>
                <w:color w:val="000000"/>
              </w:rPr>
            </w:pPr>
          </w:p>
        </w:tc>
        <w:tc>
          <w:tcPr>
            <w:tcW w:w="2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A0D138" w14:textId="77777777" w:rsidR="003A5638" w:rsidRPr="003A5638" w:rsidRDefault="003A5638" w:rsidP="003A5638">
            <w:pPr>
              <w:spacing w:after="0" w:line="240" w:lineRule="auto"/>
              <w:jc w:val="center"/>
              <w:rPr>
                <w:rFonts w:ascii="Calibri" w:eastAsia="Times New Roman" w:hAnsi="Calibri" w:cs="Calibri"/>
                <w:color w:val="000000"/>
              </w:rPr>
            </w:pPr>
            <w:r w:rsidRPr="003A5638">
              <w:rPr>
                <w:rFonts w:ascii="Calibri" w:eastAsia="Times New Roman" w:hAnsi="Calibri" w:cs="Calibri"/>
                <w:color w:val="000000"/>
              </w:rPr>
              <w:t>Bank Name</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1C86F430" w14:textId="77777777" w:rsidR="003A5638" w:rsidRPr="003A5638" w:rsidRDefault="003A5638" w:rsidP="003A5638">
            <w:pPr>
              <w:spacing w:after="0" w:line="240" w:lineRule="auto"/>
              <w:jc w:val="center"/>
              <w:rPr>
                <w:rFonts w:ascii="Calibri" w:eastAsia="Times New Roman" w:hAnsi="Calibri" w:cs="Calibri"/>
                <w:color w:val="000000"/>
              </w:rPr>
            </w:pPr>
            <w:r w:rsidRPr="003A5638">
              <w:rPr>
                <w:rFonts w:ascii="Calibri" w:eastAsia="Times New Roman" w:hAnsi="Calibri" w:cs="Calibri"/>
                <w:color w:val="000000"/>
              </w:rPr>
              <w:t xml:space="preserve"> Average Dividend Coverage Ratio </w:t>
            </w:r>
          </w:p>
        </w:tc>
        <w:tc>
          <w:tcPr>
            <w:tcW w:w="180" w:type="dxa"/>
            <w:tcBorders>
              <w:top w:val="nil"/>
              <w:left w:val="nil"/>
              <w:bottom w:val="nil"/>
              <w:right w:val="nil"/>
            </w:tcBorders>
            <w:shd w:val="clear" w:color="auto" w:fill="auto"/>
            <w:vAlign w:val="center"/>
            <w:hideMark/>
          </w:tcPr>
          <w:p w14:paraId="00529AAD" w14:textId="77777777" w:rsidR="003A5638" w:rsidRPr="003A5638" w:rsidRDefault="003A5638" w:rsidP="003A5638">
            <w:pPr>
              <w:spacing w:after="0" w:line="240" w:lineRule="auto"/>
              <w:jc w:val="center"/>
              <w:rPr>
                <w:rFonts w:ascii="Calibri" w:eastAsia="Times New Roman" w:hAnsi="Calibri" w:cs="Calibri"/>
                <w:color w:val="000000"/>
              </w:rPr>
            </w:pPr>
          </w:p>
        </w:tc>
        <w:tc>
          <w:tcPr>
            <w:tcW w:w="212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048C07" w14:textId="77777777" w:rsidR="003A5638" w:rsidRPr="003A5638" w:rsidRDefault="003A5638" w:rsidP="003A5638">
            <w:pPr>
              <w:spacing w:after="0" w:line="240" w:lineRule="auto"/>
              <w:jc w:val="center"/>
              <w:rPr>
                <w:rFonts w:ascii="Calibri" w:eastAsia="Times New Roman" w:hAnsi="Calibri" w:cs="Calibri"/>
                <w:color w:val="000000"/>
              </w:rPr>
            </w:pPr>
            <w:r w:rsidRPr="003A5638">
              <w:rPr>
                <w:rFonts w:ascii="Calibri" w:eastAsia="Times New Roman" w:hAnsi="Calibri" w:cs="Calibri"/>
                <w:color w:val="000000"/>
              </w:rPr>
              <w:t>Bank Name</w:t>
            </w:r>
          </w:p>
        </w:tc>
        <w:tc>
          <w:tcPr>
            <w:tcW w:w="1180" w:type="dxa"/>
            <w:tcBorders>
              <w:top w:val="single" w:sz="4" w:space="0" w:color="auto"/>
              <w:left w:val="nil"/>
              <w:bottom w:val="single" w:sz="4" w:space="0" w:color="auto"/>
              <w:right w:val="single" w:sz="4" w:space="0" w:color="auto"/>
            </w:tcBorders>
            <w:shd w:val="clear" w:color="auto" w:fill="auto"/>
            <w:vAlign w:val="center"/>
            <w:hideMark/>
          </w:tcPr>
          <w:p w14:paraId="557CD6B0" w14:textId="77777777" w:rsidR="003A5638" w:rsidRPr="003A5638" w:rsidRDefault="003A5638" w:rsidP="003A5638">
            <w:pPr>
              <w:spacing w:after="0" w:line="240" w:lineRule="auto"/>
              <w:jc w:val="center"/>
              <w:rPr>
                <w:rFonts w:ascii="Calibri" w:eastAsia="Times New Roman" w:hAnsi="Calibri" w:cs="Calibri"/>
                <w:color w:val="000000"/>
              </w:rPr>
            </w:pPr>
            <w:r w:rsidRPr="003A5638">
              <w:rPr>
                <w:rFonts w:ascii="Calibri" w:eastAsia="Times New Roman" w:hAnsi="Calibri" w:cs="Calibri"/>
                <w:color w:val="000000"/>
              </w:rPr>
              <w:t xml:space="preserve"> Average Operating Profit per Share </w:t>
            </w:r>
          </w:p>
        </w:tc>
      </w:tr>
      <w:tr w:rsidR="003A5638" w:rsidRPr="003A5638" w14:paraId="468324CA"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01B855C"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AB Bank</w:t>
            </w:r>
          </w:p>
        </w:tc>
        <w:tc>
          <w:tcPr>
            <w:tcW w:w="1120" w:type="dxa"/>
            <w:tcBorders>
              <w:top w:val="nil"/>
              <w:left w:val="nil"/>
              <w:bottom w:val="single" w:sz="4" w:space="0" w:color="auto"/>
              <w:right w:val="single" w:sz="4" w:space="0" w:color="auto"/>
            </w:tcBorders>
            <w:shd w:val="clear" w:color="auto" w:fill="auto"/>
            <w:noWrap/>
            <w:vAlign w:val="bottom"/>
            <w:hideMark/>
          </w:tcPr>
          <w:p w14:paraId="7AD7E978"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30.12 </w:t>
            </w:r>
          </w:p>
        </w:tc>
        <w:tc>
          <w:tcPr>
            <w:tcW w:w="220" w:type="dxa"/>
            <w:tcBorders>
              <w:top w:val="nil"/>
              <w:left w:val="nil"/>
              <w:bottom w:val="nil"/>
              <w:right w:val="nil"/>
            </w:tcBorders>
            <w:shd w:val="clear" w:color="auto" w:fill="auto"/>
            <w:noWrap/>
            <w:vAlign w:val="bottom"/>
            <w:hideMark/>
          </w:tcPr>
          <w:p w14:paraId="482492A2"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E1A3C60"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AB Bank</w:t>
            </w:r>
          </w:p>
        </w:tc>
        <w:tc>
          <w:tcPr>
            <w:tcW w:w="1060" w:type="dxa"/>
            <w:tcBorders>
              <w:top w:val="nil"/>
              <w:left w:val="nil"/>
              <w:bottom w:val="single" w:sz="4" w:space="0" w:color="auto"/>
              <w:right w:val="single" w:sz="4" w:space="0" w:color="auto"/>
            </w:tcBorders>
            <w:shd w:val="clear" w:color="auto" w:fill="auto"/>
            <w:noWrap/>
            <w:vAlign w:val="bottom"/>
            <w:hideMark/>
          </w:tcPr>
          <w:p w14:paraId="0F8AFB74"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0.03 </w:t>
            </w:r>
          </w:p>
        </w:tc>
        <w:tc>
          <w:tcPr>
            <w:tcW w:w="180" w:type="dxa"/>
            <w:tcBorders>
              <w:top w:val="nil"/>
              <w:left w:val="nil"/>
              <w:bottom w:val="nil"/>
              <w:right w:val="nil"/>
            </w:tcBorders>
            <w:shd w:val="clear" w:color="auto" w:fill="auto"/>
            <w:noWrap/>
            <w:vAlign w:val="bottom"/>
            <w:hideMark/>
          </w:tcPr>
          <w:p w14:paraId="61DD5D0B"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044748EA"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AB Bank</w:t>
            </w:r>
          </w:p>
        </w:tc>
        <w:tc>
          <w:tcPr>
            <w:tcW w:w="1180" w:type="dxa"/>
            <w:tcBorders>
              <w:top w:val="nil"/>
              <w:left w:val="nil"/>
              <w:bottom w:val="single" w:sz="4" w:space="0" w:color="auto"/>
              <w:right w:val="single" w:sz="4" w:space="0" w:color="auto"/>
            </w:tcBorders>
            <w:shd w:val="clear" w:color="auto" w:fill="auto"/>
            <w:noWrap/>
            <w:vAlign w:val="bottom"/>
            <w:hideMark/>
          </w:tcPr>
          <w:p w14:paraId="3DC4EB49"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6.65 </w:t>
            </w:r>
          </w:p>
        </w:tc>
      </w:tr>
      <w:tr w:rsidR="003A5638" w:rsidRPr="003A5638" w14:paraId="394C6D99"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02727FC"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Bank Asia</w:t>
            </w:r>
          </w:p>
        </w:tc>
        <w:tc>
          <w:tcPr>
            <w:tcW w:w="1120" w:type="dxa"/>
            <w:tcBorders>
              <w:top w:val="nil"/>
              <w:left w:val="nil"/>
              <w:bottom w:val="single" w:sz="4" w:space="0" w:color="auto"/>
              <w:right w:val="single" w:sz="4" w:space="0" w:color="auto"/>
            </w:tcBorders>
            <w:shd w:val="clear" w:color="auto" w:fill="auto"/>
            <w:noWrap/>
            <w:vAlign w:val="bottom"/>
            <w:hideMark/>
          </w:tcPr>
          <w:p w14:paraId="6935B6C7"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20.21 </w:t>
            </w:r>
          </w:p>
        </w:tc>
        <w:tc>
          <w:tcPr>
            <w:tcW w:w="220" w:type="dxa"/>
            <w:tcBorders>
              <w:top w:val="nil"/>
              <w:left w:val="nil"/>
              <w:bottom w:val="nil"/>
              <w:right w:val="nil"/>
            </w:tcBorders>
            <w:shd w:val="clear" w:color="auto" w:fill="auto"/>
            <w:noWrap/>
            <w:vAlign w:val="bottom"/>
            <w:hideMark/>
          </w:tcPr>
          <w:p w14:paraId="4CB1CE07"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C39C54C"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Bank Asia</w:t>
            </w:r>
          </w:p>
        </w:tc>
        <w:tc>
          <w:tcPr>
            <w:tcW w:w="1060" w:type="dxa"/>
            <w:tcBorders>
              <w:top w:val="nil"/>
              <w:left w:val="nil"/>
              <w:bottom w:val="single" w:sz="4" w:space="0" w:color="auto"/>
              <w:right w:val="single" w:sz="4" w:space="0" w:color="auto"/>
            </w:tcBorders>
            <w:shd w:val="clear" w:color="auto" w:fill="auto"/>
            <w:noWrap/>
            <w:vAlign w:val="bottom"/>
            <w:hideMark/>
          </w:tcPr>
          <w:p w14:paraId="2F52DDE3"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1.67 </w:t>
            </w:r>
          </w:p>
        </w:tc>
        <w:tc>
          <w:tcPr>
            <w:tcW w:w="180" w:type="dxa"/>
            <w:tcBorders>
              <w:top w:val="nil"/>
              <w:left w:val="nil"/>
              <w:bottom w:val="nil"/>
              <w:right w:val="nil"/>
            </w:tcBorders>
            <w:shd w:val="clear" w:color="auto" w:fill="auto"/>
            <w:noWrap/>
            <w:vAlign w:val="bottom"/>
            <w:hideMark/>
          </w:tcPr>
          <w:p w14:paraId="191708D0"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23B9C1A5"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Bank Asia</w:t>
            </w:r>
          </w:p>
        </w:tc>
        <w:tc>
          <w:tcPr>
            <w:tcW w:w="1180" w:type="dxa"/>
            <w:tcBorders>
              <w:top w:val="nil"/>
              <w:left w:val="nil"/>
              <w:bottom w:val="single" w:sz="4" w:space="0" w:color="auto"/>
              <w:right w:val="single" w:sz="4" w:space="0" w:color="auto"/>
            </w:tcBorders>
            <w:shd w:val="clear" w:color="auto" w:fill="auto"/>
            <w:noWrap/>
            <w:vAlign w:val="bottom"/>
            <w:hideMark/>
          </w:tcPr>
          <w:p w14:paraId="2846A59E"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7.11 </w:t>
            </w:r>
          </w:p>
        </w:tc>
      </w:tr>
      <w:tr w:rsidR="003A5638" w:rsidRPr="003A5638" w14:paraId="0C2F1D3D"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4156032"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Brac Bank</w:t>
            </w:r>
          </w:p>
        </w:tc>
        <w:tc>
          <w:tcPr>
            <w:tcW w:w="1120" w:type="dxa"/>
            <w:tcBorders>
              <w:top w:val="nil"/>
              <w:left w:val="nil"/>
              <w:bottom w:val="single" w:sz="4" w:space="0" w:color="auto"/>
              <w:right w:val="single" w:sz="4" w:space="0" w:color="auto"/>
            </w:tcBorders>
            <w:shd w:val="clear" w:color="auto" w:fill="auto"/>
            <w:noWrap/>
            <w:vAlign w:val="bottom"/>
            <w:hideMark/>
          </w:tcPr>
          <w:p w14:paraId="0318414C"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26.40 </w:t>
            </w:r>
          </w:p>
        </w:tc>
        <w:tc>
          <w:tcPr>
            <w:tcW w:w="220" w:type="dxa"/>
            <w:tcBorders>
              <w:top w:val="nil"/>
              <w:left w:val="nil"/>
              <w:bottom w:val="nil"/>
              <w:right w:val="nil"/>
            </w:tcBorders>
            <w:shd w:val="clear" w:color="auto" w:fill="auto"/>
            <w:noWrap/>
            <w:vAlign w:val="bottom"/>
            <w:hideMark/>
          </w:tcPr>
          <w:p w14:paraId="548DBFFF"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D0B8D1A"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Brac Bank</w:t>
            </w:r>
          </w:p>
        </w:tc>
        <w:tc>
          <w:tcPr>
            <w:tcW w:w="1060" w:type="dxa"/>
            <w:tcBorders>
              <w:top w:val="nil"/>
              <w:left w:val="nil"/>
              <w:bottom w:val="single" w:sz="4" w:space="0" w:color="auto"/>
              <w:right w:val="single" w:sz="4" w:space="0" w:color="auto"/>
            </w:tcBorders>
            <w:shd w:val="clear" w:color="auto" w:fill="auto"/>
            <w:noWrap/>
            <w:vAlign w:val="bottom"/>
            <w:hideMark/>
          </w:tcPr>
          <w:p w14:paraId="1F310BC5"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2.56 </w:t>
            </w:r>
          </w:p>
        </w:tc>
        <w:tc>
          <w:tcPr>
            <w:tcW w:w="180" w:type="dxa"/>
            <w:tcBorders>
              <w:top w:val="nil"/>
              <w:left w:val="nil"/>
              <w:bottom w:val="nil"/>
              <w:right w:val="nil"/>
            </w:tcBorders>
            <w:shd w:val="clear" w:color="auto" w:fill="auto"/>
            <w:noWrap/>
            <w:vAlign w:val="bottom"/>
            <w:hideMark/>
          </w:tcPr>
          <w:p w14:paraId="379D3891"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258FEEC4"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Brac Bank</w:t>
            </w:r>
          </w:p>
        </w:tc>
        <w:tc>
          <w:tcPr>
            <w:tcW w:w="1180" w:type="dxa"/>
            <w:tcBorders>
              <w:top w:val="nil"/>
              <w:left w:val="nil"/>
              <w:bottom w:val="single" w:sz="4" w:space="0" w:color="auto"/>
              <w:right w:val="single" w:sz="4" w:space="0" w:color="auto"/>
            </w:tcBorders>
            <w:shd w:val="clear" w:color="auto" w:fill="auto"/>
            <w:noWrap/>
            <w:vAlign w:val="bottom"/>
            <w:hideMark/>
          </w:tcPr>
          <w:p w14:paraId="1DC791BF"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3.66 </w:t>
            </w:r>
          </w:p>
        </w:tc>
      </w:tr>
      <w:tr w:rsidR="003A5638" w:rsidRPr="003A5638" w14:paraId="0ACC95F3"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06816044"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City Bank</w:t>
            </w:r>
          </w:p>
        </w:tc>
        <w:tc>
          <w:tcPr>
            <w:tcW w:w="1120" w:type="dxa"/>
            <w:tcBorders>
              <w:top w:val="nil"/>
              <w:left w:val="nil"/>
              <w:bottom w:val="single" w:sz="4" w:space="0" w:color="auto"/>
              <w:right w:val="single" w:sz="4" w:space="0" w:color="auto"/>
            </w:tcBorders>
            <w:shd w:val="clear" w:color="auto" w:fill="auto"/>
            <w:noWrap/>
            <w:vAlign w:val="bottom"/>
            <w:hideMark/>
          </w:tcPr>
          <w:p w14:paraId="2C56BF89"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24.94 </w:t>
            </w:r>
          </w:p>
        </w:tc>
        <w:tc>
          <w:tcPr>
            <w:tcW w:w="220" w:type="dxa"/>
            <w:tcBorders>
              <w:top w:val="nil"/>
              <w:left w:val="nil"/>
              <w:bottom w:val="nil"/>
              <w:right w:val="nil"/>
            </w:tcBorders>
            <w:shd w:val="clear" w:color="auto" w:fill="auto"/>
            <w:noWrap/>
            <w:vAlign w:val="bottom"/>
            <w:hideMark/>
          </w:tcPr>
          <w:p w14:paraId="16FEB267"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40EE5C5"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City Bank</w:t>
            </w:r>
          </w:p>
        </w:tc>
        <w:tc>
          <w:tcPr>
            <w:tcW w:w="1060" w:type="dxa"/>
            <w:tcBorders>
              <w:top w:val="nil"/>
              <w:left w:val="nil"/>
              <w:bottom w:val="single" w:sz="4" w:space="0" w:color="auto"/>
              <w:right w:val="single" w:sz="4" w:space="0" w:color="auto"/>
            </w:tcBorders>
            <w:shd w:val="clear" w:color="auto" w:fill="auto"/>
            <w:noWrap/>
            <w:vAlign w:val="bottom"/>
            <w:hideMark/>
          </w:tcPr>
          <w:p w14:paraId="0A9193EE"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3.16 </w:t>
            </w:r>
          </w:p>
        </w:tc>
        <w:tc>
          <w:tcPr>
            <w:tcW w:w="180" w:type="dxa"/>
            <w:tcBorders>
              <w:top w:val="nil"/>
              <w:left w:val="nil"/>
              <w:bottom w:val="nil"/>
              <w:right w:val="nil"/>
            </w:tcBorders>
            <w:shd w:val="clear" w:color="auto" w:fill="auto"/>
            <w:noWrap/>
            <w:vAlign w:val="bottom"/>
            <w:hideMark/>
          </w:tcPr>
          <w:p w14:paraId="0DE4D161"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E412765"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City Bank</w:t>
            </w:r>
          </w:p>
        </w:tc>
        <w:tc>
          <w:tcPr>
            <w:tcW w:w="1180" w:type="dxa"/>
            <w:tcBorders>
              <w:top w:val="nil"/>
              <w:left w:val="nil"/>
              <w:bottom w:val="single" w:sz="4" w:space="0" w:color="auto"/>
              <w:right w:val="single" w:sz="4" w:space="0" w:color="auto"/>
            </w:tcBorders>
            <w:shd w:val="clear" w:color="auto" w:fill="auto"/>
            <w:noWrap/>
            <w:vAlign w:val="bottom"/>
            <w:hideMark/>
          </w:tcPr>
          <w:p w14:paraId="44910729"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5.70 </w:t>
            </w:r>
          </w:p>
        </w:tc>
      </w:tr>
      <w:tr w:rsidR="003A5638" w:rsidRPr="003A5638" w14:paraId="1732A9E0"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5A14DE3"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Dhaka Bank</w:t>
            </w:r>
          </w:p>
        </w:tc>
        <w:tc>
          <w:tcPr>
            <w:tcW w:w="1120" w:type="dxa"/>
            <w:tcBorders>
              <w:top w:val="nil"/>
              <w:left w:val="nil"/>
              <w:bottom w:val="single" w:sz="4" w:space="0" w:color="auto"/>
              <w:right w:val="single" w:sz="4" w:space="0" w:color="auto"/>
            </w:tcBorders>
            <w:shd w:val="clear" w:color="auto" w:fill="auto"/>
            <w:noWrap/>
            <w:vAlign w:val="bottom"/>
            <w:hideMark/>
          </w:tcPr>
          <w:p w14:paraId="7835E9A8"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20.74 </w:t>
            </w:r>
          </w:p>
        </w:tc>
        <w:tc>
          <w:tcPr>
            <w:tcW w:w="220" w:type="dxa"/>
            <w:tcBorders>
              <w:top w:val="nil"/>
              <w:left w:val="nil"/>
              <w:bottom w:val="nil"/>
              <w:right w:val="nil"/>
            </w:tcBorders>
            <w:shd w:val="clear" w:color="auto" w:fill="auto"/>
            <w:noWrap/>
            <w:vAlign w:val="bottom"/>
            <w:hideMark/>
          </w:tcPr>
          <w:p w14:paraId="4751DD53"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2AA48668"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Dhaka Bank</w:t>
            </w:r>
          </w:p>
        </w:tc>
        <w:tc>
          <w:tcPr>
            <w:tcW w:w="1060" w:type="dxa"/>
            <w:tcBorders>
              <w:top w:val="nil"/>
              <w:left w:val="nil"/>
              <w:bottom w:val="single" w:sz="4" w:space="0" w:color="auto"/>
              <w:right w:val="single" w:sz="4" w:space="0" w:color="auto"/>
            </w:tcBorders>
            <w:shd w:val="clear" w:color="auto" w:fill="auto"/>
            <w:noWrap/>
            <w:vAlign w:val="bottom"/>
            <w:hideMark/>
          </w:tcPr>
          <w:p w14:paraId="04C501AD"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1.61 </w:t>
            </w:r>
          </w:p>
        </w:tc>
        <w:tc>
          <w:tcPr>
            <w:tcW w:w="180" w:type="dxa"/>
            <w:tcBorders>
              <w:top w:val="nil"/>
              <w:left w:val="nil"/>
              <w:bottom w:val="nil"/>
              <w:right w:val="nil"/>
            </w:tcBorders>
            <w:shd w:val="clear" w:color="auto" w:fill="auto"/>
            <w:noWrap/>
            <w:vAlign w:val="bottom"/>
            <w:hideMark/>
          </w:tcPr>
          <w:p w14:paraId="14DDFEAD"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237FE880"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Dhaka Bank</w:t>
            </w:r>
          </w:p>
        </w:tc>
        <w:tc>
          <w:tcPr>
            <w:tcW w:w="1180" w:type="dxa"/>
            <w:tcBorders>
              <w:top w:val="nil"/>
              <w:left w:val="nil"/>
              <w:bottom w:val="single" w:sz="4" w:space="0" w:color="auto"/>
              <w:right w:val="single" w:sz="4" w:space="0" w:color="auto"/>
            </w:tcBorders>
            <w:shd w:val="clear" w:color="auto" w:fill="auto"/>
            <w:noWrap/>
            <w:vAlign w:val="bottom"/>
            <w:hideMark/>
          </w:tcPr>
          <w:p w14:paraId="7D072C12"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12.49 </w:t>
            </w:r>
          </w:p>
        </w:tc>
      </w:tr>
      <w:tr w:rsidR="003A5638" w:rsidRPr="003A5638" w14:paraId="0E335826"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0DABA941"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DBBL</w:t>
            </w:r>
          </w:p>
        </w:tc>
        <w:tc>
          <w:tcPr>
            <w:tcW w:w="1120" w:type="dxa"/>
            <w:tcBorders>
              <w:top w:val="nil"/>
              <w:left w:val="nil"/>
              <w:bottom w:val="single" w:sz="4" w:space="0" w:color="auto"/>
              <w:right w:val="single" w:sz="4" w:space="0" w:color="auto"/>
            </w:tcBorders>
            <w:shd w:val="clear" w:color="auto" w:fill="auto"/>
            <w:noWrap/>
            <w:vAlign w:val="bottom"/>
            <w:hideMark/>
          </w:tcPr>
          <w:p w14:paraId="0D88E2E8"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87.98 </w:t>
            </w:r>
          </w:p>
        </w:tc>
        <w:tc>
          <w:tcPr>
            <w:tcW w:w="220" w:type="dxa"/>
            <w:tcBorders>
              <w:top w:val="nil"/>
              <w:left w:val="nil"/>
              <w:bottom w:val="nil"/>
              <w:right w:val="nil"/>
            </w:tcBorders>
            <w:shd w:val="clear" w:color="auto" w:fill="auto"/>
            <w:noWrap/>
            <w:vAlign w:val="bottom"/>
            <w:hideMark/>
          </w:tcPr>
          <w:p w14:paraId="57758BE9"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3855B3C"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DBBL</w:t>
            </w:r>
          </w:p>
        </w:tc>
        <w:tc>
          <w:tcPr>
            <w:tcW w:w="1060" w:type="dxa"/>
            <w:tcBorders>
              <w:top w:val="nil"/>
              <w:left w:val="nil"/>
              <w:bottom w:val="single" w:sz="4" w:space="0" w:color="auto"/>
              <w:right w:val="single" w:sz="4" w:space="0" w:color="auto"/>
            </w:tcBorders>
            <w:shd w:val="clear" w:color="auto" w:fill="auto"/>
            <w:noWrap/>
            <w:vAlign w:val="bottom"/>
            <w:hideMark/>
          </w:tcPr>
          <w:p w14:paraId="3E09F4B9"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5.08 </w:t>
            </w:r>
          </w:p>
        </w:tc>
        <w:tc>
          <w:tcPr>
            <w:tcW w:w="180" w:type="dxa"/>
            <w:tcBorders>
              <w:top w:val="nil"/>
              <w:left w:val="nil"/>
              <w:bottom w:val="nil"/>
              <w:right w:val="nil"/>
            </w:tcBorders>
            <w:shd w:val="clear" w:color="auto" w:fill="auto"/>
            <w:noWrap/>
            <w:vAlign w:val="bottom"/>
            <w:hideMark/>
          </w:tcPr>
          <w:p w14:paraId="1EFE3493"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933BD4D"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DBBL</w:t>
            </w:r>
          </w:p>
        </w:tc>
        <w:tc>
          <w:tcPr>
            <w:tcW w:w="1180" w:type="dxa"/>
            <w:tcBorders>
              <w:top w:val="nil"/>
              <w:left w:val="nil"/>
              <w:bottom w:val="single" w:sz="4" w:space="0" w:color="auto"/>
              <w:right w:val="single" w:sz="4" w:space="0" w:color="auto"/>
            </w:tcBorders>
            <w:shd w:val="clear" w:color="auto" w:fill="auto"/>
            <w:noWrap/>
            <w:vAlign w:val="bottom"/>
            <w:hideMark/>
          </w:tcPr>
          <w:p w14:paraId="70F1FAE7"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25.62 </w:t>
            </w:r>
          </w:p>
        </w:tc>
      </w:tr>
      <w:tr w:rsidR="003A5638" w:rsidRPr="003A5638" w14:paraId="3D00C97B"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2C95064"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EBL</w:t>
            </w:r>
          </w:p>
        </w:tc>
        <w:tc>
          <w:tcPr>
            <w:tcW w:w="1120" w:type="dxa"/>
            <w:tcBorders>
              <w:top w:val="nil"/>
              <w:left w:val="nil"/>
              <w:bottom w:val="single" w:sz="4" w:space="0" w:color="auto"/>
              <w:right w:val="single" w:sz="4" w:space="0" w:color="auto"/>
            </w:tcBorders>
            <w:shd w:val="clear" w:color="auto" w:fill="auto"/>
            <w:noWrap/>
            <w:vAlign w:val="bottom"/>
            <w:hideMark/>
          </w:tcPr>
          <w:p w14:paraId="601DFB12"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30.93 </w:t>
            </w:r>
          </w:p>
        </w:tc>
        <w:tc>
          <w:tcPr>
            <w:tcW w:w="220" w:type="dxa"/>
            <w:tcBorders>
              <w:top w:val="nil"/>
              <w:left w:val="nil"/>
              <w:bottom w:val="nil"/>
              <w:right w:val="nil"/>
            </w:tcBorders>
            <w:shd w:val="clear" w:color="auto" w:fill="auto"/>
            <w:noWrap/>
            <w:vAlign w:val="bottom"/>
            <w:hideMark/>
          </w:tcPr>
          <w:p w14:paraId="7935CD35"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200E6B22"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EBL</w:t>
            </w:r>
          </w:p>
        </w:tc>
        <w:tc>
          <w:tcPr>
            <w:tcW w:w="1060" w:type="dxa"/>
            <w:tcBorders>
              <w:top w:val="nil"/>
              <w:left w:val="nil"/>
              <w:bottom w:val="single" w:sz="4" w:space="0" w:color="auto"/>
              <w:right w:val="single" w:sz="4" w:space="0" w:color="auto"/>
            </w:tcBorders>
            <w:shd w:val="clear" w:color="auto" w:fill="auto"/>
            <w:noWrap/>
            <w:vAlign w:val="bottom"/>
            <w:hideMark/>
          </w:tcPr>
          <w:p w14:paraId="6430BB03"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1.51 </w:t>
            </w:r>
          </w:p>
        </w:tc>
        <w:tc>
          <w:tcPr>
            <w:tcW w:w="180" w:type="dxa"/>
            <w:tcBorders>
              <w:top w:val="nil"/>
              <w:left w:val="nil"/>
              <w:bottom w:val="nil"/>
              <w:right w:val="nil"/>
            </w:tcBorders>
            <w:shd w:val="clear" w:color="auto" w:fill="auto"/>
            <w:noWrap/>
            <w:vAlign w:val="bottom"/>
            <w:hideMark/>
          </w:tcPr>
          <w:p w14:paraId="3C833CC1"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1BE89B7"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EBL</w:t>
            </w:r>
          </w:p>
        </w:tc>
        <w:tc>
          <w:tcPr>
            <w:tcW w:w="1180" w:type="dxa"/>
            <w:tcBorders>
              <w:top w:val="nil"/>
              <w:left w:val="nil"/>
              <w:bottom w:val="single" w:sz="4" w:space="0" w:color="auto"/>
              <w:right w:val="single" w:sz="4" w:space="0" w:color="auto"/>
            </w:tcBorders>
            <w:shd w:val="clear" w:color="auto" w:fill="auto"/>
            <w:noWrap/>
            <w:vAlign w:val="bottom"/>
            <w:hideMark/>
          </w:tcPr>
          <w:p w14:paraId="55B5DD8A"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9.33 </w:t>
            </w:r>
          </w:p>
        </w:tc>
      </w:tr>
      <w:tr w:rsidR="003A5638" w:rsidRPr="003A5638" w14:paraId="0675C09C"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23E3F0F"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IFIC Bank</w:t>
            </w:r>
          </w:p>
        </w:tc>
        <w:tc>
          <w:tcPr>
            <w:tcW w:w="1120" w:type="dxa"/>
            <w:tcBorders>
              <w:top w:val="nil"/>
              <w:left w:val="nil"/>
              <w:bottom w:val="single" w:sz="4" w:space="0" w:color="auto"/>
              <w:right w:val="single" w:sz="4" w:space="0" w:color="auto"/>
            </w:tcBorders>
            <w:shd w:val="clear" w:color="auto" w:fill="auto"/>
            <w:noWrap/>
            <w:vAlign w:val="bottom"/>
            <w:hideMark/>
          </w:tcPr>
          <w:p w14:paraId="09061851"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18.60 </w:t>
            </w:r>
          </w:p>
        </w:tc>
        <w:tc>
          <w:tcPr>
            <w:tcW w:w="220" w:type="dxa"/>
            <w:tcBorders>
              <w:top w:val="nil"/>
              <w:left w:val="nil"/>
              <w:bottom w:val="nil"/>
              <w:right w:val="nil"/>
            </w:tcBorders>
            <w:shd w:val="clear" w:color="auto" w:fill="auto"/>
            <w:noWrap/>
            <w:vAlign w:val="bottom"/>
            <w:hideMark/>
          </w:tcPr>
          <w:p w14:paraId="49DF8430"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EDEF816"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IFIC Bank</w:t>
            </w:r>
          </w:p>
        </w:tc>
        <w:tc>
          <w:tcPr>
            <w:tcW w:w="1060" w:type="dxa"/>
            <w:tcBorders>
              <w:top w:val="nil"/>
              <w:left w:val="nil"/>
              <w:bottom w:val="single" w:sz="4" w:space="0" w:color="auto"/>
              <w:right w:val="single" w:sz="4" w:space="0" w:color="auto"/>
            </w:tcBorders>
            <w:shd w:val="clear" w:color="auto" w:fill="auto"/>
            <w:noWrap/>
            <w:vAlign w:val="bottom"/>
            <w:hideMark/>
          </w:tcPr>
          <w:p w14:paraId="6AE024E1"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1.51 </w:t>
            </w:r>
          </w:p>
        </w:tc>
        <w:tc>
          <w:tcPr>
            <w:tcW w:w="180" w:type="dxa"/>
            <w:tcBorders>
              <w:top w:val="nil"/>
              <w:left w:val="nil"/>
              <w:bottom w:val="nil"/>
              <w:right w:val="nil"/>
            </w:tcBorders>
            <w:shd w:val="clear" w:color="auto" w:fill="auto"/>
            <w:noWrap/>
            <w:vAlign w:val="bottom"/>
            <w:hideMark/>
          </w:tcPr>
          <w:p w14:paraId="33F3B11E"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26DE9C99"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IFIC Bank</w:t>
            </w:r>
          </w:p>
        </w:tc>
        <w:tc>
          <w:tcPr>
            <w:tcW w:w="1180" w:type="dxa"/>
            <w:tcBorders>
              <w:top w:val="nil"/>
              <w:left w:val="nil"/>
              <w:bottom w:val="single" w:sz="4" w:space="0" w:color="auto"/>
              <w:right w:val="single" w:sz="4" w:space="0" w:color="auto"/>
            </w:tcBorders>
            <w:shd w:val="clear" w:color="auto" w:fill="auto"/>
            <w:noWrap/>
            <w:vAlign w:val="bottom"/>
            <w:hideMark/>
          </w:tcPr>
          <w:p w14:paraId="452A651C"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4.68 </w:t>
            </w:r>
          </w:p>
        </w:tc>
      </w:tr>
      <w:tr w:rsidR="003A5638" w:rsidRPr="003A5638" w14:paraId="01CDCE52"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E6AE78D"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 xml:space="preserve">Jamuna Bank </w:t>
            </w:r>
          </w:p>
        </w:tc>
        <w:tc>
          <w:tcPr>
            <w:tcW w:w="1120" w:type="dxa"/>
            <w:tcBorders>
              <w:top w:val="nil"/>
              <w:left w:val="nil"/>
              <w:bottom w:val="single" w:sz="4" w:space="0" w:color="auto"/>
              <w:right w:val="single" w:sz="4" w:space="0" w:color="auto"/>
            </w:tcBorders>
            <w:shd w:val="clear" w:color="auto" w:fill="auto"/>
            <w:noWrap/>
            <w:vAlign w:val="bottom"/>
            <w:hideMark/>
          </w:tcPr>
          <w:p w14:paraId="164205FC"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23.80 </w:t>
            </w:r>
          </w:p>
        </w:tc>
        <w:tc>
          <w:tcPr>
            <w:tcW w:w="220" w:type="dxa"/>
            <w:tcBorders>
              <w:top w:val="nil"/>
              <w:left w:val="nil"/>
              <w:bottom w:val="nil"/>
              <w:right w:val="nil"/>
            </w:tcBorders>
            <w:shd w:val="clear" w:color="auto" w:fill="auto"/>
            <w:noWrap/>
            <w:vAlign w:val="bottom"/>
            <w:hideMark/>
          </w:tcPr>
          <w:p w14:paraId="7DEC4E77"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D8B14BA"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 xml:space="preserve">Jamuna Bank </w:t>
            </w:r>
          </w:p>
        </w:tc>
        <w:tc>
          <w:tcPr>
            <w:tcW w:w="1060" w:type="dxa"/>
            <w:tcBorders>
              <w:top w:val="nil"/>
              <w:left w:val="nil"/>
              <w:bottom w:val="single" w:sz="4" w:space="0" w:color="auto"/>
              <w:right w:val="single" w:sz="4" w:space="0" w:color="auto"/>
            </w:tcBorders>
            <w:shd w:val="clear" w:color="auto" w:fill="auto"/>
            <w:noWrap/>
            <w:vAlign w:val="bottom"/>
            <w:hideMark/>
          </w:tcPr>
          <w:p w14:paraId="0BA71A2F"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1.62 </w:t>
            </w:r>
          </w:p>
        </w:tc>
        <w:tc>
          <w:tcPr>
            <w:tcW w:w="180" w:type="dxa"/>
            <w:tcBorders>
              <w:top w:val="nil"/>
              <w:left w:val="nil"/>
              <w:bottom w:val="nil"/>
              <w:right w:val="nil"/>
            </w:tcBorders>
            <w:shd w:val="clear" w:color="auto" w:fill="auto"/>
            <w:noWrap/>
            <w:vAlign w:val="bottom"/>
            <w:hideMark/>
          </w:tcPr>
          <w:p w14:paraId="24A4453B"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4D00BF33"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 xml:space="preserve">Jamuna Bank </w:t>
            </w:r>
          </w:p>
        </w:tc>
        <w:tc>
          <w:tcPr>
            <w:tcW w:w="1180" w:type="dxa"/>
            <w:tcBorders>
              <w:top w:val="nil"/>
              <w:left w:val="nil"/>
              <w:bottom w:val="single" w:sz="4" w:space="0" w:color="auto"/>
              <w:right w:val="single" w:sz="4" w:space="0" w:color="auto"/>
            </w:tcBorders>
            <w:shd w:val="clear" w:color="auto" w:fill="auto"/>
            <w:noWrap/>
            <w:vAlign w:val="bottom"/>
            <w:hideMark/>
          </w:tcPr>
          <w:p w14:paraId="30B3EE68"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6.67 </w:t>
            </w:r>
          </w:p>
        </w:tc>
      </w:tr>
      <w:tr w:rsidR="003A5638" w:rsidRPr="003A5638" w14:paraId="391D8E08"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F70DEA7"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Mercantile Bank</w:t>
            </w:r>
          </w:p>
        </w:tc>
        <w:tc>
          <w:tcPr>
            <w:tcW w:w="1120" w:type="dxa"/>
            <w:tcBorders>
              <w:top w:val="nil"/>
              <w:left w:val="nil"/>
              <w:bottom w:val="single" w:sz="4" w:space="0" w:color="auto"/>
              <w:right w:val="single" w:sz="4" w:space="0" w:color="auto"/>
            </w:tcBorders>
            <w:shd w:val="clear" w:color="auto" w:fill="auto"/>
            <w:noWrap/>
            <w:vAlign w:val="bottom"/>
            <w:hideMark/>
          </w:tcPr>
          <w:p w14:paraId="381A95B8"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22.33 </w:t>
            </w:r>
          </w:p>
        </w:tc>
        <w:tc>
          <w:tcPr>
            <w:tcW w:w="220" w:type="dxa"/>
            <w:tcBorders>
              <w:top w:val="nil"/>
              <w:left w:val="nil"/>
              <w:bottom w:val="nil"/>
              <w:right w:val="nil"/>
            </w:tcBorders>
            <w:shd w:val="clear" w:color="auto" w:fill="auto"/>
            <w:noWrap/>
            <w:vAlign w:val="bottom"/>
            <w:hideMark/>
          </w:tcPr>
          <w:p w14:paraId="6EEE97A5"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23C930C"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Mercantile Bank</w:t>
            </w:r>
          </w:p>
        </w:tc>
        <w:tc>
          <w:tcPr>
            <w:tcW w:w="1060" w:type="dxa"/>
            <w:tcBorders>
              <w:top w:val="nil"/>
              <w:left w:val="nil"/>
              <w:bottom w:val="single" w:sz="4" w:space="0" w:color="auto"/>
              <w:right w:val="single" w:sz="4" w:space="0" w:color="auto"/>
            </w:tcBorders>
            <w:shd w:val="clear" w:color="auto" w:fill="auto"/>
            <w:noWrap/>
            <w:vAlign w:val="bottom"/>
            <w:hideMark/>
          </w:tcPr>
          <w:p w14:paraId="78E201CE"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1.88 </w:t>
            </w:r>
          </w:p>
        </w:tc>
        <w:tc>
          <w:tcPr>
            <w:tcW w:w="180" w:type="dxa"/>
            <w:tcBorders>
              <w:top w:val="nil"/>
              <w:left w:val="nil"/>
              <w:bottom w:val="nil"/>
              <w:right w:val="nil"/>
            </w:tcBorders>
            <w:shd w:val="clear" w:color="auto" w:fill="auto"/>
            <w:noWrap/>
            <w:vAlign w:val="bottom"/>
            <w:hideMark/>
          </w:tcPr>
          <w:p w14:paraId="116C42DC"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014DB1B1"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Mercantile Bank</w:t>
            </w:r>
          </w:p>
        </w:tc>
        <w:tc>
          <w:tcPr>
            <w:tcW w:w="1180" w:type="dxa"/>
            <w:tcBorders>
              <w:top w:val="nil"/>
              <w:left w:val="nil"/>
              <w:bottom w:val="single" w:sz="4" w:space="0" w:color="auto"/>
              <w:right w:val="single" w:sz="4" w:space="0" w:color="auto"/>
            </w:tcBorders>
            <w:shd w:val="clear" w:color="auto" w:fill="auto"/>
            <w:noWrap/>
            <w:vAlign w:val="bottom"/>
            <w:hideMark/>
          </w:tcPr>
          <w:p w14:paraId="1CA67685"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7.03 </w:t>
            </w:r>
          </w:p>
        </w:tc>
      </w:tr>
      <w:tr w:rsidR="003A5638" w:rsidRPr="003A5638" w14:paraId="74F948D4"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DDE9359"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MTB</w:t>
            </w:r>
          </w:p>
        </w:tc>
        <w:tc>
          <w:tcPr>
            <w:tcW w:w="1120" w:type="dxa"/>
            <w:tcBorders>
              <w:top w:val="nil"/>
              <w:left w:val="nil"/>
              <w:bottom w:val="single" w:sz="4" w:space="0" w:color="auto"/>
              <w:right w:val="single" w:sz="4" w:space="0" w:color="auto"/>
            </w:tcBorders>
            <w:shd w:val="clear" w:color="auto" w:fill="auto"/>
            <w:noWrap/>
            <w:vAlign w:val="bottom"/>
            <w:hideMark/>
          </w:tcPr>
          <w:p w14:paraId="1EC7959A"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23.16 </w:t>
            </w:r>
          </w:p>
        </w:tc>
        <w:tc>
          <w:tcPr>
            <w:tcW w:w="220" w:type="dxa"/>
            <w:tcBorders>
              <w:top w:val="nil"/>
              <w:left w:val="nil"/>
              <w:bottom w:val="nil"/>
              <w:right w:val="nil"/>
            </w:tcBorders>
            <w:shd w:val="clear" w:color="auto" w:fill="auto"/>
            <w:noWrap/>
            <w:vAlign w:val="bottom"/>
            <w:hideMark/>
          </w:tcPr>
          <w:p w14:paraId="69C2E75F"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5330AB7"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MTB</w:t>
            </w:r>
          </w:p>
        </w:tc>
        <w:tc>
          <w:tcPr>
            <w:tcW w:w="1060" w:type="dxa"/>
            <w:tcBorders>
              <w:top w:val="nil"/>
              <w:left w:val="nil"/>
              <w:bottom w:val="single" w:sz="4" w:space="0" w:color="auto"/>
              <w:right w:val="single" w:sz="4" w:space="0" w:color="auto"/>
            </w:tcBorders>
            <w:shd w:val="clear" w:color="auto" w:fill="auto"/>
            <w:noWrap/>
            <w:vAlign w:val="bottom"/>
            <w:hideMark/>
          </w:tcPr>
          <w:p w14:paraId="422EFB34"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2.36 </w:t>
            </w:r>
          </w:p>
        </w:tc>
        <w:tc>
          <w:tcPr>
            <w:tcW w:w="180" w:type="dxa"/>
            <w:tcBorders>
              <w:top w:val="nil"/>
              <w:left w:val="nil"/>
              <w:bottom w:val="nil"/>
              <w:right w:val="nil"/>
            </w:tcBorders>
            <w:shd w:val="clear" w:color="auto" w:fill="auto"/>
            <w:noWrap/>
            <w:vAlign w:val="bottom"/>
            <w:hideMark/>
          </w:tcPr>
          <w:p w14:paraId="1F67C2F3"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6AAE9B92"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MTB</w:t>
            </w:r>
          </w:p>
        </w:tc>
        <w:tc>
          <w:tcPr>
            <w:tcW w:w="1180" w:type="dxa"/>
            <w:tcBorders>
              <w:top w:val="nil"/>
              <w:left w:val="nil"/>
              <w:bottom w:val="single" w:sz="4" w:space="0" w:color="auto"/>
              <w:right w:val="single" w:sz="4" w:space="0" w:color="auto"/>
            </w:tcBorders>
            <w:shd w:val="clear" w:color="auto" w:fill="auto"/>
            <w:noWrap/>
            <w:vAlign w:val="bottom"/>
            <w:hideMark/>
          </w:tcPr>
          <w:p w14:paraId="47933230"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7.68 </w:t>
            </w:r>
          </w:p>
        </w:tc>
      </w:tr>
      <w:tr w:rsidR="003A5638" w:rsidRPr="003A5638" w14:paraId="32847CB8"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A6BF4B7"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National Bank</w:t>
            </w:r>
          </w:p>
        </w:tc>
        <w:tc>
          <w:tcPr>
            <w:tcW w:w="1120" w:type="dxa"/>
            <w:tcBorders>
              <w:top w:val="nil"/>
              <w:left w:val="nil"/>
              <w:bottom w:val="single" w:sz="4" w:space="0" w:color="auto"/>
              <w:right w:val="single" w:sz="4" w:space="0" w:color="auto"/>
            </w:tcBorders>
            <w:shd w:val="clear" w:color="auto" w:fill="auto"/>
            <w:noWrap/>
            <w:vAlign w:val="bottom"/>
            <w:hideMark/>
          </w:tcPr>
          <w:p w14:paraId="3A97C229"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17.95 </w:t>
            </w:r>
          </w:p>
        </w:tc>
        <w:tc>
          <w:tcPr>
            <w:tcW w:w="220" w:type="dxa"/>
            <w:tcBorders>
              <w:top w:val="nil"/>
              <w:left w:val="nil"/>
              <w:bottom w:val="nil"/>
              <w:right w:val="nil"/>
            </w:tcBorders>
            <w:shd w:val="clear" w:color="auto" w:fill="auto"/>
            <w:noWrap/>
            <w:vAlign w:val="bottom"/>
            <w:hideMark/>
          </w:tcPr>
          <w:p w14:paraId="6B0062C7"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08DA5BDD"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National Bank</w:t>
            </w:r>
          </w:p>
        </w:tc>
        <w:tc>
          <w:tcPr>
            <w:tcW w:w="1060" w:type="dxa"/>
            <w:tcBorders>
              <w:top w:val="nil"/>
              <w:left w:val="nil"/>
              <w:bottom w:val="single" w:sz="4" w:space="0" w:color="auto"/>
              <w:right w:val="single" w:sz="4" w:space="0" w:color="auto"/>
            </w:tcBorders>
            <w:shd w:val="clear" w:color="auto" w:fill="auto"/>
            <w:noWrap/>
            <w:vAlign w:val="bottom"/>
            <w:hideMark/>
          </w:tcPr>
          <w:p w14:paraId="3C02F298"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1.12 </w:t>
            </w:r>
          </w:p>
        </w:tc>
        <w:tc>
          <w:tcPr>
            <w:tcW w:w="180" w:type="dxa"/>
            <w:tcBorders>
              <w:top w:val="nil"/>
              <w:left w:val="nil"/>
              <w:bottom w:val="nil"/>
              <w:right w:val="nil"/>
            </w:tcBorders>
            <w:shd w:val="clear" w:color="auto" w:fill="auto"/>
            <w:noWrap/>
            <w:vAlign w:val="bottom"/>
            <w:hideMark/>
          </w:tcPr>
          <w:p w14:paraId="58218BBB"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9FA6EF6"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National Bank</w:t>
            </w:r>
          </w:p>
        </w:tc>
        <w:tc>
          <w:tcPr>
            <w:tcW w:w="1180" w:type="dxa"/>
            <w:tcBorders>
              <w:top w:val="nil"/>
              <w:left w:val="nil"/>
              <w:bottom w:val="single" w:sz="4" w:space="0" w:color="auto"/>
              <w:right w:val="single" w:sz="4" w:space="0" w:color="auto"/>
            </w:tcBorders>
            <w:shd w:val="clear" w:color="auto" w:fill="auto"/>
            <w:noWrap/>
            <w:vAlign w:val="bottom"/>
            <w:hideMark/>
          </w:tcPr>
          <w:p w14:paraId="377F87AB"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4.24 </w:t>
            </w:r>
          </w:p>
        </w:tc>
      </w:tr>
      <w:tr w:rsidR="003A5638" w:rsidRPr="003A5638" w14:paraId="04690899"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FB17144"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NCC Bank</w:t>
            </w:r>
          </w:p>
        </w:tc>
        <w:tc>
          <w:tcPr>
            <w:tcW w:w="1120" w:type="dxa"/>
            <w:tcBorders>
              <w:top w:val="nil"/>
              <w:left w:val="nil"/>
              <w:bottom w:val="single" w:sz="4" w:space="0" w:color="auto"/>
              <w:right w:val="single" w:sz="4" w:space="0" w:color="auto"/>
            </w:tcBorders>
            <w:shd w:val="clear" w:color="auto" w:fill="auto"/>
            <w:noWrap/>
            <w:vAlign w:val="bottom"/>
            <w:hideMark/>
          </w:tcPr>
          <w:p w14:paraId="7553100C"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19.36 </w:t>
            </w:r>
          </w:p>
        </w:tc>
        <w:tc>
          <w:tcPr>
            <w:tcW w:w="220" w:type="dxa"/>
            <w:tcBorders>
              <w:top w:val="nil"/>
              <w:left w:val="nil"/>
              <w:bottom w:val="nil"/>
              <w:right w:val="nil"/>
            </w:tcBorders>
            <w:shd w:val="clear" w:color="auto" w:fill="auto"/>
            <w:noWrap/>
            <w:vAlign w:val="bottom"/>
            <w:hideMark/>
          </w:tcPr>
          <w:p w14:paraId="0E9B8E1B"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00A74B19"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NCC Bank</w:t>
            </w:r>
          </w:p>
        </w:tc>
        <w:tc>
          <w:tcPr>
            <w:tcW w:w="1060" w:type="dxa"/>
            <w:tcBorders>
              <w:top w:val="nil"/>
              <w:left w:val="nil"/>
              <w:bottom w:val="single" w:sz="4" w:space="0" w:color="auto"/>
              <w:right w:val="single" w:sz="4" w:space="0" w:color="auto"/>
            </w:tcBorders>
            <w:shd w:val="clear" w:color="auto" w:fill="auto"/>
            <w:noWrap/>
            <w:vAlign w:val="bottom"/>
            <w:hideMark/>
          </w:tcPr>
          <w:p w14:paraId="2CF8B4C8"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1.90 </w:t>
            </w:r>
          </w:p>
        </w:tc>
        <w:tc>
          <w:tcPr>
            <w:tcW w:w="180" w:type="dxa"/>
            <w:tcBorders>
              <w:top w:val="nil"/>
              <w:left w:val="nil"/>
              <w:bottom w:val="nil"/>
              <w:right w:val="nil"/>
            </w:tcBorders>
            <w:shd w:val="clear" w:color="auto" w:fill="auto"/>
            <w:noWrap/>
            <w:vAlign w:val="bottom"/>
            <w:hideMark/>
          </w:tcPr>
          <w:p w14:paraId="5C3C270F"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0AB35DF4"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NCC Bank</w:t>
            </w:r>
          </w:p>
        </w:tc>
        <w:tc>
          <w:tcPr>
            <w:tcW w:w="1180" w:type="dxa"/>
            <w:tcBorders>
              <w:top w:val="nil"/>
              <w:left w:val="nil"/>
              <w:bottom w:val="single" w:sz="4" w:space="0" w:color="auto"/>
              <w:right w:val="single" w:sz="4" w:space="0" w:color="auto"/>
            </w:tcBorders>
            <w:shd w:val="clear" w:color="auto" w:fill="auto"/>
            <w:noWrap/>
            <w:vAlign w:val="bottom"/>
            <w:hideMark/>
          </w:tcPr>
          <w:p w14:paraId="1E28203A"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4.91 </w:t>
            </w:r>
          </w:p>
        </w:tc>
      </w:tr>
      <w:tr w:rsidR="003A5638" w:rsidRPr="003A5638" w14:paraId="0E1AA614"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C7B798C"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Prime Bank</w:t>
            </w:r>
          </w:p>
        </w:tc>
        <w:tc>
          <w:tcPr>
            <w:tcW w:w="1120" w:type="dxa"/>
            <w:tcBorders>
              <w:top w:val="nil"/>
              <w:left w:val="nil"/>
              <w:bottom w:val="single" w:sz="4" w:space="0" w:color="auto"/>
              <w:right w:val="single" w:sz="4" w:space="0" w:color="auto"/>
            </w:tcBorders>
            <w:shd w:val="clear" w:color="auto" w:fill="auto"/>
            <w:noWrap/>
            <w:vAlign w:val="bottom"/>
            <w:hideMark/>
          </w:tcPr>
          <w:p w14:paraId="37F2D0E4"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24.20 </w:t>
            </w:r>
          </w:p>
        </w:tc>
        <w:tc>
          <w:tcPr>
            <w:tcW w:w="220" w:type="dxa"/>
            <w:tcBorders>
              <w:top w:val="nil"/>
              <w:left w:val="nil"/>
              <w:bottom w:val="nil"/>
              <w:right w:val="nil"/>
            </w:tcBorders>
            <w:shd w:val="clear" w:color="auto" w:fill="auto"/>
            <w:noWrap/>
            <w:vAlign w:val="bottom"/>
            <w:hideMark/>
          </w:tcPr>
          <w:p w14:paraId="79449D48"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852C6EB"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Prime Bank</w:t>
            </w:r>
          </w:p>
        </w:tc>
        <w:tc>
          <w:tcPr>
            <w:tcW w:w="1060" w:type="dxa"/>
            <w:tcBorders>
              <w:top w:val="nil"/>
              <w:left w:val="nil"/>
              <w:bottom w:val="single" w:sz="4" w:space="0" w:color="auto"/>
              <w:right w:val="single" w:sz="4" w:space="0" w:color="auto"/>
            </w:tcBorders>
            <w:shd w:val="clear" w:color="auto" w:fill="auto"/>
            <w:noWrap/>
            <w:vAlign w:val="bottom"/>
            <w:hideMark/>
          </w:tcPr>
          <w:p w14:paraId="7AA617A2"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1.09 </w:t>
            </w:r>
          </w:p>
        </w:tc>
        <w:tc>
          <w:tcPr>
            <w:tcW w:w="180" w:type="dxa"/>
            <w:tcBorders>
              <w:top w:val="nil"/>
              <w:left w:val="nil"/>
              <w:bottom w:val="nil"/>
              <w:right w:val="nil"/>
            </w:tcBorders>
            <w:shd w:val="clear" w:color="auto" w:fill="auto"/>
            <w:noWrap/>
            <w:vAlign w:val="bottom"/>
            <w:hideMark/>
          </w:tcPr>
          <w:p w14:paraId="50E5A221"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1489A4A2"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Prime Bank</w:t>
            </w:r>
          </w:p>
        </w:tc>
        <w:tc>
          <w:tcPr>
            <w:tcW w:w="1180" w:type="dxa"/>
            <w:tcBorders>
              <w:top w:val="nil"/>
              <w:left w:val="nil"/>
              <w:bottom w:val="single" w:sz="4" w:space="0" w:color="auto"/>
              <w:right w:val="single" w:sz="4" w:space="0" w:color="auto"/>
            </w:tcBorders>
            <w:shd w:val="clear" w:color="auto" w:fill="auto"/>
            <w:noWrap/>
            <w:vAlign w:val="bottom"/>
            <w:hideMark/>
          </w:tcPr>
          <w:p w14:paraId="7F7D89C1"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5.55 </w:t>
            </w:r>
          </w:p>
        </w:tc>
      </w:tr>
      <w:tr w:rsidR="003A5638" w:rsidRPr="003A5638" w14:paraId="278967EB"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2F621593"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Premier Bank</w:t>
            </w:r>
          </w:p>
        </w:tc>
        <w:tc>
          <w:tcPr>
            <w:tcW w:w="1120" w:type="dxa"/>
            <w:tcBorders>
              <w:top w:val="nil"/>
              <w:left w:val="nil"/>
              <w:bottom w:val="single" w:sz="4" w:space="0" w:color="auto"/>
              <w:right w:val="single" w:sz="4" w:space="0" w:color="auto"/>
            </w:tcBorders>
            <w:shd w:val="clear" w:color="auto" w:fill="auto"/>
            <w:noWrap/>
            <w:vAlign w:val="bottom"/>
            <w:hideMark/>
          </w:tcPr>
          <w:p w14:paraId="60E266BE"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18.54 </w:t>
            </w:r>
          </w:p>
        </w:tc>
        <w:tc>
          <w:tcPr>
            <w:tcW w:w="220" w:type="dxa"/>
            <w:tcBorders>
              <w:top w:val="nil"/>
              <w:left w:val="nil"/>
              <w:bottom w:val="nil"/>
              <w:right w:val="nil"/>
            </w:tcBorders>
            <w:shd w:val="clear" w:color="auto" w:fill="auto"/>
            <w:noWrap/>
            <w:vAlign w:val="bottom"/>
            <w:hideMark/>
          </w:tcPr>
          <w:p w14:paraId="688C65A8"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D24C7AD"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Premier Bank</w:t>
            </w:r>
          </w:p>
        </w:tc>
        <w:tc>
          <w:tcPr>
            <w:tcW w:w="1060" w:type="dxa"/>
            <w:tcBorders>
              <w:top w:val="nil"/>
              <w:left w:val="nil"/>
              <w:bottom w:val="single" w:sz="4" w:space="0" w:color="auto"/>
              <w:right w:val="single" w:sz="4" w:space="0" w:color="auto"/>
            </w:tcBorders>
            <w:shd w:val="clear" w:color="auto" w:fill="auto"/>
            <w:noWrap/>
            <w:vAlign w:val="bottom"/>
            <w:hideMark/>
          </w:tcPr>
          <w:p w14:paraId="370D3C66"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2.14 </w:t>
            </w:r>
          </w:p>
        </w:tc>
        <w:tc>
          <w:tcPr>
            <w:tcW w:w="180" w:type="dxa"/>
            <w:tcBorders>
              <w:top w:val="nil"/>
              <w:left w:val="nil"/>
              <w:bottom w:val="nil"/>
              <w:right w:val="nil"/>
            </w:tcBorders>
            <w:shd w:val="clear" w:color="auto" w:fill="auto"/>
            <w:noWrap/>
            <w:vAlign w:val="bottom"/>
            <w:hideMark/>
          </w:tcPr>
          <w:p w14:paraId="11D2D4F9"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6041059C"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Premier Bank</w:t>
            </w:r>
          </w:p>
        </w:tc>
        <w:tc>
          <w:tcPr>
            <w:tcW w:w="1180" w:type="dxa"/>
            <w:tcBorders>
              <w:top w:val="nil"/>
              <w:left w:val="nil"/>
              <w:bottom w:val="single" w:sz="4" w:space="0" w:color="auto"/>
              <w:right w:val="single" w:sz="4" w:space="0" w:color="auto"/>
            </w:tcBorders>
            <w:shd w:val="clear" w:color="auto" w:fill="auto"/>
            <w:noWrap/>
            <w:vAlign w:val="bottom"/>
            <w:hideMark/>
          </w:tcPr>
          <w:p w14:paraId="39811182"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5.72 </w:t>
            </w:r>
          </w:p>
        </w:tc>
      </w:tr>
      <w:tr w:rsidR="003A5638" w:rsidRPr="003A5638" w14:paraId="61FED9DB"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D6464FB"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Pubali Bank</w:t>
            </w:r>
          </w:p>
        </w:tc>
        <w:tc>
          <w:tcPr>
            <w:tcW w:w="1120" w:type="dxa"/>
            <w:tcBorders>
              <w:top w:val="nil"/>
              <w:left w:val="nil"/>
              <w:bottom w:val="single" w:sz="4" w:space="0" w:color="auto"/>
              <w:right w:val="single" w:sz="4" w:space="0" w:color="auto"/>
            </w:tcBorders>
            <w:shd w:val="clear" w:color="auto" w:fill="auto"/>
            <w:noWrap/>
            <w:vAlign w:val="bottom"/>
            <w:hideMark/>
          </w:tcPr>
          <w:p w14:paraId="6F82DD61"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27.54 </w:t>
            </w:r>
          </w:p>
        </w:tc>
        <w:tc>
          <w:tcPr>
            <w:tcW w:w="220" w:type="dxa"/>
            <w:tcBorders>
              <w:top w:val="nil"/>
              <w:left w:val="nil"/>
              <w:bottom w:val="nil"/>
              <w:right w:val="nil"/>
            </w:tcBorders>
            <w:shd w:val="clear" w:color="auto" w:fill="auto"/>
            <w:noWrap/>
            <w:vAlign w:val="bottom"/>
            <w:hideMark/>
          </w:tcPr>
          <w:p w14:paraId="0A73B72C"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446B9E0"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Pubali Bank</w:t>
            </w:r>
          </w:p>
        </w:tc>
        <w:tc>
          <w:tcPr>
            <w:tcW w:w="1060" w:type="dxa"/>
            <w:tcBorders>
              <w:top w:val="nil"/>
              <w:left w:val="nil"/>
              <w:bottom w:val="single" w:sz="4" w:space="0" w:color="auto"/>
              <w:right w:val="single" w:sz="4" w:space="0" w:color="auto"/>
            </w:tcBorders>
            <w:shd w:val="clear" w:color="auto" w:fill="auto"/>
            <w:noWrap/>
            <w:vAlign w:val="bottom"/>
            <w:hideMark/>
          </w:tcPr>
          <w:p w14:paraId="78558443"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3.44 </w:t>
            </w:r>
          </w:p>
        </w:tc>
        <w:tc>
          <w:tcPr>
            <w:tcW w:w="180" w:type="dxa"/>
            <w:tcBorders>
              <w:top w:val="nil"/>
              <w:left w:val="nil"/>
              <w:bottom w:val="nil"/>
              <w:right w:val="nil"/>
            </w:tcBorders>
            <w:shd w:val="clear" w:color="auto" w:fill="auto"/>
            <w:noWrap/>
            <w:vAlign w:val="bottom"/>
            <w:hideMark/>
          </w:tcPr>
          <w:p w14:paraId="03BFFFE5"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77C8A9E9"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Pubali Bank</w:t>
            </w:r>
          </w:p>
        </w:tc>
        <w:tc>
          <w:tcPr>
            <w:tcW w:w="1180" w:type="dxa"/>
            <w:tcBorders>
              <w:top w:val="nil"/>
              <w:left w:val="nil"/>
              <w:bottom w:val="single" w:sz="4" w:space="0" w:color="auto"/>
              <w:right w:val="single" w:sz="4" w:space="0" w:color="auto"/>
            </w:tcBorders>
            <w:shd w:val="clear" w:color="auto" w:fill="auto"/>
            <w:noWrap/>
            <w:vAlign w:val="bottom"/>
            <w:hideMark/>
          </w:tcPr>
          <w:p w14:paraId="682B58E9"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8.33 </w:t>
            </w:r>
          </w:p>
        </w:tc>
      </w:tr>
      <w:tr w:rsidR="003A5638" w:rsidRPr="003A5638" w14:paraId="48F2CEE6"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08F88007"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One Bank</w:t>
            </w:r>
          </w:p>
        </w:tc>
        <w:tc>
          <w:tcPr>
            <w:tcW w:w="1120" w:type="dxa"/>
            <w:tcBorders>
              <w:top w:val="nil"/>
              <w:left w:val="nil"/>
              <w:bottom w:val="single" w:sz="4" w:space="0" w:color="auto"/>
              <w:right w:val="single" w:sz="4" w:space="0" w:color="auto"/>
            </w:tcBorders>
            <w:shd w:val="clear" w:color="auto" w:fill="auto"/>
            <w:noWrap/>
            <w:vAlign w:val="bottom"/>
            <w:hideMark/>
          </w:tcPr>
          <w:p w14:paraId="40543B60"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19.25 </w:t>
            </w:r>
          </w:p>
        </w:tc>
        <w:tc>
          <w:tcPr>
            <w:tcW w:w="220" w:type="dxa"/>
            <w:tcBorders>
              <w:top w:val="nil"/>
              <w:left w:val="nil"/>
              <w:bottom w:val="nil"/>
              <w:right w:val="nil"/>
            </w:tcBorders>
            <w:shd w:val="clear" w:color="auto" w:fill="auto"/>
            <w:noWrap/>
            <w:vAlign w:val="bottom"/>
            <w:hideMark/>
          </w:tcPr>
          <w:p w14:paraId="7A769981"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2EBDC94"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One Bank</w:t>
            </w:r>
          </w:p>
        </w:tc>
        <w:tc>
          <w:tcPr>
            <w:tcW w:w="1060" w:type="dxa"/>
            <w:tcBorders>
              <w:top w:val="nil"/>
              <w:left w:val="nil"/>
              <w:bottom w:val="single" w:sz="4" w:space="0" w:color="auto"/>
              <w:right w:val="single" w:sz="4" w:space="0" w:color="auto"/>
            </w:tcBorders>
            <w:shd w:val="clear" w:color="auto" w:fill="auto"/>
            <w:noWrap/>
            <w:vAlign w:val="bottom"/>
            <w:hideMark/>
          </w:tcPr>
          <w:p w14:paraId="1D79F734"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1.91 </w:t>
            </w:r>
          </w:p>
        </w:tc>
        <w:tc>
          <w:tcPr>
            <w:tcW w:w="180" w:type="dxa"/>
            <w:tcBorders>
              <w:top w:val="nil"/>
              <w:left w:val="nil"/>
              <w:bottom w:val="nil"/>
              <w:right w:val="nil"/>
            </w:tcBorders>
            <w:shd w:val="clear" w:color="auto" w:fill="auto"/>
            <w:noWrap/>
            <w:vAlign w:val="bottom"/>
            <w:hideMark/>
          </w:tcPr>
          <w:p w14:paraId="6B0D4CC5"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78471B52"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One Bank</w:t>
            </w:r>
          </w:p>
        </w:tc>
        <w:tc>
          <w:tcPr>
            <w:tcW w:w="1180" w:type="dxa"/>
            <w:tcBorders>
              <w:top w:val="nil"/>
              <w:left w:val="nil"/>
              <w:bottom w:val="single" w:sz="4" w:space="0" w:color="auto"/>
              <w:right w:val="single" w:sz="4" w:space="0" w:color="auto"/>
            </w:tcBorders>
            <w:shd w:val="clear" w:color="auto" w:fill="auto"/>
            <w:noWrap/>
            <w:vAlign w:val="bottom"/>
            <w:hideMark/>
          </w:tcPr>
          <w:p w14:paraId="5AF01F6F"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6.23 </w:t>
            </w:r>
          </w:p>
        </w:tc>
      </w:tr>
      <w:tr w:rsidR="003A5638" w:rsidRPr="003A5638" w14:paraId="48C25805"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25F824C6"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SEBL</w:t>
            </w:r>
          </w:p>
        </w:tc>
        <w:tc>
          <w:tcPr>
            <w:tcW w:w="1120" w:type="dxa"/>
            <w:tcBorders>
              <w:top w:val="nil"/>
              <w:left w:val="nil"/>
              <w:bottom w:val="single" w:sz="4" w:space="0" w:color="auto"/>
              <w:right w:val="single" w:sz="4" w:space="0" w:color="auto"/>
            </w:tcBorders>
            <w:shd w:val="clear" w:color="auto" w:fill="auto"/>
            <w:noWrap/>
            <w:vAlign w:val="bottom"/>
            <w:hideMark/>
          </w:tcPr>
          <w:p w14:paraId="3BA783E4"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27.94 </w:t>
            </w:r>
          </w:p>
        </w:tc>
        <w:tc>
          <w:tcPr>
            <w:tcW w:w="220" w:type="dxa"/>
            <w:tcBorders>
              <w:top w:val="nil"/>
              <w:left w:val="nil"/>
              <w:bottom w:val="nil"/>
              <w:right w:val="nil"/>
            </w:tcBorders>
            <w:shd w:val="clear" w:color="auto" w:fill="auto"/>
            <w:noWrap/>
            <w:vAlign w:val="bottom"/>
            <w:hideMark/>
          </w:tcPr>
          <w:p w14:paraId="247B9201"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39CF17A"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SEBL</w:t>
            </w:r>
          </w:p>
        </w:tc>
        <w:tc>
          <w:tcPr>
            <w:tcW w:w="1060" w:type="dxa"/>
            <w:tcBorders>
              <w:top w:val="nil"/>
              <w:left w:val="nil"/>
              <w:bottom w:val="single" w:sz="4" w:space="0" w:color="auto"/>
              <w:right w:val="single" w:sz="4" w:space="0" w:color="auto"/>
            </w:tcBorders>
            <w:shd w:val="clear" w:color="auto" w:fill="auto"/>
            <w:noWrap/>
            <w:vAlign w:val="bottom"/>
            <w:hideMark/>
          </w:tcPr>
          <w:p w14:paraId="26E8A93E"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0.70 </w:t>
            </w:r>
          </w:p>
        </w:tc>
        <w:tc>
          <w:tcPr>
            <w:tcW w:w="180" w:type="dxa"/>
            <w:tcBorders>
              <w:top w:val="nil"/>
              <w:left w:val="nil"/>
              <w:bottom w:val="nil"/>
              <w:right w:val="nil"/>
            </w:tcBorders>
            <w:shd w:val="clear" w:color="auto" w:fill="auto"/>
            <w:noWrap/>
            <w:vAlign w:val="bottom"/>
            <w:hideMark/>
          </w:tcPr>
          <w:p w14:paraId="46B173C8"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20B3ABB5"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SEBL</w:t>
            </w:r>
          </w:p>
        </w:tc>
        <w:tc>
          <w:tcPr>
            <w:tcW w:w="1180" w:type="dxa"/>
            <w:tcBorders>
              <w:top w:val="nil"/>
              <w:left w:val="nil"/>
              <w:bottom w:val="single" w:sz="4" w:space="0" w:color="auto"/>
              <w:right w:val="single" w:sz="4" w:space="0" w:color="auto"/>
            </w:tcBorders>
            <w:shd w:val="clear" w:color="auto" w:fill="auto"/>
            <w:noWrap/>
            <w:vAlign w:val="bottom"/>
            <w:hideMark/>
          </w:tcPr>
          <w:p w14:paraId="27CEEF62"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10.21 </w:t>
            </w:r>
          </w:p>
        </w:tc>
      </w:tr>
      <w:tr w:rsidR="003A5638" w:rsidRPr="003A5638" w14:paraId="4EDB6FCD"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2B7945A"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Standard Bank</w:t>
            </w:r>
          </w:p>
        </w:tc>
        <w:tc>
          <w:tcPr>
            <w:tcW w:w="1120" w:type="dxa"/>
            <w:tcBorders>
              <w:top w:val="nil"/>
              <w:left w:val="nil"/>
              <w:bottom w:val="single" w:sz="4" w:space="0" w:color="auto"/>
              <w:right w:val="single" w:sz="4" w:space="0" w:color="auto"/>
            </w:tcBorders>
            <w:shd w:val="clear" w:color="auto" w:fill="auto"/>
            <w:noWrap/>
            <w:vAlign w:val="bottom"/>
            <w:hideMark/>
          </w:tcPr>
          <w:p w14:paraId="37C3270C"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17.02 </w:t>
            </w:r>
          </w:p>
        </w:tc>
        <w:tc>
          <w:tcPr>
            <w:tcW w:w="220" w:type="dxa"/>
            <w:tcBorders>
              <w:top w:val="nil"/>
              <w:left w:val="nil"/>
              <w:bottom w:val="nil"/>
              <w:right w:val="nil"/>
            </w:tcBorders>
            <w:shd w:val="clear" w:color="auto" w:fill="auto"/>
            <w:noWrap/>
            <w:vAlign w:val="bottom"/>
            <w:hideMark/>
          </w:tcPr>
          <w:p w14:paraId="54BDD5D8"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1C19B2F"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Standard Bank</w:t>
            </w:r>
          </w:p>
        </w:tc>
        <w:tc>
          <w:tcPr>
            <w:tcW w:w="1060" w:type="dxa"/>
            <w:tcBorders>
              <w:top w:val="nil"/>
              <w:left w:val="nil"/>
              <w:bottom w:val="single" w:sz="4" w:space="0" w:color="auto"/>
              <w:right w:val="single" w:sz="4" w:space="0" w:color="auto"/>
            </w:tcBorders>
            <w:shd w:val="clear" w:color="auto" w:fill="auto"/>
            <w:noWrap/>
            <w:vAlign w:val="bottom"/>
            <w:hideMark/>
          </w:tcPr>
          <w:p w14:paraId="4B6B1A23"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0.66 </w:t>
            </w:r>
          </w:p>
        </w:tc>
        <w:tc>
          <w:tcPr>
            <w:tcW w:w="180" w:type="dxa"/>
            <w:tcBorders>
              <w:top w:val="nil"/>
              <w:left w:val="nil"/>
              <w:bottom w:val="nil"/>
              <w:right w:val="nil"/>
            </w:tcBorders>
            <w:shd w:val="clear" w:color="auto" w:fill="auto"/>
            <w:noWrap/>
            <w:vAlign w:val="bottom"/>
            <w:hideMark/>
          </w:tcPr>
          <w:p w14:paraId="66D6962A"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514BC736"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Standard Bank</w:t>
            </w:r>
          </w:p>
        </w:tc>
        <w:tc>
          <w:tcPr>
            <w:tcW w:w="1180" w:type="dxa"/>
            <w:tcBorders>
              <w:top w:val="nil"/>
              <w:left w:val="nil"/>
              <w:bottom w:val="single" w:sz="4" w:space="0" w:color="auto"/>
              <w:right w:val="single" w:sz="4" w:space="0" w:color="auto"/>
            </w:tcBorders>
            <w:shd w:val="clear" w:color="auto" w:fill="auto"/>
            <w:noWrap/>
            <w:vAlign w:val="bottom"/>
            <w:hideMark/>
          </w:tcPr>
          <w:p w14:paraId="6326496B"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4.12 </w:t>
            </w:r>
          </w:p>
        </w:tc>
      </w:tr>
      <w:tr w:rsidR="003A5638" w:rsidRPr="003A5638" w14:paraId="5F7EAC08"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35CF4D2"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lastRenderedPageBreak/>
              <w:t xml:space="preserve">Trust Bank Limited </w:t>
            </w:r>
          </w:p>
        </w:tc>
        <w:tc>
          <w:tcPr>
            <w:tcW w:w="1120" w:type="dxa"/>
            <w:tcBorders>
              <w:top w:val="nil"/>
              <w:left w:val="nil"/>
              <w:bottom w:val="single" w:sz="4" w:space="0" w:color="auto"/>
              <w:right w:val="single" w:sz="4" w:space="0" w:color="auto"/>
            </w:tcBorders>
            <w:shd w:val="clear" w:color="auto" w:fill="auto"/>
            <w:noWrap/>
            <w:vAlign w:val="bottom"/>
            <w:hideMark/>
          </w:tcPr>
          <w:p w14:paraId="302904F7"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22.33 </w:t>
            </w:r>
          </w:p>
        </w:tc>
        <w:tc>
          <w:tcPr>
            <w:tcW w:w="220" w:type="dxa"/>
            <w:tcBorders>
              <w:top w:val="nil"/>
              <w:left w:val="nil"/>
              <w:bottom w:val="nil"/>
              <w:right w:val="nil"/>
            </w:tcBorders>
            <w:shd w:val="clear" w:color="auto" w:fill="auto"/>
            <w:noWrap/>
            <w:vAlign w:val="bottom"/>
            <w:hideMark/>
          </w:tcPr>
          <w:p w14:paraId="30B0480E"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5C91022"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 xml:space="preserve">Trust Bank Limited </w:t>
            </w:r>
          </w:p>
        </w:tc>
        <w:tc>
          <w:tcPr>
            <w:tcW w:w="1060" w:type="dxa"/>
            <w:tcBorders>
              <w:top w:val="nil"/>
              <w:left w:val="nil"/>
              <w:bottom w:val="single" w:sz="4" w:space="0" w:color="auto"/>
              <w:right w:val="single" w:sz="4" w:space="0" w:color="auto"/>
            </w:tcBorders>
            <w:shd w:val="clear" w:color="auto" w:fill="auto"/>
            <w:noWrap/>
            <w:vAlign w:val="bottom"/>
            <w:hideMark/>
          </w:tcPr>
          <w:p w14:paraId="3D7CDA65"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2.02 </w:t>
            </w:r>
          </w:p>
        </w:tc>
        <w:tc>
          <w:tcPr>
            <w:tcW w:w="180" w:type="dxa"/>
            <w:tcBorders>
              <w:top w:val="nil"/>
              <w:left w:val="nil"/>
              <w:bottom w:val="nil"/>
              <w:right w:val="nil"/>
            </w:tcBorders>
            <w:shd w:val="clear" w:color="auto" w:fill="auto"/>
            <w:noWrap/>
            <w:vAlign w:val="bottom"/>
            <w:hideMark/>
          </w:tcPr>
          <w:p w14:paraId="79D319D9"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32938CC6"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 xml:space="preserve">Trust Bank Limited </w:t>
            </w:r>
          </w:p>
        </w:tc>
        <w:tc>
          <w:tcPr>
            <w:tcW w:w="1180" w:type="dxa"/>
            <w:tcBorders>
              <w:top w:val="nil"/>
              <w:left w:val="nil"/>
              <w:bottom w:val="single" w:sz="4" w:space="0" w:color="auto"/>
              <w:right w:val="single" w:sz="4" w:space="0" w:color="auto"/>
            </w:tcBorders>
            <w:shd w:val="clear" w:color="auto" w:fill="auto"/>
            <w:noWrap/>
            <w:vAlign w:val="bottom"/>
            <w:hideMark/>
          </w:tcPr>
          <w:p w14:paraId="618C53FB"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8.38 </w:t>
            </w:r>
          </w:p>
        </w:tc>
      </w:tr>
      <w:tr w:rsidR="003A5638" w:rsidRPr="003A5638" w14:paraId="53156A82"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99AA5AC"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 xml:space="preserve">UCB </w:t>
            </w:r>
          </w:p>
        </w:tc>
        <w:tc>
          <w:tcPr>
            <w:tcW w:w="1120" w:type="dxa"/>
            <w:tcBorders>
              <w:top w:val="nil"/>
              <w:left w:val="nil"/>
              <w:bottom w:val="single" w:sz="4" w:space="0" w:color="auto"/>
              <w:right w:val="single" w:sz="4" w:space="0" w:color="auto"/>
            </w:tcBorders>
            <w:shd w:val="clear" w:color="auto" w:fill="auto"/>
            <w:noWrap/>
            <w:vAlign w:val="bottom"/>
            <w:hideMark/>
          </w:tcPr>
          <w:p w14:paraId="5CD26723"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25.83 </w:t>
            </w:r>
          </w:p>
        </w:tc>
        <w:tc>
          <w:tcPr>
            <w:tcW w:w="220" w:type="dxa"/>
            <w:tcBorders>
              <w:top w:val="nil"/>
              <w:left w:val="nil"/>
              <w:bottom w:val="nil"/>
              <w:right w:val="nil"/>
            </w:tcBorders>
            <w:shd w:val="clear" w:color="auto" w:fill="auto"/>
            <w:noWrap/>
            <w:vAlign w:val="bottom"/>
            <w:hideMark/>
          </w:tcPr>
          <w:p w14:paraId="0ECB97A3"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3850D99"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 xml:space="preserve">UCB </w:t>
            </w:r>
          </w:p>
        </w:tc>
        <w:tc>
          <w:tcPr>
            <w:tcW w:w="1060" w:type="dxa"/>
            <w:tcBorders>
              <w:top w:val="nil"/>
              <w:left w:val="nil"/>
              <w:bottom w:val="single" w:sz="4" w:space="0" w:color="auto"/>
              <w:right w:val="single" w:sz="4" w:space="0" w:color="auto"/>
            </w:tcBorders>
            <w:shd w:val="clear" w:color="auto" w:fill="auto"/>
            <w:noWrap/>
            <w:vAlign w:val="bottom"/>
            <w:hideMark/>
          </w:tcPr>
          <w:p w14:paraId="12678811"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2.04 </w:t>
            </w:r>
          </w:p>
        </w:tc>
        <w:tc>
          <w:tcPr>
            <w:tcW w:w="180" w:type="dxa"/>
            <w:tcBorders>
              <w:top w:val="nil"/>
              <w:left w:val="nil"/>
              <w:bottom w:val="nil"/>
              <w:right w:val="nil"/>
            </w:tcBorders>
            <w:shd w:val="clear" w:color="auto" w:fill="auto"/>
            <w:noWrap/>
            <w:vAlign w:val="bottom"/>
            <w:hideMark/>
          </w:tcPr>
          <w:p w14:paraId="28DBB3B7"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0F8A4E86"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 xml:space="preserve">UCB </w:t>
            </w:r>
          </w:p>
        </w:tc>
        <w:tc>
          <w:tcPr>
            <w:tcW w:w="1180" w:type="dxa"/>
            <w:tcBorders>
              <w:top w:val="nil"/>
              <w:left w:val="nil"/>
              <w:bottom w:val="single" w:sz="4" w:space="0" w:color="auto"/>
              <w:right w:val="single" w:sz="4" w:space="0" w:color="auto"/>
            </w:tcBorders>
            <w:shd w:val="clear" w:color="auto" w:fill="auto"/>
            <w:noWrap/>
            <w:vAlign w:val="bottom"/>
            <w:hideMark/>
          </w:tcPr>
          <w:p w14:paraId="47F31264"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2.60 </w:t>
            </w:r>
          </w:p>
        </w:tc>
      </w:tr>
      <w:tr w:rsidR="003A5638" w:rsidRPr="003A5638" w14:paraId="1551CB70" w14:textId="77777777" w:rsidTr="003A5638">
        <w:trPr>
          <w:trHeight w:val="288"/>
          <w:jc w:val="center"/>
        </w:trPr>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7A3D171"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Uttara Bank</w:t>
            </w:r>
          </w:p>
        </w:tc>
        <w:tc>
          <w:tcPr>
            <w:tcW w:w="1120" w:type="dxa"/>
            <w:tcBorders>
              <w:top w:val="nil"/>
              <w:left w:val="nil"/>
              <w:bottom w:val="single" w:sz="4" w:space="0" w:color="auto"/>
              <w:right w:val="single" w:sz="4" w:space="0" w:color="auto"/>
            </w:tcBorders>
            <w:shd w:val="clear" w:color="auto" w:fill="auto"/>
            <w:noWrap/>
            <w:vAlign w:val="bottom"/>
            <w:hideMark/>
          </w:tcPr>
          <w:p w14:paraId="62A6E28C"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35.24 </w:t>
            </w:r>
          </w:p>
        </w:tc>
        <w:tc>
          <w:tcPr>
            <w:tcW w:w="220" w:type="dxa"/>
            <w:tcBorders>
              <w:top w:val="nil"/>
              <w:left w:val="nil"/>
              <w:bottom w:val="nil"/>
              <w:right w:val="nil"/>
            </w:tcBorders>
            <w:shd w:val="clear" w:color="auto" w:fill="auto"/>
            <w:noWrap/>
            <w:vAlign w:val="bottom"/>
            <w:hideMark/>
          </w:tcPr>
          <w:p w14:paraId="374DF07F" w14:textId="77777777" w:rsidR="003A5638" w:rsidRPr="003A5638" w:rsidRDefault="003A5638" w:rsidP="003A5638">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4101798"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Uttara Bank</w:t>
            </w:r>
          </w:p>
        </w:tc>
        <w:tc>
          <w:tcPr>
            <w:tcW w:w="1060" w:type="dxa"/>
            <w:tcBorders>
              <w:top w:val="nil"/>
              <w:left w:val="nil"/>
              <w:bottom w:val="single" w:sz="4" w:space="0" w:color="auto"/>
              <w:right w:val="single" w:sz="4" w:space="0" w:color="auto"/>
            </w:tcBorders>
            <w:shd w:val="clear" w:color="auto" w:fill="auto"/>
            <w:noWrap/>
            <w:vAlign w:val="bottom"/>
            <w:hideMark/>
          </w:tcPr>
          <w:p w14:paraId="38660BCB"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2.04 </w:t>
            </w:r>
          </w:p>
        </w:tc>
        <w:tc>
          <w:tcPr>
            <w:tcW w:w="180" w:type="dxa"/>
            <w:tcBorders>
              <w:top w:val="nil"/>
              <w:left w:val="nil"/>
              <w:bottom w:val="nil"/>
              <w:right w:val="nil"/>
            </w:tcBorders>
            <w:shd w:val="clear" w:color="auto" w:fill="auto"/>
            <w:noWrap/>
            <w:vAlign w:val="bottom"/>
            <w:hideMark/>
          </w:tcPr>
          <w:p w14:paraId="3DDF41F7" w14:textId="77777777" w:rsidR="003A5638" w:rsidRPr="003A5638" w:rsidRDefault="003A5638" w:rsidP="003A5638">
            <w:pPr>
              <w:spacing w:after="0" w:line="240" w:lineRule="auto"/>
              <w:rPr>
                <w:rFonts w:ascii="Calibri" w:eastAsia="Times New Roman" w:hAnsi="Calibri" w:cs="Calibri"/>
                <w:color w:val="000000"/>
              </w:rPr>
            </w:pPr>
          </w:p>
        </w:tc>
        <w:tc>
          <w:tcPr>
            <w:tcW w:w="2120" w:type="dxa"/>
            <w:tcBorders>
              <w:top w:val="nil"/>
              <w:left w:val="single" w:sz="4" w:space="0" w:color="auto"/>
              <w:bottom w:val="single" w:sz="4" w:space="0" w:color="auto"/>
              <w:right w:val="single" w:sz="4" w:space="0" w:color="auto"/>
            </w:tcBorders>
            <w:shd w:val="clear" w:color="auto" w:fill="auto"/>
            <w:noWrap/>
            <w:vAlign w:val="bottom"/>
            <w:hideMark/>
          </w:tcPr>
          <w:p w14:paraId="38F264B1" w14:textId="77777777" w:rsidR="003A5638" w:rsidRPr="003A5638" w:rsidRDefault="003A5638" w:rsidP="003A5638">
            <w:pPr>
              <w:spacing w:after="0" w:line="240" w:lineRule="auto"/>
              <w:rPr>
                <w:rFonts w:ascii="Calibri" w:eastAsia="Times New Roman" w:hAnsi="Calibri" w:cs="Calibri"/>
                <w:color w:val="000000"/>
              </w:rPr>
            </w:pPr>
            <w:r w:rsidRPr="003A5638">
              <w:rPr>
                <w:rFonts w:ascii="Calibri" w:eastAsia="Times New Roman" w:hAnsi="Calibri" w:cs="Calibri"/>
                <w:color w:val="000000"/>
              </w:rPr>
              <w:t>Uttara Bank</w:t>
            </w:r>
          </w:p>
        </w:tc>
        <w:tc>
          <w:tcPr>
            <w:tcW w:w="1180" w:type="dxa"/>
            <w:tcBorders>
              <w:top w:val="nil"/>
              <w:left w:val="nil"/>
              <w:bottom w:val="single" w:sz="4" w:space="0" w:color="auto"/>
              <w:right w:val="single" w:sz="4" w:space="0" w:color="auto"/>
            </w:tcBorders>
            <w:shd w:val="clear" w:color="auto" w:fill="auto"/>
            <w:noWrap/>
            <w:vAlign w:val="bottom"/>
            <w:hideMark/>
          </w:tcPr>
          <w:p w14:paraId="460DAA79" w14:textId="77777777" w:rsidR="003A5638" w:rsidRPr="003A5638" w:rsidRDefault="003A5638" w:rsidP="006A4BCE">
            <w:pPr>
              <w:spacing w:after="0" w:line="240" w:lineRule="auto"/>
              <w:jc w:val="right"/>
              <w:rPr>
                <w:rFonts w:ascii="Calibri" w:eastAsia="Times New Roman" w:hAnsi="Calibri" w:cs="Calibri"/>
                <w:color w:val="000000"/>
              </w:rPr>
            </w:pPr>
            <w:r w:rsidRPr="003A5638">
              <w:rPr>
                <w:rFonts w:ascii="Calibri" w:eastAsia="Times New Roman" w:hAnsi="Calibri" w:cs="Calibri"/>
                <w:color w:val="000000"/>
              </w:rPr>
              <w:t xml:space="preserve">             8.93 </w:t>
            </w:r>
          </w:p>
        </w:tc>
      </w:tr>
    </w:tbl>
    <w:p w14:paraId="7DF6353E" w14:textId="77777777" w:rsidR="00603390" w:rsidRDefault="003A5638" w:rsidP="003A5638">
      <w:pPr>
        <w:pStyle w:val="Caption"/>
        <w:rPr>
          <w:rFonts w:ascii="Times New Roman" w:hAnsi="Times New Roman" w:cs="Times New Roman"/>
          <w:color w:val="222222"/>
          <w:sz w:val="24"/>
          <w:szCs w:val="24"/>
          <w:shd w:val="clear" w:color="auto" w:fill="FFFFFF"/>
        </w:rPr>
      </w:pPr>
      <w:bookmarkStart w:id="73" w:name="_Toc53355890"/>
      <w:r>
        <w:t xml:space="preserve">Table </w:t>
      </w:r>
      <w:fldSimple w:instr=" SEQ Table \* ARABIC ">
        <w:r w:rsidR="009F7CAB">
          <w:rPr>
            <w:noProof/>
          </w:rPr>
          <w:t>17</w:t>
        </w:r>
      </w:fldSimple>
      <w:r>
        <w:t xml:space="preserve">:  Average NAV </w:t>
      </w:r>
      <w:r w:rsidRPr="002A1DB4">
        <w:t>per Share</w:t>
      </w:r>
      <w:r>
        <w:t xml:space="preserve">        Table </w:t>
      </w:r>
      <w:fldSimple w:instr=" SEQ Table \* ARABIC ">
        <w:r w:rsidR="009F7CAB">
          <w:rPr>
            <w:noProof/>
          </w:rPr>
          <w:t>18</w:t>
        </w:r>
      </w:fldSimple>
      <w:r>
        <w:t xml:space="preserve">: </w:t>
      </w:r>
      <w:r w:rsidRPr="00A335AF">
        <w:t xml:space="preserve"> Average Operating Profit per Share</w:t>
      </w:r>
      <w:r>
        <w:t xml:space="preserve"> Table </w:t>
      </w:r>
      <w:fldSimple w:instr=" SEQ Table \* ARABIC ">
        <w:r w:rsidR="009F7CAB">
          <w:rPr>
            <w:noProof/>
          </w:rPr>
          <w:t>19</w:t>
        </w:r>
      </w:fldSimple>
      <w:r>
        <w:t xml:space="preserve">: </w:t>
      </w:r>
      <w:r w:rsidRPr="007776AA">
        <w:t xml:space="preserve"> Average Dividend Coverage Ratio</w:t>
      </w:r>
      <w:bookmarkEnd w:id="73"/>
      <w:r>
        <w:t xml:space="preserve"> </w:t>
      </w:r>
    </w:p>
    <w:tbl>
      <w:tblPr>
        <w:tblW w:w="10140" w:type="dxa"/>
        <w:jc w:val="center"/>
        <w:tblLook w:val="04A0" w:firstRow="1" w:lastRow="0" w:firstColumn="1" w:lastColumn="0" w:noHBand="0" w:noVBand="1"/>
      </w:tblPr>
      <w:tblGrid>
        <w:gridCol w:w="2140"/>
        <w:gridCol w:w="1160"/>
        <w:gridCol w:w="222"/>
        <w:gridCol w:w="2140"/>
        <w:gridCol w:w="1060"/>
        <w:gridCol w:w="222"/>
        <w:gridCol w:w="2080"/>
        <w:gridCol w:w="1120"/>
      </w:tblGrid>
      <w:tr w:rsidR="009F7CAB" w:rsidRPr="009F7CAB" w14:paraId="71D0415C" w14:textId="77777777" w:rsidTr="009F7CAB">
        <w:trPr>
          <w:trHeight w:val="1728"/>
          <w:jc w:val="center"/>
        </w:trPr>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657625" w14:textId="77777777" w:rsidR="009F7CAB" w:rsidRPr="009F7CAB" w:rsidRDefault="009F7CAB" w:rsidP="009F7CAB">
            <w:pPr>
              <w:spacing w:after="0" w:line="240" w:lineRule="auto"/>
              <w:jc w:val="center"/>
              <w:rPr>
                <w:rFonts w:ascii="Calibri" w:eastAsia="Times New Roman" w:hAnsi="Calibri" w:cs="Calibri"/>
                <w:color w:val="000000"/>
              </w:rPr>
            </w:pPr>
            <w:r w:rsidRPr="009F7CAB">
              <w:rPr>
                <w:rFonts w:ascii="Calibri" w:eastAsia="Times New Roman" w:hAnsi="Calibri" w:cs="Calibri"/>
                <w:color w:val="000000"/>
              </w:rPr>
              <w:t>Bank Name</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14:paraId="7472558F" w14:textId="77777777" w:rsidR="009F7CAB" w:rsidRPr="009F7CAB" w:rsidRDefault="009F7CAB" w:rsidP="009F7CAB">
            <w:pPr>
              <w:spacing w:after="0" w:line="240" w:lineRule="auto"/>
              <w:jc w:val="center"/>
              <w:rPr>
                <w:rFonts w:ascii="Calibri" w:eastAsia="Times New Roman" w:hAnsi="Calibri" w:cs="Calibri"/>
                <w:color w:val="000000"/>
              </w:rPr>
            </w:pPr>
            <w:r w:rsidRPr="009F7CAB">
              <w:rPr>
                <w:rFonts w:ascii="Calibri" w:eastAsia="Times New Roman" w:hAnsi="Calibri" w:cs="Calibri"/>
                <w:color w:val="000000"/>
              </w:rPr>
              <w:t xml:space="preserve"> Average Net Operating Cash Flow per Share </w:t>
            </w:r>
          </w:p>
        </w:tc>
        <w:tc>
          <w:tcPr>
            <w:tcW w:w="220" w:type="dxa"/>
            <w:tcBorders>
              <w:top w:val="nil"/>
              <w:left w:val="nil"/>
              <w:bottom w:val="nil"/>
              <w:right w:val="nil"/>
            </w:tcBorders>
            <w:shd w:val="clear" w:color="auto" w:fill="auto"/>
            <w:vAlign w:val="center"/>
            <w:hideMark/>
          </w:tcPr>
          <w:p w14:paraId="61495345" w14:textId="77777777" w:rsidR="009F7CAB" w:rsidRPr="009F7CAB" w:rsidRDefault="009F7CAB" w:rsidP="009F7CAB">
            <w:pPr>
              <w:spacing w:after="0" w:line="240" w:lineRule="auto"/>
              <w:jc w:val="center"/>
              <w:rPr>
                <w:rFonts w:ascii="Calibri" w:eastAsia="Times New Roman" w:hAnsi="Calibri" w:cs="Calibri"/>
                <w:color w:val="000000"/>
              </w:rPr>
            </w:pPr>
          </w:p>
        </w:tc>
        <w:tc>
          <w:tcPr>
            <w:tcW w:w="21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0C75E0" w14:textId="77777777" w:rsidR="009F7CAB" w:rsidRPr="009F7CAB" w:rsidRDefault="009F7CAB" w:rsidP="009F7CAB">
            <w:pPr>
              <w:spacing w:after="0" w:line="240" w:lineRule="auto"/>
              <w:jc w:val="center"/>
              <w:rPr>
                <w:rFonts w:ascii="Calibri" w:eastAsia="Times New Roman" w:hAnsi="Calibri" w:cs="Calibri"/>
                <w:color w:val="000000"/>
              </w:rPr>
            </w:pPr>
            <w:r w:rsidRPr="009F7CAB">
              <w:rPr>
                <w:rFonts w:ascii="Calibri" w:eastAsia="Times New Roman" w:hAnsi="Calibri" w:cs="Calibri"/>
                <w:color w:val="000000"/>
              </w:rPr>
              <w:t>Bank Name</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14:paraId="5A12FD39" w14:textId="77777777" w:rsidR="009F7CAB" w:rsidRPr="009F7CAB" w:rsidRDefault="009F7CAB" w:rsidP="009F7CAB">
            <w:pPr>
              <w:spacing w:after="0" w:line="240" w:lineRule="auto"/>
              <w:jc w:val="center"/>
              <w:rPr>
                <w:rFonts w:ascii="Calibri" w:eastAsia="Times New Roman" w:hAnsi="Calibri" w:cs="Calibri"/>
                <w:color w:val="000000"/>
              </w:rPr>
            </w:pPr>
            <w:r w:rsidRPr="009F7CAB">
              <w:rPr>
                <w:rFonts w:ascii="Calibri" w:eastAsia="Times New Roman" w:hAnsi="Calibri" w:cs="Calibri"/>
                <w:color w:val="000000"/>
              </w:rPr>
              <w:t>Average Dividend Yield</w:t>
            </w:r>
          </w:p>
        </w:tc>
        <w:tc>
          <w:tcPr>
            <w:tcW w:w="220" w:type="dxa"/>
            <w:tcBorders>
              <w:top w:val="nil"/>
              <w:left w:val="nil"/>
              <w:bottom w:val="nil"/>
              <w:right w:val="nil"/>
            </w:tcBorders>
            <w:shd w:val="clear" w:color="auto" w:fill="auto"/>
            <w:vAlign w:val="center"/>
            <w:hideMark/>
          </w:tcPr>
          <w:p w14:paraId="25894E4C" w14:textId="77777777" w:rsidR="009F7CAB" w:rsidRPr="009F7CAB" w:rsidRDefault="009F7CAB" w:rsidP="009F7CAB">
            <w:pPr>
              <w:spacing w:after="0" w:line="240" w:lineRule="auto"/>
              <w:jc w:val="center"/>
              <w:rPr>
                <w:rFonts w:ascii="Calibri" w:eastAsia="Times New Roman" w:hAnsi="Calibri" w:cs="Calibri"/>
                <w:color w:val="000000"/>
              </w:rPr>
            </w:pPr>
          </w:p>
        </w:tc>
        <w:tc>
          <w:tcPr>
            <w:tcW w:w="20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8D843E" w14:textId="77777777" w:rsidR="009F7CAB" w:rsidRPr="009F7CAB" w:rsidRDefault="009F7CAB" w:rsidP="009F7CAB">
            <w:pPr>
              <w:spacing w:after="0" w:line="240" w:lineRule="auto"/>
              <w:jc w:val="center"/>
              <w:rPr>
                <w:rFonts w:ascii="Calibri" w:eastAsia="Times New Roman" w:hAnsi="Calibri" w:cs="Calibri"/>
                <w:color w:val="000000"/>
              </w:rPr>
            </w:pPr>
            <w:r w:rsidRPr="009F7CAB">
              <w:rPr>
                <w:rFonts w:ascii="Calibri" w:eastAsia="Times New Roman" w:hAnsi="Calibri" w:cs="Calibri"/>
                <w:color w:val="000000"/>
              </w:rPr>
              <w:t>Bank Name</w:t>
            </w:r>
          </w:p>
        </w:tc>
        <w:tc>
          <w:tcPr>
            <w:tcW w:w="1120" w:type="dxa"/>
            <w:tcBorders>
              <w:top w:val="single" w:sz="4" w:space="0" w:color="auto"/>
              <w:left w:val="nil"/>
              <w:bottom w:val="single" w:sz="4" w:space="0" w:color="auto"/>
              <w:right w:val="single" w:sz="4" w:space="0" w:color="auto"/>
            </w:tcBorders>
            <w:shd w:val="clear" w:color="auto" w:fill="auto"/>
            <w:vAlign w:val="center"/>
            <w:hideMark/>
          </w:tcPr>
          <w:p w14:paraId="1316EEB5" w14:textId="77777777" w:rsidR="009F7CAB" w:rsidRPr="009F7CAB" w:rsidRDefault="009F7CAB" w:rsidP="009F7CAB">
            <w:pPr>
              <w:spacing w:after="0" w:line="240" w:lineRule="auto"/>
              <w:jc w:val="center"/>
              <w:rPr>
                <w:rFonts w:ascii="Calibri" w:eastAsia="Times New Roman" w:hAnsi="Calibri" w:cs="Calibri"/>
                <w:color w:val="000000"/>
              </w:rPr>
            </w:pPr>
            <w:r w:rsidRPr="009F7CAB">
              <w:rPr>
                <w:rFonts w:ascii="Calibri" w:eastAsia="Times New Roman" w:hAnsi="Calibri" w:cs="Calibri"/>
                <w:color w:val="000000"/>
              </w:rPr>
              <w:t>Average Dividend Payout Ratio</w:t>
            </w:r>
          </w:p>
        </w:tc>
      </w:tr>
      <w:tr w:rsidR="009F7CAB" w:rsidRPr="009F7CAB" w14:paraId="36FEED7E"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5D685BAF"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AB Bank</w:t>
            </w:r>
          </w:p>
        </w:tc>
        <w:tc>
          <w:tcPr>
            <w:tcW w:w="1160" w:type="dxa"/>
            <w:tcBorders>
              <w:top w:val="nil"/>
              <w:left w:val="nil"/>
              <w:bottom w:val="single" w:sz="4" w:space="0" w:color="auto"/>
              <w:right w:val="single" w:sz="4" w:space="0" w:color="auto"/>
            </w:tcBorders>
            <w:shd w:val="clear" w:color="auto" w:fill="auto"/>
            <w:noWrap/>
            <w:vAlign w:val="bottom"/>
            <w:hideMark/>
          </w:tcPr>
          <w:p w14:paraId="07922CC2"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8.94 </w:t>
            </w:r>
          </w:p>
        </w:tc>
        <w:tc>
          <w:tcPr>
            <w:tcW w:w="220" w:type="dxa"/>
            <w:tcBorders>
              <w:top w:val="nil"/>
              <w:left w:val="nil"/>
              <w:bottom w:val="nil"/>
              <w:right w:val="nil"/>
            </w:tcBorders>
            <w:shd w:val="clear" w:color="auto" w:fill="auto"/>
            <w:noWrap/>
            <w:vAlign w:val="bottom"/>
            <w:hideMark/>
          </w:tcPr>
          <w:p w14:paraId="0DCBBC56"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5C04E903"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AB Bank</w:t>
            </w:r>
          </w:p>
        </w:tc>
        <w:tc>
          <w:tcPr>
            <w:tcW w:w="1060" w:type="dxa"/>
            <w:tcBorders>
              <w:top w:val="nil"/>
              <w:left w:val="nil"/>
              <w:bottom w:val="single" w:sz="4" w:space="0" w:color="auto"/>
              <w:right w:val="single" w:sz="4" w:space="0" w:color="auto"/>
            </w:tcBorders>
            <w:shd w:val="clear" w:color="auto" w:fill="auto"/>
            <w:noWrap/>
            <w:vAlign w:val="bottom"/>
            <w:hideMark/>
          </w:tcPr>
          <w:p w14:paraId="436BF3A7"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23%</w:t>
            </w:r>
          </w:p>
        </w:tc>
        <w:tc>
          <w:tcPr>
            <w:tcW w:w="220" w:type="dxa"/>
            <w:tcBorders>
              <w:top w:val="nil"/>
              <w:left w:val="nil"/>
              <w:bottom w:val="nil"/>
              <w:right w:val="nil"/>
            </w:tcBorders>
            <w:shd w:val="clear" w:color="auto" w:fill="auto"/>
            <w:noWrap/>
            <w:vAlign w:val="bottom"/>
            <w:hideMark/>
          </w:tcPr>
          <w:p w14:paraId="1F6F2629"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0617BA3B"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AB Bank</w:t>
            </w:r>
          </w:p>
        </w:tc>
        <w:tc>
          <w:tcPr>
            <w:tcW w:w="1120" w:type="dxa"/>
            <w:tcBorders>
              <w:top w:val="nil"/>
              <w:left w:val="nil"/>
              <w:bottom w:val="single" w:sz="4" w:space="0" w:color="auto"/>
              <w:right w:val="single" w:sz="4" w:space="0" w:color="auto"/>
            </w:tcBorders>
            <w:shd w:val="clear" w:color="auto" w:fill="auto"/>
            <w:noWrap/>
            <w:vAlign w:val="bottom"/>
            <w:hideMark/>
          </w:tcPr>
          <w:p w14:paraId="575019E9"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294%</w:t>
            </w:r>
          </w:p>
        </w:tc>
      </w:tr>
      <w:tr w:rsidR="009F7CAB" w:rsidRPr="009F7CAB" w14:paraId="51426928"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CE9B930"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Bank Asia</w:t>
            </w:r>
          </w:p>
        </w:tc>
        <w:tc>
          <w:tcPr>
            <w:tcW w:w="1160" w:type="dxa"/>
            <w:tcBorders>
              <w:top w:val="nil"/>
              <w:left w:val="nil"/>
              <w:bottom w:val="single" w:sz="4" w:space="0" w:color="auto"/>
              <w:right w:val="single" w:sz="4" w:space="0" w:color="auto"/>
            </w:tcBorders>
            <w:shd w:val="clear" w:color="auto" w:fill="auto"/>
            <w:noWrap/>
            <w:vAlign w:val="bottom"/>
            <w:hideMark/>
          </w:tcPr>
          <w:p w14:paraId="5D724C0A"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10.00 </w:t>
            </w:r>
          </w:p>
        </w:tc>
        <w:tc>
          <w:tcPr>
            <w:tcW w:w="220" w:type="dxa"/>
            <w:tcBorders>
              <w:top w:val="nil"/>
              <w:left w:val="nil"/>
              <w:bottom w:val="nil"/>
              <w:right w:val="nil"/>
            </w:tcBorders>
            <w:shd w:val="clear" w:color="auto" w:fill="auto"/>
            <w:noWrap/>
            <w:vAlign w:val="bottom"/>
            <w:hideMark/>
          </w:tcPr>
          <w:p w14:paraId="04DC012A"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7256075"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Bank Asia</w:t>
            </w:r>
          </w:p>
        </w:tc>
        <w:tc>
          <w:tcPr>
            <w:tcW w:w="1060" w:type="dxa"/>
            <w:tcBorders>
              <w:top w:val="nil"/>
              <w:left w:val="nil"/>
              <w:bottom w:val="single" w:sz="4" w:space="0" w:color="auto"/>
              <w:right w:val="single" w:sz="4" w:space="0" w:color="auto"/>
            </w:tcBorders>
            <w:shd w:val="clear" w:color="auto" w:fill="auto"/>
            <w:noWrap/>
            <w:vAlign w:val="bottom"/>
            <w:hideMark/>
          </w:tcPr>
          <w:p w14:paraId="3FF224D2"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2%</w:t>
            </w:r>
          </w:p>
        </w:tc>
        <w:tc>
          <w:tcPr>
            <w:tcW w:w="220" w:type="dxa"/>
            <w:tcBorders>
              <w:top w:val="nil"/>
              <w:left w:val="nil"/>
              <w:bottom w:val="nil"/>
              <w:right w:val="nil"/>
            </w:tcBorders>
            <w:shd w:val="clear" w:color="auto" w:fill="auto"/>
            <w:noWrap/>
            <w:vAlign w:val="bottom"/>
            <w:hideMark/>
          </w:tcPr>
          <w:p w14:paraId="477B6E98"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54EA30B"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Bank Asia</w:t>
            </w:r>
          </w:p>
        </w:tc>
        <w:tc>
          <w:tcPr>
            <w:tcW w:w="1120" w:type="dxa"/>
            <w:tcBorders>
              <w:top w:val="nil"/>
              <w:left w:val="nil"/>
              <w:bottom w:val="single" w:sz="4" w:space="0" w:color="auto"/>
              <w:right w:val="single" w:sz="4" w:space="0" w:color="auto"/>
            </w:tcBorders>
            <w:shd w:val="clear" w:color="auto" w:fill="auto"/>
            <w:noWrap/>
            <w:vAlign w:val="bottom"/>
            <w:hideMark/>
          </w:tcPr>
          <w:p w14:paraId="14D1D76F"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23%</w:t>
            </w:r>
          </w:p>
        </w:tc>
      </w:tr>
      <w:tr w:rsidR="009F7CAB" w:rsidRPr="009F7CAB" w14:paraId="17996870"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BC90755"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Brac Bank</w:t>
            </w:r>
          </w:p>
        </w:tc>
        <w:tc>
          <w:tcPr>
            <w:tcW w:w="1160" w:type="dxa"/>
            <w:tcBorders>
              <w:top w:val="nil"/>
              <w:left w:val="nil"/>
              <w:bottom w:val="single" w:sz="4" w:space="0" w:color="auto"/>
              <w:right w:val="single" w:sz="4" w:space="0" w:color="auto"/>
            </w:tcBorders>
            <w:shd w:val="clear" w:color="auto" w:fill="auto"/>
            <w:noWrap/>
            <w:vAlign w:val="bottom"/>
            <w:hideMark/>
          </w:tcPr>
          <w:p w14:paraId="6A2B45FB"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6.48 </w:t>
            </w:r>
          </w:p>
        </w:tc>
        <w:tc>
          <w:tcPr>
            <w:tcW w:w="220" w:type="dxa"/>
            <w:tcBorders>
              <w:top w:val="nil"/>
              <w:left w:val="nil"/>
              <w:bottom w:val="nil"/>
              <w:right w:val="nil"/>
            </w:tcBorders>
            <w:shd w:val="clear" w:color="auto" w:fill="auto"/>
            <w:noWrap/>
            <w:vAlign w:val="bottom"/>
            <w:hideMark/>
          </w:tcPr>
          <w:p w14:paraId="1928A300"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701F14B"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Brac Bank</w:t>
            </w:r>
          </w:p>
        </w:tc>
        <w:tc>
          <w:tcPr>
            <w:tcW w:w="1060" w:type="dxa"/>
            <w:tcBorders>
              <w:top w:val="nil"/>
              <w:left w:val="nil"/>
              <w:bottom w:val="single" w:sz="4" w:space="0" w:color="auto"/>
              <w:right w:val="single" w:sz="4" w:space="0" w:color="auto"/>
            </w:tcBorders>
            <w:shd w:val="clear" w:color="auto" w:fill="auto"/>
            <w:noWrap/>
            <w:vAlign w:val="bottom"/>
            <w:hideMark/>
          </w:tcPr>
          <w:p w14:paraId="3092B03A"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14%</w:t>
            </w:r>
          </w:p>
        </w:tc>
        <w:tc>
          <w:tcPr>
            <w:tcW w:w="220" w:type="dxa"/>
            <w:tcBorders>
              <w:top w:val="nil"/>
              <w:left w:val="nil"/>
              <w:bottom w:val="nil"/>
              <w:right w:val="nil"/>
            </w:tcBorders>
            <w:shd w:val="clear" w:color="auto" w:fill="auto"/>
            <w:noWrap/>
            <w:vAlign w:val="bottom"/>
            <w:hideMark/>
          </w:tcPr>
          <w:p w14:paraId="067F5CB8"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F14A26F"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Brac Bank</w:t>
            </w:r>
          </w:p>
        </w:tc>
        <w:tc>
          <w:tcPr>
            <w:tcW w:w="1120" w:type="dxa"/>
            <w:tcBorders>
              <w:top w:val="nil"/>
              <w:left w:val="nil"/>
              <w:bottom w:val="single" w:sz="4" w:space="0" w:color="auto"/>
              <w:right w:val="single" w:sz="4" w:space="0" w:color="auto"/>
            </w:tcBorders>
            <w:shd w:val="clear" w:color="auto" w:fill="auto"/>
            <w:noWrap/>
            <w:vAlign w:val="bottom"/>
            <w:hideMark/>
          </w:tcPr>
          <w:p w14:paraId="35A860E1"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43%</w:t>
            </w:r>
          </w:p>
        </w:tc>
      </w:tr>
      <w:tr w:rsidR="009F7CAB" w:rsidRPr="009F7CAB" w14:paraId="382ED7F8"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3485C36"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City Bank</w:t>
            </w:r>
          </w:p>
        </w:tc>
        <w:tc>
          <w:tcPr>
            <w:tcW w:w="1160" w:type="dxa"/>
            <w:tcBorders>
              <w:top w:val="nil"/>
              <w:left w:val="nil"/>
              <w:bottom w:val="single" w:sz="4" w:space="0" w:color="auto"/>
              <w:right w:val="single" w:sz="4" w:space="0" w:color="auto"/>
            </w:tcBorders>
            <w:shd w:val="clear" w:color="auto" w:fill="auto"/>
            <w:noWrap/>
            <w:vAlign w:val="bottom"/>
            <w:hideMark/>
          </w:tcPr>
          <w:p w14:paraId="3A06876B"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9.69 </w:t>
            </w:r>
          </w:p>
        </w:tc>
        <w:tc>
          <w:tcPr>
            <w:tcW w:w="220" w:type="dxa"/>
            <w:tcBorders>
              <w:top w:val="nil"/>
              <w:left w:val="nil"/>
              <w:bottom w:val="nil"/>
              <w:right w:val="nil"/>
            </w:tcBorders>
            <w:shd w:val="clear" w:color="auto" w:fill="auto"/>
            <w:noWrap/>
            <w:vAlign w:val="bottom"/>
            <w:hideMark/>
          </w:tcPr>
          <w:p w14:paraId="2785DAD4"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5528D161"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City Bank</w:t>
            </w:r>
          </w:p>
        </w:tc>
        <w:tc>
          <w:tcPr>
            <w:tcW w:w="1060" w:type="dxa"/>
            <w:tcBorders>
              <w:top w:val="nil"/>
              <w:left w:val="nil"/>
              <w:bottom w:val="single" w:sz="4" w:space="0" w:color="auto"/>
              <w:right w:val="single" w:sz="4" w:space="0" w:color="auto"/>
            </w:tcBorders>
            <w:shd w:val="clear" w:color="auto" w:fill="auto"/>
            <w:noWrap/>
            <w:vAlign w:val="bottom"/>
            <w:hideMark/>
          </w:tcPr>
          <w:p w14:paraId="19F55254"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5%</w:t>
            </w:r>
          </w:p>
        </w:tc>
        <w:tc>
          <w:tcPr>
            <w:tcW w:w="220" w:type="dxa"/>
            <w:tcBorders>
              <w:top w:val="nil"/>
              <w:left w:val="nil"/>
              <w:bottom w:val="nil"/>
              <w:right w:val="nil"/>
            </w:tcBorders>
            <w:shd w:val="clear" w:color="auto" w:fill="auto"/>
            <w:noWrap/>
            <w:vAlign w:val="bottom"/>
            <w:hideMark/>
          </w:tcPr>
          <w:p w14:paraId="73641D0E"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2BB994C"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City Bank</w:t>
            </w:r>
          </w:p>
        </w:tc>
        <w:tc>
          <w:tcPr>
            <w:tcW w:w="1120" w:type="dxa"/>
            <w:tcBorders>
              <w:top w:val="nil"/>
              <w:left w:val="nil"/>
              <w:bottom w:val="single" w:sz="4" w:space="0" w:color="auto"/>
              <w:right w:val="single" w:sz="4" w:space="0" w:color="auto"/>
            </w:tcBorders>
            <w:shd w:val="clear" w:color="auto" w:fill="auto"/>
            <w:noWrap/>
            <w:vAlign w:val="bottom"/>
            <w:hideMark/>
          </w:tcPr>
          <w:p w14:paraId="51F4D226"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38%</w:t>
            </w:r>
          </w:p>
        </w:tc>
      </w:tr>
      <w:tr w:rsidR="009F7CAB" w:rsidRPr="009F7CAB" w14:paraId="32B1A3E3"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820089A"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Dhaka Bank</w:t>
            </w:r>
          </w:p>
        </w:tc>
        <w:tc>
          <w:tcPr>
            <w:tcW w:w="1160" w:type="dxa"/>
            <w:tcBorders>
              <w:top w:val="nil"/>
              <w:left w:val="nil"/>
              <w:bottom w:val="single" w:sz="4" w:space="0" w:color="auto"/>
              <w:right w:val="single" w:sz="4" w:space="0" w:color="auto"/>
            </w:tcBorders>
            <w:shd w:val="clear" w:color="auto" w:fill="auto"/>
            <w:noWrap/>
            <w:vAlign w:val="bottom"/>
            <w:hideMark/>
          </w:tcPr>
          <w:p w14:paraId="7FF6EF08"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0.32 </w:t>
            </w:r>
          </w:p>
        </w:tc>
        <w:tc>
          <w:tcPr>
            <w:tcW w:w="220" w:type="dxa"/>
            <w:tcBorders>
              <w:top w:val="nil"/>
              <w:left w:val="nil"/>
              <w:bottom w:val="nil"/>
              <w:right w:val="nil"/>
            </w:tcBorders>
            <w:shd w:val="clear" w:color="auto" w:fill="auto"/>
            <w:noWrap/>
            <w:vAlign w:val="bottom"/>
            <w:hideMark/>
          </w:tcPr>
          <w:p w14:paraId="3F3D061C"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32031EC"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Dhaka Bank</w:t>
            </w:r>
          </w:p>
        </w:tc>
        <w:tc>
          <w:tcPr>
            <w:tcW w:w="1060" w:type="dxa"/>
            <w:tcBorders>
              <w:top w:val="nil"/>
              <w:left w:val="nil"/>
              <w:bottom w:val="single" w:sz="4" w:space="0" w:color="auto"/>
              <w:right w:val="single" w:sz="4" w:space="0" w:color="auto"/>
            </w:tcBorders>
            <w:shd w:val="clear" w:color="auto" w:fill="auto"/>
            <w:noWrap/>
            <w:vAlign w:val="bottom"/>
            <w:hideMark/>
          </w:tcPr>
          <w:p w14:paraId="2527E4BB"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5%</w:t>
            </w:r>
          </w:p>
        </w:tc>
        <w:tc>
          <w:tcPr>
            <w:tcW w:w="220" w:type="dxa"/>
            <w:tcBorders>
              <w:top w:val="nil"/>
              <w:left w:val="nil"/>
              <w:bottom w:val="nil"/>
              <w:right w:val="nil"/>
            </w:tcBorders>
            <w:shd w:val="clear" w:color="auto" w:fill="auto"/>
            <w:noWrap/>
            <w:vAlign w:val="bottom"/>
            <w:hideMark/>
          </w:tcPr>
          <w:p w14:paraId="067EA40B"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367DFC3"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Dhaka Bank</w:t>
            </w:r>
          </w:p>
        </w:tc>
        <w:tc>
          <w:tcPr>
            <w:tcW w:w="1120" w:type="dxa"/>
            <w:tcBorders>
              <w:top w:val="nil"/>
              <w:left w:val="nil"/>
              <w:bottom w:val="single" w:sz="4" w:space="0" w:color="auto"/>
              <w:right w:val="single" w:sz="4" w:space="0" w:color="auto"/>
            </w:tcBorders>
            <w:shd w:val="clear" w:color="auto" w:fill="auto"/>
            <w:noWrap/>
            <w:vAlign w:val="bottom"/>
            <w:hideMark/>
          </w:tcPr>
          <w:p w14:paraId="0300044D"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40%</w:t>
            </w:r>
          </w:p>
        </w:tc>
      </w:tr>
      <w:tr w:rsidR="009F7CAB" w:rsidRPr="009F7CAB" w14:paraId="02416C5C"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3E911DC"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DBBL</w:t>
            </w:r>
          </w:p>
        </w:tc>
        <w:tc>
          <w:tcPr>
            <w:tcW w:w="1160" w:type="dxa"/>
            <w:tcBorders>
              <w:top w:val="nil"/>
              <w:left w:val="nil"/>
              <w:bottom w:val="single" w:sz="4" w:space="0" w:color="auto"/>
              <w:right w:val="single" w:sz="4" w:space="0" w:color="auto"/>
            </w:tcBorders>
            <w:shd w:val="clear" w:color="auto" w:fill="auto"/>
            <w:noWrap/>
            <w:vAlign w:val="bottom"/>
            <w:hideMark/>
          </w:tcPr>
          <w:p w14:paraId="7F5EFFF5"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64.17 </w:t>
            </w:r>
          </w:p>
        </w:tc>
        <w:tc>
          <w:tcPr>
            <w:tcW w:w="220" w:type="dxa"/>
            <w:tcBorders>
              <w:top w:val="nil"/>
              <w:left w:val="nil"/>
              <w:bottom w:val="nil"/>
              <w:right w:val="nil"/>
            </w:tcBorders>
            <w:shd w:val="clear" w:color="auto" w:fill="auto"/>
            <w:noWrap/>
            <w:vAlign w:val="bottom"/>
            <w:hideMark/>
          </w:tcPr>
          <w:p w14:paraId="7A8E4E70"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0642961"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DBBL</w:t>
            </w:r>
          </w:p>
        </w:tc>
        <w:tc>
          <w:tcPr>
            <w:tcW w:w="1060" w:type="dxa"/>
            <w:tcBorders>
              <w:top w:val="nil"/>
              <w:left w:val="nil"/>
              <w:bottom w:val="single" w:sz="4" w:space="0" w:color="auto"/>
              <w:right w:val="single" w:sz="4" w:space="0" w:color="auto"/>
            </w:tcBorders>
            <w:shd w:val="clear" w:color="auto" w:fill="auto"/>
            <w:noWrap/>
            <w:vAlign w:val="bottom"/>
            <w:hideMark/>
          </w:tcPr>
          <w:p w14:paraId="5D945078"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3%</w:t>
            </w:r>
          </w:p>
        </w:tc>
        <w:tc>
          <w:tcPr>
            <w:tcW w:w="220" w:type="dxa"/>
            <w:tcBorders>
              <w:top w:val="nil"/>
              <w:left w:val="nil"/>
              <w:bottom w:val="nil"/>
              <w:right w:val="nil"/>
            </w:tcBorders>
            <w:shd w:val="clear" w:color="auto" w:fill="auto"/>
            <w:noWrap/>
            <w:vAlign w:val="bottom"/>
            <w:hideMark/>
          </w:tcPr>
          <w:p w14:paraId="1DDFEA75"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2323C55"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DBBL</w:t>
            </w:r>
          </w:p>
        </w:tc>
        <w:tc>
          <w:tcPr>
            <w:tcW w:w="1120" w:type="dxa"/>
            <w:tcBorders>
              <w:top w:val="nil"/>
              <w:left w:val="nil"/>
              <w:bottom w:val="single" w:sz="4" w:space="0" w:color="auto"/>
              <w:right w:val="single" w:sz="4" w:space="0" w:color="auto"/>
            </w:tcBorders>
            <w:shd w:val="clear" w:color="auto" w:fill="auto"/>
            <w:noWrap/>
            <w:vAlign w:val="bottom"/>
            <w:hideMark/>
          </w:tcPr>
          <w:p w14:paraId="4C415AB3"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31%</w:t>
            </w:r>
          </w:p>
        </w:tc>
      </w:tr>
      <w:tr w:rsidR="009F7CAB" w:rsidRPr="009F7CAB" w14:paraId="10D5AC38"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2E6A50B"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EBL</w:t>
            </w:r>
          </w:p>
        </w:tc>
        <w:tc>
          <w:tcPr>
            <w:tcW w:w="1160" w:type="dxa"/>
            <w:tcBorders>
              <w:top w:val="nil"/>
              <w:left w:val="nil"/>
              <w:bottom w:val="single" w:sz="4" w:space="0" w:color="auto"/>
              <w:right w:val="single" w:sz="4" w:space="0" w:color="auto"/>
            </w:tcBorders>
            <w:shd w:val="clear" w:color="auto" w:fill="auto"/>
            <w:noWrap/>
            <w:vAlign w:val="bottom"/>
            <w:hideMark/>
          </w:tcPr>
          <w:p w14:paraId="05566381"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9.33 </w:t>
            </w:r>
          </w:p>
        </w:tc>
        <w:tc>
          <w:tcPr>
            <w:tcW w:w="220" w:type="dxa"/>
            <w:tcBorders>
              <w:top w:val="nil"/>
              <w:left w:val="nil"/>
              <w:bottom w:val="nil"/>
              <w:right w:val="nil"/>
            </w:tcBorders>
            <w:shd w:val="clear" w:color="auto" w:fill="auto"/>
            <w:noWrap/>
            <w:vAlign w:val="bottom"/>
            <w:hideMark/>
          </w:tcPr>
          <w:p w14:paraId="5E34016F"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C27FAA9"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EBL</w:t>
            </w:r>
          </w:p>
        </w:tc>
        <w:tc>
          <w:tcPr>
            <w:tcW w:w="1060" w:type="dxa"/>
            <w:tcBorders>
              <w:top w:val="nil"/>
              <w:left w:val="nil"/>
              <w:bottom w:val="single" w:sz="4" w:space="0" w:color="auto"/>
              <w:right w:val="single" w:sz="4" w:space="0" w:color="auto"/>
            </w:tcBorders>
            <w:shd w:val="clear" w:color="auto" w:fill="auto"/>
            <w:noWrap/>
            <w:vAlign w:val="bottom"/>
            <w:hideMark/>
          </w:tcPr>
          <w:p w14:paraId="74C7D81E"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5%</w:t>
            </w:r>
          </w:p>
        </w:tc>
        <w:tc>
          <w:tcPr>
            <w:tcW w:w="220" w:type="dxa"/>
            <w:tcBorders>
              <w:top w:val="nil"/>
              <w:left w:val="nil"/>
              <w:bottom w:val="nil"/>
              <w:right w:val="nil"/>
            </w:tcBorders>
            <w:shd w:val="clear" w:color="auto" w:fill="auto"/>
            <w:noWrap/>
            <w:vAlign w:val="bottom"/>
            <w:hideMark/>
          </w:tcPr>
          <w:p w14:paraId="31BAF5FA"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C7B540E"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EBL</w:t>
            </w:r>
          </w:p>
        </w:tc>
        <w:tc>
          <w:tcPr>
            <w:tcW w:w="1120" w:type="dxa"/>
            <w:tcBorders>
              <w:top w:val="nil"/>
              <w:left w:val="nil"/>
              <w:bottom w:val="single" w:sz="4" w:space="0" w:color="auto"/>
              <w:right w:val="single" w:sz="4" w:space="0" w:color="auto"/>
            </w:tcBorders>
            <w:shd w:val="clear" w:color="auto" w:fill="auto"/>
            <w:noWrap/>
            <w:vAlign w:val="bottom"/>
            <w:hideMark/>
          </w:tcPr>
          <w:p w14:paraId="52548DED"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48%</w:t>
            </w:r>
          </w:p>
        </w:tc>
      </w:tr>
      <w:tr w:rsidR="009F7CAB" w:rsidRPr="009F7CAB" w14:paraId="1E8F6F3D"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03CA221"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IFIC Bank</w:t>
            </w:r>
          </w:p>
        </w:tc>
        <w:tc>
          <w:tcPr>
            <w:tcW w:w="1160" w:type="dxa"/>
            <w:tcBorders>
              <w:top w:val="nil"/>
              <w:left w:val="nil"/>
              <w:bottom w:val="single" w:sz="4" w:space="0" w:color="auto"/>
              <w:right w:val="single" w:sz="4" w:space="0" w:color="auto"/>
            </w:tcBorders>
            <w:shd w:val="clear" w:color="auto" w:fill="auto"/>
            <w:noWrap/>
            <w:vAlign w:val="bottom"/>
            <w:hideMark/>
          </w:tcPr>
          <w:p w14:paraId="6124B842"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2.00 </w:t>
            </w:r>
          </w:p>
        </w:tc>
        <w:tc>
          <w:tcPr>
            <w:tcW w:w="220" w:type="dxa"/>
            <w:tcBorders>
              <w:top w:val="nil"/>
              <w:left w:val="nil"/>
              <w:bottom w:val="nil"/>
              <w:right w:val="nil"/>
            </w:tcBorders>
            <w:shd w:val="clear" w:color="auto" w:fill="auto"/>
            <w:noWrap/>
            <w:vAlign w:val="bottom"/>
            <w:hideMark/>
          </w:tcPr>
          <w:p w14:paraId="58BDA7F2"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EE0E54C"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IFIC Bank</w:t>
            </w:r>
          </w:p>
        </w:tc>
        <w:tc>
          <w:tcPr>
            <w:tcW w:w="1060" w:type="dxa"/>
            <w:tcBorders>
              <w:top w:val="nil"/>
              <w:left w:val="nil"/>
              <w:bottom w:val="single" w:sz="4" w:space="0" w:color="auto"/>
              <w:right w:val="single" w:sz="4" w:space="0" w:color="auto"/>
            </w:tcBorders>
            <w:shd w:val="clear" w:color="auto" w:fill="auto"/>
            <w:noWrap/>
            <w:vAlign w:val="bottom"/>
            <w:hideMark/>
          </w:tcPr>
          <w:p w14:paraId="14C99484"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7%</w:t>
            </w:r>
          </w:p>
        </w:tc>
        <w:tc>
          <w:tcPr>
            <w:tcW w:w="220" w:type="dxa"/>
            <w:tcBorders>
              <w:top w:val="nil"/>
              <w:left w:val="nil"/>
              <w:bottom w:val="nil"/>
              <w:right w:val="nil"/>
            </w:tcBorders>
            <w:shd w:val="clear" w:color="auto" w:fill="auto"/>
            <w:noWrap/>
            <w:vAlign w:val="bottom"/>
            <w:hideMark/>
          </w:tcPr>
          <w:p w14:paraId="145341D4"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9112C7E"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IFIC Bank</w:t>
            </w:r>
          </w:p>
        </w:tc>
        <w:tc>
          <w:tcPr>
            <w:tcW w:w="1120" w:type="dxa"/>
            <w:tcBorders>
              <w:top w:val="nil"/>
              <w:left w:val="nil"/>
              <w:bottom w:val="single" w:sz="4" w:space="0" w:color="auto"/>
              <w:right w:val="single" w:sz="4" w:space="0" w:color="auto"/>
            </w:tcBorders>
            <w:shd w:val="clear" w:color="auto" w:fill="auto"/>
            <w:noWrap/>
            <w:vAlign w:val="bottom"/>
            <w:hideMark/>
          </w:tcPr>
          <w:p w14:paraId="02E4CCBF"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70%</w:t>
            </w:r>
          </w:p>
        </w:tc>
      </w:tr>
      <w:tr w:rsidR="009F7CAB" w:rsidRPr="009F7CAB" w14:paraId="1465CC83"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FAB454F"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 xml:space="preserve">Jamuna Bank </w:t>
            </w:r>
          </w:p>
        </w:tc>
        <w:tc>
          <w:tcPr>
            <w:tcW w:w="1160" w:type="dxa"/>
            <w:tcBorders>
              <w:top w:val="nil"/>
              <w:left w:val="nil"/>
              <w:bottom w:val="single" w:sz="4" w:space="0" w:color="auto"/>
              <w:right w:val="single" w:sz="4" w:space="0" w:color="auto"/>
            </w:tcBorders>
            <w:shd w:val="clear" w:color="auto" w:fill="auto"/>
            <w:noWrap/>
            <w:vAlign w:val="bottom"/>
            <w:hideMark/>
          </w:tcPr>
          <w:p w14:paraId="688EE9D9"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1.08 </w:t>
            </w:r>
          </w:p>
        </w:tc>
        <w:tc>
          <w:tcPr>
            <w:tcW w:w="220" w:type="dxa"/>
            <w:tcBorders>
              <w:top w:val="nil"/>
              <w:left w:val="nil"/>
              <w:bottom w:val="nil"/>
              <w:right w:val="nil"/>
            </w:tcBorders>
            <w:shd w:val="clear" w:color="auto" w:fill="auto"/>
            <w:noWrap/>
            <w:vAlign w:val="bottom"/>
            <w:hideMark/>
          </w:tcPr>
          <w:p w14:paraId="4DAE174D"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AC0CD46"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 xml:space="preserve">Jamuna Bank </w:t>
            </w:r>
          </w:p>
        </w:tc>
        <w:tc>
          <w:tcPr>
            <w:tcW w:w="1060" w:type="dxa"/>
            <w:tcBorders>
              <w:top w:val="nil"/>
              <w:left w:val="nil"/>
              <w:bottom w:val="single" w:sz="4" w:space="0" w:color="auto"/>
              <w:right w:val="single" w:sz="4" w:space="0" w:color="auto"/>
            </w:tcBorders>
            <w:shd w:val="clear" w:color="auto" w:fill="auto"/>
            <w:noWrap/>
            <w:vAlign w:val="bottom"/>
            <w:hideMark/>
          </w:tcPr>
          <w:p w14:paraId="418FCA46"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11%</w:t>
            </w:r>
          </w:p>
        </w:tc>
        <w:tc>
          <w:tcPr>
            <w:tcW w:w="220" w:type="dxa"/>
            <w:tcBorders>
              <w:top w:val="nil"/>
              <w:left w:val="nil"/>
              <w:bottom w:val="nil"/>
              <w:right w:val="nil"/>
            </w:tcBorders>
            <w:shd w:val="clear" w:color="auto" w:fill="auto"/>
            <w:noWrap/>
            <w:vAlign w:val="bottom"/>
            <w:hideMark/>
          </w:tcPr>
          <w:p w14:paraId="444FC316"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2FBECCC"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 xml:space="preserve">Jamuna Bank </w:t>
            </w:r>
          </w:p>
        </w:tc>
        <w:tc>
          <w:tcPr>
            <w:tcW w:w="1120" w:type="dxa"/>
            <w:tcBorders>
              <w:top w:val="nil"/>
              <w:left w:val="nil"/>
              <w:bottom w:val="single" w:sz="4" w:space="0" w:color="auto"/>
              <w:right w:val="single" w:sz="4" w:space="0" w:color="auto"/>
            </w:tcBorders>
            <w:shd w:val="clear" w:color="auto" w:fill="auto"/>
            <w:noWrap/>
            <w:vAlign w:val="bottom"/>
            <w:hideMark/>
          </w:tcPr>
          <w:p w14:paraId="55B824BA"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63%</w:t>
            </w:r>
          </w:p>
        </w:tc>
      </w:tr>
      <w:tr w:rsidR="009F7CAB" w:rsidRPr="009F7CAB" w14:paraId="2ABF6351"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063885F"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Mercantile Bank</w:t>
            </w:r>
          </w:p>
        </w:tc>
        <w:tc>
          <w:tcPr>
            <w:tcW w:w="1160" w:type="dxa"/>
            <w:tcBorders>
              <w:top w:val="nil"/>
              <w:left w:val="nil"/>
              <w:bottom w:val="single" w:sz="4" w:space="0" w:color="auto"/>
              <w:right w:val="single" w:sz="4" w:space="0" w:color="auto"/>
            </w:tcBorders>
            <w:shd w:val="clear" w:color="auto" w:fill="auto"/>
            <w:noWrap/>
            <w:vAlign w:val="bottom"/>
            <w:hideMark/>
          </w:tcPr>
          <w:p w14:paraId="257362A1"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3.63 </w:t>
            </w:r>
          </w:p>
        </w:tc>
        <w:tc>
          <w:tcPr>
            <w:tcW w:w="220" w:type="dxa"/>
            <w:tcBorders>
              <w:top w:val="nil"/>
              <w:left w:val="nil"/>
              <w:bottom w:val="nil"/>
              <w:right w:val="nil"/>
            </w:tcBorders>
            <w:shd w:val="clear" w:color="auto" w:fill="auto"/>
            <w:noWrap/>
            <w:vAlign w:val="bottom"/>
            <w:hideMark/>
          </w:tcPr>
          <w:p w14:paraId="569B8437"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72C27FF"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Mercantile Bank</w:t>
            </w:r>
          </w:p>
        </w:tc>
        <w:tc>
          <w:tcPr>
            <w:tcW w:w="1060" w:type="dxa"/>
            <w:tcBorders>
              <w:top w:val="nil"/>
              <w:left w:val="nil"/>
              <w:bottom w:val="single" w:sz="4" w:space="0" w:color="auto"/>
              <w:right w:val="single" w:sz="4" w:space="0" w:color="auto"/>
            </w:tcBorders>
            <w:shd w:val="clear" w:color="auto" w:fill="auto"/>
            <w:noWrap/>
            <w:vAlign w:val="bottom"/>
            <w:hideMark/>
          </w:tcPr>
          <w:p w14:paraId="64071855"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 </w:t>
            </w:r>
          </w:p>
        </w:tc>
        <w:tc>
          <w:tcPr>
            <w:tcW w:w="220" w:type="dxa"/>
            <w:tcBorders>
              <w:top w:val="nil"/>
              <w:left w:val="nil"/>
              <w:bottom w:val="nil"/>
              <w:right w:val="nil"/>
            </w:tcBorders>
            <w:shd w:val="clear" w:color="auto" w:fill="auto"/>
            <w:noWrap/>
            <w:vAlign w:val="bottom"/>
            <w:hideMark/>
          </w:tcPr>
          <w:p w14:paraId="7F3D65A4" w14:textId="77777777" w:rsidR="009F7CAB" w:rsidRPr="009F7CAB" w:rsidRDefault="009F7CAB" w:rsidP="009F7CAB">
            <w:pPr>
              <w:spacing w:after="0" w:line="240" w:lineRule="auto"/>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17152F0"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Mercantile Bank</w:t>
            </w:r>
          </w:p>
        </w:tc>
        <w:tc>
          <w:tcPr>
            <w:tcW w:w="1120" w:type="dxa"/>
            <w:tcBorders>
              <w:top w:val="nil"/>
              <w:left w:val="nil"/>
              <w:bottom w:val="single" w:sz="4" w:space="0" w:color="auto"/>
              <w:right w:val="single" w:sz="4" w:space="0" w:color="auto"/>
            </w:tcBorders>
            <w:shd w:val="clear" w:color="auto" w:fill="auto"/>
            <w:noWrap/>
            <w:vAlign w:val="bottom"/>
            <w:hideMark/>
          </w:tcPr>
          <w:p w14:paraId="2387C5E3"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33%</w:t>
            </w:r>
          </w:p>
        </w:tc>
      </w:tr>
      <w:tr w:rsidR="009F7CAB" w:rsidRPr="009F7CAB" w14:paraId="6F2831B2"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B51E9B4"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MTB</w:t>
            </w:r>
          </w:p>
        </w:tc>
        <w:tc>
          <w:tcPr>
            <w:tcW w:w="1160" w:type="dxa"/>
            <w:tcBorders>
              <w:top w:val="nil"/>
              <w:left w:val="nil"/>
              <w:bottom w:val="single" w:sz="4" w:space="0" w:color="auto"/>
              <w:right w:val="single" w:sz="4" w:space="0" w:color="auto"/>
            </w:tcBorders>
            <w:shd w:val="clear" w:color="auto" w:fill="auto"/>
            <w:noWrap/>
            <w:vAlign w:val="bottom"/>
            <w:hideMark/>
          </w:tcPr>
          <w:p w14:paraId="607F589C"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6.35 </w:t>
            </w:r>
          </w:p>
        </w:tc>
        <w:tc>
          <w:tcPr>
            <w:tcW w:w="220" w:type="dxa"/>
            <w:tcBorders>
              <w:top w:val="nil"/>
              <w:left w:val="nil"/>
              <w:bottom w:val="nil"/>
              <w:right w:val="nil"/>
            </w:tcBorders>
            <w:shd w:val="clear" w:color="auto" w:fill="auto"/>
            <w:noWrap/>
            <w:vAlign w:val="bottom"/>
            <w:hideMark/>
          </w:tcPr>
          <w:p w14:paraId="107737AF"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89FF457"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MTB</w:t>
            </w:r>
          </w:p>
        </w:tc>
        <w:tc>
          <w:tcPr>
            <w:tcW w:w="1060" w:type="dxa"/>
            <w:tcBorders>
              <w:top w:val="nil"/>
              <w:left w:val="nil"/>
              <w:bottom w:val="single" w:sz="4" w:space="0" w:color="auto"/>
              <w:right w:val="single" w:sz="4" w:space="0" w:color="auto"/>
            </w:tcBorders>
            <w:shd w:val="clear" w:color="auto" w:fill="auto"/>
            <w:noWrap/>
            <w:vAlign w:val="bottom"/>
            <w:hideMark/>
          </w:tcPr>
          <w:p w14:paraId="3B6D7730"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0%</w:t>
            </w:r>
          </w:p>
        </w:tc>
        <w:tc>
          <w:tcPr>
            <w:tcW w:w="220" w:type="dxa"/>
            <w:tcBorders>
              <w:top w:val="nil"/>
              <w:left w:val="nil"/>
              <w:bottom w:val="nil"/>
              <w:right w:val="nil"/>
            </w:tcBorders>
            <w:shd w:val="clear" w:color="auto" w:fill="auto"/>
            <w:noWrap/>
            <w:vAlign w:val="bottom"/>
            <w:hideMark/>
          </w:tcPr>
          <w:p w14:paraId="71822E26"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2A314D1C"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MTB</w:t>
            </w:r>
          </w:p>
        </w:tc>
        <w:tc>
          <w:tcPr>
            <w:tcW w:w="1120" w:type="dxa"/>
            <w:tcBorders>
              <w:top w:val="nil"/>
              <w:left w:val="nil"/>
              <w:bottom w:val="single" w:sz="4" w:space="0" w:color="auto"/>
              <w:right w:val="single" w:sz="4" w:space="0" w:color="auto"/>
            </w:tcBorders>
            <w:shd w:val="clear" w:color="auto" w:fill="auto"/>
            <w:noWrap/>
            <w:vAlign w:val="bottom"/>
            <w:hideMark/>
          </w:tcPr>
          <w:p w14:paraId="4067F4D4"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44%</w:t>
            </w:r>
          </w:p>
        </w:tc>
      </w:tr>
      <w:tr w:rsidR="009F7CAB" w:rsidRPr="009F7CAB" w14:paraId="55AB65B0"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4075AD8"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National Bank</w:t>
            </w:r>
          </w:p>
        </w:tc>
        <w:tc>
          <w:tcPr>
            <w:tcW w:w="1160" w:type="dxa"/>
            <w:tcBorders>
              <w:top w:val="nil"/>
              <w:left w:val="nil"/>
              <w:bottom w:val="single" w:sz="4" w:space="0" w:color="auto"/>
              <w:right w:val="single" w:sz="4" w:space="0" w:color="auto"/>
            </w:tcBorders>
            <w:shd w:val="clear" w:color="auto" w:fill="auto"/>
            <w:noWrap/>
            <w:vAlign w:val="bottom"/>
            <w:hideMark/>
          </w:tcPr>
          <w:p w14:paraId="593500EF"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4.19 </w:t>
            </w:r>
          </w:p>
        </w:tc>
        <w:tc>
          <w:tcPr>
            <w:tcW w:w="220" w:type="dxa"/>
            <w:tcBorders>
              <w:top w:val="nil"/>
              <w:left w:val="nil"/>
              <w:bottom w:val="nil"/>
              <w:right w:val="nil"/>
            </w:tcBorders>
            <w:shd w:val="clear" w:color="auto" w:fill="auto"/>
            <w:noWrap/>
            <w:vAlign w:val="bottom"/>
            <w:hideMark/>
          </w:tcPr>
          <w:p w14:paraId="6171C363"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461A2C0"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National Bank</w:t>
            </w:r>
          </w:p>
        </w:tc>
        <w:tc>
          <w:tcPr>
            <w:tcW w:w="1060" w:type="dxa"/>
            <w:tcBorders>
              <w:top w:val="nil"/>
              <w:left w:val="nil"/>
              <w:bottom w:val="single" w:sz="4" w:space="0" w:color="auto"/>
              <w:right w:val="single" w:sz="4" w:space="0" w:color="auto"/>
            </w:tcBorders>
            <w:shd w:val="clear" w:color="auto" w:fill="auto"/>
            <w:noWrap/>
            <w:vAlign w:val="bottom"/>
            <w:hideMark/>
          </w:tcPr>
          <w:p w14:paraId="10AD8E46"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17%</w:t>
            </w:r>
          </w:p>
        </w:tc>
        <w:tc>
          <w:tcPr>
            <w:tcW w:w="220" w:type="dxa"/>
            <w:tcBorders>
              <w:top w:val="nil"/>
              <w:left w:val="nil"/>
              <w:bottom w:val="nil"/>
              <w:right w:val="nil"/>
            </w:tcBorders>
            <w:shd w:val="clear" w:color="auto" w:fill="auto"/>
            <w:noWrap/>
            <w:vAlign w:val="bottom"/>
            <w:hideMark/>
          </w:tcPr>
          <w:p w14:paraId="6D37C3D5"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0F60A942"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National Bank</w:t>
            </w:r>
          </w:p>
        </w:tc>
        <w:tc>
          <w:tcPr>
            <w:tcW w:w="1120" w:type="dxa"/>
            <w:tcBorders>
              <w:top w:val="nil"/>
              <w:left w:val="nil"/>
              <w:bottom w:val="single" w:sz="4" w:space="0" w:color="auto"/>
              <w:right w:val="single" w:sz="4" w:space="0" w:color="auto"/>
            </w:tcBorders>
            <w:shd w:val="clear" w:color="auto" w:fill="auto"/>
            <w:noWrap/>
            <w:vAlign w:val="bottom"/>
            <w:hideMark/>
          </w:tcPr>
          <w:p w14:paraId="0A4A0B97"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97%</w:t>
            </w:r>
          </w:p>
        </w:tc>
      </w:tr>
      <w:tr w:rsidR="009F7CAB" w:rsidRPr="009F7CAB" w14:paraId="59231CA5"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B68F5DE"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NCC Bank</w:t>
            </w:r>
          </w:p>
        </w:tc>
        <w:tc>
          <w:tcPr>
            <w:tcW w:w="1160" w:type="dxa"/>
            <w:tcBorders>
              <w:top w:val="nil"/>
              <w:left w:val="nil"/>
              <w:bottom w:val="single" w:sz="4" w:space="0" w:color="auto"/>
              <w:right w:val="single" w:sz="4" w:space="0" w:color="auto"/>
            </w:tcBorders>
            <w:shd w:val="clear" w:color="auto" w:fill="auto"/>
            <w:noWrap/>
            <w:vAlign w:val="bottom"/>
            <w:hideMark/>
          </w:tcPr>
          <w:p w14:paraId="74AD12D2"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3.93 </w:t>
            </w:r>
          </w:p>
        </w:tc>
        <w:tc>
          <w:tcPr>
            <w:tcW w:w="220" w:type="dxa"/>
            <w:tcBorders>
              <w:top w:val="nil"/>
              <w:left w:val="nil"/>
              <w:bottom w:val="nil"/>
              <w:right w:val="nil"/>
            </w:tcBorders>
            <w:shd w:val="clear" w:color="auto" w:fill="auto"/>
            <w:noWrap/>
            <w:vAlign w:val="bottom"/>
            <w:hideMark/>
          </w:tcPr>
          <w:p w14:paraId="2EB805F1"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4C8A792"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NCC Bank</w:t>
            </w:r>
          </w:p>
        </w:tc>
        <w:tc>
          <w:tcPr>
            <w:tcW w:w="1060" w:type="dxa"/>
            <w:tcBorders>
              <w:top w:val="nil"/>
              <w:left w:val="nil"/>
              <w:bottom w:val="single" w:sz="4" w:space="0" w:color="auto"/>
              <w:right w:val="single" w:sz="4" w:space="0" w:color="auto"/>
            </w:tcBorders>
            <w:shd w:val="clear" w:color="auto" w:fill="auto"/>
            <w:noWrap/>
            <w:vAlign w:val="bottom"/>
            <w:hideMark/>
          </w:tcPr>
          <w:p w14:paraId="00D16EA6"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7%</w:t>
            </w:r>
          </w:p>
        </w:tc>
        <w:tc>
          <w:tcPr>
            <w:tcW w:w="220" w:type="dxa"/>
            <w:tcBorders>
              <w:top w:val="nil"/>
              <w:left w:val="nil"/>
              <w:bottom w:val="nil"/>
              <w:right w:val="nil"/>
            </w:tcBorders>
            <w:shd w:val="clear" w:color="auto" w:fill="auto"/>
            <w:noWrap/>
            <w:vAlign w:val="bottom"/>
            <w:hideMark/>
          </w:tcPr>
          <w:p w14:paraId="7D8E8B47"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0820CBE"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NCC Bank</w:t>
            </w:r>
          </w:p>
        </w:tc>
        <w:tc>
          <w:tcPr>
            <w:tcW w:w="1120" w:type="dxa"/>
            <w:tcBorders>
              <w:top w:val="nil"/>
              <w:left w:val="nil"/>
              <w:bottom w:val="single" w:sz="4" w:space="0" w:color="auto"/>
              <w:right w:val="single" w:sz="4" w:space="0" w:color="auto"/>
            </w:tcBorders>
            <w:shd w:val="clear" w:color="auto" w:fill="auto"/>
            <w:noWrap/>
            <w:vAlign w:val="bottom"/>
            <w:hideMark/>
          </w:tcPr>
          <w:p w14:paraId="782FB441"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43%</w:t>
            </w:r>
          </w:p>
        </w:tc>
      </w:tr>
      <w:tr w:rsidR="009F7CAB" w:rsidRPr="009F7CAB" w14:paraId="58ABA788"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330EC9AC"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Prime Bank</w:t>
            </w:r>
          </w:p>
        </w:tc>
        <w:tc>
          <w:tcPr>
            <w:tcW w:w="1160" w:type="dxa"/>
            <w:tcBorders>
              <w:top w:val="nil"/>
              <w:left w:val="nil"/>
              <w:bottom w:val="single" w:sz="4" w:space="0" w:color="auto"/>
              <w:right w:val="single" w:sz="4" w:space="0" w:color="auto"/>
            </w:tcBorders>
            <w:shd w:val="clear" w:color="auto" w:fill="auto"/>
            <w:noWrap/>
            <w:vAlign w:val="bottom"/>
            <w:hideMark/>
          </w:tcPr>
          <w:p w14:paraId="595B9C41"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(0.94)</w:t>
            </w:r>
          </w:p>
        </w:tc>
        <w:tc>
          <w:tcPr>
            <w:tcW w:w="220" w:type="dxa"/>
            <w:tcBorders>
              <w:top w:val="nil"/>
              <w:left w:val="nil"/>
              <w:bottom w:val="nil"/>
              <w:right w:val="nil"/>
            </w:tcBorders>
            <w:shd w:val="clear" w:color="auto" w:fill="auto"/>
            <w:noWrap/>
            <w:vAlign w:val="bottom"/>
            <w:hideMark/>
          </w:tcPr>
          <w:p w14:paraId="2A866279"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07C9547"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Prime Bank</w:t>
            </w:r>
          </w:p>
        </w:tc>
        <w:tc>
          <w:tcPr>
            <w:tcW w:w="1060" w:type="dxa"/>
            <w:tcBorders>
              <w:top w:val="nil"/>
              <w:left w:val="nil"/>
              <w:bottom w:val="single" w:sz="4" w:space="0" w:color="auto"/>
              <w:right w:val="single" w:sz="4" w:space="0" w:color="auto"/>
            </w:tcBorders>
            <w:shd w:val="clear" w:color="auto" w:fill="auto"/>
            <w:noWrap/>
            <w:vAlign w:val="bottom"/>
            <w:hideMark/>
          </w:tcPr>
          <w:p w14:paraId="467765B0"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8%</w:t>
            </w:r>
          </w:p>
        </w:tc>
        <w:tc>
          <w:tcPr>
            <w:tcW w:w="220" w:type="dxa"/>
            <w:tcBorders>
              <w:top w:val="nil"/>
              <w:left w:val="nil"/>
              <w:bottom w:val="nil"/>
              <w:right w:val="nil"/>
            </w:tcBorders>
            <w:shd w:val="clear" w:color="auto" w:fill="auto"/>
            <w:noWrap/>
            <w:vAlign w:val="bottom"/>
            <w:hideMark/>
          </w:tcPr>
          <w:p w14:paraId="6D84E0CF"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DB162A2"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Prime Bank</w:t>
            </w:r>
          </w:p>
        </w:tc>
        <w:tc>
          <w:tcPr>
            <w:tcW w:w="1120" w:type="dxa"/>
            <w:tcBorders>
              <w:top w:val="nil"/>
              <w:left w:val="nil"/>
              <w:bottom w:val="single" w:sz="4" w:space="0" w:color="auto"/>
              <w:right w:val="single" w:sz="4" w:space="0" w:color="auto"/>
            </w:tcBorders>
            <w:shd w:val="clear" w:color="auto" w:fill="auto"/>
            <w:noWrap/>
            <w:vAlign w:val="bottom"/>
            <w:hideMark/>
          </w:tcPr>
          <w:p w14:paraId="39219707"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65%</w:t>
            </w:r>
          </w:p>
        </w:tc>
      </w:tr>
      <w:tr w:rsidR="009F7CAB" w:rsidRPr="009F7CAB" w14:paraId="4C4D6183"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C46EAE4"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Premier Bank</w:t>
            </w:r>
          </w:p>
        </w:tc>
        <w:tc>
          <w:tcPr>
            <w:tcW w:w="1160" w:type="dxa"/>
            <w:tcBorders>
              <w:top w:val="nil"/>
              <w:left w:val="nil"/>
              <w:bottom w:val="single" w:sz="4" w:space="0" w:color="auto"/>
              <w:right w:val="single" w:sz="4" w:space="0" w:color="auto"/>
            </w:tcBorders>
            <w:shd w:val="clear" w:color="auto" w:fill="auto"/>
            <w:noWrap/>
            <w:vAlign w:val="bottom"/>
            <w:hideMark/>
          </w:tcPr>
          <w:p w14:paraId="57AE088A"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2.08 </w:t>
            </w:r>
          </w:p>
        </w:tc>
        <w:tc>
          <w:tcPr>
            <w:tcW w:w="220" w:type="dxa"/>
            <w:tcBorders>
              <w:top w:val="nil"/>
              <w:left w:val="nil"/>
              <w:bottom w:val="nil"/>
              <w:right w:val="nil"/>
            </w:tcBorders>
            <w:shd w:val="clear" w:color="auto" w:fill="auto"/>
            <w:noWrap/>
            <w:vAlign w:val="bottom"/>
            <w:hideMark/>
          </w:tcPr>
          <w:p w14:paraId="4A8A7C8F"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3DD95F67"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Premier Bank</w:t>
            </w:r>
          </w:p>
        </w:tc>
        <w:tc>
          <w:tcPr>
            <w:tcW w:w="1060" w:type="dxa"/>
            <w:tcBorders>
              <w:top w:val="nil"/>
              <w:left w:val="nil"/>
              <w:bottom w:val="single" w:sz="4" w:space="0" w:color="auto"/>
              <w:right w:val="single" w:sz="4" w:space="0" w:color="auto"/>
            </w:tcBorders>
            <w:shd w:val="clear" w:color="auto" w:fill="auto"/>
            <w:noWrap/>
            <w:vAlign w:val="bottom"/>
            <w:hideMark/>
          </w:tcPr>
          <w:p w14:paraId="572DCA02"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0%</w:t>
            </w:r>
          </w:p>
        </w:tc>
        <w:tc>
          <w:tcPr>
            <w:tcW w:w="220" w:type="dxa"/>
            <w:tcBorders>
              <w:top w:val="nil"/>
              <w:left w:val="nil"/>
              <w:bottom w:val="nil"/>
              <w:right w:val="nil"/>
            </w:tcBorders>
            <w:shd w:val="clear" w:color="auto" w:fill="auto"/>
            <w:noWrap/>
            <w:vAlign w:val="bottom"/>
            <w:hideMark/>
          </w:tcPr>
          <w:p w14:paraId="12AB9588"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5B943DF9"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Premier Bank</w:t>
            </w:r>
          </w:p>
        </w:tc>
        <w:tc>
          <w:tcPr>
            <w:tcW w:w="1120" w:type="dxa"/>
            <w:tcBorders>
              <w:top w:val="nil"/>
              <w:left w:val="nil"/>
              <w:bottom w:val="single" w:sz="4" w:space="0" w:color="auto"/>
              <w:right w:val="single" w:sz="4" w:space="0" w:color="auto"/>
            </w:tcBorders>
            <w:shd w:val="clear" w:color="auto" w:fill="auto"/>
            <w:noWrap/>
            <w:vAlign w:val="bottom"/>
            <w:hideMark/>
          </w:tcPr>
          <w:p w14:paraId="611A62CE"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8%</w:t>
            </w:r>
          </w:p>
        </w:tc>
      </w:tr>
      <w:tr w:rsidR="009F7CAB" w:rsidRPr="009F7CAB" w14:paraId="292B5106"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FA2AEEA"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Pubali Bank</w:t>
            </w:r>
          </w:p>
        </w:tc>
        <w:tc>
          <w:tcPr>
            <w:tcW w:w="1160" w:type="dxa"/>
            <w:tcBorders>
              <w:top w:val="nil"/>
              <w:left w:val="nil"/>
              <w:bottom w:val="single" w:sz="4" w:space="0" w:color="auto"/>
              <w:right w:val="single" w:sz="4" w:space="0" w:color="auto"/>
            </w:tcBorders>
            <w:shd w:val="clear" w:color="auto" w:fill="auto"/>
            <w:noWrap/>
            <w:vAlign w:val="bottom"/>
            <w:hideMark/>
          </w:tcPr>
          <w:p w14:paraId="2F1D160F"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3.35 </w:t>
            </w:r>
          </w:p>
        </w:tc>
        <w:tc>
          <w:tcPr>
            <w:tcW w:w="220" w:type="dxa"/>
            <w:tcBorders>
              <w:top w:val="nil"/>
              <w:left w:val="nil"/>
              <w:bottom w:val="nil"/>
              <w:right w:val="nil"/>
            </w:tcBorders>
            <w:shd w:val="clear" w:color="auto" w:fill="auto"/>
            <w:noWrap/>
            <w:vAlign w:val="bottom"/>
            <w:hideMark/>
          </w:tcPr>
          <w:p w14:paraId="09E40921"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C3EFC00"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Pubali Bank</w:t>
            </w:r>
          </w:p>
        </w:tc>
        <w:tc>
          <w:tcPr>
            <w:tcW w:w="1060" w:type="dxa"/>
            <w:tcBorders>
              <w:top w:val="nil"/>
              <w:left w:val="nil"/>
              <w:bottom w:val="single" w:sz="4" w:space="0" w:color="auto"/>
              <w:right w:val="single" w:sz="4" w:space="0" w:color="auto"/>
            </w:tcBorders>
            <w:shd w:val="clear" w:color="auto" w:fill="auto"/>
            <w:noWrap/>
            <w:vAlign w:val="bottom"/>
            <w:hideMark/>
          </w:tcPr>
          <w:p w14:paraId="67564AA3"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3%</w:t>
            </w:r>
          </w:p>
        </w:tc>
        <w:tc>
          <w:tcPr>
            <w:tcW w:w="220" w:type="dxa"/>
            <w:tcBorders>
              <w:top w:val="nil"/>
              <w:left w:val="nil"/>
              <w:bottom w:val="nil"/>
              <w:right w:val="nil"/>
            </w:tcBorders>
            <w:shd w:val="clear" w:color="auto" w:fill="auto"/>
            <w:noWrap/>
            <w:vAlign w:val="bottom"/>
            <w:hideMark/>
          </w:tcPr>
          <w:p w14:paraId="747A49B8"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126B1760"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Pubali Bank</w:t>
            </w:r>
          </w:p>
        </w:tc>
        <w:tc>
          <w:tcPr>
            <w:tcW w:w="1120" w:type="dxa"/>
            <w:tcBorders>
              <w:top w:val="nil"/>
              <w:left w:val="nil"/>
              <w:bottom w:val="single" w:sz="4" w:space="0" w:color="auto"/>
              <w:right w:val="single" w:sz="4" w:space="0" w:color="auto"/>
            </w:tcBorders>
            <w:shd w:val="clear" w:color="auto" w:fill="auto"/>
            <w:noWrap/>
            <w:vAlign w:val="bottom"/>
            <w:hideMark/>
          </w:tcPr>
          <w:p w14:paraId="316C7759"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1%</w:t>
            </w:r>
          </w:p>
        </w:tc>
      </w:tr>
      <w:tr w:rsidR="009F7CAB" w:rsidRPr="009F7CAB" w14:paraId="0273B5FC"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7DD015CA"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One Bank</w:t>
            </w:r>
          </w:p>
        </w:tc>
        <w:tc>
          <w:tcPr>
            <w:tcW w:w="1160" w:type="dxa"/>
            <w:tcBorders>
              <w:top w:val="nil"/>
              <w:left w:val="nil"/>
              <w:bottom w:val="single" w:sz="4" w:space="0" w:color="auto"/>
              <w:right w:val="single" w:sz="4" w:space="0" w:color="auto"/>
            </w:tcBorders>
            <w:shd w:val="clear" w:color="auto" w:fill="auto"/>
            <w:noWrap/>
            <w:vAlign w:val="bottom"/>
            <w:hideMark/>
          </w:tcPr>
          <w:p w14:paraId="32E0D295"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w:t>
            </w:r>
            <w:r w:rsidRPr="009F7CAB">
              <w:rPr>
                <w:rFonts w:ascii="Calibri" w:eastAsia="Times New Roman" w:hAnsi="Calibri" w:cs="Calibri"/>
                <w:color w:val="000000"/>
              </w:rPr>
              <w:lastRenderedPageBreak/>
              <w:t xml:space="preserve">7.45 </w:t>
            </w:r>
          </w:p>
        </w:tc>
        <w:tc>
          <w:tcPr>
            <w:tcW w:w="220" w:type="dxa"/>
            <w:tcBorders>
              <w:top w:val="nil"/>
              <w:left w:val="nil"/>
              <w:bottom w:val="nil"/>
              <w:right w:val="nil"/>
            </w:tcBorders>
            <w:shd w:val="clear" w:color="auto" w:fill="auto"/>
            <w:noWrap/>
            <w:vAlign w:val="bottom"/>
            <w:hideMark/>
          </w:tcPr>
          <w:p w14:paraId="75FB5CB1"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71FE5D7"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One Bank</w:t>
            </w:r>
          </w:p>
        </w:tc>
        <w:tc>
          <w:tcPr>
            <w:tcW w:w="1060" w:type="dxa"/>
            <w:tcBorders>
              <w:top w:val="nil"/>
              <w:left w:val="nil"/>
              <w:bottom w:val="single" w:sz="4" w:space="0" w:color="auto"/>
              <w:right w:val="single" w:sz="4" w:space="0" w:color="auto"/>
            </w:tcBorders>
            <w:shd w:val="clear" w:color="auto" w:fill="auto"/>
            <w:noWrap/>
            <w:vAlign w:val="bottom"/>
            <w:hideMark/>
          </w:tcPr>
          <w:p w14:paraId="2DC1468B"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0%</w:t>
            </w:r>
          </w:p>
        </w:tc>
        <w:tc>
          <w:tcPr>
            <w:tcW w:w="220" w:type="dxa"/>
            <w:tcBorders>
              <w:top w:val="nil"/>
              <w:left w:val="nil"/>
              <w:bottom w:val="nil"/>
              <w:right w:val="nil"/>
            </w:tcBorders>
            <w:shd w:val="clear" w:color="auto" w:fill="auto"/>
            <w:noWrap/>
            <w:vAlign w:val="bottom"/>
            <w:hideMark/>
          </w:tcPr>
          <w:p w14:paraId="6ABC0960"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4AC0A1A2"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One Bank</w:t>
            </w:r>
          </w:p>
        </w:tc>
        <w:tc>
          <w:tcPr>
            <w:tcW w:w="1120" w:type="dxa"/>
            <w:tcBorders>
              <w:top w:val="nil"/>
              <w:left w:val="nil"/>
              <w:bottom w:val="single" w:sz="4" w:space="0" w:color="auto"/>
              <w:right w:val="single" w:sz="4" w:space="0" w:color="auto"/>
            </w:tcBorders>
            <w:shd w:val="clear" w:color="auto" w:fill="auto"/>
            <w:noWrap/>
            <w:vAlign w:val="bottom"/>
            <w:hideMark/>
          </w:tcPr>
          <w:p w14:paraId="5B05A40F"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35%</w:t>
            </w:r>
          </w:p>
        </w:tc>
      </w:tr>
      <w:tr w:rsidR="009F7CAB" w:rsidRPr="009F7CAB" w14:paraId="4FF34894"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C19328E"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SEBL</w:t>
            </w:r>
          </w:p>
        </w:tc>
        <w:tc>
          <w:tcPr>
            <w:tcW w:w="1160" w:type="dxa"/>
            <w:tcBorders>
              <w:top w:val="nil"/>
              <w:left w:val="nil"/>
              <w:bottom w:val="single" w:sz="4" w:space="0" w:color="auto"/>
              <w:right w:val="single" w:sz="4" w:space="0" w:color="auto"/>
            </w:tcBorders>
            <w:shd w:val="clear" w:color="auto" w:fill="auto"/>
            <w:noWrap/>
            <w:vAlign w:val="bottom"/>
            <w:hideMark/>
          </w:tcPr>
          <w:p w14:paraId="5DB5394B"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7.20 </w:t>
            </w:r>
          </w:p>
        </w:tc>
        <w:tc>
          <w:tcPr>
            <w:tcW w:w="220" w:type="dxa"/>
            <w:tcBorders>
              <w:top w:val="nil"/>
              <w:left w:val="nil"/>
              <w:bottom w:val="nil"/>
              <w:right w:val="nil"/>
            </w:tcBorders>
            <w:shd w:val="clear" w:color="auto" w:fill="auto"/>
            <w:noWrap/>
            <w:vAlign w:val="bottom"/>
            <w:hideMark/>
          </w:tcPr>
          <w:p w14:paraId="0C63DC93"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E119D36"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SEBL</w:t>
            </w:r>
          </w:p>
        </w:tc>
        <w:tc>
          <w:tcPr>
            <w:tcW w:w="1060" w:type="dxa"/>
            <w:tcBorders>
              <w:top w:val="nil"/>
              <w:left w:val="nil"/>
              <w:bottom w:val="single" w:sz="4" w:space="0" w:color="auto"/>
              <w:right w:val="single" w:sz="4" w:space="0" w:color="auto"/>
            </w:tcBorders>
            <w:shd w:val="clear" w:color="auto" w:fill="auto"/>
            <w:noWrap/>
            <w:vAlign w:val="bottom"/>
            <w:hideMark/>
          </w:tcPr>
          <w:p w14:paraId="34C90818"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6%</w:t>
            </w:r>
          </w:p>
        </w:tc>
        <w:tc>
          <w:tcPr>
            <w:tcW w:w="220" w:type="dxa"/>
            <w:tcBorders>
              <w:top w:val="nil"/>
              <w:left w:val="nil"/>
              <w:bottom w:val="nil"/>
              <w:right w:val="nil"/>
            </w:tcBorders>
            <w:shd w:val="clear" w:color="auto" w:fill="auto"/>
            <w:noWrap/>
            <w:vAlign w:val="bottom"/>
            <w:hideMark/>
          </w:tcPr>
          <w:p w14:paraId="1F4854B7"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34E6BBB6"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SEBL</w:t>
            </w:r>
          </w:p>
        </w:tc>
        <w:tc>
          <w:tcPr>
            <w:tcW w:w="1120" w:type="dxa"/>
            <w:tcBorders>
              <w:top w:val="nil"/>
              <w:left w:val="nil"/>
              <w:bottom w:val="single" w:sz="4" w:space="0" w:color="auto"/>
              <w:right w:val="single" w:sz="4" w:space="0" w:color="auto"/>
            </w:tcBorders>
            <w:shd w:val="clear" w:color="auto" w:fill="auto"/>
            <w:noWrap/>
            <w:vAlign w:val="bottom"/>
            <w:hideMark/>
          </w:tcPr>
          <w:p w14:paraId="12BBF6AF"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56%</w:t>
            </w:r>
          </w:p>
        </w:tc>
      </w:tr>
      <w:tr w:rsidR="009F7CAB" w:rsidRPr="009F7CAB" w14:paraId="7573567B"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433427AA"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Standard Bank</w:t>
            </w:r>
          </w:p>
        </w:tc>
        <w:tc>
          <w:tcPr>
            <w:tcW w:w="1160" w:type="dxa"/>
            <w:tcBorders>
              <w:top w:val="nil"/>
              <w:left w:val="nil"/>
              <w:bottom w:val="single" w:sz="4" w:space="0" w:color="auto"/>
              <w:right w:val="single" w:sz="4" w:space="0" w:color="auto"/>
            </w:tcBorders>
            <w:shd w:val="clear" w:color="auto" w:fill="auto"/>
            <w:noWrap/>
            <w:vAlign w:val="bottom"/>
            <w:hideMark/>
          </w:tcPr>
          <w:p w14:paraId="42E26CB0"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6.47 </w:t>
            </w:r>
          </w:p>
        </w:tc>
        <w:tc>
          <w:tcPr>
            <w:tcW w:w="220" w:type="dxa"/>
            <w:tcBorders>
              <w:top w:val="nil"/>
              <w:left w:val="nil"/>
              <w:bottom w:val="nil"/>
              <w:right w:val="nil"/>
            </w:tcBorders>
            <w:shd w:val="clear" w:color="auto" w:fill="auto"/>
            <w:noWrap/>
            <w:vAlign w:val="bottom"/>
            <w:hideMark/>
          </w:tcPr>
          <w:p w14:paraId="0370842B"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E8B0C23"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Standard Bank</w:t>
            </w:r>
          </w:p>
        </w:tc>
        <w:tc>
          <w:tcPr>
            <w:tcW w:w="1060" w:type="dxa"/>
            <w:tcBorders>
              <w:top w:val="nil"/>
              <w:left w:val="nil"/>
              <w:bottom w:val="single" w:sz="4" w:space="0" w:color="auto"/>
              <w:right w:val="single" w:sz="4" w:space="0" w:color="auto"/>
            </w:tcBorders>
            <w:shd w:val="clear" w:color="auto" w:fill="auto"/>
            <w:noWrap/>
            <w:vAlign w:val="bottom"/>
            <w:hideMark/>
          </w:tcPr>
          <w:p w14:paraId="075D5C22"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1%</w:t>
            </w:r>
          </w:p>
        </w:tc>
        <w:tc>
          <w:tcPr>
            <w:tcW w:w="220" w:type="dxa"/>
            <w:tcBorders>
              <w:top w:val="nil"/>
              <w:left w:val="nil"/>
              <w:bottom w:val="nil"/>
              <w:right w:val="nil"/>
            </w:tcBorders>
            <w:shd w:val="clear" w:color="auto" w:fill="auto"/>
            <w:noWrap/>
            <w:vAlign w:val="bottom"/>
            <w:hideMark/>
          </w:tcPr>
          <w:p w14:paraId="23A4276C"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B890E02"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Standard Bank</w:t>
            </w:r>
          </w:p>
        </w:tc>
        <w:tc>
          <w:tcPr>
            <w:tcW w:w="1120" w:type="dxa"/>
            <w:tcBorders>
              <w:top w:val="nil"/>
              <w:left w:val="nil"/>
              <w:bottom w:val="single" w:sz="4" w:space="0" w:color="auto"/>
              <w:right w:val="single" w:sz="4" w:space="0" w:color="auto"/>
            </w:tcBorders>
            <w:shd w:val="clear" w:color="auto" w:fill="auto"/>
            <w:noWrap/>
            <w:vAlign w:val="bottom"/>
            <w:hideMark/>
          </w:tcPr>
          <w:p w14:paraId="03EB5047"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7%</w:t>
            </w:r>
          </w:p>
        </w:tc>
      </w:tr>
      <w:tr w:rsidR="009F7CAB" w:rsidRPr="009F7CAB" w14:paraId="034C28BA"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64C9B0B5"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 xml:space="preserve">Trust Bank Limited </w:t>
            </w:r>
          </w:p>
        </w:tc>
        <w:tc>
          <w:tcPr>
            <w:tcW w:w="1160" w:type="dxa"/>
            <w:tcBorders>
              <w:top w:val="nil"/>
              <w:left w:val="nil"/>
              <w:bottom w:val="single" w:sz="4" w:space="0" w:color="auto"/>
              <w:right w:val="single" w:sz="4" w:space="0" w:color="auto"/>
            </w:tcBorders>
            <w:shd w:val="clear" w:color="auto" w:fill="auto"/>
            <w:noWrap/>
            <w:vAlign w:val="bottom"/>
            <w:hideMark/>
          </w:tcPr>
          <w:p w14:paraId="288CEBB1"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10.80 </w:t>
            </w:r>
          </w:p>
        </w:tc>
        <w:tc>
          <w:tcPr>
            <w:tcW w:w="220" w:type="dxa"/>
            <w:tcBorders>
              <w:top w:val="nil"/>
              <w:left w:val="nil"/>
              <w:bottom w:val="nil"/>
              <w:right w:val="nil"/>
            </w:tcBorders>
            <w:shd w:val="clear" w:color="auto" w:fill="auto"/>
            <w:noWrap/>
            <w:vAlign w:val="bottom"/>
            <w:hideMark/>
          </w:tcPr>
          <w:p w14:paraId="413ABA45"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0508C229"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 xml:space="preserve">Trust Bank Limited </w:t>
            </w:r>
          </w:p>
        </w:tc>
        <w:tc>
          <w:tcPr>
            <w:tcW w:w="1060" w:type="dxa"/>
            <w:tcBorders>
              <w:top w:val="nil"/>
              <w:left w:val="nil"/>
              <w:bottom w:val="single" w:sz="4" w:space="0" w:color="auto"/>
              <w:right w:val="single" w:sz="4" w:space="0" w:color="auto"/>
            </w:tcBorders>
            <w:shd w:val="clear" w:color="auto" w:fill="auto"/>
            <w:noWrap/>
            <w:vAlign w:val="bottom"/>
            <w:hideMark/>
          </w:tcPr>
          <w:p w14:paraId="3C0D513F"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2%</w:t>
            </w:r>
          </w:p>
        </w:tc>
        <w:tc>
          <w:tcPr>
            <w:tcW w:w="220" w:type="dxa"/>
            <w:tcBorders>
              <w:top w:val="nil"/>
              <w:left w:val="nil"/>
              <w:bottom w:val="nil"/>
              <w:right w:val="nil"/>
            </w:tcBorders>
            <w:shd w:val="clear" w:color="auto" w:fill="auto"/>
            <w:noWrap/>
            <w:vAlign w:val="bottom"/>
            <w:hideMark/>
          </w:tcPr>
          <w:p w14:paraId="65F2BA1F"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2BDB281B"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 xml:space="preserve">Trust Bank Limited </w:t>
            </w:r>
          </w:p>
        </w:tc>
        <w:tc>
          <w:tcPr>
            <w:tcW w:w="1120" w:type="dxa"/>
            <w:tcBorders>
              <w:top w:val="nil"/>
              <w:left w:val="nil"/>
              <w:bottom w:val="single" w:sz="4" w:space="0" w:color="auto"/>
              <w:right w:val="single" w:sz="4" w:space="0" w:color="auto"/>
            </w:tcBorders>
            <w:shd w:val="clear" w:color="auto" w:fill="auto"/>
            <w:noWrap/>
            <w:vAlign w:val="bottom"/>
            <w:hideMark/>
          </w:tcPr>
          <w:p w14:paraId="119E5C6B"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18%</w:t>
            </w:r>
          </w:p>
        </w:tc>
      </w:tr>
      <w:tr w:rsidR="009F7CAB" w:rsidRPr="009F7CAB" w14:paraId="1F034E01"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1BC30F5C"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 xml:space="preserve">UCB </w:t>
            </w:r>
          </w:p>
        </w:tc>
        <w:tc>
          <w:tcPr>
            <w:tcW w:w="1160" w:type="dxa"/>
            <w:tcBorders>
              <w:top w:val="nil"/>
              <w:left w:val="nil"/>
              <w:bottom w:val="single" w:sz="4" w:space="0" w:color="auto"/>
              <w:right w:val="single" w:sz="4" w:space="0" w:color="auto"/>
            </w:tcBorders>
            <w:shd w:val="clear" w:color="auto" w:fill="auto"/>
            <w:noWrap/>
            <w:vAlign w:val="bottom"/>
            <w:hideMark/>
          </w:tcPr>
          <w:p w14:paraId="25310136"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(1.13)</w:t>
            </w:r>
          </w:p>
        </w:tc>
        <w:tc>
          <w:tcPr>
            <w:tcW w:w="220" w:type="dxa"/>
            <w:tcBorders>
              <w:top w:val="nil"/>
              <w:left w:val="nil"/>
              <w:bottom w:val="nil"/>
              <w:right w:val="nil"/>
            </w:tcBorders>
            <w:shd w:val="clear" w:color="auto" w:fill="auto"/>
            <w:noWrap/>
            <w:vAlign w:val="bottom"/>
            <w:hideMark/>
          </w:tcPr>
          <w:p w14:paraId="6408355A"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29F3BB80"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 xml:space="preserve">UCB </w:t>
            </w:r>
          </w:p>
        </w:tc>
        <w:tc>
          <w:tcPr>
            <w:tcW w:w="1060" w:type="dxa"/>
            <w:tcBorders>
              <w:top w:val="nil"/>
              <w:left w:val="nil"/>
              <w:bottom w:val="single" w:sz="4" w:space="0" w:color="auto"/>
              <w:right w:val="single" w:sz="4" w:space="0" w:color="auto"/>
            </w:tcBorders>
            <w:shd w:val="clear" w:color="auto" w:fill="auto"/>
            <w:noWrap/>
            <w:vAlign w:val="bottom"/>
            <w:hideMark/>
          </w:tcPr>
          <w:p w14:paraId="066CF65E"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7%</w:t>
            </w:r>
          </w:p>
        </w:tc>
        <w:tc>
          <w:tcPr>
            <w:tcW w:w="220" w:type="dxa"/>
            <w:tcBorders>
              <w:top w:val="nil"/>
              <w:left w:val="nil"/>
              <w:bottom w:val="nil"/>
              <w:right w:val="nil"/>
            </w:tcBorders>
            <w:shd w:val="clear" w:color="auto" w:fill="auto"/>
            <w:noWrap/>
            <w:vAlign w:val="bottom"/>
            <w:hideMark/>
          </w:tcPr>
          <w:p w14:paraId="1D3437F6"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77539A9A"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 xml:space="preserve">UCB </w:t>
            </w:r>
          </w:p>
        </w:tc>
        <w:tc>
          <w:tcPr>
            <w:tcW w:w="1120" w:type="dxa"/>
            <w:tcBorders>
              <w:top w:val="nil"/>
              <w:left w:val="nil"/>
              <w:bottom w:val="single" w:sz="4" w:space="0" w:color="auto"/>
              <w:right w:val="single" w:sz="4" w:space="0" w:color="auto"/>
            </w:tcBorders>
            <w:shd w:val="clear" w:color="auto" w:fill="auto"/>
            <w:noWrap/>
            <w:vAlign w:val="bottom"/>
            <w:hideMark/>
          </w:tcPr>
          <w:p w14:paraId="5D5EF5A9"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48%</w:t>
            </w:r>
          </w:p>
        </w:tc>
      </w:tr>
      <w:tr w:rsidR="009F7CAB" w:rsidRPr="009F7CAB" w14:paraId="0E077B63" w14:textId="77777777" w:rsidTr="009F7CAB">
        <w:trPr>
          <w:trHeight w:val="288"/>
          <w:jc w:val="center"/>
        </w:trPr>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5CD44EA2"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Uttara Bank</w:t>
            </w:r>
          </w:p>
        </w:tc>
        <w:tc>
          <w:tcPr>
            <w:tcW w:w="1160" w:type="dxa"/>
            <w:tcBorders>
              <w:top w:val="nil"/>
              <w:left w:val="nil"/>
              <w:bottom w:val="single" w:sz="4" w:space="0" w:color="auto"/>
              <w:right w:val="single" w:sz="4" w:space="0" w:color="auto"/>
            </w:tcBorders>
            <w:shd w:val="clear" w:color="auto" w:fill="auto"/>
            <w:noWrap/>
            <w:vAlign w:val="bottom"/>
            <w:hideMark/>
          </w:tcPr>
          <w:p w14:paraId="57D987A0" w14:textId="77777777" w:rsidR="009F7CAB" w:rsidRPr="009F7CAB" w:rsidRDefault="009F7CAB" w:rsidP="006A4BCE">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 xml:space="preserve">             8.59 </w:t>
            </w:r>
          </w:p>
        </w:tc>
        <w:tc>
          <w:tcPr>
            <w:tcW w:w="220" w:type="dxa"/>
            <w:tcBorders>
              <w:top w:val="nil"/>
              <w:left w:val="nil"/>
              <w:bottom w:val="nil"/>
              <w:right w:val="nil"/>
            </w:tcBorders>
            <w:shd w:val="clear" w:color="auto" w:fill="auto"/>
            <w:noWrap/>
            <w:vAlign w:val="bottom"/>
            <w:hideMark/>
          </w:tcPr>
          <w:p w14:paraId="4F34D8BF" w14:textId="77777777" w:rsidR="009F7CAB" w:rsidRPr="009F7CAB" w:rsidRDefault="009F7CAB" w:rsidP="009F7CAB">
            <w:pPr>
              <w:spacing w:after="0" w:line="240" w:lineRule="auto"/>
              <w:rPr>
                <w:rFonts w:ascii="Calibri" w:eastAsia="Times New Roman" w:hAnsi="Calibri" w:cs="Calibri"/>
                <w:color w:val="000000"/>
              </w:rPr>
            </w:pPr>
          </w:p>
        </w:tc>
        <w:tc>
          <w:tcPr>
            <w:tcW w:w="2140" w:type="dxa"/>
            <w:tcBorders>
              <w:top w:val="nil"/>
              <w:left w:val="single" w:sz="4" w:space="0" w:color="auto"/>
              <w:bottom w:val="single" w:sz="4" w:space="0" w:color="auto"/>
              <w:right w:val="single" w:sz="4" w:space="0" w:color="auto"/>
            </w:tcBorders>
            <w:shd w:val="clear" w:color="auto" w:fill="auto"/>
            <w:noWrap/>
            <w:vAlign w:val="bottom"/>
            <w:hideMark/>
          </w:tcPr>
          <w:p w14:paraId="396BE623"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Uttara Bank</w:t>
            </w:r>
          </w:p>
        </w:tc>
        <w:tc>
          <w:tcPr>
            <w:tcW w:w="1060" w:type="dxa"/>
            <w:tcBorders>
              <w:top w:val="nil"/>
              <w:left w:val="nil"/>
              <w:bottom w:val="single" w:sz="4" w:space="0" w:color="auto"/>
              <w:right w:val="single" w:sz="4" w:space="0" w:color="auto"/>
            </w:tcBorders>
            <w:shd w:val="clear" w:color="auto" w:fill="auto"/>
            <w:noWrap/>
            <w:vAlign w:val="bottom"/>
            <w:hideMark/>
          </w:tcPr>
          <w:p w14:paraId="7B68A2E1"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7%</w:t>
            </w:r>
          </w:p>
        </w:tc>
        <w:tc>
          <w:tcPr>
            <w:tcW w:w="220" w:type="dxa"/>
            <w:tcBorders>
              <w:top w:val="nil"/>
              <w:left w:val="nil"/>
              <w:bottom w:val="nil"/>
              <w:right w:val="nil"/>
            </w:tcBorders>
            <w:shd w:val="clear" w:color="auto" w:fill="auto"/>
            <w:noWrap/>
            <w:vAlign w:val="bottom"/>
            <w:hideMark/>
          </w:tcPr>
          <w:p w14:paraId="783D8D97" w14:textId="77777777" w:rsidR="009F7CAB" w:rsidRPr="009F7CAB" w:rsidRDefault="009F7CAB" w:rsidP="009F7CAB">
            <w:pPr>
              <w:spacing w:after="0" w:line="240" w:lineRule="auto"/>
              <w:jc w:val="right"/>
              <w:rPr>
                <w:rFonts w:ascii="Calibri" w:eastAsia="Times New Roman" w:hAnsi="Calibri" w:cs="Calibri"/>
                <w:color w:val="000000"/>
              </w:rPr>
            </w:pPr>
          </w:p>
        </w:tc>
        <w:tc>
          <w:tcPr>
            <w:tcW w:w="2080" w:type="dxa"/>
            <w:tcBorders>
              <w:top w:val="nil"/>
              <w:left w:val="single" w:sz="4" w:space="0" w:color="auto"/>
              <w:bottom w:val="single" w:sz="4" w:space="0" w:color="auto"/>
              <w:right w:val="single" w:sz="4" w:space="0" w:color="auto"/>
            </w:tcBorders>
            <w:shd w:val="clear" w:color="auto" w:fill="auto"/>
            <w:noWrap/>
            <w:vAlign w:val="bottom"/>
            <w:hideMark/>
          </w:tcPr>
          <w:p w14:paraId="6C6DE3CC" w14:textId="77777777" w:rsidR="009F7CAB" w:rsidRPr="009F7CAB" w:rsidRDefault="009F7CAB" w:rsidP="009F7CAB">
            <w:pPr>
              <w:spacing w:after="0" w:line="240" w:lineRule="auto"/>
              <w:rPr>
                <w:rFonts w:ascii="Calibri" w:eastAsia="Times New Roman" w:hAnsi="Calibri" w:cs="Calibri"/>
                <w:color w:val="000000"/>
              </w:rPr>
            </w:pPr>
            <w:r w:rsidRPr="009F7CAB">
              <w:rPr>
                <w:rFonts w:ascii="Calibri" w:eastAsia="Times New Roman" w:hAnsi="Calibri" w:cs="Calibri"/>
                <w:color w:val="000000"/>
              </w:rPr>
              <w:t>Uttara Bank</w:t>
            </w:r>
          </w:p>
        </w:tc>
        <w:tc>
          <w:tcPr>
            <w:tcW w:w="1120" w:type="dxa"/>
            <w:tcBorders>
              <w:top w:val="nil"/>
              <w:left w:val="nil"/>
              <w:bottom w:val="single" w:sz="4" w:space="0" w:color="auto"/>
              <w:right w:val="single" w:sz="4" w:space="0" w:color="auto"/>
            </w:tcBorders>
            <w:shd w:val="clear" w:color="auto" w:fill="auto"/>
            <w:noWrap/>
            <w:vAlign w:val="bottom"/>
            <w:hideMark/>
          </w:tcPr>
          <w:p w14:paraId="4EC8F262" w14:textId="77777777" w:rsidR="009F7CAB" w:rsidRPr="009F7CAB" w:rsidRDefault="009F7CAB" w:rsidP="009F7CAB">
            <w:pPr>
              <w:spacing w:after="0" w:line="240" w:lineRule="auto"/>
              <w:jc w:val="right"/>
              <w:rPr>
                <w:rFonts w:ascii="Calibri" w:eastAsia="Times New Roman" w:hAnsi="Calibri" w:cs="Calibri"/>
                <w:color w:val="000000"/>
              </w:rPr>
            </w:pPr>
            <w:r w:rsidRPr="009F7CAB">
              <w:rPr>
                <w:rFonts w:ascii="Calibri" w:eastAsia="Times New Roman" w:hAnsi="Calibri" w:cs="Calibri"/>
                <w:color w:val="000000"/>
              </w:rPr>
              <w:t>49%</w:t>
            </w:r>
          </w:p>
        </w:tc>
      </w:tr>
    </w:tbl>
    <w:p w14:paraId="50153A03" w14:textId="77777777" w:rsidR="003A5638" w:rsidRDefault="009F7CAB" w:rsidP="009F7CAB">
      <w:pPr>
        <w:pStyle w:val="Caption"/>
      </w:pPr>
      <w:bookmarkStart w:id="74" w:name="_Toc53355891"/>
      <w:r>
        <w:t xml:space="preserve">Table </w:t>
      </w:r>
      <w:fldSimple w:instr=" SEQ Table \* ARABIC ">
        <w:r>
          <w:rPr>
            <w:noProof/>
          </w:rPr>
          <w:t>20</w:t>
        </w:r>
      </w:fldSimple>
      <w:r>
        <w:t xml:space="preserve">: </w:t>
      </w:r>
      <w:r w:rsidRPr="00353501">
        <w:t xml:space="preserve"> Average </w:t>
      </w:r>
      <w:r w:rsidR="000C25D7">
        <w:t xml:space="preserve">NOCF </w:t>
      </w:r>
      <w:r w:rsidRPr="00353501">
        <w:t>per Share</w:t>
      </w:r>
      <w:r>
        <w:t xml:space="preserve">               Table </w:t>
      </w:r>
      <w:fldSimple w:instr=" SEQ Table \* ARABIC ">
        <w:r>
          <w:rPr>
            <w:noProof/>
          </w:rPr>
          <w:t>21</w:t>
        </w:r>
      </w:fldSimple>
      <w:r>
        <w:t xml:space="preserve">: </w:t>
      </w:r>
      <w:r w:rsidRPr="006D174E">
        <w:t>Average Dividend Yield</w:t>
      </w:r>
      <w:r>
        <w:t xml:space="preserve">                   Table </w:t>
      </w:r>
      <w:fldSimple w:instr=" SEQ Table \* ARABIC ">
        <w:r>
          <w:rPr>
            <w:noProof/>
          </w:rPr>
          <w:t>22</w:t>
        </w:r>
      </w:fldSimple>
      <w:r>
        <w:t xml:space="preserve">: </w:t>
      </w:r>
      <w:r w:rsidRPr="00027B2F">
        <w:t>Average Dividend Payout Ratio</w:t>
      </w:r>
      <w:bookmarkEnd w:id="74"/>
    </w:p>
    <w:p w14:paraId="595F7601" w14:textId="3319196F" w:rsidR="0041520D" w:rsidRDefault="0041520D">
      <w:r>
        <w:br w:type="page"/>
      </w:r>
    </w:p>
    <w:p w14:paraId="64F184A6" w14:textId="207ABF88" w:rsidR="00D54BB5" w:rsidRDefault="00D54BB5"/>
    <w:p w14:paraId="2012751D" w14:textId="7F238F8E" w:rsidR="00D54BB5" w:rsidRDefault="00D54BB5"/>
    <w:p w14:paraId="1247395E" w14:textId="51708B83" w:rsidR="00D54BB5" w:rsidRDefault="00D54BB5"/>
    <w:p w14:paraId="65A4FB8D" w14:textId="05533DB2" w:rsidR="00D54BB5" w:rsidRDefault="00D54BB5"/>
    <w:p w14:paraId="65729799" w14:textId="782EC2C9" w:rsidR="00D54BB5" w:rsidRDefault="00D54BB5"/>
    <w:p w14:paraId="34F3A30A" w14:textId="01C28097" w:rsidR="00D54BB5" w:rsidRDefault="00D54BB5"/>
    <w:p w14:paraId="646141FA" w14:textId="465B0087" w:rsidR="00D54BB5" w:rsidRDefault="00D54BB5"/>
    <w:p w14:paraId="2C302298" w14:textId="4DABFC1B" w:rsidR="00FF4F7C" w:rsidRDefault="00FF4F7C"/>
    <w:p w14:paraId="59F37E4F" w14:textId="6D41891E" w:rsidR="00FF4F7C" w:rsidRDefault="00FF4F7C"/>
    <w:p w14:paraId="3E3EFA4D" w14:textId="77777777" w:rsidR="0041520D" w:rsidRPr="00F67E5D" w:rsidRDefault="00F67E5D" w:rsidP="00FF4F7C">
      <w:pPr>
        <w:pStyle w:val="Heading1"/>
        <w:jc w:val="center"/>
        <w:rPr>
          <w:b/>
          <w:sz w:val="72"/>
          <w:szCs w:val="72"/>
        </w:rPr>
      </w:pPr>
      <w:r>
        <w:rPr>
          <w:sz w:val="72"/>
          <w:szCs w:val="72"/>
        </w:rPr>
        <w:t xml:space="preserve">  </w:t>
      </w:r>
      <w:bookmarkStart w:id="75" w:name="_Toc53357722"/>
      <w:r w:rsidR="0041520D" w:rsidRPr="00F67E5D">
        <w:rPr>
          <w:b/>
          <w:sz w:val="72"/>
          <w:szCs w:val="72"/>
        </w:rPr>
        <w:t>CONCLUSIONS AND RECOMMENDATIONS</w:t>
      </w:r>
      <w:bookmarkEnd w:id="75"/>
      <w:r w:rsidR="0041520D" w:rsidRPr="00F67E5D">
        <w:rPr>
          <w:b/>
          <w:sz w:val="72"/>
          <w:szCs w:val="72"/>
        </w:rPr>
        <w:t xml:space="preserve"> </w:t>
      </w:r>
    </w:p>
    <w:p w14:paraId="11153212" w14:textId="77777777" w:rsidR="0041520D" w:rsidRPr="00F67E5D" w:rsidRDefault="0041520D" w:rsidP="00F67E5D">
      <w:pPr>
        <w:pStyle w:val="ListParagraph"/>
        <w:numPr>
          <w:ilvl w:val="1"/>
          <w:numId w:val="38"/>
        </w:numPr>
        <w:autoSpaceDE w:val="0"/>
        <w:autoSpaceDN w:val="0"/>
        <w:adjustRightInd w:val="0"/>
        <w:spacing w:after="215" w:line="240" w:lineRule="auto"/>
        <w:jc w:val="right"/>
        <w:rPr>
          <w:rFonts w:ascii="Calibri" w:hAnsi="Calibri" w:cs="Calibri"/>
          <w:b/>
          <w:color w:val="365F91" w:themeColor="accent1" w:themeShade="BF"/>
          <w:sz w:val="52"/>
          <w:szCs w:val="52"/>
        </w:rPr>
      </w:pPr>
      <w:r w:rsidRPr="00F67E5D">
        <w:rPr>
          <w:rFonts w:ascii="Calibri" w:hAnsi="Calibri" w:cs="Calibri"/>
          <w:b/>
          <w:color w:val="365F91" w:themeColor="accent1" w:themeShade="BF"/>
          <w:sz w:val="52"/>
          <w:szCs w:val="52"/>
        </w:rPr>
        <w:t xml:space="preserve">Conclusions </w:t>
      </w:r>
    </w:p>
    <w:p w14:paraId="752E84B3" w14:textId="77777777" w:rsidR="0041520D" w:rsidRPr="00F67E5D" w:rsidRDefault="0041520D" w:rsidP="00F67E5D">
      <w:pPr>
        <w:pStyle w:val="ListParagraph"/>
        <w:numPr>
          <w:ilvl w:val="1"/>
          <w:numId w:val="38"/>
        </w:numPr>
        <w:autoSpaceDE w:val="0"/>
        <w:autoSpaceDN w:val="0"/>
        <w:adjustRightInd w:val="0"/>
        <w:spacing w:after="0" w:line="240" w:lineRule="auto"/>
        <w:jc w:val="right"/>
        <w:rPr>
          <w:rFonts w:ascii="Calibri" w:hAnsi="Calibri" w:cs="Calibri"/>
          <w:b/>
          <w:color w:val="365F91" w:themeColor="accent1" w:themeShade="BF"/>
          <w:sz w:val="52"/>
          <w:szCs w:val="52"/>
        </w:rPr>
      </w:pPr>
      <w:r w:rsidRPr="00F67E5D">
        <w:rPr>
          <w:rFonts w:ascii="Calibri" w:hAnsi="Calibri" w:cs="Calibri"/>
          <w:b/>
          <w:color w:val="365F91" w:themeColor="accent1" w:themeShade="BF"/>
          <w:sz w:val="52"/>
          <w:szCs w:val="52"/>
        </w:rPr>
        <w:t xml:space="preserve">Recommendations </w:t>
      </w:r>
    </w:p>
    <w:p w14:paraId="14A5AEA8" w14:textId="77777777" w:rsidR="000C25D7" w:rsidRDefault="000C25D7">
      <w:r>
        <w:br w:type="page"/>
      </w:r>
    </w:p>
    <w:p w14:paraId="332A1E9A" w14:textId="77777777" w:rsidR="0041520D" w:rsidRDefault="00E66D74" w:rsidP="00991AF3">
      <w:pPr>
        <w:pStyle w:val="Heading2"/>
        <w:rPr>
          <w:b/>
          <w:sz w:val="28"/>
        </w:rPr>
      </w:pPr>
      <w:bookmarkStart w:id="76" w:name="_Toc53357723"/>
      <w:r w:rsidRPr="00991AF3">
        <w:rPr>
          <w:b/>
          <w:sz w:val="28"/>
        </w:rPr>
        <w:lastRenderedPageBreak/>
        <w:t>CONCLUSIONS</w:t>
      </w:r>
      <w:bookmarkEnd w:id="76"/>
      <w:r w:rsidRPr="00991AF3">
        <w:rPr>
          <w:b/>
          <w:sz w:val="28"/>
        </w:rPr>
        <w:t xml:space="preserve"> </w:t>
      </w:r>
    </w:p>
    <w:p w14:paraId="71E4BCEE" w14:textId="77777777" w:rsidR="00991AF3" w:rsidRPr="00991AF3" w:rsidRDefault="00991AF3" w:rsidP="00991AF3"/>
    <w:p w14:paraId="6F30DF22" w14:textId="04DBADC0" w:rsidR="00104218" w:rsidRDefault="00E66D74" w:rsidP="00042ACC">
      <w:pPr>
        <w:autoSpaceDE w:val="0"/>
        <w:autoSpaceDN w:val="0"/>
        <w:adjustRightInd w:val="0"/>
        <w:spacing w:after="215"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w:t>
      </w:r>
      <w:r w:rsidR="00330BBE">
        <w:rPr>
          <w:rFonts w:ascii="Times New Roman" w:hAnsi="Times New Roman" w:cs="Times New Roman"/>
          <w:color w:val="000000"/>
          <w:sz w:val="24"/>
          <w:szCs w:val="24"/>
        </w:rPr>
        <w:t>above analysis show</w:t>
      </w:r>
      <w:r w:rsidR="00104218">
        <w:rPr>
          <w:rFonts w:ascii="Times New Roman" w:hAnsi="Times New Roman" w:cs="Times New Roman"/>
          <w:color w:val="000000"/>
          <w:sz w:val="24"/>
          <w:szCs w:val="24"/>
        </w:rPr>
        <w:t xml:space="preserve">ing us the average </w:t>
      </w:r>
      <w:r w:rsidR="00523A74">
        <w:rPr>
          <w:rFonts w:ascii="Times New Roman" w:hAnsi="Times New Roman" w:cs="Times New Roman"/>
          <w:color w:val="000000"/>
          <w:sz w:val="24"/>
          <w:szCs w:val="24"/>
        </w:rPr>
        <w:t xml:space="preserve">financial </w:t>
      </w:r>
      <w:r w:rsidR="00104218">
        <w:rPr>
          <w:rFonts w:ascii="Times New Roman" w:hAnsi="Times New Roman" w:cs="Times New Roman"/>
          <w:color w:val="000000"/>
          <w:sz w:val="24"/>
          <w:szCs w:val="24"/>
        </w:rPr>
        <w:t xml:space="preserve">situation of conventional banks in the last five years. </w:t>
      </w:r>
      <w:r w:rsidR="009F71F1">
        <w:rPr>
          <w:rFonts w:ascii="Times New Roman" w:hAnsi="Times New Roman" w:cs="Times New Roman"/>
          <w:color w:val="000000"/>
          <w:sz w:val="24"/>
          <w:szCs w:val="24"/>
        </w:rPr>
        <w:t>Based on</w:t>
      </w:r>
      <w:r w:rsidR="002E4443">
        <w:rPr>
          <w:rFonts w:ascii="Times New Roman" w:hAnsi="Times New Roman" w:cs="Times New Roman"/>
          <w:color w:val="000000"/>
          <w:sz w:val="24"/>
          <w:szCs w:val="24"/>
        </w:rPr>
        <w:t xml:space="preserve"> past data, here we tried to analysis how the conventional banks are doing. </w:t>
      </w:r>
      <w:r w:rsidR="00C96125">
        <w:rPr>
          <w:rFonts w:ascii="Times New Roman" w:hAnsi="Times New Roman" w:cs="Times New Roman"/>
          <w:color w:val="000000"/>
          <w:sz w:val="24"/>
          <w:szCs w:val="24"/>
        </w:rPr>
        <w:t xml:space="preserve">Analysis has given us a broad idea on banks and their activities. </w:t>
      </w:r>
    </w:p>
    <w:p w14:paraId="40ED121D" w14:textId="6147EE11" w:rsidR="00685446" w:rsidRDefault="00104218" w:rsidP="00042ACC">
      <w:pPr>
        <w:autoSpaceDE w:val="0"/>
        <w:autoSpaceDN w:val="0"/>
        <w:adjustRightInd w:val="0"/>
        <w:spacing w:after="215"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The </w:t>
      </w:r>
      <w:r w:rsidR="00E66D74">
        <w:rPr>
          <w:rFonts w:ascii="Times New Roman" w:hAnsi="Times New Roman" w:cs="Times New Roman"/>
          <w:color w:val="000000"/>
          <w:sz w:val="24"/>
          <w:szCs w:val="24"/>
        </w:rPr>
        <w:t>analysis showing u</w:t>
      </w:r>
      <w:r w:rsidR="006E0389">
        <w:rPr>
          <w:rFonts w:ascii="Times New Roman" w:hAnsi="Times New Roman" w:cs="Times New Roman"/>
          <w:color w:val="000000"/>
          <w:sz w:val="24"/>
          <w:szCs w:val="24"/>
        </w:rPr>
        <w:t>s no bank is perfect in all cases</w:t>
      </w:r>
      <w:r w:rsidR="000A6E0A">
        <w:rPr>
          <w:rFonts w:ascii="Times New Roman" w:hAnsi="Times New Roman" w:cs="Times New Roman"/>
          <w:color w:val="000000"/>
          <w:sz w:val="24"/>
          <w:szCs w:val="24"/>
        </w:rPr>
        <w:t xml:space="preserve">. </w:t>
      </w:r>
      <w:r w:rsidR="00D57559">
        <w:rPr>
          <w:rFonts w:ascii="Times New Roman" w:hAnsi="Times New Roman" w:cs="Times New Roman"/>
          <w:color w:val="000000"/>
          <w:sz w:val="24"/>
          <w:szCs w:val="24"/>
        </w:rPr>
        <w:t xml:space="preserve">Some banks are good at hold their profitable position. Some banks are taking high risk to earn a large amount of profit in future. Some banks are running their banking activity with a large amount of debt rather than capital. Some banks giving more attention to their reputation in the market. </w:t>
      </w:r>
      <w:r w:rsidR="0001334A">
        <w:rPr>
          <w:rFonts w:ascii="Times New Roman" w:hAnsi="Times New Roman" w:cs="Times New Roman"/>
          <w:color w:val="000000"/>
          <w:sz w:val="24"/>
          <w:szCs w:val="24"/>
        </w:rPr>
        <w:t>How will a bank earn profit, it is their own strategy. It is not easy to judge a bank by only its past data.  Future forecasting is also important in this matter.</w:t>
      </w:r>
      <w:r w:rsidR="00E94A33">
        <w:rPr>
          <w:rFonts w:ascii="Times New Roman" w:hAnsi="Times New Roman" w:cs="Times New Roman"/>
          <w:color w:val="000000"/>
          <w:sz w:val="24"/>
          <w:szCs w:val="24"/>
        </w:rPr>
        <w:t xml:space="preserve"> But still we can detect some banks who showed a good performance in the last five years and we can put our trust that in future they will continue this performance. </w:t>
      </w:r>
      <w:r w:rsidR="009F71F1">
        <w:rPr>
          <w:rFonts w:ascii="Times New Roman" w:hAnsi="Times New Roman" w:cs="Times New Roman"/>
          <w:color w:val="000000"/>
          <w:sz w:val="24"/>
          <w:szCs w:val="24"/>
        </w:rPr>
        <w:t>Again,</w:t>
      </w:r>
      <w:r w:rsidR="00AE6DC1">
        <w:rPr>
          <w:rFonts w:ascii="Times New Roman" w:hAnsi="Times New Roman" w:cs="Times New Roman"/>
          <w:color w:val="000000"/>
          <w:sz w:val="24"/>
          <w:szCs w:val="24"/>
        </w:rPr>
        <w:t xml:space="preserve"> there are some banks who was not that </w:t>
      </w:r>
      <w:r w:rsidR="00482A50">
        <w:rPr>
          <w:rFonts w:ascii="Times New Roman" w:hAnsi="Times New Roman" w:cs="Times New Roman"/>
          <w:color w:val="000000"/>
          <w:sz w:val="24"/>
          <w:szCs w:val="24"/>
        </w:rPr>
        <w:t>much efficient</w:t>
      </w:r>
      <w:r w:rsidR="00884D48">
        <w:rPr>
          <w:rFonts w:ascii="Times New Roman" w:hAnsi="Times New Roman" w:cs="Times New Roman"/>
          <w:color w:val="000000"/>
          <w:sz w:val="24"/>
          <w:szCs w:val="24"/>
        </w:rPr>
        <w:t xml:space="preserve"> and effective from any perspective in their business activity.</w:t>
      </w:r>
    </w:p>
    <w:p w14:paraId="61DCB8A0" w14:textId="2EA2CDE0" w:rsidR="003078CB" w:rsidRDefault="00071DAB" w:rsidP="00042ACC">
      <w:pPr>
        <w:autoSpaceDE w:val="0"/>
        <w:autoSpaceDN w:val="0"/>
        <w:adjustRightInd w:val="0"/>
        <w:spacing w:after="215"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B</w:t>
      </w:r>
      <w:r w:rsidR="000A6E0A">
        <w:rPr>
          <w:rFonts w:ascii="Times New Roman" w:hAnsi="Times New Roman" w:cs="Times New Roman"/>
          <w:color w:val="000000"/>
          <w:sz w:val="24"/>
          <w:szCs w:val="24"/>
        </w:rPr>
        <w:t xml:space="preserve">anks like Dhaka Bank, </w:t>
      </w:r>
      <w:r w:rsidR="007B7827">
        <w:rPr>
          <w:rFonts w:ascii="Times New Roman" w:hAnsi="Times New Roman" w:cs="Times New Roman"/>
          <w:color w:val="000000"/>
          <w:sz w:val="24"/>
          <w:szCs w:val="24"/>
        </w:rPr>
        <w:t xml:space="preserve">Prime Bank, Pubali Bank, South East Bank, </w:t>
      </w:r>
      <w:r w:rsidR="00126C2D">
        <w:rPr>
          <w:rFonts w:ascii="Times New Roman" w:hAnsi="Times New Roman" w:cs="Times New Roman"/>
          <w:color w:val="000000"/>
          <w:sz w:val="24"/>
          <w:szCs w:val="24"/>
        </w:rPr>
        <w:t xml:space="preserve">City bank, have shown a great performance in </w:t>
      </w:r>
      <w:r w:rsidR="008E7898">
        <w:rPr>
          <w:rFonts w:ascii="Times New Roman" w:hAnsi="Times New Roman" w:cs="Times New Roman"/>
          <w:color w:val="000000"/>
          <w:sz w:val="24"/>
          <w:szCs w:val="24"/>
        </w:rPr>
        <w:t xml:space="preserve">profitability. </w:t>
      </w:r>
      <w:r w:rsidR="009B4D30">
        <w:rPr>
          <w:rFonts w:ascii="Times New Roman" w:hAnsi="Times New Roman" w:cs="Times New Roman"/>
          <w:color w:val="000000"/>
          <w:sz w:val="24"/>
          <w:szCs w:val="24"/>
        </w:rPr>
        <w:t xml:space="preserve">Most of the banks </w:t>
      </w:r>
      <w:r w:rsidR="00FA7476">
        <w:rPr>
          <w:rFonts w:ascii="Times New Roman" w:hAnsi="Times New Roman" w:cs="Times New Roman"/>
          <w:color w:val="000000"/>
          <w:sz w:val="24"/>
          <w:szCs w:val="24"/>
        </w:rPr>
        <w:t xml:space="preserve">maintain the CRR and SLR rate determined by the Bangladesh </w:t>
      </w:r>
      <w:r w:rsidR="009F71F1">
        <w:rPr>
          <w:rFonts w:ascii="Times New Roman" w:hAnsi="Times New Roman" w:cs="Times New Roman"/>
          <w:color w:val="000000"/>
          <w:sz w:val="24"/>
          <w:szCs w:val="24"/>
        </w:rPr>
        <w:t>Bank,</w:t>
      </w:r>
      <w:r w:rsidR="00BC0F7F">
        <w:rPr>
          <w:rFonts w:ascii="Times New Roman" w:hAnsi="Times New Roman" w:cs="Times New Roman"/>
          <w:color w:val="000000"/>
          <w:sz w:val="24"/>
          <w:szCs w:val="24"/>
        </w:rPr>
        <w:t xml:space="preserve"> which indicates that the central bank has great deal of control over the banks.</w:t>
      </w:r>
      <w:r w:rsidR="000F1A3B">
        <w:rPr>
          <w:rFonts w:ascii="Times New Roman" w:hAnsi="Times New Roman" w:cs="Times New Roman"/>
          <w:color w:val="000000"/>
          <w:sz w:val="24"/>
          <w:szCs w:val="24"/>
        </w:rPr>
        <w:t xml:space="preserve"> </w:t>
      </w:r>
    </w:p>
    <w:p w14:paraId="6BA3C703" w14:textId="77777777" w:rsidR="00E674C4" w:rsidRDefault="000F1A3B" w:rsidP="00042ACC">
      <w:pPr>
        <w:autoSpaceDE w:val="0"/>
        <w:autoSpaceDN w:val="0"/>
        <w:adjustRightInd w:val="0"/>
        <w:spacing w:after="215"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All the banks have a large number of loan defaulter and in future, there is a high chance the number will increase.</w:t>
      </w:r>
      <w:r w:rsidR="00FA5E13">
        <w:rPr>
          <w:rFonts w:ascii="Times New Roman" w:hAnsi="Times New Roman" w:cs="Times New Roman"/>
          <w:color w:val="000000"/>
          <w:sz w:val="24"/>
          <w:szCs w:val="24"/>
        </w:rPr>
        <w:t xml:space="preserve"> </w:t>
      </w:r>
      <w:r w:rsidR="00967180">
        <w:rPr>
          <w:rFonts w:ascii="Times New Roman" w:hAnsi="Times New Roman" w:cs="Times New Roman"/>
          <w:color w:val="000000"/>
          <w:sz w:val="24"/>
          <w:szCs w:val="24"/>
        </w:rPr>
        <w:t xml:space="preserve">Having default loan increases risk for the bank. A bank </w:t>
      </w:r>
      <w:r w:rsidR="00B51DC9">
        <w:rPr>
          <w:rFonts w:ascii="Times New Roman" w:hAnsi="Times New Roman" w:cs="Times New Roman"/>
          <w:color w:val="000000"/>
          <w:sz w:val="24"/>
          <w:szCs w:val="24"/>
        </w:rPr>
        <w:t>can lose</w:t>
      </w:r>
      <w:r w:rsidR="00967180">
        <w:rPr>
          <w:rFonts w:ascii="Times New Roman" w:hAnsi="Times New Roman" w:cs="Times New Roman"/>
          <w:color w:val="000000"/>
          <w:sz w:val="24"/>
          <w:szCs w:val="24"/>
        </w:rPr>
        <w:t xml:space="preserve"> a lot p</w:t>
      </w:r>
      <w:r w:rsidR="00B51DC9">
        <w:rPr>
          <w:rFonts w:ascii="Times New Roman" w:hAnsi="Times New Roman" w:cs="Times New Roman"/>
          <w:color w:val="000000"/>
          <w:sz w:val="24"/>
          <w:szCs w:val="24"/>
        </w:rPr>
        <w:t>rofit in this</w:t>
      </w:r>
      <w:r w:rsidR="00E674C4">
        <w:rPr>
          <w:rFonts w:ascii="Times New Roman" w:hAnsi="Times New Roman" w:cs="Times New Roman"/>
          <w:color w:val="000000"/>
          <w:sz w:val="24"/>
          <w:szCs w:val="24"/>
        </w:rPr>
        <w:t xml:space="preserve">. It also proves their ineffectiveness in choosing the right customer to give loan and their weak terms for giving loans. </w:t>
      </w:r>
    </w:p>
    <w:p w14:paraId="0516A5B8" w14:textId="0438DF3B" w:rsidR="00A114F7" w:rsidRDefault="004656E3" w:rsidP="00042ACC">
      <w:pPr>
        <w:autoSpaceDE w:val="0"/>
        <w:autoSpaceDN w:val="0"/>
        <w:adjustRightInd w:val="0"/>
        <w:spacing w:after="215"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Almost all the conventional banks using their deposit to give loans and advances in higher percentage. It proves their efficiency to use the deposits and earn profit. But in other side it increases their risk of lacking fund it the sudden situation.</w:t>
      </w:r>
      <w:r w:rsidR="00001614">
        <w:rPr>
          <w:rFonts w:ascii="Times New Roman" w:hAnsi="Times New Roman" w:cs="Times New Roman"/>
          <w:color w:val="000000"/>
          <w:sz w:val="24"/>
          <w:szCs w:val="24"/>
        </w:rPr>
        <w:t xml:space="preserve"> Eastern</w:t>
      </w:r>
      <w:r w:rsidR="00BA7D0D">
        <w:rPr>
          <w:rFonts w:ascii="Times New Roman" w:hAnsi="Times New Roman" w:cs="Times New Roman"/>
          <w:color w:val="000000"/>
          <w:sz w:val="24"/>
          <w:szCs w:val="24"/>
        </w:rPr>
        <w:t xml:space="preserve"> Bank and Dutch Bangla B</w:t>
      </w:r>
      <w:r w:rsidR="003D26F8">
        <w:rPr>
          <w:rFonts w:ascii="Times New Roman" w:hAnsi="Times New Roman" w:cs="Times New Roman"/>
          <w:color w:val="000000"/>
          <w:sz w:val="24"/>
          <w:szCs w:val="24"/>
        </w:rPr>
        <w:t xml:space="preserve">ank’s </w:t>
      </w:r>
      <w:r w:rsidR="007A0348">
        <w:rPr>
          <w:rFonts w:ascii="Times New Roman" w:hAnsi="Times New Roman" w:cs="Times New Roman"/>
          <w:color w:val="000000"/>
          <w:sz w:val="24"/>
          <w:szCs w:val="24"/>
        </w:rPr>
        <w:t>sol</w:t>
      </w:r>
      <w:r w:rsidR="00433B59">
        <w:rPr>
          <w:rFonts w:ascii="Times New Roman" w:hAnsi="Times New Roman" w:cs="Times New Roman"/>
          <w:color w:val="000000"/>
          <w:sz w:val="24"/>
          <w:szCs w:val="24"/>
        </w:rPr>
        <w:t>vency position had been</w:t>
      </w:r>
      <w:r w:rsidR="007A0348">
        <w:rPr>
          <w:rFonts w:ascii="Times New Roman" w:hAnsi="Times New Roman" w:cs="Times New Roman"/>
          <w:color w:val="000000"/>
          <w:sz w:val="24"/>
          <w:szCs w:val="24"/>
        </w:rPr>
        <w:t xml:space="preserve"> strong</w:t>
      </w:r>
      <w:r w:rsidR="00433B59">
        <w:rPr>
          <w:rFonts w:ascii="Times New Roman" w:hAnsi="Times New Roman" w:cs="Times New Roman"/>
          <w:color w:val="000000"/>
          <w:sz w:val="24"/>
          <w:szCs w:val="24"/>
        </w:rPr>
        <w:t xml:space="preserve"> in last five years.</w:t>
      </w:r>
      <w:r w:rsidR="009B4D30">
        <w:rPr>
          <w:rFonts w:ascii="Times New Roman" w:hAnsi="Times New Roman" w:cs="Times New Roman"/>
          <w:color w:val="000000"/>
          <w:sz w:val="24"/>
          <w:szCs w:val="24"/>
        </w:rPr>
        <w:t xml:space="preserve"> Most of the banks have high debt against their capital which is a very risky scenario. </w:t>
      </w:r>
      <w:r w:rsidR="008B5100">
        <w:rPr>
          <w:rFonts w:ascii="Times New Roman" w:hAnsi="Times New Roman" w:cs="Times New Roman"/>
          <w:color w:val="000000"/>
          <w:sz w:val="24"/>
          <w:szCs w:val="24"/>
        </w:rPr>
        <w:t xml:space="preserve">And against this </w:t>
      </w:r>
      <w:r w:rsidR="00915AF6">
        <w:rPr>
          <w:rFonts w:ascii="Times New Roman" w:hAnsi="Times New Roman" w:cs="Times New Roman"/>
          <w:color w:val="000000"/>
          <w:sz w:val="24"/>
          <w:szCs w:val="24"/>
        </w:rPr>
        <w:t>risk they</w:t>
      </w:r>
      <w:r w:rsidR="008B5100">
        <w:rPr>
          <w:rFonts w:ascii="Times New Roman" w:hAnsi="Times New Roman" w:cs="Times New Roman"/>
          <w:color w:val="000000"/>
          <w:sz w:val="24"/>
          <w:szCs w:val="24"/>
        </w:rPr>
        <w:t xml:space="preserve"> </w:t>
      </w:r>
      <w:r w:rsidR="009F71F1">
        <w:rPr>
          <w:rFonts w:ascii="Times New Roman" w:hAnsi="Times New Roman" w:cs="Times New Roman"/>
          <w:color w:val="000000"/>
          <w:sz w:val="24"/>
          <w:szCs w:val="24"/>
        </w:rPr>
        <w:t>do not</w:t>
      </w:r>
      <w:r w:rsidR="008B5100">
        <w:rPr>
          <w:rFonts w:ascii="Times New Roman" w:hAnsi="Times New Roman" w:cs="Times New Roman"/>
          <w:color w:val="000000"/>
          <w:sz w:val="24"/>
          <w:szCs w:val="24"/>
        </w:rPr>
        <w:t xml:space="preserve"> have</w:t>
      </w:r>
      <w:r w:rsidR="00915AF6">
        <w:rPr>
          <w:rFonts w:ascii="Times New Roman" w:hAnsi="Times New Roman" w:cs="Times New Roman"/>
          <w:color w:val="000000"/>
          <w:sz w:val="24"/>
          <w:szCs w:val="24"/>
        </w:rPr>
        <w:t xml:space="preserve"> enough capital to cover that risk.</w:t>
      </w:r>
    </w:p>
    <w:p w14:paraId="50E03F69" w14:textId="77777777" w:rsidR="00E66D74" w:rsidRDefault="00BB42FE" w:rsidP="00042ACC">
      <w:pPr>
        <w:autoSpaceDE w:val="0"/>
        <w:autoSpaceDN w:val="0"/>
        <w:adjustRightInd w:val="0"/>
        <w:spacing w:after="215"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Market prospect showed us that Dutch Bangla Bank is most popular bank among the investors group. High market price, regular dividend</w:t>
      </w:r>
      <w:r w:rsidR="00E05882">
        <w:rPr>
          <w:rFonts w:ascii="Times New Roman" w:hAnsi="Times New Roman" w:cs="Times New Roman"/>
          <w:color w:val="000000"/>
          <w:sz w:val="24"/>
          <w:szCs w:val="24"/>
        </w:rPr>
        <w:t xml:space="preserve">, less risk associated with dividend- these facts make </w:t>
      </w:r>
      <w:r w:rsidR="00F21B2A">
        <w:rPr>
          <w:rFonts w:ascii="Times New Roman" w:hAnsi="Times New Roman" w:cs="Times New Roman"/>
          <w:color w:val="000000"/>
          <w:sz w:val="24"/>
          <w:szCs w:val="24"/>
        </w:rPr>
        <w:t xml:space="preserve">Dutch Bangla Bank successful in the market. </w:t>
      </w:r>
      <w:r w:rsidR="00727759">
        <w:rPr>
          <w:rFonts w:ascii="Times New Roman" w:hAnsi="Times New Roman" w:cs="Times New Roman"/>
          <w:color w:val="000000"/>
          <w:sz w:val="24"/>
          <w:szCs w:val="24"/>
        </w:rPr>
        <w:t xml:space="preserve">This results </w:t>
      </w:r>
      <w:r w:rsidR="007A75B0">
        <w:rPr>
          <w:rFonts w:ascii="Times New Roman" w:hAnsi="Times New Roman" w:cs="Times New Roman"/>
          <w:color w:val="000000"/>
          <w:sz w:val="24"/>
          <w:szCs w:val="24"/>
        </w:rPr>
        <w:t>more investment; more customers; more deposits</w:t>
      </w:r>
      <w:r w:rsidR="00727759">
        <w:rPr>
          <w:rFonts w:ascii="Times New Roman" w:hAnsi="Times New Roman" w:cs="Times New Roman"/>
          <w:color w:val="000000"/>
          <w:sz w:val="24"/>
          <w:szCs w:val="24"/>
        </w:rPr>
        <w:t xml:space="preserve"> that will help DBBL to be successful in the </w:t>
      </w:r>
      <w:r w:rsidR="00AF7CF1">
        <w:rPr>
          <w:rFonts w:ascii="Times New Roman" w:hAnsi="Times New Roman" w:cs="Times New Roman"/>
          <w:color w:val="000000"/>
          <w:sz w:val="24"/>
          <w:szCs w:val="24"/>
        </w:rPr>
        <w:t xml:space="preserve">other matter and improve its situation. </w:t>
      </w:r>
    </w:p>
    <w:p w14:paraId="45ED887E" w14:textId="77777777" w:rsidR="009F0C20" w:rsidRDefault="00480ADE" w:rsidP="009F0C20">
      <w:pPr>
        <w:autoSpaceDE w:val="0"/>
        <w:autoSpaceDN w:val="0"/>
        <w:adjustRightInd w:val="0"/>
        <w:spacing w:after="215"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All in overall if we sort out the banks in terms of that what banks had hold their position in a medium level in all the circumstances and earned profit</w:t>
      </w:r>
      <w:r w:rsidR="009F0C20">
        <w:rPr>
          <w:rFonts w:ascii="Times New Roman" w:hAnsi="Times New Roman" w:cs="Times New Roman"/>
          <w:color w:val="000000"/>
          <w:sz w:val="24"/>
          <w:szCs w:val="24"/>
        </w:rPr>
        <w:t>.</w:t>
      </w:r>
    </w:p>
    <w:p w14:paraId="449A3273" w14:textId="77777777" w:rsidR="0041520D" w:rsidRDefault="009F0C20" w:rsidP="003E2643">
      <w:pPr>
        <w:pStyle w:val="Heading2"/>
        <w:rPr>
          <w:b/>
          <w:sz w:val="28"/>
        </w:rPr>
      </w:pPr>
      <w:r>
        <w:br w:type="page"/>
      </w:r>
      <w:bookmarkStart w:id="77" w:name="_Toc53357724"/>
      <w:r w:rsidR="00E66D74" w:rsidRPr="003E2643">
        <w:rPr>
          <w:b/>
          <w:sz w:val="28"/>
        </w:rPr>
        <w:lastRenderedPageBreak/>
        <w:t>RECOMMENDATIONS</w:t>
      </w:r>
      <w:bookmarkEnd w:id="77"/>
      <w:r w:rsidR="00E66D74" w:rsidRPr="003E2643">
        <w:rPr>
          <w:b/>
          <w:sz w:val="28"/>
        </w:rPr>
        <w:t xml:space="preserve"> </w:t>
      </w:r>
    </w:p>
    <w:p w14:paraId="6A8E3619" w14:textId="77777777" w:rsidR="003E2643" w:rsidRPr="003E2643" w:rsidRDefault="003E2643" w:rsidP="003E2643"/>
    <w:p w14:paraId="6CBE527E" w14:textId="7CC3519F" w:rsidR="009F0C20" w:rsidRDefault="009F0C20" w:rsidP="00FB578F">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Without any question, bank is a much more complicated sector than others. </w:t>
      </w:r>
      <w:r w:rsidR="00225895">
        <w:rPr>
          <w:rFonts w:ascii="Times New Roman" w:hAnsi="Times New Roman" w:cs="Times New Roman"/>
          <w:color w:val="000000"/>
          <w:sz w:val="24"/>
          <w:szCs w:val="24"/>
        </w:rPr>
        <w:t xml:space="preserve">Here, the situation is always unpredictable. Every little fact can change the economy and with that can produce a new challenge for banks. </w:t>
      </w:r>
      <w:r w:rsidR="004C1B3B">
        <w:rPr>
          <w:rFonts w:ascii="Times New Roman" w:hAnsi="Times New Roman" w:cs="Times New Roman"/>
          <w:color w:val="000000"/>
          <w:sz w:val="24"/>
          <w:szCs w:val="24"/>
        </w:rPr>
        <w:t xml:space="preserve">Most of the decision and strategy taken in bank is from prediction and </w:t>
      </w:r>
      <w:r w:rsidR="0008418E">
        <w:rPr>
          <w:rFonts w:ascii="Times New Roman" w:hAnsi="Times New Roman" w:cs="Times New Roman"/>
          <w:color w:val="000000"/>
          <w:sz w:val="24"/>
          <w:szCs w:val="24"/>
        </w:rPr>
        <w:t>every</w:t>
      </w:r>
      <w:r w:rsidR="004C1B3B">
        <w:rPr>
          <w:rFonts w:ascii="Times New Roman" w:hAnsi="Times New Roman" w:cs="Times New Roman"/>
          <w:color w:val="000000"/>
          <w:sz w:val="24"/>
          <w:szCs w:val="24"/>
        </w:rPr>
        <w:t xml:space="preserve"> decision is pair up with known and unknown risk. </w:t>
      </w:r>
      <w:r w:rsidR="0008418E">
        <w:rPr>
          <w:rFonts w:ascii="Times New Roman" w:hAnsi="Times New Roman" w:cs="Times New Roman"/>
          <w:color w:val="000000"/>
          <w:sz w:val="24"/>
          <w:szCs w:val="24"/>
        </w:rPr>
        <w:t xml:space="preserve">Risk of not only losing their own money; but </w:t>
      </w:r>
      <w:r w:rsidR="009F71F1">
        <w:rPr>
          <w:rFonts w:ascii="Times New Roman" w:hAnsi="Times New Roman" w:cs="Times New Roman"/>
          <w:color w:val="000000"/>
          <w:sz w:val="24"/>
          <w:szCs w:val="24"/>
        </w:rPr>
        <w:t>also,</w:t>
      </w:r>
      <w:r w:rsidR="0008418E">
        <w:rPr>
          <w:rFonts w:ascii="Times New Roman" w:hAnsi="Times New Roman" w:cs="Times New Roman"/>
          <w:color w:val="000000"/>
          <w:sz w:val="24"/>
          <w:szCs w:val="24"/>
        </w:rPr>
        <w:t xml:space="preserve"> their customers’ money. </w:t>
      </w:r>
    </w:p>
    <w:p w14:paraId="5C6F9DD0" w14:textId="77777777" w:rsidR="004D2CF6" w:rsidRDefault="004D2CF6" w:rsidP="00FB578F">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As banking sector is unpredictable and it deals with people’s money; </w:t>
      </w:r>
      <w:r w:rsidR="00BC4CD3">
        <w:rPr>
          <w:rFonts w:ascii="Times New Roman" w:hAnsi="Times New Roman" w:cs="Times New Roman"/>
          <w:color w:val="000000"/>
          <w:sz w:val="24"/>
          <w:szCs w:val="24"/>
        </w:rPr>
        <w:t>every bank should keep a large</w:t>
      </w:r>
      <w:r w:rsidR="007F6C11">
        <w:rPr>
          <w:rFonts w:ascii="Times New Roman" w:hAnsi="Times New Roman" w:cs="Times New Roman"/>
          <w:color w:val="000000"/>
          <w:sz w:val="24"/>
          <w:szCs w:val="24"/>
        </w:rPr>
        <w:t xml:space="preserve"> amount of reserve to face any situation. Bangladesh Bank makes it sure that banks are keeping reserve by CRR and SLR. Banks should</w:t>
      </w:r>
      <w:r w:rsidR="008D613A">
        <w:rPr>
          <w:rFonts w:ascii="Times New Roman" w:hAnsi="Times New Roman" w:cs="Times New Roman"/>
          <w:color w:val="000000"/>
          <w:sz w:val="24"/>
          <w:szCs w:val="24"/>
        </w:rPr>
        <w:t xml:space="preserve"> </w:t>
      </w:r>
      <w:r w:rsidR="00890302">
        <w:rPr>
          <w:rFonts w:ascii="Times New Roman" w:hAnsi="Times New Roman" w:cs="Times New Roman"/>
          <w:color w:val="000000"/>
          <w:sz w:val="24"/>
          <w:szCs w:val="24"/>
        </w:rPr>
        <w:t>maintain the rate and they can maintain a higher rate to be on the safe side.</w:t>
      </w:r>
    </w:p>
    <w:p w14:paraId="41062016" w14:textId="444837E4" w:rsidR="005D728D" w:rsidRDefault="005D728D" w:rsidP="00FB578F">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One of the main functions of the banks is receive deposits and provide loans. </w:t>
      </w:r>
      <w:r w:rsidR="00C015A5">
        <w:rPr>
          <w:rFonts w:ascii="Times New Roman" w:hAnsi="Times New Roman" w:cs="Times New Roman"/>
          <w:color w:val="000000"/>
          <w:sz w:val="24"/>
          <w:szCs w:val="24"/>
        </w:rPr>
        <w:t xml:space="preserve">Bank should use their deposits but there should be a balance between both. If a bank uses all its </w:t>
      </w:r>
      <w:r w:rsidR="009F71F1">
        <w:rPr>
          <w:rFonts w:ascii="Times New Roman" w:hAnsi="Times New Roman" w:cs="Times New Roman"/>
          <w:color w:val="000000"/>
          <w:sz w:val="24"/>
          <w:szCs w:val="24"/>
        </w:rPr>
        <w:t>deposits,</w:t>
      </w:r>
      <w:r w:rsidR="00C015A5">
        <w:rPr>
          <w:rFonts w:ascii="Times New Roman" w:hAnsi="Times New Roman" w:cs="Times New Roman"/>
          <w:color w:val="000000"/>
          <w:sz w:val="24"/>
          <w:szCs w:val="24"/>
        </w:rPr>
        <w:t xml:space="preserve"> then what it will provide to the depositors when they will </w:t>
      </w:r>
      <w:r w:rsidR="00D83E6C">
        <w:rPr>
          <w:rFonts w:ascii="Times New Roman" w:hAnsi="Times New Roman" w:cs="Times New Roman"/>
          <w:color w:val="000000"/>
          <w:sz w:val="24"/>
          <w:szCs w:val="24"/>
        </w:rPr>
        <w:t>demand their money. Because banks cannot demand money in any time to the borrower to pay the loan. Borrower will pay the principle in a specific time.</w:t>
      </w:r>
    </w:p>
    <w:p w14:paraId="2309B892" w14:textId="0B14FA00" w:rsidR="006506BA" w:rsidRDefault="00D0272B" w:rsidP="00FB578F">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Running a bank with a lot of debt is a very risky decision.  Banks should keep balance between the debt, </w:t>
      </w:r>
      <w:r w:rsidR="009F71F1">
        <w:rPr>
          <w:rFonts w:ascii="Times New Roman" w:hAnsi="Times New Roman" w:cs="Times New Roman"/>
          <w:color w:val="000000"/>
          <w:sz w:val="24"/>
          <w:szCs w:val="24"/>
        </w:rPr>
        <w:t>capital,</w:t>
      </w:r>
      <w:r>
        <w:rPr>
          <w:rFonts w:ascii="Times New Roman" w:hAnsi="Times New Roman" w:cs="Times New Roman"/>
          <w:color w:val="000000"/>
          <w:sz w:val="24"/>
          <w:szCs w:val="24"/>
        </w:rPr>
        <w:t xml:space="preserve"> and their assets. A strong and effective strategy must be there if a bank is taking high amount of </w:t>
      </w:r>
      <w:r w:rsidR="00AB1C18">
        <w:rPr>
          <w:rFonts w:ascii="Times New Roman" w:hAnsi="Times New Roman" w:cs="Times New Roman"/>
          <w:color w:val="000000"/>
          <w:sz w:val="24"/>
          <w:szCs w:val="24"/>
        </w:rPr>
        <w:t>debt.</w:t>
      </w:r>
    </w:p>
    <w:p w14:paraId="46FA84F1" w14:textId="5C0E82EA" w:rsidR="00AB1C18" w:rsidRDefault="000C55DE" w:rsidP="00FB578F">
      <w:pPr>
        <w:spacing w:line="36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Banks should focus on improving their reputation too. </w:t>
      </w:r>
      <w:r w:rsidR="004C422F">
        <w:rPr>
          <w:rFonts w:ascii="Times New Roman" w:hAnsi="Times New Roman" w:cs="Times New Roman"/>
          <w:color w:val="000000"/>
          <w:sz w:val="24"/>
          <w:szCs w:val="24"/>
        </w:rPr>
        <w:t>It is one of most important tasks as it can attract bank’s depositors- the main and important customers for any commercial banks.</w:t>
      </w:r>
      <w:r w:rsidR="00F82998">
        <w:rPr>
          <w:rFonts w:ascii="Times New Roman" w:hAnsi="Times New Roman" w:cs="Times New Roman"/>
          <w:color w:val="000000"/>
          <w:sz w:val="24"/>
          <w:szCs w:val="24"/>
        </w:rPr>
        <w:t xml:space="preserve"> </w:t>
      </w:r>
      <w:r w:rsidR="001512EF">
        <w:rPr>
          <w:rFonts w:ascii="Times New Roman" w:hAnsi="Times New Roman" w:cs="Times New Roman"/>
          <w:color w:val="000000"/>
          <w:sz w:val="24"/>
          <w:szCs w:val="24"/>
        </w:rPr>
        <w:t xml:space="preserve">When bank has enough number of </w:t>
      </w:r>
      <w:r w:rsidR="009F71F1">
        <w:rPr>
          <w:rFonts w:ascii="Times New Roman" w:hAnsi="Times New Roman" w:cs="Times New Roman"/>
          <w:color w:val="000000"/>
          <w:sz w:val="24"/>
          <w:szCs w:val="24"/>
        </w:rPr>
        <w:t>depositors</w:t>
      </w:r>
      <w:r w:rsidR="001512EF">
        <w:rPr>
          <w:rFonts w:ascii="Times New Roman" w:hAnsi="Times New Roman" w:cs="Times New Roman"/>
          <w:color w:val="000000"/>
          <w:sz w:val="24"/>
          <w:szCs w:val="24"/>
        </w:rPr>
        <w:t>; it has enou</w:t>
      </w:r>
      <w:r w:rsidR="00831604">
        <w:rPr>
          <w:rFonts w:ascii="Times New Roman" w:hAnsi="Times New Roman" w:cs="Times New Roman"/>
          <w:color w:val="000000"/>
          <w:sz w:val="24"/>
          <w:szCs w:val="24"/>
        </w:rPr>
        <w:t xml:space="preserve">gh amount of money to re-invest and has a chance to earn more profit. </w:t>
      </w:r>
      <w:r w:rsidR="006F1B8B">
        <w:rPr>
          <w:rFonts w:ascii="Times New Roman" w:hAnsi="Times New Roman" w:cs="Times New Roman"/>
          <w:color w:val="000000"/>
          <w:sz w:val="24"/>
          <w:szCs w:val="24"/>
        </w:rPr>
        <w:t xml:space="preserve">Bank should pay dividend regularly </w:t>
      </w:r>
      <w:r w:rsidR="003F323F">
        <w:rPr>
          <w:rFonts w:ascii="Times New Roman" w:hAnsi="Times New Roman" w:cs="Times New Roman"/>
          <w:color w:val="000000"/>
          <w:sz w:val="24"/>
          <w:szCs w:val="24"/>
        </w:rPr>
        <w:t>to hold their investors.</w:t>
      </w:r>
      <w:r w:rsidR="004C422F">
        <w:rPr>
          <w:rFonts w:ascii="Times New Roman" w:hAnsi="Times New Roman" w:cs="Times New Roman"/>
          <w:color w:val="000000"/>
          <w:sz w:val="24"/>
          <w:szCs w:val="24"/>
        </w:rPr>
        <w:t xml:space="preserve"> </w:t>
      </w:r>
    </w:p>
    <w:p w14:paraId="13CAEB78" w14:textId="77777777" w:rsidR="0008418E" w:rsidRPr="0041520D" w:rsidRDefault="0008418E" w:rsidP="00FB578F">
      <w:pPr>
        <w:spacing w:line="360" w:lineRule="auto"/>
        <w:jc w:val="both"/>
        <w:rPr>
          <w:sz w:val="24"/>
          <w:szCs w:val="24"/>
        </w:rPr>
      </w:pPr>
    </w:p>
    <w:p w14:paraId="6AB80CDE" w14:textId="77777777" w:rsidR="00E66D74" w:rsidRDefault="00E66D74" w:rsidP="00FB578F">
      <w:pPr>
        <w:spacing w:line="360" w:lineRule="auto"/>
        <w:jc w:val="both"/>
      </w:pPr>
    </w:p>
    <w:p w14:paraId="31D29C48" w14:textId="77777777" w:rsidR="0041520D" w:rsidRDefault="0041520D">
      <w:r>
        <w:br w:type="page"/>
      </w:r>
    </w:p>
    <w:p w14:paraId="77C244C1" w14:textId="77777777" w:rsidR="008017AB" w:rsidRDefault="008017AB" w:rsidP="00065F59">
      <w:pPr>
        <w:sectPr w:rsidR="008017AB" w:rsidSect="00FF1328">
          <w:pgSz w:w="12240" w:h="15840"/>
          <w:pgMar w:top="1440" w:right="1440" w:bottom="1440" w:left="1440" w:header="720" w:footer="720" w:gutter="0"/>
          <w:pgNumType w:start="1"/>
          <w:cols w:space="720"/>
          <w:titlePg/>
          <w:docGrid w:linePitch="360"/>
        </w:sectPr>
      </w:pPr>
    </w:p>
    <w:p w14:paraId="72D48EB4" w14:textId="77777777" w:rsidR="00065F59" w:rsidRPr="00065F59" w:rsidRDefault="00065F59" w:rsidP="00065F59"/>
    <w:bookmarkStart w:id="78" w:name="_Toc53357725" w:displacedByCustomXml="next"/>
    <w:sdt>
      <w:sdtPr>
        <w:rPr>
          <w:rFonts w:asciiTheme="minorHAnsi" w:eastAsiaTheme="minorHAnsi" w:hAnsiTheme="minorHAnsi" w:cstheme="minorBidi"/>
          <w:color w:val="auto"/>
          <w:sz w:val="22"/>
          <w:szCs w:val="22"/>
        </w:rPr>
        <w:id w:val="-1622224266"/>
        <w:docPartObj>
          <w:docPartGallery w:val="Bibliographies"/>
          <w:docPartUnique/>
        </w:docPartObj>
      </w:sdtPr>
      <w:sdtContent>
        <w:p w14:paraId="5F73937D" w14:textId="77777777" w:rsidR="00603390" w:rsidRPr="00977F3B" w:rsidRDefault="00977F3B" w:rsidP="007C5EAF">
          <w:pPr>
            <w:pStyle w:val="Heading1"/>
            <w:numPr>
              <w:ilvl w:val="0"/>
              <w:numId w:val="0"/>
            </w:numPr>
            <w:ind w:left="432"/>
            <w:rPr>
              <w:b/>
              <w:color w:val="244061" w:themeColor="accent1" w:themeShade="80"/>
            </w:rPr>
          </w:pPr>
          <w:r w:rsidRPr="00977F3B">
            <w:rPr>
              <w:b/>
              <w:color w:val="244061" w:themeColor="accent1" w:themeShade="80"/>
            </w:rPr>
            <w:t>REFERENCES</w:t>
          </w:r>
          <w:bookmarkEnd w:id="78"/>
        </w:p>
        <w:sdt>
          <w:sdtPr>
            <w:id w:val="-573587230"/>
            <w:bibliography/>
          </w:sdtPr>
          <w:sdtContent>
            <w:p w14:paraId="6FEE053D" w14:textId="77777777" w:rsidR="007C5EAF" w:rsidRDefault="00603390" w:rsidP="007C5EAF">
              <w:pPr>
                <w:pStyle w:val="Bibliography"/>
                <w:ind w:left="720" w:hanging="720"/>
                <w:rPr>
                  <w:noProof/>
                  <w:sz w:val="24"/>
                  <w:szCs w:val="24"/>
                </w:rPr>
              </w:pPr>
              <w:r>
                <w:fldChar w:fldCharType="begin"/>
              </w:r>
              <w:r>
                <w:instrText xml:space="preserve"> BIBLIOGRAPHY </w:instrText>
              </w:r>
              <w:r>
                <w:fldChar w:fldCharType="separate"/>
              </w:r>
              <w:r w:rsidR="007C5EAF">
                <w:rPr>
                  <w:noProof/>
                </w:rPr>
                <w:t xml:space="preserve">ACCOUNTING FOR MANAGEMENT.ORG. (n.d.). </w:t>
              </w:r>
              <w:r w:rsidR="007C5EAF">
                <w:rPr>
                  <w:i/>
                  <w:iCs/>
                  <w:noProof/>
                </w:rPr>
                <w:t>Financial statement analysis (explanations)</w:t>
              </w:r>
              <w:r w:rsidR="007C5EAF">
                <w:rPr>
                  <w:noProof/>
                </w:rPr>
                <w:t>. Retrieved from ACCOUNTING FOR MANAGEMENT.ORG: https://www.accountingformanagement.org/horizontal-analysis-of-financial-statements/</w:t>
              </w:r>
            </w:p>
            <w:p w14:paraId="194BE568" w14:textId="77777777" w:rsidR="007C5EAF" w:rsidRDefault="007C5EAF" w:rsidP="007C5EAF">
              <w:pPr>
                <w:pStyle w:val="Bibliography"/>
                <w:ind w:left="720" w:hanging="720"/>
                <w:rPr>
                  <w:noProof/>
                </w:rPr>
              </w:pPr>
              <w:r>
                <w:rPr>
                  <w:noProof/>
                </w:rPr>
                <w:t>Accounting Tools. (2018, May 06). Retrieved from Accounting Tools: https://www.accountingtools.com/articles/dividend-coverage-ratio.html</w:t>
              </w:r>
            </w:p>
            <w:p w14:paraId="0FAC7E28" w14:textId="77777777" w:rsidR="007C5EAF" w:rsidRDefault="007C5EAF" w:rsidP="007C5EAF">
              <w:pPr>
                <w:pStyle w:val="Bibliography"/>
                <w:ind w:left="720" w:hanging="720"/>
                <w:rPr>
                  <w:noProof/>
                </w:rPr>
              </w:pPr>
              <w:r>
                <w:rPr>
                  <w:noProof/>
                </w:rPr>
                <w:t xml:space="preserve">Bangladeshi Banker. (2020, May 18). </w:t>
              </w:r>
              <w:r>
                <w:rPr>
                  <w:i/>
                  <w:iCs/>
                  <w:noProof/>
                </w:rPr>
                <w:t>Banking History of Bangladesh</w:t>
              </w:r>
              <w:r>
                <w:rPr>
                  <w:noProof/>
                </w:rPr>
                <w:t>. Retrieved from Bangladeshi Banker: https://www.bangladeshibanker.com/</w:t>
              </w:r>
            </w:p>
            <w:p w14:paraId="677080EC" w14:textId="77777777" w:rsidR="007C5EAF" w:rsidRDefault="007C5EAF" w:rsidP="007C5EAF">
              <w:pPr>
                <w:pStyle w:val="Bibliography"/>
                <w:ind w:left="720" w:hanging="720"/>
                <w:rPr>
                  <w:noProof/>
                </w:rPr>
              </w:pPr>
              <w:r>
                <w:rPr>
                  <w:noProof/>
                </w:rPr>
                <w:t xml:space="preserve">Bloomenthal, A. (2020, July 13). </w:t>
              </w:r>
              <w:r>
                <w:rPr>
                  <w:i/>
                  <w:iCs/>
                  <w:noProof/>
                </w:rPr>
                <w:t>Net Interest Margin</w:t>
              </w:r>
              <w:r>
                <w:rPr>
                  <w:noProof/>
                </w:rPr>
                <w:t>. Retrieved from Investopedia: https://www.investopedia.com/terms/n/netinterestmargin.asp</w:t>
              </w:r>
            </w:p>
            <w:p w14:paraId="620EC702" w14:textId="77777777" w:rsidR="007C5EAF" w:rsidRDefault="007C5EAF" w:rsidP="007C5EAF">
              <w:pPr>
                <w:pStyle w:val="Bibliography"/>
                <w:ind w:left="720" w:hanging="720"/>
                <w:rPr>
                  <w:noProof/>
                </w:rPr>
              </w:pPr>
              <w:r>
                <w:rPr>
                  <w:noProof/>
                </w:rPr>
                <w:t xml:space="preserve">Bragg, S. (2019, March 20). </w:t>
              </w:r>
              <w:r>
                <w:rPr>
                  <w:i/>
                  <w:iCs/>
                  <w:noProof/>
                </w:rPr>
                <w:t>Financial Analysis</w:t>
              </w:r>
              <w:r>
                <w:rPr>
                  <w:noProof/>
                </w:rPr>
                <w:t>. Retrieved from AccountingTools: https://www.accountingtools.com/articles/2017/5/14/financial-statement-analysis</w:t>
              </w:r>
            </w:p>
            <w:p w14:paraId="6BF5796E" w14:textId="77777777" w:rsidR="007C5EAF" w:rsidRDefault="007C5EAF" w:rsidP="007C5EAF">
              <w:pPr>
                <w:pStyle w:val="Bibliography"/>
                <w:ind w:left="720" w:hanging="720"/>
                <w:rPr>
                  <w:noProof/>
                </w:rPr>
              </w:pPr>
              <w:r>
                <w:rPr>
                  <w:noProof/>
                </w:rPr>
                <w:t xml:space="preserve">Business Jargons. (n.d.). </w:t>
              </w:r>
              <w:r>
                <w:rPr>
                  <w:i/>
                  <w:iCs/>
                  <w:noProof/>
                </w:rPr>
                <w:t>Statutory Liquidity Ratio</w:t>
              </w:r>
              <w:r>
                <w:rPr>
                  <w:noProof/>
                </w:rPr>
                <w:t>. Retrieved from Business Jargons: https://businessjargons.com/statutory-liquidity-ratio.html</w:t>
              </w:r>
            </w:p>
            <w:p w14:paraId="43406BC5" w14:textId="77777777" w:rsidR="007C5EAF" w:rsidRDefault="007C5EAF" w:rsidP="007C5EAF">
              <w:pPr>
                <w:pStyle w:val="Bibliography"/>
                <w:ind w:left="720" w:hanging="720"/>
                <w:rPr>
                  <w:noProof/>
                </w:rPr>
              </w:pPr>
              <w:r>
                <w:rPr>
                  <w:noProof/>
                </w:rPr>
                <w:t>capital.com. (n.d.). Retrieved from capital.com: https://capital.com/capital-adequacy-ratio-definition</w:t>
              </w:r>
            </w:p>
            <w:p w14:paraId="19733352" w14:textId="77777777" w:rsidR="007C5EAF" w:rsidRDefault="007C5EAF" w:rsidP="007C5EAF">
              <w:pPr>
                <w:pStyle w:val="Bibliography"/>
                <w:ind w:left="720" w:hanging="720"/>
                <w:rPr>
                  <w:noProof/>
                </w:rPr>
              </w:pPr>
              <w:r>
                <w:rPr>
                  <w:noProof/>
                </w:rPr>
                <w:t xml:space="preserve">capital.com. (n.d.). </w:t>
              </w:r>
              <w:r>
                <w:rPr>
                  <w:i/>
                  <w:iCs/>
                  <w:noProof/>
                </w:rPr>
                <w:t>Debt to Capital Ratio definition</w:t>
              </w:r>
              <w:r>
                <w:rPr>
                  <w:noProof/>
                </w:rPr>
                <w:t>. Retrieved from capital.com: https://capital.com/debt-to-capital-ratio-definition</w:t>
              </w:r>
            </w:p>
            <w:p w14:paraId="73848097" w14:textId="77777777" w:rsidR="007C5EAF" w:rsidRDefault="007C5EAF" w:rsidP="007C5EAF">
              <w:pPr>
                <w:pStyle w:val="Bibliography"/>
                <w:ind w:left="720" w:hanging="720"/>
                <w:rPr>
                  <w:noProof/>
                </w:rPr>
              </w:pPr>
              <w:r>
                <w:rPr>
                  <w:noProof/>
                </w:rPr>
                <w:t xml:space="preserve">CFA Institute. (n.d.). </w:t>
              </w:r>
              <w:r>
                <w:rPr>
                  <w:i/>
                  <w:iCs/>
                  <w:noProof/>
                </w:rPr>
                <w:t>Introduction to Financial Statement Analysis</w:t>
              </w:r>
              <w:r>
                <w:rPr>
                  <w:noProof/>
                </w:rPr>
                <w:t>. Retrieved from CFA Institute: https://www.cfainstitute.org/en/membership/professional-development/refresher-readings/2020/introduction-financial-statement-analysis</w:t>
              </w:r>
            </w:p>
            <w:p w14:paraId="3D461CB6" w14:textId="77777777" w:rsidR="007C5EAF" w:rsidRDefault="007C5EAF" w:rsidP="007C5EAF">
              <w:pPr>
                <w:pStyle w:val="Bibliography"/>
                <w:ind w:left="720" w:hanging="720"/>
                <w:rPr>
                  <w:noProof/>
                </w:rPr>
              </w:pPr>
              <w:r>
                <w:rPr>
                  <w:noProof/>
                </w:rPr>
                <w:t xml:space="preserve">Cliffs Notes. (n.d.). </w:t>
              </w:r>
              <w:r>
                <w:rPr>
                  <w:i/>
                  <w:iCs/>
                  <w:noProof/>
                </w:rPr>
                <w:t>Accounting Principles II</w:t>
              </w:r>
              <w:r>
                <w:rPr>
                  <w:noProof/>
                </w:rPr>
                <w:t>. Retrieved from Cliffs Notes: https://www.cliffsnotes.com/study-guides/accounting/accounting-principles-ii/financial-statement-analysis/trend-analysis</w:t>
              </w:r>
            </w:p>
            <w:p w14:paraId="45C855B2" w14:textId="77777777" w:rsidR="007C5EAF" w:rsidRDefault="007C5EAF" w:rsidP="007C5EAF">
              <w:pPr>
                <w:pStyle w:val="Bibliography"/>
                <w:ind w:left="720" w:hanging="720"/>
                <w:rPr>
                  <w:noProof/>
                </w:rPr>
              </w:pPr>
              <w:r>
                <w:rPr>
                  <w:noProof/>
                </w:rPr>
                <w:t xml:space="preserve">Corporate Finance Institute. (n.d.). </w:t>
              </w:r>
              <w:r>
                <w:rPr>
                  <w:i/>
                  <w:iCs/>
                  <w:noProof/>
                </w:rPr>
                <w:t>Ratio Analysis</w:t>
              </w:r>
              <w:r>
                <w:rPr>
                  <w:noProof/>
                </w:rPr>
                <w:t>. Retrieved from Corporate Finance Institute: https://corporatefinanceinstitute.com/resources/knowledge/finance/ratio-analysis/</w:t>
              </w:r>
            </w:p>
            <w:p w14:paraId="318C76DD" w14:textId="77777777" w:rsidR="007C5EAF" w:rsidRDefault="007C5EAF" w:rsidP="007C5EAF">
              <w:pPr>
                <w:pStyle w:val="Bibliography"/>
                <w:ind w:left="720" w:hanging="720"/>
                <w:rPr>
                  <w:noProof/>
                </w:rPr>
              </w:pPr>
              <w:r>
                <w:rPr>
                  <w:noProof/>
                </w:rPr>
                <w:t xml:space="preserve">Dhaka Stock Exchange Ltd. (n.d.). </w:t>
              </w:r>
              <w:r>
                <w:rPr>
                  <w:i/>
                  <w:iCs/>
                  <w:noProof/>
                </w:rPr>
                <w:t>List of Companies Selected Industry: Bank</w:t>
              </w:r>
              <w:r>
                <w:rPr>
                  <w:noProof/>
                </w:rPr>
                <w:t>. Retrieved September 19, 2020, from Dhaka Stock Exchange Ltd.: https://www.dsebd.org/companylistbyindustry.php?industryno=11</w:t>
              </w:r>
            </w:p>
            <w:p w14:paraId="74B8D705" w14:textId="77777777" w:rsidR="007C5EAF" w:rsidRDefault="007C5EAF" w:rsidP="007C5EAF">
              <w:pPr>
                <w:pStyle w:val="Bibliography"/>
                <w:ind w:left="720" w:hanging="720"/>
                <w:rPr>
                  <w:noProof/>
                </w:rPr>
              </w:pPr>
              <w:r>
                <w:rPr>
                  <w:noProof/>
                </w:rPr>
                <w:t xml:space="preserve">Dubos J. Masson, P. C. (2018, September 3). </w:t>
              </w:r>
              <w:r>
                <w:rPr>
                  <w:i/>
                  <w:iCs/>
                  <w:noProof/>
                </w:rPr>
                <w:t>6 Steps to an Effective Financial Statement Analysis</w:t>
              </w:r>
              <w:r>
                <w:rPr>
                  <w:noProof/>
                </w:rPr>
                <w:t>. Retrieved from AFP: https://www.afponline.org/ideas-inspiration/topics/articles/details/6-steps-to-an-effective-financial-statement-analysis</w:t>
              </w:r>
            </w:p>
            <w:p w14:paraId="721DD9BE" w14:textId="77777777" w:rsidR="007C5EAF" w:rsidRDefault="007C5EAF" w:rsidP="007C5EAF">
              <w:pPr>
                <w:pStyle w:val="Bibliography"/>
                <w:ind w:left="720" w:hanging="720"/>
                <w:rPr>
                  <w:noProof/>
                </w:rPr>
              </w:pPr>
              <w:r>
                <w:rPr>
                  <w:noProof/>
                </w:rPr>
                <w:lastRenderedPageBreak/>
                <w:t xml:space="preserve">FreshBooks Cloud Accounting. (n.d.). </w:t>
              </w:r>
              <w:r>
                <w:rPr>
                  <w:i/>
                  <w:iCs/>
                  <w:noProof/>
                </w:rPr>
                <w:t>How To Forecast Financial Statements: Balance Sheets, Income Statements</w:t>
              </w:r>
              <w:r>
                <w:rPr>
                  <w:noProof/>
                </w:rPr>
                <w:t>. Retrieved from FreshBooks Cloud Accounting: https://www.freshbooks.com/hub/accounting/how-to-forecast-balance-sheet-and-income-statement#howtoforecastfinancialstatements</w:t>
              </w:r>
            </w:p>
            <w:p w14:paraId="7E3742D5" w14:textId="77777777" w:rsidR="007C5EAF" w:rsidRDefault="007C5EAF" w:rsidP="007C5EAF">
              <w:pPr>
                <w:pStyle w:val="Bibliography"/>
                <w:ind w:left="720" w:hanging="720"/>
                <w:rPr>
                  <w:noProof/>
                </w:rPr>
              </w:pPr>
              <w:r>
                <w:rPr>
                  <w:noProof/>
                </w:rPr>
                <w:t xml:space="preserve">IGI Global. (n.d.). </w:t>
              </w:r>
              <w:r>
                <w:rPr>
                  <w:i/>
                  <w:iCs/>
                  <w:noProof/>
                </w:rPr>
                <w:t>Analysis of Fluctuations in Credit Deposit Ratio</w:t>
              </w:r>
              <w:r>
                <w:rPr>
                  <w:noProof/>
                </w:rPr>
                <w:t>. Retrieved from IGI Global: https://www.igi-global.com/dictionary/analysis-of-fluctuations-in-credit-deposit-ratio-of-indian-states/68226</w:t>
              </w:r>
            </w:p>
            <w:p w14:paraId="290BEC7A" w14:textId="77777777" w:rsidR="007C5EAF" w:rsidRDefault="007C5EAF" w:rsidP="007C5EAF">
              <w:pPr>
                <w:pStyle w:val="Bibliography"/>
                <w:ind w:left="720" w:hanging="720"/>
                <w:rPr>
                  <w:noProof/>
                </w:rPr>
              </w:pPr>
              <w:r>
                <w:rPr>
                  <w:noProof/>
                </w:rPr>
                <w:t xml:space="preserve">Indeed. (2020, March 13). </w:t>
              </w:r>
              <w:r>
                <w:rPr>
                  <w:i/>
                  <w:iCs/>
                  <w:noProof/>
                </w:rPr>
                <w:t>Vertical Analysis: Definition and Examples</w:t>
              </w:r>
              <w:r>
                <w:rPr>
                  <w:noProof/>
                </w:rPr>
                <w:t>. Retrieved from Indeed: https://www.indeed.com/career-advice/career-development/vertical-analysis</w:t>
              </w:r>
            </w:p>
            <w:p w14:paraId="497BCAFA" w14:textId="77777777" w:rsidR="007C5EAF" w:rsidRDefault="007C5EAF" w:rsidP="007C5EAF">
              <w:pPr>
                <w:pStyle w:val="Bibliography"/>
                <w:ind w:left="720" w:hanging="720"/>
                <w:rPr>
                  <w:noProof/>
                </w:rPr>
              </w:pPr>
              <w:r>
                <w:rPr>
                  <w:noProof/>
                </w:rPr>
                <w:t xml:space="preserve">Jerry J. Weygandt, P. D. (n.d.). </w:t>
              </w:r>
              <w:r>
                <w:rPr>
                  <w:i/>
                  <w:iCs/>
                  <w:noProof/>
                </w:rPr>
                <w:t>Accounting Principles</w:t>
              </w:r>
              <w:r>
                <w:rPr>
                  <w:noProof/>
                </w:rPr>
                <w:t xml:space="preserve"> (12th Edition ed.). Wiley.</w:t>
              </w:r>
            </w:p>
            <w:p w14:paraId="2D26BDAD" w14:textId="77777777" w:rsidR="007C5EAF" w:rsidRDefault="007C5EAF" w:rsidP="007C5EAF">
              <w:pPr>
                <w:pStyle w:val="Bibliography"/>
                <w:ind w:left="720" w:hanging="720"/>
                <w:rPr>
                  <w:noProof/>
                </w:rPr>
              </w:pPr>
              <w:r>
                <w:rPr>
                  <w:noProof/>
                </w:rPr>
                <w:t xml:space="preserve">Kenton, W. (2020, July 28). </w:t>
              </w:r>
              <w:r>
                <w:rPr>
                  <w:i/>
                  <w:iCs/>
                  <w:noProof/>
                </w:rPr>
                <w:t>Profitability Ratios</w:t>
              </w:r>
              <w:r>
                <w:rPr>
                  <w:noProof/>
                </w:rPr>
                <w:t>. Retrieved from Investopedia: https://www.investopedia.com/terms/p/profitabilityratios.asp#:~:text=Profitability%20ratios%20are%20a%20class,a%20specific%20point%20in%20time.</w:t>
              </w:r>
            </w:p>
            <w:p w14:paraId="42475C0E" w14:textId="77777777" w:rsidR="007C5EAF" w:rsidRDefault="007C5EAF" w:rsidP="007C5EAF">
              <w:pPr>
                <w:pStyle w:val="Bibliography"/>
                <w:ind w:left="720" w:hanging="720"/>
                <w:rPr>
                  <w:noProof/>
                </w:rPr>
              </w:pPr>
              <w:r>
                <w:rPr>
                  <w:noProof/>
                </w:rPr>
                <w:t xml:space="preserve">MoneyWeek. (2018, May 28 ). </w:t>
              </w:r>
              <w:r>
                <w:rPr>
                  <w:i/>
                  <w:iCs/>
                  <w:noProof/>
                </w:rPr>
                <w:t>Cost/income ratio</w:t>
              </w:r>
              <w:r>
                <w:rPr>
                  <w:noProof/>
                </w:rPr>
                <w:t>. Retrieved from MoneyWeek: https://moneyweek.com/glossary/cost-to-income-ratio</w:t>
              </w:r>
            </w:p>
            <w:p w14:paraId="46A3667E" w14:textId="77777777" w:rsidR="007C5EAF" w:rsidRDefault="007C5EAF" w:rsidP="007C5EAF">
              <w:pPr>
                <w:pStyle w:val="Bibliography"/>
                <w:ind w:left="720" w:hanging="720"/>
                <w:rPr>
                  <w:noProof/>
                </w:rPr>
              </w:pPr>
              <w:r>
                <w:rPr>
                  <w:noProof/>
                </w:rPr>
                <w:t xml:space="preserve">My Accounting Course . (n.d.). </w:t>
              </w:r>
              <w:r>
                <w:rPr>
                  <w:i/>
                  <w:iCs/>
                  <w:noProof/>
                </w:rPr>
                <w:t>Equity Multiplier</w:t>
              </w:r>
              <w:r>
                <w:rPr>
                  <w:noProof/>
                </w:rPr>
                <w:t>. Retrieved from My Accounting Course : https://www.myaccountingcourse.com/financial-ratios/equity-multiplier</w:t>
              </w:r>
            </w:p>
            <w:p w14:paraId="059FCEB6" w14:textId="77777777" w:rsidR="007C5EAF" w:rsidRDefault="007C5EAF" w:rsidP="007C5EAF">
              <w:pPr>
                <w:pStyle w:val="Bibliography"/>
                <w:ind w:left="720" w:hanging="720"/>
                <w:rPr>
                  <w:noProof/>
                </w:rPr>
              </w:pPr>
              <w:r>
                <w:rPr>
                  <w:noProof/>
                </w:rPr>
                <w:t xml:space="preserve">Penman, S. H. (2013). </w:t>
              </w:r>
              <w:r>
                <w:rPr>
                  <w:i/>
                  <w:iCs/>
                  <w:noProof/>
                </w:rPr>
                <w:t>Financial Statement Analysis and Security Valuation</w:t>
              </w:r>
              <w:r>
                <w:rPr>
                  <w:noProof/>
                </w:rPr>
                <w:t xml:space="preserve"> (5th Edition ed.). New York City: Mc Graw Hill.</w:t>
              </w:r>
            </w:p>
            <w:p w14:paraId="5EC9D4E9" w14:textId="77777777" w:rsidR="007C5EAF" w:rsidRDefault="007C5EAF" w:rsidP="007C5EAF">
              <w:pPr>
                <w:pStyle w:val="Bibliography"/>
                <w:ind w:left="720" w:hanging="720"/>
                <w:rPr>
                  <w:noProof/>
                </w:rPr>
              </w:pPr>
              <w:r>
                <w:rPr>
                  <w:noProof/>
                </w:rPr>
                <w:t xml:space="preserve">Shinde, R. (2016, September 16). Here’s how to use cash flow ratios to place your bets. </w:t>
              </w:r>
              <w:r>
                <w:rPr>
                  <w:i/>
                  <w:iCs/>
                  <w:noProof/>
                </w:rPr>
                <w:t>The Economic Times</w:t>
              </w:r>
              <w:r>
                <w:rPr>
                  <w:noProof/>
                </w:rPr>
                <w:t>.</w:t>
              </w:r>
            </w:p>
            <w:p w14:paraId="7FF9E2B4" w14:textId="77777777" w:rsidR="007C5EAF" w:rsidRDefault="007C5EAF" w:rsidP="007C5EAF">
              <w:pPr>
                <w:pStyle w:val="Bibliography"/>
                <w:ind w:left="720" w:hanging="720"/>
                <w:rPr>
                  <w:noProof/>
                </w:rPr>
              </w:pPr>
              <w:r>
                <w:rPr>
                  <w:noProof/>
                </w:rPr>
                <w:t xml:space="preserve">The Economic Times. (n.d.). </w:t>
              </w:r>
              <w:r>
                <w:rPr>
                  <w:i/>
                  <w:iCs/>
                  <w:noProof/>
                </w:rPr>
                <w:t>Cash Reserve Ratio</w:t>
              </w:r>
              <w:r>
                <w:rPr>
                  <w:noProof/>
                </w:rPr>
                <w:t>. Retrieved from The Economic Times: https://economictimes.indiatimes.com/c/cash-reserve-ratio/articleshow/19339693.cms</w:t>
              </w:r>
            </w:p>
            <w:p w14:paraId="307B2175" w14:textId="77777777" w:rsidR="007C5EAF" w:rsidRDefault="007C5EAF" w:rsidP="007C5EAF">
              <w:pPr>
                <w:pStyle w:val="Bibliography"/>
                <w:ind w:left="720" w:hanging="720"/>
                <w:rPr>
                  <w:noProof/>
                </w:rPr>
              </w:pPr>
              <w:r>
                <w:rPr>
                  <w:noProof/>
                </w:rPr>
                <w:t xml:space="preserve">The Economic Times. (n.d.). </w:t>
              </w:r>
              <w:r>
                <w:rPr>
                  <w:i/>
                  <w:iCs/>
                  <w:noProof/>
                </w:rPr>
                <w:t>Definition of 'Debt Equity Ratio'</w:t>
              </w:r>
              <w:r>
                <w:rPr>
                  <w:noProof/>
                </w:rPr>
                <w:t>. Retrieved from The Economic Times: https://economictimes.indiatimes.com/definition/debt-equity-ratio</w:t>
              </w:r>
            </w:p>
            <w:p w14:paraId="7EBF47F6" w14:textId="77777777" w:rsidR="007C5EAF" w:rsidRDefault="007C5EAF" w:rsidP="007C5EAF">
              <w:pPr>
                <w:pStyle w:val="Bibliography"/>
                <w:ind w:left="720" w:hanging="720"/>
                <w:rPr>
                  <w:noProof/>
                </w:rPr>
              </w:pPr>
              <w:r>
                <w:rPr>
                  <w:noProof/>
                </w:rPr>
                <w:t xml:space="preserve">Vishal. (2015, OCTOBER 5). </w:t>
              </w:r>
              <w:r>
                <w:rPr>
                  <w:i/>
                  <w:iCs/>
                  <w:noProof/>
                </w:rPr>
                <w:t>TOOLS AND TECHNIQUES OF FINANCIAL STATEMENT ANALYSIS</w:t>
              </w:r>
              <w:r>
                <w:rPr>
                  <w:noProof/>
                </w:rPr>
                <w:t>. Retrieved from TOFLER: https://www.tofler.in/blog/indian-company-basics/tools-and-techniques-of-financial-statement-analysis/</w:t>
              </w:r>
            </w:p>
            <w:p w14:paraId="0B38ACFE" w14:textId="77777777" w:rsidR="007C5EAF" w:rsidRDefault="007C5EAF" w:rsidP="007C5EAF">
              <w:pPr>
                <w:pStyle w:val="Bibliography"/>
                <w:ind w:left="720" w:hanging="720"/>
                <w:rPr>
                  <w:noProof/>
                </w:rPr>
              </w:pPr>
              <w:r>
                <w:rPr>
                  <w:noProof/>
                </w:rPr>
                <w:t xml:space="preserve">Wikipedia. (n.d.). </w:t>
              </w:r>
              <w:r>
                <w:rPr>
                  <w:i/>
                  <w:iCs/>
                  <w:noProof/>
                </w:rPr>
                <w:t>List of banks in Bangladesh</w:t>
              </w:r>
              <w:r>
                <w:rPr>
                  <w:noProof/>
                </w:rPr>
                <w:t>. Retrieved September 19, 2020, from Wikipedia: https://en.wikipedia.org/wiki/List_of_banks_in_Bangladesh</w:t>
              </w:r>
            </w:p>
            <w:p w14:paraId="1851533C" w14:textId="77777777" w:rsidR="00603390" w:rsidRDefault="00603390" w:rsidP="007C5EAF">
              <w:r>
                <w:rPr>
                  <w:b/>
                  <w:bCs/>
                  <w:noProof/>
                </w:rPr>
                <w:fldChar w:fldCharType="end"/>
              </w:r>
            </w:p>
          </w:sdtContent>
        </w:sdt>
      </w:sdtContent>
    </w:sdt>
    <w:p w14:paraId="02F2D8CD" w14:textId="77777777" w:rsidR="00B42A75" w:rsidRDefault="00B42A75" w:rsidP="00603390">
      <w:pPr>
        <w:spacing w:line="360" w:lineRule="auto"/>
        <w:jc w:val="both"/>
      </w:pPr>
    </w:p>
    <w:sectPr w:rsidR="00B42A75" w:rsidSect="008017AB">
      <w:pgSz w:w="12240" w:h="15840"/>
      <w:pgMar w:top="1440" w:right="1440" w:bottom="1440" w:left="1440" w:header="720" w:footer="720" w:gutter="0"/>
      <w:pgNumType w:fmt="lowerRoman" w:start="8"/>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4CA37A" w14:textId="77777777" w:rsidR="00EE7BDE" w:rsidRDefault="00EE7BDE" w:rsidP="00AD3DCA">
      <w:pPr>
        <w:spacing w:after="0" w:line="240" w:lineRule="auto"/>
      </w:pPr>
      <w:r>
        <w:separator/>
      </w:r>
    </w:p>
  </w:endnote>
  <w:endnote w:type="continuationSeparator" w:id="0">
    <w:p w14:paraId="3F11982F" w14:textId="77777777" w:rsidR="00EE7BDE" w:rsidRDefault="00EE7BDE" w:rsidP="00AD3D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068946741"/>
      <w:docPartObj>
        <w:docPartGallery w:val="Page Numbers (Bottom of Page)"/>
        <w:docPartUnique/>
      </w:docPartObj>
    </w:sdtPr>
    <w:sdtEndPr>
      <w:rPr>
        <w:color w:val="7F7F7F" w:themeColor="background1" w:themeShade="7F"/>
        <w:spacing w:val="60"/>
      </w:rPr>
    </w:sdtEndPr>
    <w:sdtContent>
      <w:p w14:paraId="0E11D309" w14:textId="77777777" w:rsidR="00816F2C" w:rsidRDefault="00816F2C">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44</w:t>
        </w:r>
        <w:r>
          <w:rPr>
            <w:noProof/>
          </w:rPr>
          <w:fldChar w:fldCharType="end"/>
        </w:r>
        <w:r>
          <w:t xml:space="preserve"> | </w:t>
        </w:r>
        <w:r>
          <w:rPr>
            <w:color w:val="7F7F7F" w:themeColor="background1" w:themeShade="7F"/>
            <w:spacing w:val="60"/>
          </w:rPr>
          <w:t>Page</w:t>
        </w:r>
      </w:p>
    </w:sdtContent>
  </w:sdt>
  <w:p w14:paraId="5CD9B744" w14:textId="77777777" w:rsidR="00816F2C" w:rsidRDefault="00816F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7106D5" w14:textId="77777777" w:rsidR="00EE7BDE" w:rsidRDefault="00EE7BDE" w:rsidP="00AD3DCA">
      <w:pPr>
        <w:spacing w:after="0" w:line="240" w:lineRule="auto"/>
      </w:pPr>
      <w:r>
        <w:separator/>
      </w:r>
    </w:p>
  </w:footnote>
  <w:footnote w:type="continuationSeparator" w:id="0">
    <w:p w14:paraId="7D2FB819" w14:textId="77777777" w:rsidR="00EE7BDE" w:rsidRDefault="00EE7BDE" w:rsidP="00AD3D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B58DE"/>
    <w:multiLevelType w:val="hybridMultilevel"/>
    <w:tmpl w:val="FB3A92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F30099"/>
    <w:multiLevelType w:val="hybridMultilevel"/>
    <w:tmpl w:val="4ED48050"/>
    <w:lvl w:ilvl="0" w:tplc="19A2CB12">
      <w:start w:val="1"/>
      <w:numFmt w:val="bullet"/>
      <w:lvlText w:val="o"/>
      <w:lvlJc w:val="left"/>
      <w:pPr>
        <w:ind w:left="720" w:hanging="360"/>
      </w:pPr>
      <w:rPr>
        <w:rFonts w:ascii="Courier New" w:hAnsi="Courier New" w:cs="Courier New" w:hint="default"/>
        <w:color w:val="365F91" w:themeColor="accent1" w:themeShade="BF"/>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BD56A2"/>
    <w:multiLevelType w:val="hybridMultilevel"/>
    <w:tmpl w:val="B3CAD9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4A55CF"/>
    <w:multiLevelType w:val="hybridMultilevel"/>
    <w:tmpl w:val="93A82A20"/>
    <w:lvl w:ilvl="0" w:tplc="CB94917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4A7CAF"/>
    <w:multiLevelType w:val="hybridMultilevel"/>
    <w:tmpl w:val="56A69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AB50AE"/>
    <w:multiLevelType w:val="hybridMultilevel"/>
    <w:tmpl w:val="DED67B16"/>
    <w:lvl w:ilvl="0" w:tplc="19A2CB12">
      <w:start w:val="1"/>
      <w:numFmt w:val="bullet"/>
      <w:lvlText w:val="o"/>
      <w:lvlJc w:val="left"/>
      <w:pPr>
        <w:ind w:left="1440" w:hanging="360"/>
      </w:pPr>
      <w:rPr>
        <w:rFonts w:ascii="Courier New" w:hAnsi="Courier New" w:cs="Courier New" w:hint="default"/>
        <w:color w:val="365F91" w:themeColor="accent1" w:themeShade="BF"/>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E5A569F"/>
    <w:multiLevelType w:val="hybridMultilevel"/>
    <w:tmpl w:val="A76C60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AD1669"/>
    <w:multiLevelType w:val="hybridMultilevel"/>
    <w:tmpl w:val="D23E491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157D0816"/>
    <w:multiLevelType w:val="hybridMultilevel"/>
    <w:tmpl w:val="DA4C25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7F24C31"/>
    <w:multiLevelType w:val="hybridMultilevel"/>
    <w:tmpl w:val="5D089732"/>
    <w:lvl w:ilvl="0" w:tplc="5E7AC4C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075693"/>
    <w:multiLevelType w:val="hybridMultilevel"/>
    <w:tmpl w:val="26A61D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E07F04"/>
    <w:multiLevelType w:val="hybridMultilevel"/>
    <w:tmpl w:val="32265D84"/>
    <w:lvl w:ilvl="0" w:tplc="5E7AC4C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FDD6282"/>
    <w:multiLevelType w:val="hybridMultilevel"/>
    <w:tmpl w:val="DD4A0A78"/>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04628C4"/>
    <w:multiLevelType w:val="hybridMultilevel"/>
    <w:tmpl w:val="4E069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A130AE"/>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31BB1880"/>
    <w:multiLevelType w:val="hybridMultilevel"/>
    <w:tmpl w:val="2BAA85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F75864"/>
    <w:multiLevelType w:val="hybridMultilevel"/>
    <w:tmpl w:val="5DDC3B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785C9F"/>
    <w:multiLevelType w:val="hybridMultilevel"/>
    <w:tmpl w:val="935CC4C0"/>
    <w:lvl w:ilvl="0" w:tplc="CB94917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9AA72FC"/>
    <w:multiLevelType w:val="hybridMultilevel"/>
    <w:tmpl w:val="0AE075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BA2A81"/>
    <w:multiLevelType w:val="hybridMultilevel"/>
    <w:tmpl w:val="3C108F12"/>
    <w:lvl w:ilvl="0" w:tplc="5E7AC4C0">
      <w:start w:val="1"/>
      <w:numFmt w:val="bullet"/>
      <w:lvlText w:val="­"/>
      <w:lvlJc w:val="left"/>
      <w:pPr>
        <w:ind w:left="720" w:hanging="360"/>
      </w:pPr>
      <w:rPr>
        <w:rFonts w:ascii="Courier New" w:hAnsi="Courier New" w:hint="default"/>
      </w:rPr>
    </w:lvl>
    <w:lvl w:ilvl="1" w:tplc="19A2CB12">
      <w:start w:val="1"/>
      <w:numFmt w:val="bullet"/>
      <w:lvlText w:val="o"/>
      <w:lvlJc w:val="left"/>
      <w:pPr>
        <w:ind w:left="1440" w:hanging="360"/>
      </w:pPr>
      <w:rPr>
        <w:rFonts w:ascii="Courier New" w:hAnsi="Courier New" w:cs="Courier New" w:hint="default"/>
        <w:color w:val="365F91" w:themeColor="accent1" w:themeShade="BF"/>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B01FAB"/>
    <w:multiLevelType w:val="hybridMultilevel"/>
    <w:tmpl w:val="4A1A22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FA25EDF"/>
    <w:multiLevelType w:val="hybridMultilevel"/>
    <w:tmpl w:val="9AA06B1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3FBD7C34"/>
    <w:multiLevelType w:val="hybridMultilevel"/>
    <w:tmpl w:val="35A6B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BE1D35"/>
    <w:multiLevelType w:val="hybridMultilevel"/>
    <w:tmpl w:val="86BEBCF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572637"/>
    <w:multiLevelType w:val="hybridMultilevel"/>
    <w:tmpl w:val="6DB425A2"/>
    <w:lvl w:ilvl="0" w:tplc="0409000B">
      <w:start w:val="1"/>
      <w:numFmt w:val="bullet"/>
      <w:lvlText w:val=""/>
      <w:lvlJc w:val="left"/>
      <w:pPr>
        <w:ind w:left="720" w:hanging="360"/>
      </w:pPr>
      <w:rPr>
        <w:rFonts w:ascii="Wingdings" w:hAnsi="Wingdings" w:hint="default"/>
      </w:rPr>
    </w:lvl>
    <w:lvl w:ilvl="1" w:tplc="35D6E354">
      <w:start w:val="11"/>
      <w:numFmt w:val="bullet"/>
      <w:lvlText w:val=""/>
      <w:lvlJc w:val="left"/>
      <w:pPr>
        <w:ind w:left="1440" w:hanging="360"/>
      </w:pPr>
      <w:rPr>
        <w:rFonts w:ascii="Calibri" w:eastAsiaTheme="minorHAnsi" w:hAnsi="Calibri" w:cs="Calibri" w:hint="default"/>
        <w:b w:val="0"/>
        <w:color w:val="000000"/>
        <w:sz w:val="28"/>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95E507C"/>
    <w:multiLevelType w:val="hybridMultilevel"/>
    <w:tmpl w:val="BBD45758"/>
    <w:lvl w:ilvl="0" w:tplc="5E7AC4C0">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A4C7E86"/>
    <w:multiLevelType w:val="hybridMultilevel"/>
    <w:tmpl w:val="672C66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E7D6639"/>
    <w:multiLevelType w:val="hybridMultilevel"/>
    <w:tmpl w:val="B840DF2E"/>
    <w:lvl w:ilvl="0" w:tplc="5E7AC4C0">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4627784"/>
    <w:multiLevelType w:val="hybridMultilevel"/>
    <w:tmpl w:val="947E14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402D72"/>
    <w:multiLevelType w:val="hybridMultilevel"/>
    <w:tmpl w:val="703E81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4827D5"/>
    <w:multiLevelType w:val="hybridMultilevel"/>
    <w:tmpl w:val="6A501ED8"/>
    <w:lvl w:ilvl="0" w:tplc="8D4E8C98">
      <w:start w:val="1"/>
      <w:numFmt w:val="bullet"/>
      <w:lvlText w:val="•"/>
      <w:lvlJc w:val="left"/>
      <w:pPr>
        <w:tabs>
          <w:tab w:val="num" w:pos="720"/>
        </w:tabs>
        <w:ind w:left="720" w:hanging="360"/>
      </w:pPr>
      <w:rPr>
        <w:rFonts w:ascii="Times New Roman" w:hAnsi="Times New Roman" w:hint="default"/>
      </w:rPr>
    </w:lvl>
    <w:lvl w:ilvl="1" w:tplc="0409000F">
      <w:start w:val="1"/>
      <w:numFmt w:val="decimal"/>
      <w:lvlText w:val="%2."/>
      <w:lvlJc w:val="left"/>
      <w:pPr>
        <w:tabs>
          <w:tab w:val="num" w:pos="1440"/>
        </w:tabs>
        <w:ind w:left="1440" w:hanging="360"/>
      </w:pPr>
      <w:rPr>
        <w:rFonts w:hint="default"/>
      </w:rPr>
    </w:lvl>
    <w:lvl w:ilvl="2" w:tplc="A6F6AAB2" w:tentative="1">
      <w:start w:val="1"/>
      <w:numFmt w:val="bullet"/>
      <w:lvlText w:val="•"/>
      <w:lvlJc w:val="left"/>
      <w:pPr>
        <w:tabs>
          <w:tab w:val="num" w:pos="2160"/>
        </w:tabs>
        <w:ind w:left="2160" w:hanging="360"/>
      </w:pPr>
      <w:rPr>
        <w:rFonts w:ascii="Times New Roman" w:hAnsi="Times New Roman" w:hint="default"/>
      </w:rPr>
    </w:lvl>
    <w:lvl w:ilvl="3" w:tplc="E29874BE" w:tentative="1">
      <w:start w:val="1"/>
      <w:numFmt w:val="bullet"/>
      <w:lvlText w:val="•"/>
      <w:lvlJc w:val="left"/>
      <w:pPr>
        <w:tabs>
          <w:tab w:val="num" w:pos="2880"/>
        </w:tabs>
        <w:ind w:left="2880" w:hanging="360"/>
      </w:pPr>
      <w:rPr>
        <w:rFonts w:ascii="Times New Roman" w:hAnsi="Times New Roman" w:hint="default"/>
      </w:rPr>
    </w:lvl>
    <w:lvl w:ilvl="4" w:tplc="3B685312" w:tentative="1">
      <w:start w:val="1"/>
      <w:numFmt w:val="bullet"/>
      <w:lvlText w:val="•"/>
      <w:lvlJc w:val="left"/>
      <w:pPr>
        <w:tabs>
          <w:tab w:val="num" w:pos="3600"/>
        </w:tabs>
        <w:ind w:left="3600" w:hanging="360"/>
      </w:pPr>
      <w:rPr>
        <w:rFonts w:ascii="Times New Roman" w:hAnsi="Times New Roman" w:hint="default"/>
      </w:rPr>
    </w:lvl>
    <w:lvl w:ilvl="5" w:tplc="34B697A2" w:tentative="1">
      <w:start w:val="1"/>
      <w:numFmt w:val="bullet"/>
      <w:lvlText w:val="•"/>
      <w:lvlJc w:val="left"/>
      <w:pPr>
        <w:tabs>
          <w:tab w:val="num" w:pos="4320"/>
        </w:tabs>
        <w:ind w:left="4320" w:hanging="360"/>
      </w:pPr>
      <w:rPr>
        <w:rFonts w:ascii="Times New Roman" w:hAnsi="Times New Roman" w:hint="default"/>
      </w:rPr>
    </w:lvl>
    <w:lvl w:ilvl="6" w:tplc="B942B3E2" w:tentative="1">
      <w:start w:val="1"/>
      <w:numFmt w:val="bullet"/>
      <w:lvlText w:val="•"/>
      <w:lvlJc w:val="left"/>
      <w:pPr>
        <w:tabs>
          <w:tab w:val="num" w:pos="5040"/>
        </w:tabs>
        <w:ind w:left="5040" w:hanging="360"/>
      </w:pPr>
      <w:rPr>
        <w:rFonts w:ascii="Times New Roman" w:hAnsi="Times New Roman" w:hint="default"/>
      </w:rPr>
    </w:lvl>
    <w:lvl w:ilvl="7" w:tplc="93E8D4D4" w:tentative="1">
      <w:start w:val="1"/>
      <w:numFmt w:val="bullet"/>
      <w:lvlText w:val="•"/>
      <w:lvlJc w:val="left"/>
      <w:pPr>
        <w:tabs>
          <w:tab w:val="num" w:pos="5760"/>
        </w:tabs>
        <w:ind w:left="5760" w:hanging="360"/>
      </w:pPr>
      <w:rPr>
        <w:rFonts w:ascii="Times New Roman" w:hAnsi="Times New Roman" w:hint="default"/>
      </w:rPr>
    </w:lvl>
    <w:lvl w:ilvl="8" w:tplc="7CCAB7A8" w:tentative="1">
      <w:start w:val="1"/>
      <w:numFmt w:val="bullet"/>
      <w:lvlText w:val="•"/>
      <w:lvlJc w:val="left"/>
      <w:pPr>
        <w:tabs>
          <w:tab w:val="num" w:pos="6480"/>
        </w:tabs>
        <w:ind w:left="6480" w:hanging="360"/>
      </w:pPr>
      <w:rPr>
        <w:rFonts w:ascii="Times New Roman" w:hAnsi="Times New Roman" w:hint="default"/>
      </w:rPr>
    </w:lvl>
  </w:abstractNum>
  <w:abstractNum w:abstractNumId="31" w15:restartNumberingAfterBreak="0">
    <w:nsid w:val="65E54BAB"/>
    <w:multiLevelType w:val="hybridMultilevel"/>
    <w:tmpl w:val="BE60EB9C"/>
    <w:lvl w:ilvl="0" w:tplc="CB94917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6250F8"/>
    <w:multiLevelType w:val="hybridMultilevel"/>
    <w:tmpl w:val="44FE238E"/>
    <w:lvl w:ilvl="0" w:tplc="CB94917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F75F43"/>
    <w:multiLevelType w:val="hybridMultilevel"/>
    <w:tmpl w:val="988CA1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A37AF2"/>
    <w:multiLevelType w:val="hybridMultilevel"/>
    <w:tmpl w:val="B6FC57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2E87A21"/>
    <w:multiLevelType w:val="hybridMultilevel"/>
    <w:tmpl w:val="3B8AAC04"/>
    <w:lvl w:ilvl="0" w:tplc="8D4E8C98">
      <w:start w:val="1"/>
      <w:numFmt w:val="bullet"/>
      <w:lvlText w:val="•"/>
      <w:lvlJc w:val="left"/>
      <w:pPr>
        <w:tabs>
          <w:tab w:val="num" w:pos="720"/>
        </w:tabs>
        <w:ind w:left="720" w:hanging="360"/>
      </w:pPr>
      <w:rPr>
        <w:rFonts w:ascii="Times New Roman" w:hAnsi="Times New Roman" w:hint="default"/>
      </w:rPr>
    </w:lvl>
    <w:lvl w:ilvl="1" w:tplc="3D7C4118">
      <w:start w:val="270"/>
      <w:numFmt w:val="bullet"/>
      <w:lvlText w:val="•"/>
      <w:lvlJc w:val="left"/>
      <w:pPr>
        <w:tabs>
          <w:tab w:val="num" w:pos="1440"/>
        </w:tabs>
        <w:ind w:left="1440" w:hanging="360"/>
      </w:pPr>
      <w:rPr>
        <w:rFonts w:ascii="Times New Roman" w:hAnsi="Times New Roman" w:hint="default"/>
      </w:rPr>
    </w:lvl>
    <w:lvl w:ilvl="2" w:tplc="A6F6AAB2" w:tentative="1">
      <w:start w:val="1"/>
      <w:numFmt w:val="bullet"/>
      <w:lvlText w:val="•"/>
      <w:lvlJc w:val="left"/>
      <w:pPr>
        <w:tabs>
          <w:tab w:val="num" w:pos="2160"/>
        </w:tabs>
        <w:ind w:left="2160" w:hanging="360"/>
      </w:pPr>
      <w:rPr>
        <w:rFonts w:ascii="Times New Roman" w:hAnsi="Times New Roman" w:hint="default"/>
      </w:rPr>
    </w:lvl>
    <w:lvl w:ilvl="3" w:tplc="E29874BE" w:tentative="1">
      <w:start w:val="1"/>
      <w:numFmt w:val="bullet"/>
      <w:lvlText w:val="•"/>
      <w:lvlJc w:val="left"/>
      <w:pPr>
        <w:tabs>
          <w:tab w:val="num" w:pos="2880"/>
        </w:tabs>
        <w:ind w:left="2880" w:hanging="360"/>
      </w:pPr>
      <w:rPr>
        <w:rFonts w:ascii="Times New Roman" w:hAnsi="Times New Roman" w:hint="default"/>
      </w:rPr>
    </w:lvl>
    <w:lvl w:ilvl="4" w:tplc="3B685312" w:tentative="1">
      <w:start w:val="1"/>
      <w:numFmt w:val="bullet"/>
      <w:lvlText w:val="•"/>
      <w:lvlJc w:val="left"/>
      <w:pPr>
        <w:tabs>
          <w:tab w:val="num" w:pos="3600"/>
        </w:tabs>
        <w:ind w:left="3600" w:hanging="360"/>
      </w:pPr>
      <w:rPr>
        <w:rFonts w:ascii="Times New Roman" w:hAnsi="Times New Roman" w:hint="default"/>
      </w:rPr>
    </w:lvl>
    <w:lvl w:ilvl="5" w:tplc="34B697A2" w:tentative="1">
      <w:start w:val="1"/>
      <w:numFmt w:val="bullet"/>
      <w:lvlText w:val="•"/>
      <w:lvlJc w:val="left"/>
      <w:pPr>
        <w:tabs>
          <w:tab w:val="num" w:pos="4320"/>
        </w:tabs>
        <w:ind w:left="4320" w:hanging="360"/>
      </w:pPr>
      <w:rPr>
        <w:rFonts w:ascii="Times New Roman" w:hAnsi="Times New Roman" w:hint="default"/>
      </w:rPr>
    </w:lvl>
    <w:lvl w:ilvl="6" w:tplc="B942B3E2" w:tentative="1">
      <w:start w:val="1"/>
      <w:numFmt w:val="bullet"/>
      <w:lvlText w:val="•"/>
      <w:lvlJc w:val="left"/>
      <w:pPr>
        <w:tabs>
          <w:tab w:val="num" w:pos="5040"/>
        </w:tabs>
        <w:ind w:left="5040" w:hanging="360"/>
      </w:pPr>
      <w:rPr>
        <w:rFonts w:ascii="Times New Roman" w:hAnsi="Times New Roman" w:hint="default"/>
      </w:rPr>
    </w:lvl>
    <w:lvl w:ilvl="7" w:tplc="93E8D4D4" w:tentative="1">
      <w:start w:val="1"/>
      <w:numFmt w:val="bullet"/>
      <w:lvlText w:val="•"/>
      <w:lvlJc w:val="left"/>
      <w:pPr>
        <w:tabs>
          <w:tab w:val="num" w:pos="5760"/>
        </w:tabs>
        <w:ind w:left="5760" w:hanging="360"/>
      </w:pPr>
      <w:rPr>
        <w:rFonts w:ascii="Times New Roman" w:hAnsi="Times New Roman" w:hint="default"/>
      </w:rPr>
    </w:lvl>
    <w:lvl w:ilvl="8" w:tplc="7CCAB7A8" w:tentative="1">
      <w:start w:val="1"/>
      <w:numFmt w:val="bullet"/>
      <w:lvlText w:val="•"/>
      <w:lvlJc w:val="left"/>
      <w:pPr>
        <w:tabs>
          <w:tab w:val="num" w:pos="6480"/>
        </w:tabs>
        <w:ind w:left="6480" w:hanging="360"/>
      </w:pPr>
      <w:rPr>
        <w:rFonts w:ascii="Times New Roman" w:hAnsi="Times New Roman" w:hint="default"/>
      </w:rPr>
    </w:lvl>
  </w:abstractNum>
  <w:abstractNum w:abstractNumId="36" w15:restartNumberingAfterBreak="0">
    <w:nsid w:val="747342F2"/>
    <w:multiLevelType w:val="hybridMultilevel"/>
    <w:tmpl w:val="266C8902"/>
    <w:lvl w:ilvl="0" w:tplc="D35E43A2">
      <w:start w:val="11"/>
      <w:numFmt w:val="bullet"/>
      <w:lvlText w:val=""/>
      <w:lvlJc w:val="left"/>
      <w:pPr>
        <w:ind w:left="1080" w:hanging="720"/>
      </w:pPr>
      <w:rPr>
        <w:rFonts w:ascii="Cambria" w:eastAsiaTheme="majorEastAsia" w:hAnsi="Cambria"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196950"/>
    <w:multiLevelType w:val="hybridMultilevel"/>
    <w:tmpl w:val="D9DEB3E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5"/>
  </w:num>
  <w:num w:numId="3">
    <w:abstractNumId w:val="22"/>
  </w:num>
  <w:num w:numId="4">
    <w:abstractNumId w:val="18"/>
  </w:num>
  <w:num w:numId="5">
    <w:abstractNumId w:val="4"/>
  </w:num>
  <w:num w:numId="6">
    <w:abstractNumId w:val="11"/>
  </w:num>
  <w:num w:numId="7">
    <w:abstractNumId w:val="27"/>
  </w:num>
  <w:num w:numId="8">
    <w:abstractNumId w:val="28"/>
  </w:num>
  <w:num w:numId="9">
    <w:abstractNumId w:val="0"/>
  </w:num>
  <w:num w:numId="10">
    <w:abstractNumId w:val="24"/>
  </w:num>
  <w:num w:numId="11">
    <w:abstractNumId w:val="26"/>
  </w:num>
  <w:num w:numId="12">
    <w:abstractNumId w:val="13"/>
  </w:num>
  <w:num w:numId="13">
    <w:abstractNumId w:val="33"/>
  </w:num>
  <w:num w:numId="14">
    <w:abstractNumId w:val="10"/>
  </w:num>
  <w:num w:numId="15">
    <w:abstractNumId w:val="29"/>
  </w:num>
  <w:num w:numId="16">
    <w:abstractNumId w:val="3"/>
  </w:num>
  <w:num w:numId="17">
    <w:abstractNumId w:val="31"/>
  </w:num>
  <w:num w:numId="18">
    <w:abstractNumId w:val="17"/>
  </w:num>
  <w:num w:numId="19">
    <w:abstractNumId w:val="16"/>
  </w:num>
  <w:num w:numId="20">
    <w:abstractNumId w:val="23"/>
  </w:num>
  <w:num w:numId="21">
    <w:abstractNumId w:val="6"/>
  </w:num>
  <w:num w:numId="22">
    <w:abstractNumId w:val="34"/>
  </w:num>
  <w:num w:numId="23">
    <w:abstractNumId w:val="20"/>
  </w:num>
  <w:num w:numId="24">
    <w:abstractNumId w:val="35"/>
  </w:num>
  <w:num w:numId="25">
    <w:abstractNumId w:val="30"/>
  </w:num>
  <w:num w:numId="26">
    <w:abstractNumId w:val="32"/>
  </w:num>
  <w:num w:numId="27">
    <w:abstractNumId w:val="7"/>
  </w:num>
  <w:num w:numId="28">
    <w:abstractNumId w:val="21"/>
  </w:num>
  <w:num w:numId="29">
    <w:abstractNumId w:val="14"/>
  </w:num>
  <w:num w:numId="30">
    <w:abstractNumId w:val="9"/>
  </w:num>
  <w:num w:numId="31">
    <w:abstractNumId w:val="36"/>
  </w:num>
  <w:num w:numId="32">
    <w:abstractNumId w:val="19"/>
  </w:num>
  <w:num w:numId="33">
    <w:abstractNumId w:val="8"/>
  </w:num>
  <w:num w:numId="34">
    <w:abstractNumId w:val="15"/>
  </w:num>
  <w:num w:numId="35">
    <w:abstractNumId w:val="37"/>
  </w:num>
  <w:num w:numId="36">
    <w:abstractNumId w:val="5"/>
  </w:num>
  <w:num w:numId="37">
    <w:abstractNumId w:val="1"/>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9"/>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017B"/>
    <w:rsid w:val="00001614"/>
    <w:rsid w:val="000046A5"/>
    <w:rsid w:val="00004E8A"/>
    <w:rsid w:val="00011AB8"/>
    <w:rsid w:val="0001334A"/>
    <w:rsid w:val="00017814"/>
    <w:rsid w:val="00017FDB"/>
    <w:rsid w:val="00020E76"/>
    <w:rsid w:val="0002101D"/>
    <w:rsid w:val="0002111D"/>
    <w:rsid w:val="00021564"/>
    <w:rsid w:val="000247FA"/>
    <w:rsid w:val="0002550B"/>
    <w:rsid w:val="000322DB"/>
    <w:rsid w:val="00037EFF"/>
    <w:rsid w:val="00042ACC"/>
    <w:rsid w:val="00045404"/>
    <w:rsid w:val="00045F70"/>
    <w:rsid w:val="00050080"/>
    <w:rsid w:val="00054C66"/>
    <w:rsid w:val="00056852"/>
    <w:rsid w:val="00065F59"/>
    <w:rsid w:val="00071CA2"/>
    <w:rsid w:val="00071DAB"/>
    <w:rsid w:val="00073FFB"/>
    <w:rsid w:val="0007573E"/>
    <w:rsid w:val="000805BA"/>
    <w:rsid w:val="0008071F"/>
    <w:rsid w:val="0008418E"/>
    <w:rsid w:val="000844EA"/>
    <w:rsid w:val="00085A2A"/>
    <w:rsid w:val="00087767"/>
    <w:rsid w:val="000966C1"/>
    <w:rsid w:val="00097002"/>
    <w:rsid w:val="000A2568"/>
    <w:rsid w:val="000A5903"/>
    <w:rsid w:val="000A6E0A"/>
    <w:rsid w:val="000B15AB"/>
    <w:rsid w:val="000B30A4"/>
    <w:rsid w:val="000B52C4"/>
    <w:rsid w:val="000B5553"/>
    <w:rsid w:val="000B66A8"/>
    <w:rsid w:val="000C25D7"/>
    <w:rsid w:val="000C34B8"/>
    <w:rsid w:val="000C55DE"/>
    <w:rsid w:val="000C7CE3"/>
    <w:rsid w:val="000D3255"/>
    <w:rsid w:val="000D56A1"/>
    <w:rsid w:val="000D64B5"/>
    <w:rsid w:val="000D7A71"/>
    <w:rsid w:val="000E2EFE"/>
    <w:rsid w:val="000E4FE8"/>
    <w:rsid w:val="000E5D88"/>
    <w:rsid w:val="000E5E89"/>
    <w:rsid w:val="000E7C9E"/>
    <w:rsid w:val="000F1A3B"/>
    <w:rsid w:val="000F4365"/>
    <w:rsid w:val="000F70F8"/>
    <w:rsid w:val="00103E56"/>
    <w:rsid w:val="00104218"/>
    <w:rsid w:val="00107695"/>
    <w:rsid w:val="001178F9"/>
    <w:rsid w:val="00117CD4"/>
    <w:rsid w:val="00123AF7"/>
    <w:rsid w:val="00124196"/>
    <w:rsid w:val="00126C2D"/>
    <w:rsid w:val="00127323"/>
    <w:rsid w:val="0013612A"/>
    <w:rsid w:val="00141F5A"/>
    <w:rsid w:val="001430AC"/>
    <w:rsid w:val="001504DA"/>
    <w:rsid w:val="001512EF"/>
    <w:rsid w:val="00151C68"/>
    <w:rsid w:val="001533AE"/>
    <w:rsid w:val="001543EC"/>
    <w:rsid w:val="0016040F"/>
    <w:rsid w:val="00161ADB"/>
    <w:rsid w:val="00163F74"/>
    <w:rsid w:val="00170529"/>
    <w:rsid w:val="00170609"/>
    <w:rsid w:val="00170B3F"/>
    <w:rsid w:val="00170D8C"/>
    <w:rsid w:val="00173942"/>
    <w:rsid w:val="00174C67"/>
    <w:rsid w:val="00175336"/>
    <w:rsid w:val="0017690C"/>
    <w:rsid w:val="001779CD"/>
    <w:rsid w:val="00177EAB"/>
    <w:rsid w:val="00181469"/>
    <w:rsid w:val="00181FA5"/>
    <w:rsid w:val="0018324B"/>
    <w:rsid w:val="00191B42"/>
    <w:rsid w:val="0019539A"/>
    <w:rsid w:val="001A28F4"/>
    <w:rsid w:val="001A6C31"/>
    <w:rsid w:val="001B1F46"/>
    <w:rsid w:val="001B624D"/>
    <w:rsid w:val="001C28F4"/>
    <w:rsid w:val="001C3540"/>
    <w:rsid w:val="001D01D6"/>
    <w:rsid w:val="001D1C4A"/>
    <w:rsid w:val="001E1480"/>
    <w:rsid w:val="001E4B83"/>
    <w:rsid w:val="001E645E"/>
    <w:rsid w:val="001F5E96"/>
    <w:rsid w:val="001F6142"/>
    <w:rsid w:val="001F79F4"/>
    <w:rsid w:val="00201A7D"/>
    <w:rsid w:val="00204B78"/>
    <w:rsid w:val="00211792"/>
    <w:rsid w:val="00214EAD"/>
    <w:rsid w:val="002177EC"/>
    <w:rsid w:val="00225895"/>
    <w:rsid w:val="00226505"/>
    <w:rsid w:val="0023412C"/>
    <w:rsid w:val="002342EB"/>
    <w:rsid w:val="00236811"/>
    <w:rsid w:val="002418D2"/>
    <w:rsid w:val="002421BD"/>
    <w:rsid w:val="0024317B"/>
    <w:rsid w:val="00246B29"/>
    <w:rsid w:val="00251C5A"/>
    <w:rsid w:val="00251EA4"/>
    <w:rsid w:val="00251F8B"/>
    <w:rsid w:val="00254932"/>
    <w:rsid w:val="00257B2C"/>
    <w:rsid w:val="00257F65"/>
    <w:rsid w:val="00262FC4"/>
    <w:rsid w:val="0026333F"/>
    <w:rsid w:val="0026553D"/>
    <w:rsid w:val="0027213E"/>
    <w:rsid w:val="002748E3"/>
    <w:rsid w:val="00274C43"/>
    <w:rsid w:val="002765AF"/>
    <w:rsid w:val="00280404"/>
    <w:rsid w:val="0028201B"/>
    <w:rsid w:val="00285919"/>
    <w:rsid w:val="00291377"/>
    <w:rsid w:val="00293508"/>
    <w:rsid w:val="002971BC"/>
    <w:rsid w:val="00297E9F"/>
    <w:rsid w:val="002A0E26"/>
    <w:rsid w:val="002A14D0"/>
    <w:rsid w:val="002A3207"/>
    <w:rsid w:val="002A4278"/>
    <w:rsid w:val="002A5C46"/>
    <w:rsid w:val="002A7427"/>
    <w:rsid w:val="002B2DE9"/>
    <w:rsid w:val="002B78AA"/>
    <w:rsid w:val="002C2766"/>
    <w:rsid w:val="002C2D0D"/>
    <w:rsid w:val="002C441C"/>
    <w:rsid w:val="002C546D"/>
    <w:rsid w:val="002C5A84"/>
    <w:rsid w:val="002D032D"/>
    <w:rsid w:val="002D2A6A"/>
    <w:rsid w:val="002D3004"/>
    <w:rsid w:val="002D5105"/>
    <w:rsid w:val="002E4443"/>
    <w:rsid w:val="002F266C"/>
    <w:rsid w:val="0030216A"/>
    <w:rsid w:val="00305510"/>
    <w:rsid w:val="003078CB"/>
    <w:rsid w:val="00310B44"/>
    <w:rsid w:val="00310C2F"/>
    <w:rsid w:val="00312D4E"/>
    <w:rsid w:val="00314EAD"/>
    <w:rsid w:val="00315559"/>
    <w:rsid w:val="00315616"/>
    <w:rsid w:val="003163C6"/>
    <w:rsid w:val="00320486"/>
    <w:rsid w:val="00322592"/>
    <w:rsid w:val="003244BC"/>
    <w:rsid w:val="003250F6"/>
    <w:rsid w:val="00326F5F"/>
    <w:rsid w:val="00327DE8"/>
    <w:rsid w:val="00330BBE"/>
    <w:rsid w:val="00331FB6"/>
    <w:rsid w:val="00343779"/>
    <w:rsid w:val="00343C9A"/>
    <w:rsid w:val="00350C97"/>
    <w:rsid w:val="00351DE6"/>
    <w:rsid w:val="00355C04"/>
    <w:rsid w:val="003635AD"/>
    <w:rsid w:val="00366F0B"/>
    <w:rsid w:val="00367BAF"/>
    <w:rsid w:val="00371ED4"/>
    <w:rsid w:val="003867D0"/>
    <w:rsid w:val="00387862"/>
    <w:rsid w:val="00395B4A"/>
    <w:rsid w:val="003A50C9"/>
    <w:rsid w:val="003A5638"/>
    <w:rsid w:val="003A72A5"/>
    <w:rsid w:val="003A7A94"/>
    <w:rsid w:val="003C13D1"/>
    <w:rsid w:val="003C33AE"/>
    <w:rsid w:val="003D20F8"/>
    <w:rsid w:val="003D26F8"/>
    <w:rsid w:val="003D791E"/>
    <w:rsid w:val="003E1CE5"/>
    <w:rsid w:val="003E2643"/>
    <w:rsid w:val="003E5BA2"/>
    <w:rsid w:val="003E5C48"/>
    <w:rsid w:val="003E7DAE"/>
    <w:rsid w:val="003E7ED4"/>
    <w:rsid w:val="003F0C59"/>
    <w:rsid w:val="003F323F"/>
    <w:rsid w:val="003F7722"/>
    <w:rsid w:val="004023AA"/>
    <w:rsid w:val="00403D5A"/>
    <w:rsid w:val="00413BCB"/>
    <w:rsid w:val="0041520D"/>
    <w:rsid w:val="0042083F"/>
    <w:rsid w:val="00422EAB"/>
    <w:rsid w:val="004250BA"/>
    <w:rsid w:val="00426B35"/>
    <w:rsid w:val="0042735E"/>
    <w:rsid w:val="004335AB"/>
    <w:rsid w:val="00433B59"/>
    <w:rsid w:val="00436A11"/>
    <w:rsid w:val="0045220F"/>
    <w:rsid w:val="00453396"/>
    <w:rsid w:val="00453647"/>
    <w:rsid w:val="004548D4"/>
    <w:rsid w:val="00454ED4"/>
    <w:rsid w:val="00455105"/>
    <w:rsid w:val="004558A5"/>
    <w:rsid w:val="00455F5C"/>
    <w:rsid w:val="004656E3"/>
    <w:rsid w:val="004661A0"/>
    <w:rsid w:val="00467100"/>
    <w:rsid w:val="00475607"/>
    <w:rsid w:val="00477348"/>
    <w:rsid w:val="004801F2"/>
    <w:rsid w:val="00480ADE"/>
    <w:rsid w:val="00482A50"/>
    <w:rsid w:val="0049285C"/>
    <w:rsid w:val="00493A8C"/>
    <w:rsid w:val="00497DC4"/>
    <w:rsid w:val="004A2CE0"/>
    <w:rsid w:val="004A7615"/>
    <w:rsid w:val="004B0036"/>
    <w:rsid w:val="004B070E"/>
    <w:rsid w:val="004B4425"/>
    <w:rsid w:val="004C050C"/>
    <w:rsid w:val="004C1B3B"/>
    <w:rsid w:val="004C3115"/>
    <w:rsid w:val="004C422F"/>
    <w:rsid w:val="004C74A6"/>
    <w:rsid w:val="004D2CF6"/>
    <w:rsid w:val="004D4E78"/>
    <w:rsid w:val="004D65BB"/>
    <w:rsid w:val="004D7541"/>
    <w:rsid w:val="004D7548"/>
    <w:rsid w:val="004E1359"/>
    <w:rsid w:val="004E3658"/>
    <w:rsid w:val="004E4853"/>
    <w:rsid w:val="004E498E"/>
    <w:rsid w:val="004F3DD6"/>
    <w:rsid w:val="004F49CC"/>
    <w:rsid w:val="004F5885"/>
    <w:rsid w:val="004F629A"/>
    <w:rsid w:val="004F7ECE"/>
    <w:rsid w:val="005109B5"/>
    <w:rsid w:val="005125F2"/>
    <w:rsid w:val="00512AA2"/>
    <w:rsid w:val="00517CF8"/>
    <w:rsid w:val="00517FDA"/>
    <w:rsid w:val="0052086D"/>
    <w:rsid w:val="00523A74"/>
    <w:rsid w:val="0053468C"/>
    <w:rsid w:val="00536E1B"/>
    <w:rsid w:val="00537263"/>
    <w:rsid w:val="00537DF8"/>
    <w:rsid w:val="0054017B"/>
    <w:rsid w:val="00540F9E"/>
    <w:rsid w:val="00541D7D"/>
    <w:rsid w:val="005448C4"/>
    <w:rsid w:val="0054562D"/>
    <w:rsid w:val="0054789B"/>
    <w:rsid w:val="00551EAB"/>
    <w:rsid w:val="005546D3"/>
    <w:rsid w:val="00554C2E"/>
    <w:rsid w:val="00555BE0"/>
    <w:rsid w:val="00557F85"/>
    <w:rsid w:val="00565661"/>
    <w:rsid w:val="00566F89"/>
    <w:rsid w:val="00570F1B"/>
    <w:rsid w:val="00573A0A"/>
    <w:rsid w:val="00576D63"/>
    <w:rsid w:val="0058270E"/>
    <w:rsid w:val="0058484B"/>
    <w:rsid w:val="005853BA"/>
    <w:rsid w:val="005854D1"/>
    <w:rsid w:val="00585906"/>
    <w:rsid w:val="005864FE"/>
    <w:rsid w:val="005872FB"/>
    <w:rsid w:val="005918EA"/>
    <w:rsid w:val="00592E1E"/>
    <w:rsid w:val="005940DD"/>
    <w:rsid w:val="005949FE"/>
    <w:rsid w:val="005A5270"/>
    <w:rsid w:val="005A5BC9"/>
    <w:rsid w:val="005A76C1"/>
    <w:rsid w:val="005B348F"/>
    <w:rsid w:val="005C201D"/>
    <w:rsid w:val="005C5635"/>
    <w:rsid w:val="005C5662"/>
    <w:rsid w:val="005C596D"/>
    <w:rsid w:val="005C772B"/>
    <w:rsid w:val="005C7DFB"/>
    <w:rsid w:val="005D3251"/>
    <w:rsid w:val="005D410C"/>
    <w:rsid w:val="005D68ED"/>
    <w:rsid w:val="005D728D"/>
    <w:rsid w:val="005D7704"/>
    <w:rsid w:val="005D7825"/>
    <w:rsid w:val="005E311E"/>
    <w:rsid w:val="005E4F63"/>
    <w:rsid w:val="005E5C14"/>
    <w:rsid w:val="005F001C"/>
    <w:rsid w:val="005F1554"/>
    <w:rsid w:val="005F34AD"/>
    <w:rsid w:val="005F69AA"/>
    <w:rsid w:val="00602883"/>
    <w:rsid w:val="00603390"/>
    <w:rsid w:val="0060342F"/>
    <w:rsid w:val="00606990"/>
    <w:rsid w:val="00610A95"/>
    <w:rsid w:val="00612E7A"/>
    <w:rsid w:val="00614910"/>
    <w:rsid w:val="00616E7B"/>
    <w:rsid w:val="00622E86"/>
    <w:rsid w:val="00624911"/>
    <w:rsid w:val="0063061F"/>
    <w:rsid w:val="0063083E"/>
    <w:rsid w:val="00631C01"/>
    <w:rsid w:val="00631C18"/>
    <w:rsid w:val="00632D0C"/>
    <w:rsid w:val="00633CE9"/>
    <w:rsid w:val="00634327"/>
    <w:rsid w:val="00641360"/>
    <w:rsid w:val="006437F5"/>
    <w:rsid w:val="006506BA"/>
    <w:rsid w:val="0065478A"/>
    <w:rsid w:val="00656A4F"/>
    <w:rsid w:val="006617E4"/>
    <w:rsid w:val="00663A1E"/>
    <w:rsid w:val="006754F3"/>
    <w:rsid w:val="006768C5"/>
    <w:rsid w:val="006814A0"/>
    <w:rsid w:val="006826A8"/>
    <w:rsid w:val="00682820"/>
    <w:rsid w:val="00685446"/>
    <w:rsid w:val="00685D35"/>
    <w:rsid w:val="00690461"/>
    <w:rsid w:val="0069281A"/>
    <w:rsid w:val="006944A1"/>
    <w:rsid w:val="0069716F"/>
    <w:rsid w:val="00697450"/>
    <w:rsid w:val="006A4BCE"/>
    <w:rsid w:val="006A6E88"/>
    <w:rsid w:val="006A7FD8"/>
    <w:rsid w:val="006B0C03"/>
    <w:rsid w:val="006B6AC0"/>
    <w:rsid w:val="006C0FBC"/>
    <w:rsid w:val="006C1B3C"/>
    <w:rsid w:val="006D0198"/>
    <w:rsid w:val="006D0FB2"/>
    <w:rsid w:val="006D7C6F"/>
    <w:rsid w:val="006E0389"/>
    <w:rsid w:val="006E0448"/>
    <w:rsid w:val="006E1189"/>
    <w:rsid w:val="006E3DED"/>
    <w:rsid w:val="006E442A"/>
    <w:rsid w:val="006E7C7A"/>
    <w:rsid w:val="006F1B8B"/>
    <w:rsid w:val="006F3E48"/>
    <w:rsid w:val="00703099"/>
    <w:rsid w:val="007069BF"/>
    <w:rsid w:val="007076C3"/>
    <w:rsid w:val="007079DA"/>
    <w:rsid w:val="00711BAE"/>
    <w:rsid w:val="007128FD"/>
    <w:rsid w:val="0071426F"/>
    <w:rsid w:val="00715DE7"/>
    <w:rsid w:val="0071708F"/>
    <w:rsid w:val="0072431E"/>
    <w:rsid w:val="00727759"/>
    <w:rsid w:val="007303E7"/>
    <w:rsid w:val="00731982"/>
    <w:rsid w:val="007402CE"/>
    <w:rsid w:val="00742FDA"/>
    <w:rsid w:val="00745A09"/>
    <w:rsid w:val="00751FBC"/>
    <w:rsid w:val="007536D6"/>
    <w:rsid w:val="00753EC8"/>
    <w:rsid w:val="007608F0"/>
    <w:rsid w:val="00760E77"/>
    <w:rsid w:val="00775D61"/>
    <w:rsid w:val="0077618F"/>
    <w:rsid w:val="0077717C"/>
    <w:rsid w:val="00781972"/>
    <w:rsid w:val="00781A64"/>
    <w:rsid w:val="00781C2D"/>
    <w:rsid w:val="0078486F"/>
    <w:rsid w:val="00790B6F"/>
    <w:rsid w:val="0079157C"/>
    <w:rsid w:val="00792591"/>
    <w:rsid w:val="007954CA"/>
    <w:rsid w:val="0079616E"/>
    <w:rsid w:val="00797951"/>
    <w:rsid w:val="007A0348"/>
    <w:rsid w:val="007A59FC"/>
    <w:rsid w:val="007A75B0"/>
    <w:rsid w:val="007B5DD9"/>
    <w:rsid w:val="007B7827"/>
    <w:rsid w:val="007C2811"/>
    <w:rsid w:val="007C34FB"/>
    <w:rsid w:val="007C4942"/>
    <w:rsid w:val="007C5EAF"/>
    <w:rsid w:val="007D7E06"/>
    <w:rsid w:val="007E1831"/>
    <w:rsid w:val="007E1A8E"/>
    <w:rsid w:val="007E2AF2"/>
    <w:rsid w:val="007E2C16"/>
    <w:rsid w:val="007E2E29"/>
    <w:rsid w:val="007E328F"/>
    <w:rsid w:val="007E589E"/>
    <w:rsid w:val="007E593F"/>
    <w:rsid w:val="007E6739"/>
    <w:rsid w:val="007E7FDC"/>
    <w:rsid w:val="007F07AF"/>
    <w:rsid w:val="007F0E3D"/>
    <w:rsid w:val="007F1E88"/>
    <w:rsid w:val="007F67F2"/>
    <w:rsid w:val="007F6C11"/>
    <w:rsid w:val="007F7B83"/>
    <w:rsid w:val="00800B02"/>
    <w:rsid w:val="008017AB"/>
    <w:rsid w:val="00803ABD"/>
    <w:rsid w:val="00806BBE"/>
    <w:rsid w:val="00810975"/>
    <w:rsid w:val="008156D8"/>
    <w:rsid w:val="00815944"/>
    <w:rsid w:val="00816F2C"/>
    <w:rsid w:val="00827820"/>
    <w:rsid w:val="00827ADC"/>
    <w:rsid w:val="00831604"/>
    <w:rsid w:val="00834F68"/>
    <w:rsid w:val="0083557C"/>
    <w:rsid w:val="00836FB3"/>
    <w:rsid w:val="00843176"/>
    <w:rsid w:val="00844B06"/>
    <w:rsid w:val="00844E6E"/>
    <w:rsid w:val="00847EB5"/>
    <w:rsid w:val="0085081E"/>
    <w:rsid w:val="008565F7"/>
    <w:rsid w:val="008667A0"/>
    <w:rsid w:val="00866DFF"/>
    <w:rsid w:val="00867054"/>
    <w:rsid w:val="0086767E"/>
    <w:rsid w:val="00871AD1"/>
    <w:rsid w:val="00872948"/>
    <w:rsid w:val="008737FE"/>
    <w:rsid w:val="0087384E"/>
    <w:rsid w:val="00884D48"/>
    <w:rsid w:val="00885C60"/>
    <w:rsid w:val="00886C27"/>
    <w:rsid w:val="00890302"/>
    <w:rsid w:val="00891DE5"/>
    <w:rsid w:val="00894648"/>
    <w:rsid w:val="008948E7"/>
    <w:rsid w:val="0089544D"/>
    <w:rsid w:val="008A0D30"/>
    <w:rsid w:val="008A2D1A"/>
    <w:rsid w:val="008A421B"/>
    <w:rsid w:val="008B00CC"/>
    <w:rsid w:val="008B0F84"/>
    <w:rsid w:val="008B5100"/>
    <w:rsid w:val="008B60A5"/>
    <w:rsid w:val="008C0955"/>
    <w:rsid w:val="008C5D13"/>
    <w:rsid w:val="008D384F"/>
    <w:rsid w:val="008D404C"/>
    <w:rsid w:val="008D613A"/>
    <w:rsid w:val="008E1346"/>
    <w:rsid w:val="008E153C"/>
    <w:rsid w:val="008E4B78"/>
    <w:rsid w:val="008E60B5"/>
    <w:rsid w:val="008E7776"/>
    <w:rsid w:val="008E7898"/>
    <w:rsid w:val="008E7B53"/>
    <w:rsid w:val="008F1DC3"/>
    <w:rsid w:val="008F399D"/>
    <w:rsid w:val="008F3AD6"/>
    <w:rsid w:val="008F67BA"/>
    <w:rsid w:val="008F78B3"/>
    <w:rsid w:val="00900FFE"/>
    <w:rsid w:val="00902337"/>
    <w:rsid w:val="00907BE8"/>
    <w:rsid w:val="009129AE"/>
    <w:rsid w:val="009140F3"/>
    <w:rsid w:val="00914454"/>
    <w:rsid w:val="00914CD2"/>
    <w:rsid w:val="009158D5"/>
    <w:rsid w:val="00915AF6"/>
    <w:rsid w:val="00923BC7"/>
    <w:rsid w:val="009240B6"/>
    <w:rsid w:val="009303CA"/>
    <w:rsid w:val="009334EF"/>
    <w:rsid w:val="0093437D"/>
    <w:rsid w:val="009369F1"/>
    <w:rsid w:val="00937360"/>
    <w:rsid w:val="00937C80"/>
    <w:rsid w:val="00942B02"/>
    <w:rsid w:val="00944796"/>
    <w:rsid w:val="00944BAC"/>
    <w:rsid w:val="00946857"/>
    <w:rsid w:val="009513E3"/>
    <w:rsid w:val="0095547B"/>
    <w:rsid w:val="00956B89"/>
    <w:rsid w:val="009634E5"/>
    <w:rsid w:val="009650F1"/>
    <w:rsid w:val="00965C0B"/>
    <w:rsid w:val="00967180"/>
    <w:rsid w:val="00971CCA"/>
    <w:rsid w:val="00977F3B"/>
    <w:rsid w:val="00980F97"/>
    <w:rsid w:val="0098164D"/>
    <w:rsid w:val="00986E6B"/>
    <w:rsid w:val="00990BF7"/>
    <w:rsid w:val="00991AF3"/>
    <w:rsid w:val="009934BD"/>
    <w:rsid w:val="0099365E"/>
    <w:rsid w:val="009A247E"/>
    <w:rsid w:val="009B4D30"/>
    <w:rsid w:val="009C23A2"/>
    <w:rsid w:val="009C3688"/>
    <w:rsid w:val="009C4086"/>
    <w:rsid w:val="009C5E71"/>
    <w:rsid w:val="009C67E4"/>
    <w:rsid w:val="009C6EB7"/>
    <w:rsid w:val="009D40B4"/>
    <w:rsid w:val="009D5942"/>
    <w:rsid w:val="009D6861"/>
    <w:rsid w:val="009E00BD"/>
    <w:rsid w:val="009E356D"/>
    <w:rsid w:val="009E3808"/>
    <w:rsid w:val="009F01BA"/>
    <w:rsid w:val="009F0C20"/>
    <w:rsid w:val="009F132F"/>
    <w:rsid w:val="009F458F"/>
    <w:rsid w:val="009F71F1"/>
    <w:rsid w:val="009F7CAB"/>
    <w:rsid w:val="00A007F3"/>
    <w:rsid w:val="00A030FC"/>
    <w:rsid w:val="00A114F7"/>
    <w:rsid w:val="00A17D24"/>
    <w:rsid w:val="00A23101"/>
    <w:rsid w:val="00A244FD"/>
    <w:rsid w:val="00A349A8"/>
    <w:rsid w:val="00A419E2"/>
    <w:rsid w:val="00A42E3D"/>
    <w:rsid w:val="00A44398"/>
    <w:rsid w:val="00A55006"/>
    <w:rsid w:val="00A64961"/>
    <w:rsid w:val="00A67E80"/>
    <w:rsid w:val="00A7398C"/>
    <w:rsid w:val="00A73C95"/>
    <w:rsid w:val="00A74938"/>
    <w:rsid w:val="00A84B6C"/>
    <w:rsid w:val="00A85328"/>
    <w:rsid w:val="00A863C2"/>
    <w:rsid w:val="00A95D0A"/>
    <w:rsid w:val="00A96872"/>
    <w:rsid w:val="00AA1919"/>
    <w:rsid w:val="00AA2409"/>
    <w:rsid w:val="00AA49F8"/>
    <w:rsid w:val="00AB1C18"/>
    <w:rsid w:val="00AB7DBE"/>
    <w:rsid w:val="00AC0F35"/>
    <w:rsid w:val="00AD0B04"/>
    <w:rsid w:val="00AD0CA2"/>
    <w:rsid w:val="00AD1070"/>
    <w:rsid w:val="00AD3DCA"/>
    <w:rsid w:val="00AD69FD"/>
    <w:rsid w:val="00AD73E2"/>
    <w:rsid w:val="00AE0514"/>
    <w:rsid w:val="00AE6DC1"/>
    <w:rsid w:val="00AE6E87"/>
    <w:rsid w:val="00AF176A"/>
    <w:rsid w:val="00AF18E5"/>
    <w:rsid w:val="00AF7CF1"/>
    <w:rsid w:val="00B00482"/>
    <w:rsid w:val="00B01CDA"/>
    <w:rsid w:val="00B06B96"/>
    <w:rsid w:val="00B10197"/>
    <w:rsid w:val="00B11B5E"/>
    <w:rsid w:val="00B16163"/>
    <w:rsid w:val="00B161D8"/>
    <w:rsid w:val="00B16B64"/>
    <w:rsid w:val="00B20BB2"/>
    <w:rsid w:val="00B2154B"/>
    <w:rsid w:val="00B2775E"/>
    <w:rsid w:val="00B414ED"/>
    <w:rsid w:val="00B429C4"/>
    <w:rsid w:val="00B42A75"/>
    <w:rsid w:val="00B51DC9"/>
    <w:rsid w:val="00B53450"/>
    <w:rsid w:val="00B53F38"/>
    <w:rsid w:val="00B56765"/>
    <w:rsid w:val="00B625EA"/>
    <w:rsid w:val="00B635CB"/>
    <w:rsid w:val="00B7254F"/>
    <w:rsid w:val="00B726DA"/>
    <w:rsid w:val="00B75BBD"/>
    <w:rsid w:val="00B76A3A"/>
    <w:rsid w:val="00B77442"/>
    <w:rsid w:val="00B80767"/>
    <w:rsid w:val="00B82FB6"/>
    <w:rsid w:val="00B85BCF"/>
    <w:rsid w:val="00B86648"/>
    <w:rsid w:val="00B93BC2"/>
    <w:rsid w:val="00B962C8"/>
    <w:rsid w:val="00BA57A1"/>
    <w:rsid w:val="00BA57B8"/>
    <w:rsid w:val="00BA7D0D"/>
    <w:rsid w:val="00BB42FE"/>
    <w:rsid w:val="00BB46FF"/>
    <w:rsid w:val="00BB4C93"/>
    <w:rsid w:val="00BC0F7F"/>
    <w:rsid w:val="00BC4CD3"/>
    <w:rsid w:val="00BC7C61"/>
    <w:rsid w:val="00BD0712"/>
    <w:rsid w:val="00BD4680"/>
    <w:rsid w:val="00BD63BA"/>
    <w:rsid w:val="00BE0E09"/>
    <w:rsid w:val="00BF3D26"/>
    <w:rsid w:val="00BF69DA"/>
    <w:rsid w:val="00BF7D5A"/>
    <w:rsid w:val="00C00128"/>
    <w:rsid w:val="00C015A5"/>
    <w:rsid w:val="00C04AC9"/>
    <w:rsid w:val="00C06F51"/>
    <w:rsid w:val="00C07A8E"/>
    <w:rsid w:val="00C07CAF"/>
    <w:rsid w:val="00C11DFB"/>
    <w:rsid w:val="00C12F98"/>
    <w:rsid w:val="00C13C6B"/>
    <w:rsid w:val="00C1616D"/>
    <w:rsid w:val="00C24DF0"/>
    <w:rsid w:val="00C30D5E"/>
    <w:rsid w:val="00C31D1E"/>
    <w:rsid w:val="00C356D8"/>
    <w:rsid w:val="00C371A5"/>
    <w:rsid w:val="00C37610"/>
    <w:rsid w:val="00C40295"/>
    <w:rsid w:val="00C4397E"/>
    <w:rsid w:val="00C50A6C"/>
    <w:rsid w:val="00C60F34"/>
    <w:rsid w:val="00C6264A"/>
    <w:rsid w:val="00C66475"/>
    <w:rsid w:val="00C66A4C"/>
    <w:rsid w:val="00C674E1"/>
    <w:rsid w:val="00C72238"/>
    <w:rsid w:val="00C74255"/>
    <w:rsid w:val="00C868EF"/>
    <w:rsid w:val="00C9055E"/>
    <w:rsid w:val="00C93A21"/>
    <w:rsid w:val="00C96125"/>
    <w:rsid w:val="00C977B0"/>
    <w:rsid w:val="00CA2866"/>
    <w:rsid w:val="00CB7E9F"/>
    <w:rsid w:val="00CC06D8"/>
    <w:rsid w:val="00CC4A04"/>
    <w:rsid w:val="00CC50EA"/>
    <w:rsid w:val="00CC70BE"/>
    <w:rsid w:val="00CD0539"/>
    <w:rsid w:val="00CD1BA4"/>
    <w:rsid w:val="00CD241C"/>
    <w:rsid w:val="00CD2422"/>
    <w:rsid w:val="00CE098D"/>
    <w:rsid w:val="00CE0B25"/>
    <w:rsid w:val="00CE1C1C"/>
    <w:rsid w:val="00CE2A60"/>
    <w:rsid w:val="00CE349E"/>
    <w:rsid w:val="00CE4D4D"/>
    <w:rsid w:val="00CE686C"/>
    <w:rsid w:val="00CF0FFA"/>
    <w:rsid w:val="00CF10C5"/>
    <w:rsid w:val="00CF2847"/>
    <w:rsid w:val="00CF41AF"/>
    <w:rsid w:val="00CF5819"/>
    <w:rsid w:val="00D01695"/>
    <w:rsid w:val="00D01C06"/>
    <w:rsid w:val="00D0272B"/>
    <w:rsid w:val="00D052C8"/>
    <w:rsid w:val="00D07B7A"/>
    <w:rsid w:val="00D118B1"/>
    <w:rsid w:val="00D1207B"/>
    <w:rsid w:val="00D13F77"/>
    <w:rsid w:val="00D161B1"/>
    <w:rsid w:val="00D173DE"/>
    <w:rsid w:val="00D2070B"/>
    <w:rsid w:val="00D217EB"/>
    <w:rsid w:val="00D24766"/>
    <w:rsid w:val="00D258D7"/>
    <w:rsid w:val="00D27504"/>
    <w:rsid w:val="00D27FA3"/>
    <w:rsid w:val="00D31721"/>
    <w:rsid w:val="00D31E7E"/>
    <w:rsid w:val="00D34BC8"/>
    <w:rsid w:val="00D44AB9"/>
    <w:rsid w:val="00D460F6"/>
    <w:rsid w:val="00D46240"/>
    <w:rsid w:val="00D466DD"/>
    <w:rsid w:val="00D4676A"/>
    <w:rsid w:val="00D47499"/>
    <w:rsid w:val="00D54BB5"/>
    <w:rsid w:val="00D56A87"/>
    <w:rsid w:val="00D5718A"/>
    <w:rsid w:val="00D57559"/>
    <w:rsid w:val="00D6150E"/>
    <w:rsid w:val="00D6421C"/>
    <w:rsid w:val="00D64E9C"/>
    <w:rsid w:val="00D75C3F"/>
    <w:rsid w:val="00D83E6C"/>
    <w:rsid w:val="00D84886"/>
    <w:rsid w:val="00D84C1B"/>
    <w:rsid w:val="00D8741C"/>
    <w:rsid w:val="00D94D31"/>
    <w:rsid w:val="00D979A9"/>
    <w:rsid w:val="00DA3913"/>
    <w:rsid w:val="00DA6B6A"/>
    <w:rsid w:val="00DB40CD"/>
    <w:rsid w:val="00DC1AD7"/>
    <w:rsid w:val="00DC3F35"/>
    <w:rsid w:val="00DC51C8"/>
    <w:rsid w:val="00DD0EB2"/>
    <w:rsid w:val="00DD3E42"/>
    <w:rsid w:val="00DE0279"/>
    <w:rsid w:val="00DE41FB"/>
    <w:rsid w:val="00DE42C8"/>
    <w:rsid w:val="00DE6C34"/>
    <w:rsid w:val="00DE74B3"/>
    <w:rsid w:val="00DF4501"/>
    <w:rsid w:val="00E044EA"/>
    <w:rsid w:val="00E05882"/>
    <w:rsid w:val="00E060A0"/>
    <w:rsid w:val="00E07DC2"/>
    <w:rsid w:val="00E10D61"/>
    <w:rsid w:val="00E12463"/>
    <w:rsid w:val="00E12B1F"/>
    <w:rsid w:val="00E162A6"/>
    <w:rsid w:val="00E26372"/>
    <w:rsid w:val="00E31F01"/>
    <w:rsid w:val="00E44834"/>
    <w:rsid w:val="00E47D67"/>
    <w:rsid w:val="00E53123"/>
    <w:rsid w:val="00E53487"/>
    <w:rsid w:val="00E54786"/>
    <w:rsid w:val="00E638A2"/>
    <w:rsid w:val="00E66129"/>
    <w:rsid w:val="00E66690"/>
    <w:rsid w:val="00E66D74"/>
    <w:rsid w:val="00E66EEB"/>
    <w:rsid w:val="00E674C4"/>
    <w:rsid w:val="00E71061"/>
    <w:rsid w:val="00E7188B"/>
    <w:rsid w:val="00E75165"/>
    <w:rsid w:val="00E75EE3"/>
    <w:rsid w:val="00E761D7"/>
    <w:rsid w:val="00E7620E"/>
    <w:rsid w:val="00E7706F"/>
    <w:rsid w:val="00E77724"/>
    <w:rsid w:val="00E77DE7"/>
    <w:rsid w:val="00E82FCE"/>
    <w:rsid w:val="00E8557D"/>
    <w:rsid w:val="00E86E72"/>
    <w:rsid w:val="00E90FAC"/>
    <w:rsid w:val="00E94A33"/>
    <w:rsid w:val="00EA1DB0"/>
    <w:rsid w:val="00EA1ECC"/>
    <w:rsid w:val="00EA40C9"/>
    <w:rsid w:val="00EA4FB0"/>
    <w:rsid w:val="00EA6FEF"/>
    <w:rsid w:val="00EA70BA"/>
    <w:rsid w:val="00EA7325"/>
    <w:rsid w:val="00EB30C8"/>
    <w:rsid w:val="00EB33AE"/>
    <w:rsid w:val="00EB37AD"/>
    <w:rsid w:val="00EC0B69"/>
    <w:rsid w:val="00EC2224"/>
    <w:rsid w:val="00EC286B"/>
    <w:rsid w:val="00EC3D66"/>
    <w:rsid w:val="00ED014E"/>
    <w:rsid w:val="00ED3950"/>
    <w:rsid w:val="00ED58F3"/>
    <w:rsid w:val="00EE1ED7"/>
    <w:rsid w:val="00EE51CC"/>
    <w:rsid w:val="00EE53E5"/>
    <w:rsid w:val="00EE7BDE"/>
    <w:rsid w:val="00EF67B0"/>
    <w:rsid w:val="00F067FE"/>
    <w:rsid w:val="00F10C57"/>
    <w:rsid w:val="00F1114D"/>
    <w:rsid w:val="00F1171F"/>
    <w:rsid w:val="00F21B2A"/>
    <w:rsid w:val="00F2793C"/>
    <w:rsid w:val="00F45EC9"/>
    <w:rsid w:val="00F50CD3"/>
    <w:rsid w:val="00F577FB"/>
    <w:rsid w:val="00F61014"/>
    <w:rsid w:val="00F6579C"/>
    <w:rsid w:val="00F67E5D"/>
    <w:rsid w:val="00F72AD1"/>
    <w:rsid w:val="00F75D48"/>
    <w:rsid w:val="00F8076F"/>
    <w:rsid w:val="00F82998"/>
    <w:rsid w:val="00F861A3"/>
    <w:rsid w:val="00F86801"/>
    <w:rsid w:val="00F86D19"/>
    <w:rsid w:val="00F92372"/>
    <w:rsid w:val="00F9275E"/>
    <w:rsid w:val="00F92C9C"/>
    <w:rsid w:val="00F956AF"/>
    <w:rsid w:val="00FA5E13"/>
    <w:rsid w:val="00FA7476"/>
    <w:rsid w:val="00FB039D"/>
    <w:rsid w:val="00FB202F"/>
    <w:rsid w:val="00FB3911"/>
    <w:rsid w:val="00FB49A2"/>
    <w:rsid w:val="00FB578F"/>
    <w:rsid w:val="00FB6A41"/>
    <w:rsid w:val="00FB7930"/>
    <w:rsid w:val="00FB7963"/>
    <w:rsid w:val="00FC5843"/>
    <w:rsid w:val="00FD2A5F"/>
    <w:rsid w:val="00FD404D"/>
    <w:rsid w:val="00FE0DDD"/>
    <w:rsid w:val="00FE14A7"/>
    <w:rsid w:val="00FE39BC"/>
    <w:rsid w:val="00FE5793"/>
    <w:rsid w:val="00FF1328"/>
    <w:rsid w:val="00FF1B13"/>
    <w:rsid w:val="00FF4F7C"/>
    <w:rsid w:val="00FF6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D6A5D"/>
  <w15:chartTrackingRefBased/>
  <w15:docId w15:val="{86EF4978-FD75-4494-93DF-F58C80D20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CDA"/>
  </w:style>
  <w:style w:type="paragraph" w:styleId="Heading1">
    <w:name w:val="heading 1"/>
    <w:basedOn w:val="Normal"/>
    <w:next w:val="Normal"/>
    <w:link w:val="Heading1Char"/>
    <w:uiPriority w:val="9"/>
    <w:qFormat/>
    <w:rsid w:val="00603390"/>
    <w:pPr>
      <w:keepNext/>
      <w:keepLines/>
      <w:numPr>
        <w:numId w:val="29"/>
      </w:numPr>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585906"/>
    <w:pPr>
      <w:keepNext/>
      <w:keepLines/>
      <w:numPr>
        <w:ilvl w:val="1"/>
        <w:numId w:val="29"/>
      </w:numPr>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585906"/>
    <w:pPr>
      <w:keepNext/>
      <w:keepLines/>
      <w:numPr>
        <w:ilvl w:val="2"/>
        <w:numId w:val="29"/>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E686C"/>
    <w:pPr>
      <w:keepNext/>
      <w:keepLines/>
      <w:numPr>
        <w:ilvl w:val="3"/>
        <w:numId w:val="29"/>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85906"/>
    <w:pPr>
      <w:keepNext/>
      <w:keepLines/>
      <w:numPr>
        <w:ilvl w:val="4"/>
        <w:numId w:val="29"/>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85906"/>
    <w:pPr>
      <w:keepNext/>
      <w:keepLines/>
      <w:numPr>
        <w:ilvl w:val="5"/>
        <w:numId w:val="29"/>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585906"/>
    <w:pPr>
      <w:keepNext/>
      <w:keepLines/>
      <w:numPr>
        <w:ilvl w:val="6"/>
        <w:numId w:val="29"/>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585906"/>
    <w:pPr>
      <w:keepNext/>
      <w:keepLines/>
      <w:numPr>
        <w:ilvl w:val="7"/>
        <w:numId w:val="2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85906"/>
    <w:pPr>
      <w:keepNext/>
      <w:keepLines/>
      <w:numPr>
        <w:ilvl w:val="8"/>
        <w:numId w:val="2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1CDA"/>
    <w:pPr>
      <w:ind w:left="720"/>
      <w:contextualSpacing/>
    </w:pPr>
  </w:style>
  <w:style w:type="character" w:styleId="Hyperlink">
    <w:name w:val="Hyperlink"/>
    <w:basedOn w:val="DefaultParagraphFont"/>
    <w:uiPriority w:val="99"/>
    <w:unhideWhenUsed/>
    <w:rsid w:val="00B01CDA"/>
    <w:rPr>
      <w:color w:val="0000FF"/>
      <w:u w:val="single"/>
    </w:rPr>
  </w:style>
  <w:style w:type="character" w:styleId="FollowedHyperlink">
    <w:name w:val="FollowedHyperlink"/>
    <w:basedOn w:val="DefaultParagraphFont"/>
    <w:uiPriority w:val="99"/>
    <w:semiHidden/>
    <w:unhideWhenUsed/>
    <w:rsid w:val="00F86D19"/>
    <w:rPr>
      <w:color w:val="800080" w:themeColor="followedHyperlink"/>
      <w:u w:val="single"/>
    </w:rPr>
  </w:style>
  <w:style w:type="character" w:customStyle="1" w:styleId="Heading1Char">
    <w:name w:val="Heading 1 Char"/>
    <w:basedOn w:val="DefaultParagraphFont"/>
    <w:link w:val="Heading1"/>
    <w:uiPriority w:val="9"/>
    <w:rsid w:val="00603390"/>
    <w:rPr>
      <w:rFonts w:asciiTheme="majorHAnsi" w:eastAsiaTheme="majorEastAsia" w:hAnsiTheme="majorHAnsi" w:cstheme="majorBidi"/>
      <w:color w:val="365F91" w:themeColor="accent1" w:themeShade="BF"/>
      <w:sz w:val="32"/>
      <w:szCs w:val="32"/>
    </w:rPr>
  </w:style>
  <w:style w:type="paragraph" w:styleId="Bibliography">
    <w:name w:val="Bibliography"/>
    <w:basedOn w:val="Normal"/>
    <w:next w:val="Normal"/>
    <w:uiPriority w:val="37"/>
    <w:unhideWhenUsed/>
    <w:rsid w:val="00603390"/>
  </w:style>
  <w:style w:type="paragraph" w:styleId="NoSpacing">
    <w:name w:val="No Spacing"/>
    <w:link w:val="NoSpacingChar"/>
    <w:uiPriority w:val="1"/>
    <w:qFormat/>
    <w:rsid w:val="00E53487"/>
    <w:pPr>
      <w:spacing w:after="0" w:line="240" w:lineRule="auto"/>
    </w:pPr>
    <w:rPr>
      <w:color w:val="1F497D" w:themeColor="text2"/>
      <w:sz w:val="20"/>
      <w:szCs w:val="20"/>
    </w:rPr>
  </w:style>
  <w:style w:type="paragraph" w:styleId="Header">
    <w:name w:val="header"/>
    <w:basedOn w:val="Normal"/>
    <w:link w:val="HeaderChar"/>
    <w:uiPriority w:val="99"/>
    <w:unhideWhenUsed/>
    <w:rsid w:val="00AD3D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DCA"/>
  </w:style>
  <w:style w:type="paragraph" w:styleId="Footer">
    <w:name w:val="footer"/>
    <w:basedOn w:val="Normal"/>
    <w:link w:val="FooterChar"/>
    <w:uiPriority w:val="99"/>
    <w:unhideWhenUsed/>
    <w:rsid w:val="00AD3D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DCA"/>
  </w:style>
  <w:style w:type="paragraph" w:customStyle="1" w:styleId="Default">
    <w:name w:val="Default"/>
    <w:rsid w:val="003A7A94"/>
    <w:pPr>
      <w:autoSpaceDE w:val="0"/>
      <w:autoSpaceDN w:val="0"/>
      <w:adjustRightInd w:val="0"/>
      <w:spacing w:after="0" w:line="240" w:lineRule="auto"/>
    </w:pPr>
    <w:rPr>
      <w:rFonts w:ascii="Calibri" w:hAnsi="Calibri" w:cs="Calibri"/>
      <w:color w:val="000000"/>
      <w:sz w:val="24"/>
      <w:szCs w:val="24"/>
    </w:rPr>
  </w:style>
  <w:style w:type="character" w:customStyle="1" w:styleId="Heading4Char">
    <w:name w:val="Heading 4 Char"/>
    <w:basedOn w:val="DefaultParagraphFont"/>
    <w:link w:val="Heading4"/>
    <w:uiPriority w:val="9"/>
    <w:semiHidden/>
    <w:rsid w:val="00CE686C"/>
    <w:rPr>
      <w:rFonts w:asciiTheme="majorHAnsi" w:eastAsiaTheme="majorEastAsia" w:hAnsiTheme="majorHAnsi" w:cstheme="majorBidi"/>
      <w:i/>
      <w:iCs/>
      <w:color w:val="365F91" w:themeColor="accent1" w:themeShade="BF"/>
    </w:rPr>
  </w:style>
  <w:style w:type="paragraph" w:styleId="Caption">
    <w:name w:val="caption"/>
    <w:basedOn w:val="Normal"/>
    <w:next w:val="Normal"/>
    <w:uiPriority w:val="35"/>
    <w:unhideWhenUsed/>
    <w:qFormat/>
    <w:rsid w:val="001C28F4"/>
    <w:pPr>
      <w:spacing w:line="240" w:lineRule="auto"/>
    </w:pPr>
    <w:rPr>
      <w:i/>
      <w:iCs/>
      <w:color w:val="1F497D" w:themeColor="text2"/>
      <w:sz w:val="18"/>
      <w:szCs w:val="18"/>
    </w:rPr>
  </w:style>
  <w:style w:type="table" w:styleId="GridTable4-Accent1">
    <w:name w:val="Grid Table 4 Accent 1"/>
    <w:basedOn w:val="TableNormal"/>
    <w:uiPriority w:val="49"/>
    <w:rsid w:val="00350C97"/>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uiPriority w:val="59"/>
    <w:rsid w:val="00FF1B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8737FE"/>
    <w:pPr>
      <w:spacing w:after="0"/>
    </w:pPr>
    <w:rPr>
      <w:rFonts w:cstheme="minorHAnsi"/>
      <w:i/>
      <w:iCs/>
      <w:sz w:val="20"/>
      <w:szCs w:val="20"/>
    </w:rPr>
  </w:style>
  <w:style w:type="character" w:customStyle="1" w:styleId="Heading2Char">
    <w:name w:val="Heading 2 Char"/>
    <w:basedOn w:val="DefaultParagraphFont"/>
    <w:link w:val="Heading2"/>
    <w:uiPriority w:val="9"/>
    <w:rsid w:val="00585906"/>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585906"/>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uiPriority w:val="9"/>
    <w:semiHidden/>
    <w:rsid w:val="00585906"/>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585906"/>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585906"/>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58590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85906"/>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49285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85C"/>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unhideWhenUsed/>
    <w:qFormat/>
    <w:rsid w:val="00FF1328"/>
    <w:pPr>
      <w:numPr>
        <w:numId w:val="0"/>
      </w:numPr>
      <w:outlineLvl w:val="9"/>
    </w:pPr>
  </w:style>
  <w:style w:type="paragraph" w:styleId="TOC1">
    <w:name w:val="toc 1"/>
    <w:basedOn w:val="Normal"/>
    <w:next w:val="Normal"/>
    <w:autoRedefine/>
    <w:uiPriority w:val="39"/>
    <w:unhideWhenUsed/>
    <w:rsid w:val="00FF1328"/>
    <w:pPr>
      <w:spacing w:after="100"/>
    </w:pPr>
  </w:style>
  <w:style w:type="paragraph" w:styleId="TOC2">
    <w:name w:val="toc 2"/>
    <w:basedOn w:val="Normal"/>
    <w:next w:val="Normal"/>
    <w:autoRedefine/>
    <w:uiPriority w:val="39"/>
    <w:unhideWhenUsed/>
    <w:rsid w:val="00FF1328"/>
    <w:pPr>
      <w:spacing w:after="100"/>
      <w:ind w:left="220"/>
    </w:pPr>
  </w:style>
  <w:style w:type="paragraph" w:styleId="TOC3">
    <w:name w:val="toc 3"/>
    <w:basedOn w:val="Normal"/>
    <w:next w:val="Normal"/>
    <w:autoRedefine/>
    <w:uiPriority w:val="39"/>
    <w:unhideWhenUsed/>
    <w:rsid w:val="00FF1328"/>
    <w:pPr>
      <w:spacing w:after="100"/>
      <w:ind w:left="440"/>
    </w:pPr>
  </w:style>
  <w:style w:type="character" w:customStyle="1" w:styleId="NoSpacingChar">
    <w:name w:val="No Spacing Char"/>
    <w:basedOn w:val="DefaultParagraphFont"/>
    <w:link w:val="NoSpacing"/>
    <w:uiPriority w:val="1"/>
    <w:rsid w:val="00170529"/>
    <w:rPr>
      <w:color w:val="1F497D" w:themeColor="text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988248">
      <w:bodyDiv w:val="1"/>
      <w:marLeft w:val="0"/>
      <w:marRight w:val="0"/>
      <w:marTop w:val="0"/>
      <w:marBottom w:val="0"/>
      <w:divBdr>
        <w:top w:val="none" w:sz="0" w:space="0" w:color="auto"/>
        <w:left w:val="none" w:sz="0" w:space="0" w:color="auto"/>
        <w:bottom w:val="none" w:sz="0" w:space="0" w:color="auto"/>
        <w:right w:val="none" w:sz="0" w:space="0" w:color="auto"/>
      </w:divBdr>
    </w:div>
    <w:div w:id="12808964">
      <w:bodyDiv w:val="1"/>
      <w:marLeft w:val="0"/>
      <w:marRight w:val="0"/>
      <w:marTop w:val="0"/>
      <w:marBottom w:val="0"/>
      <w:divBdr>
        <w:top w:val="none" w:sz="0" w:space="0" w:color="auto"/>
        <w:left w:val="none" w:sz="0" w:space="0" w:color="auto"/>
        <w:bottom w:val="none" w:sz="0" w:space="0" w:color="auto"/>
        <w:right w:val="none" w:sz="0" w:space="0" w:color="auto"/>
      </w:divBdr>
    </w:div>
    <w:div w:id="16086476">
      <w:bodyDiv w:val="1"/>
      <w:marLeft w:val="0"/>
      <w:marRight w:val="0"/>
      <w:marTop w:val="0"/>
      <w:marBottom w:val="0"/>
      <w:divBdr>
        <w:top w:val="none" w:sz="0" w:space="0" w:color="auto"/>
        <w:left w:val="none" w:sz="0" w:space="0" w:color="auto"/>
        <w:bottom w:val="none" w:sz="0" w:space="0" w:color="auto"/>
        <w:right w:val="none" w:sz="0" w:space="0" w:color="auto"/>
      </w:divBdr>
    </w:div>
    <w:div w:id="35398112">
      <w:bodyDiv w:val="1"/>
      <w:marLeft w:val="0"/>
      <w:marRight w:val="0"/>
      <w:marTop w:val="0"/>
      <w:marBottom w:val="0"/>
      <w:divBdr>
        <w:top w:val="none" w:sz="0" w:space="0" w:color="auto"/>
        <w:left w:val="none" w:sz="0" w:space="0" w:color="auto"/>
        <w:bottom w:val="none" w:sz="0" w:space="0" w:color="auto"/>
        <w:right w:val="none" w:sz="0" w:space="0" w:color="auto"/>
      </w:divBdr>
    </w:div>
    <w:div w:id="41486531">
      <w:bodyDiv w:val="1"/>
      <w:marLeft w:val="0"/>
      <w:marRight w:val="0"/>
      <w:marTop w:val="0"/>
      <w:marBottom w:val="0"/>
      <w:divBdr>
        <w:top w:val="none" w:sz="0" w:space="0" w:color="auto"/>
        <w:left w:val="none" w:sz="0" w:space="0" w:color="auto"/>
        <w:bottom w:val="none" w:sz="0" w:space="0" w:color="auto"/>
        <w:right w:val="none" w:sz="0" w:space="0" w:color="auto"/>
      </w:divBdr>
    </w:div>
    <w:div w:id="58789720">
      <w:bodyDiv w:val="1"/>
      <w:marLeft w:val="0"/>
      <w:marRight w:val="0"/>
      <w:marTop w:val="0"/>
      <w:marBottom w:val="0"/>
      <w:divBdr>
        <w:top w:val="none" w:sz="0" w:space="0" w:color="auto"/>
        <w:left w:val="none" w:sz="0" w:space="0" w:color="auto"/>
        <w:bottom w:val="none" w:sz="0" w:space="0" w:color="auto"/>
        <w:right w:val="none" w:sz="0" w:space="0" w:color="auto"/>
      </w:divBdr>
    </w:div>
    <w:div w:id="68696441">
      <w:bodyDiv w:val="1"/>
      <w:marLeft w:val="0"/>
      <w:marRight w:val="0"/>
      <w:marTop w:val="0"/>
      <w:marBottom w:val="0"/>
      <w:divBdr>
        <w:top w:val="none" w:sz="0" w:space="0" w:color="auto"/>
        <w:left w:val="none" w:sz="0" w:space="0" w:color="auto"/>
        <w:bottom w:val="none" w:sz="0" w:space="0" w:color="auto"/>
        <w:right w:val="none" w:sz="0" w:space="0" w:color="auto"/>
      </w:divBdr>
      <w:divsChild>
        <w:div w:id="1659845430">
          <w:marLeft w:val="547"/>
          <w:marRight w:val="0"/>
          <w:marTop w:val="0"/>
          <w:marBottom w:val="0"/>
          <w:divBdr>
            <w:top w:val="none" w:sz="0" w:space="0" w:color="auto"/>
            <w:left w:val="none" w:sz="0" w:space="0" w:color="auto"/>
            <w:bottom w:val="none" w:sz="0" w:space="0" w:color="auto"/>
            <w:right w:val="none" w:sz="0" w:space="0" w:color="auto"/>
          </w:divBdr>
        </w:div>
        <w:div w:id="1717126062">
          <w:marLeft w:val="547"/>
          <w:marRight w:val="0"/>
          <w:marTop w:val="0"/>
          <w:marBottom w:val="0"/>
          <w:divBdr>
            <w:top w:val="none" w:sz="0" w:space="0" w:color="auto"/>
            <w:left w:val="none" w:sz="0" w:space="0" w:color="auto"/>
            <w:bottom w:val="none" w:sz="0" w:space="0" w:color="auto"/>
            <w:right w:val="none" w:sz="0" w:space="0" w:color="auto"/>
          </w:divBdr>
        </w:div>
        <w:div w:id="1826822318">
          <w:marLeft w:val="547"/>
          <w:marRight w:val="0"/>
          <w:marTop w:val="0"/>
          <w:marBottom w:val="0"/>
          <w:divBdr>
            <w:top w:val="none" w:sz="0" w:space="0" w:color="auto"/>
            <w:left w:val="none" w:sz="0" w:space="0" w:color="auto"/>
            <w:bottom w:val="none" w:sz="0" w:space="0" w:color="auto"/>
            <w:right w:val="none" w:sz="0" w:space="0" w:color="auto"/>
          </w:divBdr>
        </w:div>
        <w:div w:id="889461650">
          <w:marLeft w:val="547"/>
          <w:marRight w:val="0"/>
          <w:marTop w:val="0"/>
          <w:marBottom w:val="0"/>
          <w:divBdr>
            <w:top w:val="none" w:sz="0" w:space="0" w:color="auto"/>
            <w:left w:val="none" w:sz="0" w:space="0" w:color="auto"/>
            <w:bottom w:val="none" w:sz="0" w:space="0" w:color="auto"/>
            <w:right w:val="none" w:sz="0" w:space="0" w:color="auto"/>
          </w:divBdr>
        </w:div>
        <w:div w:id="50613513">
          <w:marLeft w:val="547"/>
          <w:marRight w:val="0"/>
          <w:marTop w:val="0"/>
          <w:marBottom w:val="0"/>
          <w:divBdr>
            <w:top w:val="none" w:sz="0" w:space="0" w:color="auto"/>
            <w:left w:val="none" w:sz="0" w:space="0" w:color="auto"/>
            <w:bottom w:val="none" w:sz="0" w:space="0" w:color="auto"/>
            <w:right w:val="none" w:sz="0" w:space="0" w:color="auto"/>
          </w:divBdr>
        </w:div>
        <w:div w:id="1220702026">
          <w:marLeft w:val="547"/>
          <w:marRight w:val="0"/>
          <w:marTop w:val="0"/>
          <w:marBottom w:val="0"/>
          <w:divBdr>
            <w:top w:val="none" w:sz="0" w:space="0" w:color="auto"/>
            <w:left w:val="none" w:sz="0" w:space="0" w:color="auto"/>
            <w:bottom w:val="none" w:sz="0" w:space="0" w:color="auto"/>
            <w:right w:val="none" w:sz="0" w:space="0" w:color="auto"/>
          </w:divBdr>
        </w:div>
      </w:divsChild>
    </w:div>
    <w:div w:id="80762254">
      <w:bodyDiv w:val="1"/>
      <w:marLeft w:val="0"/>
      <w:marRight w:val="0"/>
      <w:marTop w:val="0"/>
      <w:marBottom w:val="0"/>
      <w:divBdr>
        <w:top w:val="none" w:sz="0" w:space="0" w:color="auto"/>
        <w:left w:val="none" w:sz="0" w:space="0" w:color="auto"/>
        <w:bottom w:val="none" w:sz="0" w:space="0" w:color="auto"/>
        <w:right w:val="none" w:sz="0" w:space="0" w:color="auto"/>
      </w:divBdr>
    </w:div>
    <w:div w:id="81266599">
      <w:bodyDiv w:val="1"/>
      <w:marLeft w:val="0"/>
      <w:marRight w:val="0"/>
      <w:marTop w:val="0"/>
      <w:marBottom w:val="0"/>
      <w:divBdr>
        <w:top w:val="none" w:sz="0" w:space="0" w:color="auto"/>
        <w:left w:val="none" w:sz="0" w:space="0" w:color="auto"/>
        <w:bottom w:val="none" w:sz="0" w:space="0" w:color="auto"/>
        <w:right w:val="none" w:sz="0" w:space="0" w:color="auto"/>
      </w:divBdr>
    </w:div>
    <w:div w:id="87580207">
      <w:bodyDiv w:val="1"/>
      <w:marLeft w:val="0"/>
      <w:marRight w:val="0"/>
      <w:marTop w:val="0"/>
      <w:marBottom w:val="0"/>
      <w:divBdr>
        <w:top w:val="none" w:sz="0" w:space="0" w:color="auto"/>
        <w:left w:val="none" w:sz="0" w:space="0" w:color="auto"/>
        <w:bottom w:val="none" w:sz="0" w:space="0" w:color="auto"/>
        <w:right w:val="none" w:sz="0" w:space="0" w:color="auto"/>
      </w:divBdr>
    </w:div>
    <w:div w:id="88625296">
      <w:bodyDiv w:val="1"/>
      <w:marLeft w:val="0"/>
      <w:marRight w:val="0"/>
      <w:marTop w:val="0"/>
      <w:marBottom w:val="0"/>
      <w:divBdr>
        <w:top w:val="none" w:sz="0" w:space="0" w:color="auto"/>
        <w:left w:val="none" w:sz="0" w:space="0" w:color="auto"/>
        <w:bottom w:val="none" w:sz="0" w:space="0" w:color="auto"/>
        <w:right w:val="none" w:sz="0" w:space="0" w:color="auto"/>
      </w:divBdr>
    </w:div>
    <w:div w:id="89474089">
      <w:bodyDiv w:val="1"/>
      <w:marLeft w:val="0"/>
      <w:marRight w:val="0"/>
      <w:marTop w:val="0"/>
      <w:marBottom w:val="0"/>
      <w:divBdr>
        <w:top w:val="none" w:sz="0" w:space="0" w:color="auto"/>
        <w:left w:val="none" w:sz="0" w:space="0" w:color="auto"/>
        <w:bottom w:val="none" w:sz="0" w:space="0" w:color="auto"/>
        <w:right w:val="none" w:sz="0" w:space="0" w:color="auto"/>
      </w:divBdr>
    </w:div>
    <w:div w:id="90589747">
      <w:bodyDiv w:val="1"/>
      <w:marLeft w:val="0"/>
      <w:marRight w:val="0"/>
      <w:marTop w:val="0"/>
      <w:marBottom w:val="0"/>
      <w:divBdr>
        <w:top w:val="none" w:sz="0" w:space="0" w:color="auto"/>
        <w:left w:val="none" w:sz="0" w:space="0" w:color="auto"/>
        <w:bottom w:val="none" w:sz="0" w:space="0" w:color="auto"/>
        <w:right w:val="none" w:sz="0" w:space="0" w:color="auto"/>
      </w:divBdr>
    </w:div>
    <w:div w:id="96341092">
      <w:bodyDiv w:val="1"/>
      <w:marLeft w:val="0"/>
      <w:marRight w:val="0"/>
      <w:marTop w:val="0"/>
      <w:marBottom w:val="0"/>
      <w:divBdr>
        <w:top w:val="none" w:sz="0" w:space="0" w:color="auto"/>
        <w:left w:val="none" w:sz="0" w:space="0" w:color="auto"/>
        <w:bottom w:val="none" w:sz="0" w:space="0" w:color="auto"/>
        <w:right w:val="none" w:sz="0" w:space="0" w:color="auto"/>
      </w:divBdr>
    </w:div>
    <w:div w:id="109057855">
      <w:bodyDiv w:val="1"/>
      <w:marLeft w:val="0"/>
      <w:marRight w:val="0"/>
      <w:marTop w:val="0"/>
      <w:marBottom w:val="0"/>
      <w:divBdr>
        <w:top w:val="none" w:sz="0" w:space="0" w:color="auto"/>
        <w:left w:val="none" w:sz="0" w:space="0" w:color="auto"/>
        <w:bottom w:val="none" w:sz="0" w:space="0" w:color="auto"/>
        <w:right w:val="none" w:sz="0" w:space="0" w:color="auto"/>
      </w:divBdr>
    </w:div>
    <w:div w:id="109473895">
      <w:bodyDiv w:val="1"/>
      <w:marLeft w:val="0"/>
      <w:marRight w:val="0"/>
      <w:marTop w:val="0"/>
      <w:marBottom w:val="0"/>
      <w:divBdr>
        <w:top w:val="none" w:sz="0" w:space="0" w:color="auto"/>
        <w:left w:val="none" w:sz="0" w:space="0" w:color="auto"/>
        <w:bottom w:val="none" w:sz="0" w:space="0" w:color="auto"/>
        <w:right w:val="none" w:sz="0" w:space="0" w:color="auto"/>
      </w:divBdr>
    </w:div>
    <w:div w:id="120611143">
      <w:bodyDiv w:val="1"/>
      <w:marLeft w:val="0"/>
      <w:marRight w:val="0"/>
      <w:marTop w:val="0"/>
      <w:marBottom w:val="0"/>
      <w:divBdr>
        <w:top w:val="none" w:sz="0" w:space="0" w:color="auto"/>
        <w:left w:val="none" w:sz="0" w:space="0" w:color="auto"/>
        <w:bottom w:val="none" w:sz="0" w:space="0" w:color="auto"/>
        <w:right w:val="none" w:sz="0" w:space="0" w:color="auto"/>
      </w:divBdr>
    </w:div>
    <w:div w:id="128478428">
      <w:bodyDiv w:val="1"/>
      <w:marLeft w:val="0"/>
      <w:marRight w:val="0"/>
      <w:marTop w:val="0"/>
      <w:marBottom w:val="0"/>
      <w:divBdr>
        <w:top w:val="none" w:sz="0" w:space="0" w:color="auto"/>
        <w:left w:val="none" w:sz="0" w:space="0" w:color="auto"/>
        <w:bottom w:val="none" w:sz="0" w:space="0" w:color="auto"/>
        <w:right w:val="none" w:sz="0" w:space="0" w:color="auto"/>
      </w:divBdr>
    </w:div>
    <w:div w:id="128859798">
      <w:bodyDiv w:val="1"/>
      <w:marLeft w:val="0"/>
      <w:marRight w:val="0"/>
      <w:marTop w:val="0"/>
      <w:marBottom w:val="0"/>
      <w:divBdr>
        <w:top w:val="none" w:sz="0" w:space="0" w:color="auto"/>
        <w:left w:val="none" w:sz="0" w:space="0" w:color="auto"/>
        <w:bottom w:val="none" w:sz="0" w:space="0" w:color="auto"/>
        <w:right w:val="none" w:sz="0" w:space="0" w:color="auto"/>
      </w:divBdr>
    </w:div>
    <w:div w:id="144250298">
      <w:bodyDiv w:val="1"/>
      <w:marLeft w:val="0"/>
      <w:marRight w:val="0"/>
      <w:marTop w:val="0"/>
      <w:marBottom w:val="0"/>
      <w:divBdr>
        <w:top w:val="none" w:sz="0" w:space="0" w:color="auto"/>
        <w:left w:val="none" w:sz="0" w:space="0" w:color="auto"/>
        <w:bottom w:val="none" w:sz="0" w:space="0" w:color="auto"/>
        <w:right w:val="none" w:sz="0" w:space="0" w:color="auto"/>
      </w:divBdr>
    </w:div>
    <w:div w:id="181362050">
      <w:bodyDiv w:val="1"/>
      <w:marLeft w:val="0"/>
      <w:marRight w:val="0"/>
      <w:marTop w:val="0"/>
      <w:marBottom w:val="0"/>
      <w:divBdr>
        <w:top w:val="none" w:sz="0" w:space="0" w:color="auto"/>
        <w:left w:val="none" w:sz="0" w:space="0" w:color="auto"/>
        <w:bottom w:val="none" w:sz="0" w:space="0" w:color="auto"/>
        <w:right w:val="none" w:sz="0" w:space="0" w:color="auto"/>
      </w:divBdr>
    </w:div>
    <w:div w:id="205266642">
      <w:bodyDiv w:val="1"/>
      <w:marLeft w:val="0"/>
      <w:marRight w:val="0"/>
      <w:marTop w:val="0"/>
      <w:marBottom w:val="0"/>
      <w:divBdr>
        <w:top w:val="none" w:sz="0" w:space="0" w:color="auto"/>
        <w:left w:val="none" w:sz="0" w:space="0" w:color="auto"/>
        <w:bottom w:val="none" w:sz="0" w:space="0" w:color="auto"/>
        <w:right w:val="none" w:sz="0" w:space="0" w:color="auto"/>
      </w:divBdr>
    </w:div>
    <w:div w:id="214436117">
      <w:bodyDiv w:val="1"/>
      <w:marLeft w:val="0"/>
      <w:marRight w:val="0"/>
      <w:marTop w:val="0"/>
      <w:marBottom w:val="0"/>
      <w:divBdr>
        <w:top w:val="none" w:sz="0" w:space="0" w:color="auto"/>
        <w:left w:val="none" w:sz="0" w:space="0" w:color="auto"/>
        <w:bottom w:val="none" w:sz="0" w:space="0" w:color="auto"/>
        <w:right w:val="none" w:sz="0" w:space="0" w:color="auto"/>
      </w:divBdr>
    </w:div>
    <w:div w:id="220756627">
      <w:bodyDiv w:val="1"/>
      <w:marLeft w:val="0"/>
      <w:marRight w:val="0"/>
      <w:marTop w:val="0"/>
      <w:marBottom w:val="0"/>
      <w:divBdr>
        <w:top w:val="none" w:sz="0" w:space="0" w:color="auto"/>
        <w:left w:val="none" w:sz="0" w:space="0" w:color="auto"/>
        <w:bottom w:val="none" w:sz="0" w:space="0" w:color="auto"/>
        <w:right w:val="none" w:sz="0" w:space="0" w:color="auto"/>
      </w:divBdr>
    </w:div>
    <w:div w:id="242642743">
      <w:bodyDiv w:val="1"/>
      <w:marLeft w:val="0"/>
      <w:marRight w:val="0"/>
      <w:marTop w:val="0"/>
      <w:marBottom w:val="0"/>
      <w:divBdr>
        <w:top w:val="none" w:sz="0" w:space="0" w:color="auto"/>
        <w:left w:val="none" w:sz="0" w:space="0" w:color="auto"/>
        <w:bottom w:val="none" w:sz="0" w:space="0" w:color="auto"/>
        <w:right w:val="none" w:sz="0" w:space="0" w:color="auto"/>
      </w:divBdr>
    </w:div>
    <w:div w:id="254703585">
      <w:bodyDiv w:val="1"/>
      <w:marLeft w:val="0"/>
      <w:marRight w:val="0"/>
      <w:marTop w:val="0"/>
      <w:marBottom w:val="0"/>
      <w:divBdr>
        <w:top w:val="none" w:sz="0" w:space="0" w:color="auto"/>
        <w:left w:val="none" w:sz="0" w:space="0" w:color="auto"/>
        <w:bottom w:val="none" w:sz="0" w:space="0" w:color="auto"/>
        <w:right w:val="none" w:sz="0" w:space="0" w:color="auto"/>
      </w:divBdr>
    </w:div>
    <w:div w:id="297152832">
      <w:bodyDiv w:val="1"/>
      <w:marLeft w:val="0"/>
      <w:marRight w:val="0"/>
      <w:marTop w:val="0"/>
      <w:marBottom w:val="0"/>
      <w:divBdr>
        <w:top w:val="none" w:sz="0" w:space="0" w:color="auto"/>
        <w:left w:val="none" w:sz="0" w:space="0" w:color="auto"/>
        <w:bottom w:val="none" w:sz="0" w:space="0" w:color="auto"/>
        <w:right w:val="none" w:sz="0" w:space="0" w:color="auto"/>
      </w:divBdr>
    </w:div>
    <w:div w:id="305087229">
      <w:bodyDiv w:val="1"/>
      <w:marLeft w:val="0"/>
      <w:marRight w:val="0"/>
      <w:marTop w:val="0"/>
      <w:marBottom w:val="0"/>
      <w:divBdr>
        <w:top w:val="none" w:sz="0" w:space="0" w:color="auto"/>
        <w:left w:val="none" w:sz="0" w:space="0" w:color="auto"/>
        <w:bottom w:val="none" w:sz="0" w:space="0" w:color="auto"/>
        <w:right w:val="none" w:sz="0" w:space="0" w:color="auto"/>
      </w:divBdr>
    </w:div>
    <w:div w:id="326445513">
      <w:bodyDiv w:val="1"/>
      <w:marLeft w:val="0"/>
      <w:marRight w:val="0"/>
      <w:marTop w:val="0"/>
      <w:marBottom w:val="0"/>
      <w:divBdr>
        <w:top w:val="none" w:sz="0" w:space="0" w:color="auto"/>
        <w:left w:val="none" w:sz="0" w:space="0" w:color="auto"/>
        <w:bottom w:val="none" w:sz="0" w:space="0" w:color="auto"/>
        <w:right w:val="none" w:sz="0" w:space="0" w:color="auto"/>
      </w:divBdr>
    </w:div>
    <w:div w:id="333920231">
      <w:bodyDiv w:val="1"/>
      <w:marLeft w:val="0"/>
      <w:marRight w:val="0"/>
      <w:marTop w:val="0"/>
      <w:marBottom w:val="0"/>
      <w:divBdr>
        <w:top w:val="none" w:sz="0" w:space="0" w:color="auto"/>
        <w:left w:val="none" w:sz="0" w:space="0" w:color="auto"/>
        <w:bottom w:val="none" w:sz="0" w:space="0" w:color="auto"/>
        <w:right w:val="none" w:sz="0" w:space="0" w:color="auto"/>
      </w:divBdr>
    </w:div>
    <w:div w:id="339935661">
      <w:bodyDiv w:val="1"/>
      <w:marLeft w:val="0"/>
      <w:marRight w:val="0"/>
      <w:marTop w:val="0"/>
      <w:marBottom w:val="0"/>
      <w:divBdr>
        <w:top w:val="none" w:sz="0" w:space="0" w:color="auto"/>
        <w:left w:val="none" w:sz="0" w:space="0" w:color="auto"/>
        <w:bottom w:val="none" w:sz="0" w:space="0" w:color="auto"/>
        <w:right w:val="none" w:sz="0" w:space="0" w:color="auto"/>
      </w:divBdr>
    </w:div>
    <w:div w:id="364406165">
      <w:bodyDiv w:val="1"/>
      <w:marLeft w:val="0"/>
      <w:marRight w:val="0"/>
      <w:marTop w:val="0"/>
      <w:marBottom w:val="0"/>
      <w:divBdr>
        <w:top w:val="none" w:sz="0" w:space="0" w:color="auto"/>
        <w:left w:val="none" w:sz="0" w:space="0" w:color="auto"/>
        <w:bottom w:val="none" w:sz="0" w:space="0" w:color="auto"/>
        <w:right w:val="none" w:sz="0" w:space="0" w:color="auto"/>
      </w:divBdr>
    </w:div>
    <w:div w:id="366762352">
      <w:bodyDiv w:val="1"/>
      <w:marLeft w:val="0"/>
      <w:marRight w:val="0"/>
      <w:marTop w:val="0"/>
      <w:marBottom w:val="0"/>
      <w:divBdr>
        <w:top w:val="none" w:sz="0" w:space="0" w:color="auto"/>
        <w:left w:val="none" w:sz="0" w:space="0" w:color="auto"/>
        <w:bottom w:val="none" w:sz="0" w:space="0" w:color="auto"/>
        <w:right w:val="none" w:sz="0" w:space="0" w:color="auto"/>
      </w:divBdr>
    </w:div>
    <w:div w:id="375394991">
      <w:bodyDiv w:val="1"/>
      <w:marLeft w:val="0"/>
      <w:marRight w:val="0"/>
      <w:marTop w:val="0"/>
      <w:marBottom w:val="0"/>
      <w:divBdr>
        <w:top w:val="none" w:sz="0" w:space="0" w:color="auto"/>
        <w:left w:val="none" w:sz="0" w:space="0" w:color="auto"/>
        <w:bottom w:val="none" w:sz="0" w:space="0" w:color="auto"/>
        <w:right w:val="none" w:sz="0" w:space="0" w:color="auto"/>
      </w:divBdr>
    </w:div>
    <w:div w:id="384448963">
      <w:bodyDiv w:val="1"/>
      <w:marLeft w:val="0"/>
      <w:marRight w:val="0"/>
      <w:marTop w:val="0"/>
      <w:marBottom w:val="0"/>
      <w:divBdr>
        <w:top w:val="none" w:sz="0" w:space="0" w:color="auto"/>
        <w:left w:val="none" w:sz="0" w:space="0" w:color="auto"/>
        <w:bottom w:val="none" w:sz="0" w:space="0" w:color="auto"/>
        <w:right w:val="none" w:sz="0" w:space="0" w:color="auto"/>
      </w:divBdr>
    </w:div>
    <w:div w:id="388307120">
      <w:bodyDiv w:val="1"/>
      <w:marLeft w:val="0"/>
      <w:marRight w:val="0"/>
      <w:marTop w:val="0"/>
      <w:marBottom w:val="0"/>
      <w:divBdr>
        <w:top w:val="none" w:sz="0" w:space="0" w:color="auto"/>
        <w:left w:val="none" w:sz="0" w:space="0" w:color="auto"/>
        <w:bottom w:val="none" w:sz="0" w:space="0" w:color="auto"/>
        <w:right w:val="none" w:sz="0" w:space="0" w:color="auto"/>
      </w:divBdr>
    </w:div>
    <w:div w:id="407575866">
      <w:bodyDiv w:val="1"/>
      <w:marLeft w:val="0"/>
      <w:marRight w:val="0"/>
      <w:marTop w:val="0"/>
      <w:marBottom w:val="0"/>
      <w:divBdr>
        <w:top w:val="none" w:sz="0" w:space="0" w:color="auto"/>
        <w:left w:val="none" w:sz="0" w:space="0" w:color="auto"/>
        <w:bottom w:val="none" w:sz="0" w:space="0" w:color="auto"/>
        <w:right w:val="none" w:sz="0" w:space="0" w:color="auto"/>
      </w:divBdr>
    </w:div>
    <w:div w:id="416753987">
      <w:bodyDiv w:val="1"/>
      <w:marLeft w:val="0"/>
      <w:marRight w:val="0"/>
      <w:marTop w:val="0"/>
      <w:marBottom w:val="0"/>
      <w:divBdr>
        <w:top w:val="none" w:sz="0" w:space="0" w:color="auto"/>
        <w:left w:val="none" w:sz="0" w:space="0" w:color="auto"/>
        <w:bottom w:val="none" w:sz="0" w:space="0" w:color="auto"/>
        <w:right w:val="none" w:sz="0" w:space="0" w:color="auto"/>
      </w:divBdr>
    </w:div>
    <w:div w:id="422914894">
      <w:bodyDiv w:val="1"/>
      <w:marLeft w:val="0"/>
      <w:marRight w:val="0"/>
      <w:marTop w:val="0"/>
      <w:marBottom w:val="0"/>
      <w:divBdr>
        <w:top w:val="none" w:sz="0" w:space="0" w:color="auto"/>
        <w:left w:val="none" w:sz="0" w:space="0" w:color="auto"/>
        <w:bottom w:val="none" w:sz="0" w:space="0" w:color="auto"/>
        <w:right w:val="none" w:sz="0" w:space="0" w:color="auto"/>
      </w:divBdr>
    </w:div>
    <w:div w:id="435055738">
      <w:bodyDiv w:val="1"/>
      <w:marLeft w:val="0"/>
      <w:marRight w:val="0"/>
      <w:marTop w:val="0"/>
      <w:marBottom w:val="0"/>
      <w:divBdr>
        <w:top w:val="none" w:sz="0" w:space="0" w:color="auto"/>
        <w:left w:val="none" w:sz="0" w:space="0" w:color="auto"/>
        <w:bottom w:val="none" w:sz="0" w:space="0" w:color="auto"/>
        <w:right w:val="none" w:sz="0" w:space="0" w:color="auto"/>
      </w:divBdr>
    </w:div>
    <w:div w:id="443620669">
      <w:bodyDiv w:val="1"/>
      <w:marLeft w:val="0"/>
      <w:marRight w:val="0"/>
      <w:marTop w:val="0"/>
      <w:marBottom w:val="0"/>
      <w:divBdr>
        <w:top w:val="none" w:sz="0" w:space="0" w:color="auto"/>
        <w:left w:val="none" w:sz="0" w:space="0" w:color="auto"/>
        <w:bottom w:val="none" w:sz="0" w:space="0" w:color="auto"/>
        <w:right w:val="none" w:sz="0" w:space="0" w:color="auto"/>
      </w:divBdr>
    </w:div>
    <w:div w:id="456027581">
      <w:bodyDiv w:val="1"/>
      <w:marLeft w:val="0"/>
      <w:marRight w:val="0"/>
      <w:marTop w:val="0"/>
      <w:marBottom w:val="0"/>
      <w:divBdr>
        <w:top w:val="none" w:sz="0" w:space="0" w:color="auto"/>
        <w:left w:val="none" w:sz="0" w:space="0" w:color="auto"/>
        <w:bottom w:val="none" w:sz="0" w:space="0" w:color="auto"/>
        <w:right w:val="none" w:sz="0" w:space="0" w:color="auto"/>
      </w:divBdr>
    </w:div>
    <w:div w:id="467430651">
      <w:bodyDiv w:val="1"/>
      <w:marLeft w:val="0"/>
      <w:marRight w:val="0"/>
      <w:marTop w:val="0"/>
      <w:marBottom w:val="0"/>
      <w:divBdr>
        <w:top w:val="none" w:sz="0" w:space="0" w:color="auto"/>
        <w:left w:val="none" w:sz="0" w:space="0" w:color="auto"/>
        <w:bottom w:val="none" w:sz="0" w:space="0" w:color="auto"/>
        <w:right w:val="none" w:sz="0" w:space="0" w:color="auto"/>
      </w:divBdr>
    </w:div>
    <w:div w:id="470633920">
      <w:bodyDiv w:val="1"/>
      <w:marLeft w:val="0"/>
      <w:marRight w:val="0"/>
      <w:marTop w:val="0"/>
      <w:marBottom w:val="0"/>
      <w:divBdr>
        <w:top w:val="none" w:sz="0" w:space="0" w:color="auto"/>
        <w:left w:val="none" w:sz="0" w:space="0" w:color="auto"/>
        <w:bottom w:val="none" w:sz="0" w:space="0" w:color="auto"/>
        <w:right w:val="none" w:sz="0" w:space="0" w:color="auto"/>
      </w:divBdr>
    </w:div>
    <w:div w:id="472602757">
      <w:bodyDiv w:val="1"/>
      <w:marLeft w:val="0"/>
      <w:marRight w:val="0"/>
      <w:marTop w:val="0"/>
      <w:marBottom w:val="0"/>
      <w:divBdr>
        <w:top w:val="none" w:sz="0" w:space="0" w:color="auto"/>
        <w:left w:val="none" w:sz="0" w:space="0" w:color="auto"/>
        <w:bottom w:val="none" w:sz="0" w:space="0" w:color="auto"/>
        <w:right w:val="none" w:sz="0" w:space="0" w:color="auto"/>
      </w:divBdr>
      <w:divsChild>
        <w:div w:id="458452173">
          <w:marLeft w:val="0"/>
          <w:marRight w:val="0"/>
          <w:marTop w:val="0"/>
          <w:marBottom w:val="0"/>
          <w:divBdr>
            <w:top w:val="none" w:sz="0" w:space="0" w:color="auto"/>
            <w:left w:val="none" w:sz="0" w:space="0" w:color="auto"/>
            <w:bottom w:val="none" w:sz="0" w:space="0" w:color="auto"/>
            <w:right w:val="none" w:sz="0" w:space="0" w:color="auto"/>
          </w:divBdr>
        </w:div>
      </w:divsChild>
    </w:div>
    <w:div w:id="477378400">
      <w:bodyDiv w:val="1"/>
      <w:marLeft w:val="0"/>
      <w:marRight w:val="0"/>
      <w:marTop w:val="0"/>
      <w:marBottom w:val="0"/>
      <w:divBdr>
        <w:top w:val="none" w:sz="0" w:space="0" w:color="auto"/>
        <w:left w:val="none" w:sz="0" w:space="0" w:color="auto"/>
        <w:bottom w:val="none" w:sz="0" w:space="0" w:color="auto"/>
        <w:right w:val="none" w:sz="0" w:space="0" w:color="auto"/>
      </w:divBdr>
    </w:div>
    <w:div w:id="487402030">
      <w:bodyDiv w:val="1"/>
      <w:marLeft w:val="0"/>
      <w:marRight w:val="0"/>
      <w:marTop w:val="0"/>
      <w:marBottom w:val="0"/>
      <w:divBdr>
        <w:top w:val="none" w:sz="0" w:space="0" w:color="auto"/>
        <w:left w:val="none" w:sz="0" w:space="0" w:color="auto"/>
        <w:bottom w:val="none" w:sz="0" w:space="0" w:color="auto"/>
        <w:right w:val="none" w:sz="0" w:space="0" w:color="auto"/>
      </w:divBdr>
    </w:div>
    <w:div w:id="496769590">
      <w:bodyDiv w:val="1"/>
      <w:marLeft w:val="0"/>
      <w:marRight w:val="0"/>
      <w:marTop w:val="0"/>
      <w:marBottom w:val="0"/>
      <w:divBdr>
        <w:top w:val="none" w:sz="0" w:space="0" w:color="auto"/>
        <w:left w:val="none" w:sz="0" w:space="0" w:color="auto"/>
        <w:bottom w:val="none" w:sz="0" w:space="0" w:color="auto"/>
        <w:right w:val="none" w:sz="0" w:space="0" w:color="auto"/>
      </w:divBdr>
    </w:div>
    <w:div w:id="506554789">
      <w:bodyDiv w:val="1"/>
      <w:marLeft w:val="0"/>
      <w:marRight w:val="0"/>
      <w:marTop w:val="0"/>
      <w:marBottom w:val="0"/>
      <w:divBdr>
        <w:top w:val="none" w:sz="0" w:space="0" w:color="auto"/>
        <w:left w:val="none" w:sz="0" w:space="0" w:color="auto"/>
        <w:bottom w:val="none" w:sz="0" w:space="0" w:color="auto"/>
        <w:right w:val="none" w:sz="0" w:space="0" w:color="auto"/>
      </w:divBdr>
    </w:div>
    <w:div w:id="523442177">
      <w:bodyDiv w:val="1"/>
      <w:marLeft w:val="0"/>
      <w:marRight w:val="0"/>
      <w:marTop w:val="0"/>
      <w:marBottom w:val="0"/>
      <w:divBdr>
        <w:top w:val="none" w:sz="0" w:space="0" w:color="auto"/>
        <w:left w:val="none" w:sz="0" w:space="0" w:color="auto"/>
        <w:bottom w:val="none" w:sz="0" w:space="0" w:color="auto"/>
        <w:right w:val="none" w:sz="0" w:space="0" w:color="auto"/>
      </w:divBdr>
    </w:div>
    <w:div w:id="526413758">
      <w:bodyDiv w:val="1"/>
      <w:marLeft w:val="0"/>
      <w:marRight w:val="0"/>
      <w:marTop w:val="0"/>
      <w:marBottom w:val="0"/>
      <w:divBdr>
        <w:top w:val="none" w:sz="0" w:space="0" w:color="auto"/>
        <w:left w:val="none" w:sz="0" w:space="0" w:color="auto"/>
        <w:bottom w:val="none" w:sz="0" w:space="0" w:color="auto"/>
        <w:right w:val="none" w:sz="0" w:space="0" w:color="auto"/>
      </w:divBdr>
    </w:div>
    <w:div w:id="527573307">
      <w:bodyDiv w:val="1"/>
      <w:marLeft w:val="0"/>
      <w:marRight w:val="0"/>
      <w:marTop w:val="0"/>
      <w:marBottom w:val="0"/>
      <w:divBdr>
        <w:top w:val="none" w:sz="0" w:space="0" w:color="auto"/>
        <w:left w:val="none" w:sz="0" w:space="0" w:color="auto"/>
        <w:bottom w:val="none" w:sz="0" w:space="0" w:color="auto"/>
        <w:right w:val="none" w:sz="0" w:space="0" w:color="auto"/>
      </w:divBdr>
    </w:div>
    <w:div w:id="537813553">
      <w:bodyDiv w:val="1"/>
      <w:marLeft w:val="0"/>
      <w:marRight w:val="0"/>
      <w:marTop w:val="0"/>
      <w:marBottom w:val="0"/>
      <w:divBdr>
        <w:top w:val="none" w:sz="0" w:space="0" w:color="auto"/>
        <w:left w:val="none" w:sz="0" w:space="0" w:color="auto"/>
        <w:bottom w:val="none" w:sz="0" w:space="0" w:color="auto"/>
        <w:right w:val="none" w:sz="0" w:space="0" w:color="auto"/>
      </w:divBdr>
    </w:div>
    <w:div w:id="563223688">
      <w:bodyDiv w:val="1"/>
      <w:marLeft w:val="0"/>
      <w:marRight w:val="0"/>
      <w:marTop w:val="0"/>
      <w:marBottom w:val="0"/>
      <w:divBdr>
        <w:top w:val="none" w:sz="0" w:space="0" w:color="auto"/>
        <w:left w:val="none" w:sz="0" w:space="0" w:color="auto"/>
        <w:bottom w:val="none" w:sz="0" w:space="0" w:color="auto"/>
        <w:right w:val="none" w:sz="0" w:space="0" w:color="auto"/>
      </w:divBdr>
    </w:div>
    <w:div w:id="564536576">
      <w:bodyDiv w:val="1"/>
      <w:marLeft w:val="0"/>
      <w:marRight w:val="0"/>
      <w:marTop w:val="0"/>
      <w:marBottom w:val="0"/>
      <w:divBdr>
        <w:top w:val="none" w:sz="0" w:space="0" w:color="auto"/>
        <w:left w:val="none" w:sz="0" w:space="0" w:color="auto"/>
        <w:bottom w:val="none" w:sz="0" w:space="0" w:color="auto"/>
        <w:right w:val="none" w:sz="0" w:space="0" w:color="auto"/>
      </w:divBdr>
    </w:div>
    <w:div w:id="567115052">
      <w:bodyDiv w:val="1"/>
      <w:marLeft w:val="0"/>
      <w:marRight w:val="0"/>
      <w:marTop w:val="0"/>
      <w:marBottom w:val="0"/>
      <w:divBdr>
        <w:top w:val="none" w:sz="0" w:space="0" w:color="auto"/>
        <w:left w:val="none" w:sz="0" w:space="0" w:color="auto"/>
        <w:bottom w:val="none" w:sz="0" w:space="0" w:color="auto"/>
        <w:right w:val="none" w:sz="0" w:space="0" w:color="auto"/>
      </w:divBdr>
    </w:div>
    <w:div w:id="582296775">
      <w:bodyDiv w:val="1"/>
      <w:marLeft w:val="0"/>
      <w:marRight w:val="0"/>
      <w:marTop w:val="0"/>
      <w:marBottom w:val="0"/>
      <w:divBdr>
        <w:top w:val="none" w:sz="0" w:space="0" w:color="auto"/>
        <w:left w:val="none" w:sz="0" w:space="0" w:color="auto"/>
        <w:bottom w:val="none" w:sz="0" w:space="0" w:color="auto"/>
        <w:right w:val="none" w:sz="0" w:space="0" w:color="auto"/>
      </w:divBdr>
    </w:div>
    <w:div w:id="587613093">
      <w:bodyDiv w:val="1"/>
      <w:marLeft w:val="0"/>
      <w:marRight w:val="0"/>
      <w:marTop w:val="0"/>
      <w:marBottom w:val="0"/>
      <w:divBdr>
        <w:top w:val="none" w:sz="0" w:space="0" w:color="auto"/>
        <w:left w:val="none" w:sz="0" w:space="0" w:color="auto"/>
        <w:bottom w:val="none" w:sz="0" w:space="0" w:color="auto"/>
        <w:right w:val="none" w:sz="0" w:space="0" w:color="auto"/>
      </w:divBdr>
    </w:div>
    <w:div w:id="618293361">
      <w:bodyDiv w:val="1"/>
      <w:marLeft w:val="0"/>
      <w:marRight w:val="0"/>
      <w:marTop w:val="0"/>
      <w:marBottom w:val="0"/>
      <w:divBdr>
        <w:top w:val="none" w:sz="0" w:space="0" w:color="auto"/>
        <w:left w:val="none" w:sz="0" w:space="0" w:color="auto"/>
        <w:bottom w:val="none" w:sz="0" w:space="0" w:color="auto"/>
        <w:right w:val="none" w:sz="0" w:space="0" w:color="auto"/>
      </w:divBdr>
    </w:div>
    <w:div w:id="645745244">
      <w:bodyDiv w:val="1"/>
      <w:marLeft w:val="0"/>
      <w:marRight w:val="0"/>
      <w:marTop w:val="0"/>
      <w:marBottom w:val="0"/>
      <w:divBdr>
        <w:top w:val="none" w:sz="0" w:space="0" w:color="auto"/>
        <w:left w:val="none" w:sz="0" w:space="0" w:color="auto"/>
        <w:bottom w:val="none" w:sz="0" w:space="0" w:color="auto"/>
        <w:right w:val="none" w:sz="0" w:space="0" w:color="auto"/>
      </w:divBdr>
    </w:div>
    <w:div w:id="651563069">
      <w:bodyDiv w:val="1"/>
      <w:marLeft w:val="0"/>
      <w:marRight w:val="0"/>
      <w:marTop w:val="0"/>
      <w:marBottom w:val="0"/>
      <w:divBdr>
        <w:top w:val="none" w:sz="0" w:space="0" w:color="auto"/>
        <w:left w:val="none" w:sz="0" w:space="0" w:color="auto"/>
        <w:bottom w:val="none" w:sz="0" w:space="0" w:color="auto"/>
        <w:right w:val="none" w:sz="0" w:space="0" w:color="auto"/>
      </w:divBdr>
    </w:div>
    <w:div w:id="678704253">
      <w:bodyDiv w:val="1"/>
      <w:marLeft w:val="0"/>
      <w:marRight w:val="0"/>
      <w:marTop w:val="0"/>
      <w:marBottom w:val="0"/>
      <w:divBdr>
        <w:top w:val="none" w:sz="0" w:space="0" w:color="auto"/>
        <w:left w:val="none" w:sz="0" w:space="0" w:color="auto"/>
        <w:bottom w:val="none" w:sz="0" w:space="0" w:color="auto"/>
        <w:right w:val="none" w:sz="0" w:space="0" w:color="auto"/>
      </w:divBdr>
    </w:div>
    <w:div w:id="679164403">
      <w:bodyDiv w:val="1"/>
      <w:marLeft w:val="0"/>
      <w:marRight w:val="0"/>
      <w:marTop w:val="0"/>
      <w:marBottom w:val="0"/>
      <w:divBdr>
        <w:top w:val="none" w:sz="0" w:space="0" w:color="auto"/>
        <w:left w:val="none" w:sz="0" w:space="0" w:color="auto"/>
        <w:bottom w:val="none" w:sz="0" w:space="0" w:color="auto"/>
        <w:right w:val="none" w:sz="0" w:space="0" w:color="auto"/>
      </w:divBdr>
    </w:div>
    <w:div w:id="681903433">
      <w:bodyDiv w:val="1"/>
      <w:marLeft w:val="0"/>
      <w:marRight w:val="0"/>
      <w:marTop w:val="0"/>
      <w:marBottom w:val="0"/>
      <w:divBdr>
        <w:top w:val="none" w:sz="0" w:space="0" w:color="auto"/>
        <w:left w:val="none" w:sz="0" w:space="0" w:color="auto"/>
        <w:bottom w:val="none" w:sz="0" w:space="0" w:color="auto"/>
        <w:right w:val="none" w:sz="0" w:space="0" w:color="auto"/>
      </w:divBdr>
    </w:div>
    <w:div w:id="699430365">
      <w:bodyDiv w:val="1"/>
      <w:marLeft w:val="0"/>
      <w:marRight w:val="0"/>
      <w:marTop w:val="0"/>
      <w:marBottom w:val="0"/>
      <w:divBdr>
        <w:top w:val="none" w:sz="0" w:space="0" w:color="auto"/>
        <w:left w:val="none" w:sz="0" w:space="0" w:color="auto"/>
        <w:bottom w:val="none" w:sz="0" w:space="0" w:color="auto"/>
        <w:right w:val="none" w:sz="0" w:space="0" w:color="auto"/>
      </w:divBdr>
    </w:div>
    <w:div w:id="700664989">
      <w:bodyDiv w:val="1"/>
      <w:marLeft w:val="0"/>
      <w:marRight w:val="0"/>
      <w:marTop w:val="0"/>
      <w:marBottom w:val="0"/>
      <w:divBdr>
        <w:top w:val="none" w:sz="0" w:space="0" w:color="auto"/>
        <w:left w:val="none" w:sz="0" w:space="0" w:color="auto"/>
        <w:bottom w:val="none" w:sz="0" w:space="0" w:color="auto"/>
        <w:right w:val="none" w:sz="0" w:space="0" w:color="auto"/>
      </w:divBdr>
    </w:div>
    <w:div w:id="700863387">
      <w:bodyDiv w:val="1"/>
      <w:marLeft w:val="0"/>
      <w:marRight w:val="0"/>
      <w:marTop w:val="0"/>
      <w:marBottom w:val="0"/>
      <w:divBdr>
        <w:top w:val="none" w:sz="0" w:space="0" w:color="auto"/>
        <w:left w:val="none" w:sz="0" w:space="0" w:color="auto"/>
        <w:bottom w:val="none" w:sz="0" w:space="0" w:color="auto"/>
        <w:right w:val="none" w:sz="0" w:space="0" w:color="auto"/>
      </w:divBdr>
    </w:div>
    <w:div w:id="710231846">
      <w:bodyDiv w:val="1"/>
      <w:marLeft w:val="0"/>
      <w:marRight w:val="0"/>
      <w:marTop w:val="0"/>
      <w:marBottom w:val="0"/>
      <w:divBdr>
        <w:top w:val="none" w:sz="0" w:space="0" w:color="auto"/>
        <w:left w:val="none" w:sz="0" w:space="0" w:color="auto"/>
        <w:bottom w:val="none" w:sz="0" w:space="0" w:color="auto"/>
        <w:right w:val="none" w:sz="0" w:space="0" w:color="auto"/>
      </w:divBdr>
    </w:div>
    <w:div w:id="718556389">
      <w:bodyDiv w:val="1"/>
      <w:marLeft w:val="0"/>
      <w:marRight w:val="0"/>
      <w:marTop w:val="0"/>
      <w:marBottom w:val="0"/>
      <w:divBdr>
        <w:top w:val="none" w:sz="0" w:space="0" w:color="auto"/>
        <w:left w:val="none" w:sz="0" w:space="0" w:color="auto"/>
        <w:bottom w:val="none" w:sz="0" w:space="0" w:color="auto"/>
        <w:right w:val="none" w:sz="0" w:space="0" w:color="auto"/>
      </w:divBdr>
    </w:div>
    <w:div w:id="726875166">
      <w:bodyDiv w:val="1"/>
      <w:marLeft w:val="0"/>
      <w:marRight w:val="0"/>
      <w:marTop w:val="0"/>
      <w:marBottom w:val="0"/>
      <w:divBdr>
        <w:top w:val="none" w:sz="0" w:space="0" w:color="auto"/>
        <w:left w:val="none" w:sz="0" w:space="0" w:color="auto"/>
        <w:bottom w:val="none" w:sz="0" w:space="0" w:color="auto"/>
        <w:right w:val="none" w:sz="0" w:space="0" w:color="auto"/>
      </w:divBdr>
    </w:div>
    <w:div w:id="731123612">
      <w:bodyDiv w:val="1"/>
      <w:marLeft w:val="0"/>
      <w:marRight w:val="0"/>
      <w:marTop w:val="0"/>
      <w:marBottom w:val="0"/>
      <w:divBdr>
        <w:top w:val="none" w:sz="0" w:space="0" w:color="auto"/>
        <w:left w:val="none" w:sz="0" w:space="0" w:color="auto"/>
        <w:bottom w:val="none" w:sz="0" w:space="0" w:color="auto"/>
        <w:right w:val="none" w:sz="0" w:space="0" w:color="auto"/>
      </w:divBdr>
    </w:div>
    <w:div w:id="747309194">
      <w:bodyDiv w:val="1"/>
      <w:marLeft w:val="0"/>
      <w:marRight w:val="0"/>
      <w:marTop w:val="0"/>
      <w:marBottom w:val="0"/>
      <w:divBdr>
        <w:top w:val="none" w:sz="0" w:space="0" w:color="auto"/>
        <w:left w:val="none" w:sz="0" w:space="0" w:color="auto"/>
        <w:bottom w:val="none" w:sz="0" w:space="0" w:color="auto"/>
        <w:right w:val="none" w:sz="0" w:space="0" w:color="auto"/>
      </w:divBdr>
    </w:div>
    <w:div w:id="769282759">
      <w:bodyDiv w:val="1"/>
      <w:marLeft w:val="0"/>
      <w:marRight w:val="0"/>
      <w:marTop w:val="0"/>
      <w:marBottom w:val="0"/>
      <w:divBdr>
        <w:top w:val="none" w:sz="0" w:space="0" w:color="auto"/>
        <w:left w:val="none" w:sz="0" w:space="0" w:color="auto"/>
        <w:bottom w:val="none" w:sz="0" w:space="0" w:color="auto"/>
        <w:right w:val="none" w:sz="0" w:space="0" w:color="auto"/>
      </w:divBdr>
    </w:div>
    <w:div w:id="770202009">
      <w:bodyDiv w:val="1"/>
      <w:marLeft w:val="0"/>
      <w:marRight w:val="0"/>
      <w:marTop w:val="0"/>
      <w:marBottom w:val="0"/>
      <w:divBdr>
        <w:top w:val="none" w:sz="0" w:space="0" w:color="auto"/>
        <w:left w:val="none" w:sz="0" w:space="0" w:color="auto"/>
        <w:bottom w:val="none" w:sz="0" w:space="0" w:color="auto"/>
        <w:right w:val="none" w:sz="0" w:space="0" w:color="auto"/>
      </w:divBdr>
    </w:div>
    <w:div w:id="778141170">
      <w:bodyDiv w:val="1"/>
      <w:marLeft w:val="0"/>
      <w:marRight w:val="0"/>
      <w:marTop w:val="0"/>
      <w:marBottom w:val="0"/>
      <w:divBdr>
        <w:top w:val="none" w:sz="0" w:space="0" w:color="auto"/>
        <w:left w:val="none" w:sz="0" w:space="0" w:color="auto"/>
        <w:bottom w:val="none" w:sz="0" w:space="0" w:color="auto"/>
        <w:right w:val="none" w:sz="0" w:space="0" w:color="auto"/>
      </w:divBdr>
      <w:divsChild>
        <w:div w:id="1518235010">
          <w:marLeft w:val="547"/>
          <w:marRight w:val="0"/>
          <w:marTop w:val="0"/>
          <w:marBottom w:val="0"/>
          <w:divBdr>
            <w:top w:val="none" w:sz="0" w:space="0" w:color="auto"/>
            <w:left w:val="none" w:sz="0" w:space="0" w:color="auto"/>
            <w:bottom w:val="none" w:sz="0" w:space="0" w:color="auto"/>
            <w:right w:val="none" w:sz="0" w:space="0" w:color="auto"/>
          </w:divBdr>
        </w:div>
        <w:div w:id="983394022">
          <w:marLeft w:val="547"/>
          <w:marRight w:val="0"/>
          <w:marTop w:val="0"/>
          <w:marBottom w:val="0"/>
          <w:divBdr>
            <w:top w:val="none" w:sz="0" w:space="0" w:color="auto"/>
            <w:left w:val="none" w:sz="0" w:space="0" w:color="auto"/>
            <w:bottom w:val="none" w:sz="0" w:space="0" w:color="auto"/>
            <w:right w:val="none" w:sz="0" w:space="0" w:color="auto"/>
          </w:divBdr>
        </w:div>
        <w:div w:id="1817379863">
          <w:marLeft w:val="547"/>
          <w:marRight w:val="0"/>
          <w:marTop w:val="0"/>
          <w:marBottom w:val="0"/>
          <w:divBdr>
            <w:top w:val="none" w:sz="0" w:space="0" w:color="auto"/>
            <w:left w:val="none" w:sz="0" w:space="0" w:color="auto"/>
            <w:bottom w:val="none" w:sz="0" w:space="0" w:color="auto"/>
            <w:right w:val="none" w:sz="0" w:space="0" w:color="auto"/>
          </w:divBdr>
        </w:div>
        <w:div w:id="1304581647">
          <w:marLeft w:val="547"/>
          <w:marRight w:val="0"/>
          <w:marTop w:val="0"/>
          <w:marBottom w:val="0"/>
          <w:divBdr>
            <w:top w:val="none" w:sz="0" w:space="0" w:color="auto"/>
            <w:left w:val="none" w:sz="0" w:space="0" w:color="auto"/>
            <w:bottom w:val="none" w:sz="0" w:space="0" w:color="auto"/>
            <w:right w:val="none" w:sz="0" w:space="0" w:color="auto"/>
          </w:divBdr>
        </w:div>
        <w:div w:id="1757745738">
          <w:marLeft w:val="547"/>
          <w:marRight w:val="0"/>
          <w:marTop w:val="0"/>
          <w:marBottom w:val="0"/>
          <w:divBdr>
            <w:top w:val="none" w:sz="0" w:space="0" w:color="auto"/>
            <w:left w:val="none" w:sz="0" w:space="0" w:color="auto"/>
            <w:bottom w:val="none" w:sz="0" w:space="0" w:color="auto"/>
            <w:right w:val="none" w:sz="0" w:space="0" w:color="auto"/>
          </w:divBdr>
        </w:div>
      </w:divsChild>
    </w:div>
    <w:div w:id="780953110">
      <w:bodyDiv w:val="1"/>
      <w:marLeft w:val="0"/>
      <w:marRight w:val="0"/>
      <w:marTop w:val="0"/>
      <w:marBottom w:val="0"/>
      <w:divBdr>
        <w:top w:val="none" w:sz="0" w:space="0" w:color="auto"/>
        <w:left w:val="none" w:sz="0" w:space="0" w:color="auto"/>
        <w:bottom w:val="none" w:sz="0" w:space="0" w:color="auto"/>
        <w:right w:val="none" w:sz="0" w:space="0" w:color="auto"/>
      </w:divBdr>
    </w:div>
    <w:div w:id="783692232">
      <w:bodyDiv w:val="1"/>
      <w:marLeft w:val="0"/>
      <w:marRight w:val="0"/>
      <w:marTop w:val="0"/>
      <w:marBottom w:val="0"/>
      <w:divBdr>
        <w:top w:val="none" w:sz="0" w:space="0" w:color="auto"/>
        <w:left w:val="none" w:sz="0" w:space="0" w:color="auto"/>
        <w:bottom w:val="none" w:sz="0" w:space="0" w:color="auto"/>
        <w:right w:val="none" w:sz="0" w:space="0" w:color="auto"/>
      </w:divBdr>
    </w:div>
    <w:div w:id="805392603">
      <w:bodyDiv w:val="1"/>
      <w:marLeft w:val="0"/>
      <w:marRight w:val="0"/>
      <w:marTop w:val="0"/>
      <w:marBottom w:val="0"/>
      <w:divBdr>
        <w:top w:val="none" w:sz="0" w:space="0" w:color="auto"/>
        <w:left w:val="none" w:sz="0" w:space="0" w:color="auto"/>
        <w:bottom w:val="none" w:sz="0" w:space="0" w:color="auto"/>
        <w:right w:val="none" w:sz="0" w:space="0" w:color="auto"/>
      </w:divBdr>
    </w:div>
    <w:div w:id="808978644">
      <w:bodyDiv w:val="1"/>
      <w:marLeft w:val="0"/>
      <w:marRight w:val="0"/>
      <w:marTop w:val="0"/>
      <w:marBottom w:val="0"/>
      <w:divBdr>
        <w:top w:val="none" w:sz="0" w:space="0" w:color="auto"/>
        <w:left w:val="none" w:sz="0" w:space="0" w:color="auto"/>
        <w:bottom w:val="none" w:sz="0" w:space="0" w:color="auto"/>
        <w:right w:val="none" w:sz="0" w:space="0" w:color="auto"/>
      </w:divBdr>
    </w:div>
    <w:div w:id="813717971">
      <w:bodyDiv w:val="1"/>
      <w:marLeft w:val="0"/>
      <w:marRight w:val="0"/>
      <w:marTop w:val="0"/>
      <w:marBottom w:val="0"/>
      <w:divBdr>
        <w:top w:val="none" w:sz="0" w:space="0" w:color="auto"/>
        <w:left w:val="none" w:sz="0" w:space="0" w:color="auto"/>
        <w:bottom w:val="none" w:sz="0" w:space="0" w:color="auto"/>
        <w:right w:val="none" w:sz="0" w:space="0" w:color="auto"/>
      </w:divBdr>
    </w:div>
    <w:div w:id="814445308">
      <w:bodyDiv w:val="1"/>
      <w:marLeft w:val="0"/>
      <w:marRight w:val="0"/>
      <w:marTop w:val="0"/>
      <w:marBottom w:val="0"/>
      <w:divBdr>
        <w:top w:val="none" w:sz="0" w:space="0" w:color="auto"/>
        <w:left w:val="none" w:sz="0" w:space="0" w:color="auto"/>
        <w:bottom w:val="none" w:sz="0" w:space="0" w:color="auto"/>
        <w:right w:val="none" w:sz="0" w:space="0" w:color="auto"/>
      </w:divBdr>
    </w:div>
    <w:div w:id="814879403">
      <w:bodyDiv w:val="1"/>
      <w:marLeft w:val="0"/>
      <w:marRight w:val="0"/>
      <w:marTop w:val="0"/>
      <w:marBottom w:val="0"/>
      <w:divBdr>
        <w:top w:val="none" w:sz="0" w:space="0" w:color="auto"/>
        <w:left w:val="none" w:sz="0" w:space="0" w:color="auto"/>
        <w:bottom w:val="none" w:sz="0" w:space="0" w:color="auto"/>
        <w:right w:val="none" w:sz="0" w:space="0" w:color="auto"/>
      </w:divBdr>
    </w:div>
    <w:div w:id="861551715">
      <w:bodyDiv w:val="1"/>
      <w:marLeft w:val="0"/>
      <w:marRight w:val="0"/>
      <w:marTop w:val="0"/>
      <w:marBottom w:val="0"/>
      <w:divBdr>
        <w:top w:val="none" w:sz="0" w:space="0" w:color="auto"/>
        <w:left w:val="none" w:sz="0" w:space="0" w:color="auto"/>
        <w:bottom w:val="none" w:sz="0" w:space="0" w:color="auto"/>
        <w:right w:val="none" w:sz="0" w:space="0" w:color="auto"/>
      </w:divBdr>
    </w:div>
    <w:div w:id="879443048">
      <w:bodyDiv w:val="1"/>
      <w:marLeft w:val="0"/>
      <w:marRight w:val="0"/>
      <w:marTop w:val="0"/>
      <w:marBottom w:val="0"/>
      <w:divBdr>
        <w:top w:val="none" w:sz="0" w:space="0" w:color="auto"/>
        <w:left w:val="none" w:sz="0" w:space="0" w:color="auto"/>
        <w:bottom w:val="none" w:sz="0" w:space="0" w:color="auto"/>
        <w:right w:val="none" w:sz="0" w:space="0" w:color="auto"/>
      </w:divBdr>
    </w:div>
    <w:div w:id="884176398">
      <w:bodyDiv w:val="1"/>
      <w:marLeft w:val="0"/>
      <w:marRight w:val="0"/>
      <w:marTop w:val="0"/>
      <w:marBottom w:val="0"/>
      <w:divBdr>
        <w:top w:val="none" w:sz="0" w:space="0" w:color="auto"/>
        <w:left w:val="none" w:sz="0" w:space="0" w:color="auto"/>
        <w:bottom w:val="none" w:sz="0" w:space="0" w:color="auto"/>
        <w:right w:val="none" w:sz="0" w:space="0" w:color="auto"/>
      </w:divBdr>
    </w:div>
    <w:div w:id="887493612">
      <w:bodyDiv w:val="1"/>
      <w:marLeft w:val="0"/>
      <w:marRight w:val="0"/>
      <w:marTop w:val="0"/>
      <w:marBottom w:val="0"/>
      <w:divBdr>
        <w:top w:val="none" w:sz="0" w:space="0" w:color="auto"/>
        <w:left w:val="none" w:sz="0" w:space="0" w:color="auto"/>
        <w:bottom w:val="none" w:sz="0" w:space="0" w:color="auto"/>
        <w:right w:val="none" w:sz="0" w:space="0" w:color="auto"/>
      </w:divBdr>
    </w:div>
    <w:div w:id="919413599">
      <w:bodyDiv w:val="1"/>
      <w:marLeft w:val="0"/>
      <w:marRight w:val="0"/>
      <w:marTop w:val="0"/>
      <w:marBottom w:val="0"/>
      <w:divBdr>
        <w:top w:val="none" w:sz="0" w:space="0" w:color="auto"/>
        <w:left w:val="none" w:sz="0" w:space="0" w:color="auto"/>
        <w:bottom w:val="none" w:sz="0" w:space="0" w:color="auto"/>
        <w:right w:val="none" w:sz="0" w:space="0" w:color="auto"/>
      </w:divBdr>
    </w:div>
    <w:div w:id="949819061">
      <w:bodyDiv w:val="1"/>
      <w:marLeft w:val="0"/>
      <w:marRight w:val="0"/>
      <w:marTop w:val="0"/>
      <w:marBottom w:val="0"/>
      <w:divBdr>
        <w:top w:val="none" w:sz="0" w:space="0" w:color="auto"/>
        <w:left w:val="none" w:sz="0" w:space="0" w:color="auto"/>
        <w:bottom w:val="none" w:sz="0" w:space="0" w:color="auto"/>
        <w:right w:val="none" w:sz="0" w:space="0" w:color="auto"/>
      </w:divBdr>
    </w:div>
    <w:div w:id="951546917">
      <w:bodyDiv w:val="1"/>
      <w:marLeft w:val="0"/>
      <w:marRight w:val="0"/>
      <w:marTop w:val="0"/>
      <w:marBottom w:val="0"/>
      <w:divBdr>
        <w:top w:val="none" w:sz="0" w:space="0" w:color="auto"/>
        <w:left w:val="none" w:sz="0" w:space="0" w:color="auto"/>
        <w:bottom w:val="none" w:sz="0" w:space="0" w:color="auto"/>
        <w:right w:val="none" w:sz="0" w:space="0" w:color="auto"/>
      </w:divBdr>
    </w:div>
    <w:div w:id="967474332">
      <w:bodyDiv w:val="1"/>
      <w:marLeft w:val="0"/>
      <w:marRight w:val="0"/>
      <w:marTop w:val="0"/>
      <w:marBottom w:val="0"/>
      <w:divBdr>
        <w:top w:val="none" w:sz="0" w:space="0" w:color="auto"/>
        <w:left w:val="none" w:sz="0" w:space="0" w:color="auto"/>
        <w:bottom w:val="none" w:sz="0" w:space="0" w:color="auto"/>
        <w:right w:val="none" w:sz="0" w:space="0" w:color="auto"/>
      </w:divBdr>
    </w:div>
    <w:div w:id="974064198">
      <w:bodyDiv w:val="1"/>
      <w:marLeft w:val="0"/>
      <w:marRight w:val="0"/>
      <w:marTop w:val="0"/>
      <w:marBottom w:val="0"/>
      <w:divBdr>
        <w:top w:val="none" w:sz="0" w:space="0" w:color="auto"/>
        <w:left w:val="none" w:sz="0" w:space="0" w:color="auto"/>
        <w:bottom w:val="none" w:sz="0" w:space="0" w:color="auto"/>
        <w:right w:val="none" w:sz="0" w:space="0" w:color="auto"/>
      </w:divBdr>
    </w:div>
    <w:div w:id="983654753">
      <w:bodyDiv w:val="1"/>
      <w:marLeft w:val="0"/>
      <w:marRight w:val="0"/>
      <w:marTop w:val="0"/>
      <w:marBottom w:val="0"/>
      <w:divBdr>
        <w:top w:val="none" w:sz="0" w:space="0" w:color="auto"/>
        <w:left w:val="none" w:sz="0" w:space="0" w:color="auto"/>
        <w:bottom w:val="none" w:sz="0" w:space="0" w:color="auto"/>
        <w:right w:val="none" w:sz="0" w:space="0" w:color="auto"/>
      </w:divBdr>
      <w:divsChild>
        <w:div w:id="2042824396">
          <w:marLeft w:val="547"/>
          <w:marRight w:val="0"/>
          <w:marTop w:val="0"/>
          <w:marBottom w:val="0"/>
          <w:divBdr>
            <w:top w:val="none" w:sz="0" w:space="0" w:color="auto"/>
            <w:left w:val="none" w:sz="0" w:space="0" w:color="auto"/>
            <w:bottom w:val="none" w:sz="0" w:space="0" w:color="auto"/>
            <w:right w:val="none" w:sz="0" w:space="0" w:color="auto"/>
          </w:divBdr>
        </w:div>
        <w:div w:id="893346787">
          <w:marLeft w:val="1166"/>
          <w:marRight w:val="0"/>
          <w:marTop w:val="0"/>
          <w:marBottom w:val="0"/>
          <w:divBdr>
            <w:top w:val="none" w:sz="0" w:space="0" w:color="auto"/>
            <w:left w:val="none" w:sz="0" w:space="0" w:color="auto"/>
            <w:bottom w:val="none" w:sz="0" w:space="0" w:color="auto"/>
            <w:right w:val="none" w:sz="0" w:space="0" w:color="auto"/>
          </w:divBdr>
        </w:div>
        <w:div w:id="966163463">
          <w:marLeft w:val="1166"/>
          <w:marRight w:val="0"/>
          <w:marTop w:val="0"/>
          <w:marBottom w:val="0"/>
          <w:divBdr>
            <w:top w:val="none" w:sz="0" w:space="0" w:color="auto"/>
            <w:left w:val="none" w:sz="0" w:space="0" w:color="auto"/>
            <w:bottom w:val="none" w:sz="0" w:space="0" w:color="auto"/>
            <w:right w:val="none" w:sz="0" w:space="0" w:color="auto"/>
          </w:divBdr>
        </w:div>
        <w:div w:id="1839344833">
          <w:marLeft w:val="1166"/>
          <w:marRight w:val="0"/>
          <w:marTop w:val="0"/>
          <w:marBottom w:val="0"/>
          <w:divBdr>
            <w:top w:val="none" w:sz="0" w:space="0" w:color="auto"/>
            <w:left w:val="none" w:sz="0" w:space="0" w:color="auto"/>
            <w:bottom w:val="none" w:sz="0" w:space="0" w:color="auto"/>
            <w:right w:val="none" w:sz="0" w:space="0" w:color="auto"/>
          </w:divBdr>
        </w:div>
        <w:div w:id="59909799">
          <w:marLeft w:val="1166"/>
          <w:marRight w:val="0"/>
          <w:marTop w:val="0"/>
          <w:marBottom w:val="0"/>
          <w:divBdr>
            <w:top w:val="none" w:sz="0" w:space="0" w:color="auto"/>
            <w:left w:val="none" w:sz="0" w:space="0" w:color="auto"/>
            <w:bottom w:val="none" w:sz="0" w:space="0" w:color="auto"/>
            <w:right w:val="none" w:sz="0" w:space="0" w:color="auto"/>
          </w:divBdr>
        </w:div>
        <w:div w:id="2053768439">
          <w:marLeft w:val="1166"/>
          <w:marRight w:val="0"/>
          <w:marTop w:val="0"/>
          <w:marBottom w:val="0"/>
          <w:divBdr>
            <w:top w:val="none" w:sz="0" w:space="0" w:color="auto"/>
            <w:left w:val="none" w:sz="0" w:space="0" w:color="auto"/>
            <w:bottom w:val="none" w:sz="0" w:space="0" w:color="auto"/>
            <w:right w:val="none" w:sz="0" w:space="0" w:color="auto"/>
          </w:divBdr>
        </w:div>
        <w:div w:id="324863294">
          <w:marLeft w:val="1166"/>
          <w:marRight w:val="0"/>
          <w:marTop w:val="0"/>
          <w:marBottom w:val="0"/>
          <w:divBdr>
            <w:top w:val="none" w:sz="0" w:space="0" w:color="auto"/>
            <w:left w:val="none" w:sz="0" w:space="0" w:color="auto"/>
            <w:bottom w:val="none" w:sz="0" w:space="0" w:color="auto"/>
            <w:right w:val="none" w:sz="0" w:space="0" w:color="auto"/>
          </w:divBdr>
        </w:div>
        <w:div w:id="490952011">
          <w:marLeft w:val="1166"/>
          <w:marRight w:val="0"/>
          <w:marTop w:val="0"/>
          <w:marBottom w:val="0"/>
          <w:divBdr>
            <w:top w:val="none" w:sz="0" w:space="0" w:color="auto"/>
            <w:left w:val="none" w:sz="0" w:space="0" w:color="auto"/>
            <w:bottom w:val="none" w:sz="0" w:space="0" w:color="auto"/>
            <w:right w:val="none" w:sz="0" w:space="0" w:color="auto"/>
          </w:divBdr>
        </w:div>
        <w:div w:id="1355568583">
          <w:marLeft w:val="1166"/>
          <w:marRight w:val="0"/>
          <w:marTop w:val="0"/>
          <w:marBottom w:val="0"/>
          <w:divBdr>
            <w:top w:val="none" w:sz="0" w:space="0" w:color="auto"/>
            <w:left w:val="none" w:sz="0" w:space="0" w:color="auto"/>
            <w:bottom w:val="none" w:sz="0" w:space="0" w:color="auto"/>
            <w:right w:val="none" w:sz="0" w:space="0" w:color="auto"/>
          </w:divBdr>
        </w:div>
        <w:div w:id="1604651400">
          <w:marLeft w:val="1166"/>
          <w:marRight w:val="0"/>
          <w:marTop w:val="0"/>
          <w:marBottom w:val="0"/>
          <w:divBdr>
            <w:top w:val="none" w:sz="0" w:space="0" w:color="auto"/>
            <w:left w:val="none" w:sz="0" w:space="0" w:color="auto"/>
            <w:bottom w:val="none" w:sz="0" w:space="0" w:color="auto"/>
            <w:right w:val="none" w:sz="0" w:space="0" w:color="auto"/>
          </w:divBdr>
        </w:div>
      </w:divsChild>
    </w:div>
    <w:div w:id="988707865">
      <w:bodyDiv w:val="1"/>
      <w:marLeft w:val="0"/>
      <w:marRight w:val="0"/>
      <w:marTop w:val="0"/>
      <w:marBottom w:val="0"/>
      <w:divBdr>
        <w:top w:val="none" w:sz="0" w:space="0" w:color="auto"/>
        <w:left w:val="none" w:sz="0" w:space="0" w:color="auto"/>
        <w:bottom w:val="none" w:sz="0" w:space="0" w:color="auto"/>
        <w:right w:val="none" w:sz="0" w:space="0" w:color="auto"/>
      </w:divBdr>
    </w:div>
    <w:div w:id="1004675032">
      <w:bodyDiv w:val="1"/>
      <w:marLeft w:val="0"/>
      <w:marRight w:val="0"/>
      <w:marTop w:val="0"/>
      <w:marBottom w:val="0"/>
      <w:divBdr>
        <w:top w:val="none" w:sz="0" w:space="0" w:color="auto"/>
        <w:left w:val="none" w:sz="0" w:space="0" w:color="auto"/>
        <w:bottom w:val="none" w:sz="0" w:space="0" w:color="auto"/>
        <w:right w:val="none" w:sz="0" w:space="0" w:color="auto"/>
      </w:divBdr>
      <w:divsChild>
        <w:div w:id="139688783">
          <w:marLeft w:val="547"/>
          <w:marRight w:val="0"/>
          <w:marTop w:val="0"/>
          <w:marBottom w:val="0"/>
          <w:divBdr>
            <w:top w:val="none" w:sz="0" w:space="0" w:color="auto"/>
            <w:left w:val="none" w:sz="0" w:space="0" w:color="auto"/>
            <w:bottom w:val="none" w:sz="0" w:space="0" w:color="auto"/>
            <w:right w:val="none" w:sz="0" w:space="0" w:color="auto"/>
          </w:divBdr>
        </w:div>
      </w:divsChild>
    </w:div>
    <w:div w:id="1036393245">
      <w:bodyDiv w:val="1"/>
      <w:marLeft w:val="0"/>
      <w:marRight w:val="0"/>
      <w:marTop w:val="0"/>
      <w:marBottom w:val="0"/>
      <w:divBdr>
        <w:top w:val="none" w:sz="0" w:space="0" w:color="auto"/>
        <w:left w:val="none" w:sz="0" w:space="0" w:color="auto"/>
        <w:bottom w:val="none" w:sz="0" w:space="0" w:color="auto"/>
        <w:right w:val="none" w:sz="0" w:space="0" w:color="auto"/>
      </w:divBdr>
    </w:div>
    <w:div w:id="1060134075">
      <w:bodyDiv w:val="1"/>
      <w:marLeft w:val="0"/>
      <w:marRight w:val="0"/>
      <w:marTop w:val="0"/>
      <w:marBottom w:val="0"/>
      <w:divBdr>
        <w:top w:val="none" w:sz="0" w:space="0" w:color="auto"/>
        <w:left w:val="none" w:sz="0" w:space="0" w:color="auto"/>
        <w:bottom w:val="none" w:sz="0" w:space="0" w:color="auto"/>
        <w:right w:val="none" w:sz="0" w:space="0" w:color="auto"/>
      </w:divBdr>
    </w:div>
    <w:div w:id="1061292029">
      <w:bodyDiv w:val="1"/>
      <w:marLeft w:val="0"/>
      <w:marRight w:val="0"/>
      <w:marTop w:val="0"/>
      <w:marBottom w:val="0"/>
      <w:divBdr>
        <w:top w:val="none" w:sz="0" w:space="0" w:color="auto"/>
        <w:left w:val="none" w:sz="0" w:space="0" w:color="auto"/>
        <w:bottom w:val="none" w:sz="0" w:space="0" w:color="auto"/>
        <w:right w:val="none" w:sz="0" w:space="0" w:color="auto"/>
      </w:divBdr>
    </w:div>
    <w:div w:id="1078095393">
      <w:bodyDiv w:val="1"/>
      <w:marLeft w:val="0"/>
      <w:marRight w:val="0"/>
      <w:marTop w:val="0"/>
      <w:marBottom w:val="0"/>
      <w:divBdr>
        <w:top w:val="none" w:sz="0" w:space="0" w:color="auto"/>
        <w:left w:val="none" w:sz="0" w:space="0" w:color="auto"/>
        <w:bottom w:val="none" w:sz="0" w:space="0" w:color="auto"/>
        <w:right w:val="none" w:sz="0" w:space="0" w:color="auto"/>
      </w:divBdr>
    </w:div>
    <w:div w:id="1091582864">
      <w:bodyDiv w:val="1"/>
      <w:marLeft w:val="0"/>
      <w:marRight w:val="0"/>
      <w:marTop w:val="0"/>
      <w:marBottom w:val="0"/>
      <w:divBdr>
        <w:top w:val="none" w:sz="0" w:space="0" w:color="auto"/>
        <w:left w:val="none" w:sz="0" w:space="0" w:color="auto"/>
        <w:bottom w:val="none" w:sz="0" w:space="0" w:color="auto"/>
        <w:right w:val="none" w:sz="0" w:space="0" w:color="auto"/>
      </w:divBdr>
    </w:div>
    <w:div w:id="1113524315">
      <w:bodyDiv w:val="1"/>
      <w:marLeft w:val="0"/>
      <w:marRight w:val="0"/>
      <w:marTop w:val="0"/>
      <w:marBottom w:val="0"/>
      <w:divBdr>
        <w:top w:val="none" w:sz="0" w:space="0" w:color="auto"/>
        <w:left w:val="none" w:sz="0" w:space="0" w:color="auto"/>
        <w:bottom w:val="none" w:sz="0" w:space="0" w:color="auto"/>
        <w:right w:val="none" w:sz="0" w:space="0" w:color="auto"/>
      </w:divBdr>
    </w:div>
    <w:div w:id="1116870387">
      <w:bodyDiv w:val="1"/>
      <w:marLeft w:val="0"/>
      <w:marRight w:val="0"/>
      <w:marTop w:val="0"/>
      <w:marBottom w:val="0"/>
      <w:divBdr>
        <w:top w:val="none" w:sz="0" w:space="0" w:color="auto"/>
        <w:left w:val="none" w:sz="0" w:space="0" w:color="auto"/>
        <w:bottom w:val="none" w:sz="0" w:space="0" w:color="auto"/>
        <w:right w:val="none" w:sz="0" w:space="0" w:color="auto"/>
      </w:divBdr>
    </w:div>
    <w:div w:id="1129208562">
      <w:bodyDiv w:val="1"/>
      <w:marLeft w:val="0"/>
      <w:marRight w:val="0"/>
      <w:marTop w:val="0"/>
      <w:marBottom w:val="0"/>
      <w:divBdr>
        <w:top w:val="none" w:sz="0" w:space="0" w:color="auto"/>
        <w:left w:val="none" w:sz="0" w:space="0" w:color="auto"/>
        <w:bottom w:val="none" w:sz="0" w:space="0" w:color="auto"/>
        <w:right w:val="none" w:sz="0" w:space="0" w:color="auto"/>
      </w:divBdr>
    </w:div>
    <w:div w:id="1134521312">
      <w:bodyDiv w:val="1"/>
      <w:marLeft w:val="0"/>
      <w:marRight w:val="0"/>
      <w:marTop w:val="0"/>
      <w:marBottom w:val="0"/>
      <w:divBdr>
        <w:top w:val="none" w:sz="0" w:space="0" w:color="auto"/>
        <w:left w:val="none" w:sz="0" w:space="0" w:color="auto"/>
        <w:bottom w:val="none" w:sz="0" w:space="0" w:color="auto"/>
        <w:right w:val="none" w:sz="0" w:space="0" w:color="auto"/>
      </w:divBdr>
    </w:div>
    <w:div w:id="1149445894">
      <w:bodyDiv w:val="1"/>
      <w:marLeft w:val="0"/>
      <w:marRight w:val="0"/>
      <w:marTop w:val="0"/>
      <w:marBottom w:val="0"/>
      <w:divBdr>
        <w:top w:val="none" w:sz="0" w:space="0" w:color="auto"/>
        <w:left w:val="none" w:sz="0" w:space="0" w:color="auto"/>
        <w:bottom w:val="none" w:sz="0" w:space="0" w:color="auto"/>
        <w:right w:val="none" w:sz="0" w:space="0" w:color="auto"/>
      </w:divBdr>
    </w:div>
    <w:div w:id="1153831323">
      <w:bodyDiv w:val="1"/>
      <w:marLeft w:val="0"/>
      <w:marRight w:val="0"/>
      <w:marTop w:val="0"/>
      <w:marBottom w:val="0"/>
      <w:divBdr>
        <w:top w:val="none" w:sz="0" w:space="0" w:color="auto"/>
        <w:left w:val="none" w:sz="0" w:space="0" w:color="auto"/>
        <w:bottom w:val="none" w:sz="0" w:space="0" w:color="auto"/>
        <w:right w:val="none" w:sz="0" w:space="0" w:color="auto"/>
      </w:divBdr>
    </w:div>
    <w:div w:id="1159536604">
      <w:bodyDiv w:val="1"/>
      <w:marLeft w:val="0"/>
      <w:marRight w:val="0"/>
      <w:marTop w:val="0"/>
      <w:marBottom w:val="0"/>
      <w:divBdr>
        <w:top w:val="none" w:sz="0" w:space="0" w:color="auto"/>
        <w:left w:val="none" w:sz="0" w:space="0" w:color="auto"/>
        <w:bottom w:val="none" w:sz="0" w:space="0" w:color="auto"/>
        <w:right w:val="none" w:sz="0" w:space="0" w:color="auto"/>
      </w:divBdr>
    </w:div>
    <w:div w:id="1170172211">
      <w:bodyDiv w:val="1"/>
      <w:marLeft w:val="0"/>
      <w:marRight w:val="0"/>
      <w:marTop w:val="0"/>
      <w:marBottom w:val="0"/>
      <w:divBdr>
        <w:top w:val="none" w:sz="0" w:space="0" w:color="auto"/>
        <w:left w:val="none" w:sz="0" w:space="0" w:color="auto"/>
        <w:bottom w:val="none" w:sz="0" w:space="0" w:color="auto"/>
        <w:right w:val="none" w:sz="0" w:space="0" w:color="auto"/>
      </w:divBdr>
    </w:div>
    <w:div w:id="1173643315">
      <w:bodyDiv w:val="1"/>
      <w:marLeft w:val="0"/>
      <w:marRight w:val="0"/>
      <w:marTop w:val="0"/>
      <w:marBottom w:val="0"/>
      <w:divBdr>
        <w:top w:val="none" w:sz="0" w:space="0" w:color="auto"/>
        <w:left w:val="none" w:sz="0" w:space="0" w:color="auto"/>
        <w:bottom w:val="none" w:sz="0" w:space="0" w:color="auto"/>
        <w:right w:val="none" w:sz="0" w:space="0" w:color="auto"/>
      </w:divBdr>
    </w:div>
    <w:div w:id="1173766826">
      <w:bodyDiv w:val="1"/>
      <w:marLeft w:val="0"/>
      <w:marRight w:val="0"/>
      <w:marTop w:val="0"/>
      <w:marBottom w:val="0"/>
      <w:divBdr>
        <w:top w:val="none" w:sz="0" w:space="0" w:color="auto"/>
        <w:left w:val="none" w:sz="0" w:space="0" w:color="auto"/>
        <w:bottom w:val="none" w:sz="0" w:space="0" w:color="auto"/>
        <w:right w:val="none" w:sz="0" w:space="0" w:color="auto"/>
      </w:divBdr>
    </w:div>
    <w:div w:id="1176186006">
      <w:bodyDiv w:val="1"/>
      <w:marLeft w:val="0"/>
      <w:marRight w:val="0"/>
      <w:marTop w:val="0"/>
      <w:marBottom w:val="0"/>
      <w:divBdr>
        <w:top w:val="none" w:sz="0" w:space="0" w:color="auto"/>
        <w:left w:val="none" w:sz="0" w:space="0" w:color="auto"/>
        <w:bottom w:val="none" w:sz="0" w:space="0" w:color="auto"/>
        <w:right w:val="none" w:sz="0" w:space="0" w:color="auto"/>
      </w:divBdr>
    </w:div>
    <w:div w:id="1193107955">
      <w:bodyDiv w:val="1"/>
      <w:marLeft w:val="0"/>
      <w:marRight w:val="0"/>
      <w:marTop w:val="0"/>
      <w:marBottom w:val="0"/>
      <w:divBdr>
        <w:top w:val="none" w:sz="0" w:space="0" w:color="auto"/>
        <w:left w:val="none" w:sz="0" w:space="0" w:color="auto"/>
        <w:bottom w:val="none" w:sz="0" w:space="0" w:color="auto"/>
        <w:right w:val="none" w:sz="0" w:space="0" w:color="auto"/>
      </w:divBdr>
    </w:div>
    <w:div w:id="1202744744">
      <w:bodyDiv w:val="1"/>
      <w:marLeft w:val="0"/>
      <w:marRight w:val="0"/>
      <w:marTop w:val="0"/>
      <w:marBottom w:val="0"/>
      <w:divBdr>
        <w:top w:val="none" w:sz="0" w:space="0" w:color="auto"/>
        <w:left w:val="none" w:sz="0" w:space="0" w:color="auto"/>
        <w:bottom w:val="none" w:sz="0" w:space="0" w:color="auto"/>
        <w:right w:val="none" w:sz="0" w:space="0" w:color="auto"/>
      </w:divBdr>
    </w:div>
    <w:div w:id="1213812170">
      <w:bodyDiv w:val="1"/>
      <w:marLeft w:val="0"/>
      <w:marRight w:val="0"/>
      <w:marTop w:val="0"/>
      <w:marBottom w:val="0"/>
      <w:divBdr>
        <w:top w:val="none" w:sz="0" w:space="0" w:color="auto"/>
        <w:left w:val="none" w:sz="0" w:space="0" w:color="auto"/>
        <w:bottom w:val="none" w:sz="0" w:space="0" w:color="auto"/>
        <w:right w:val="none" w:sz="0" w:space="0" w:color="auto"/>
      </w:divBdr>
    </w:div>
    <w:div w:id="1215658968">
      <w:bodyDiv w:val="1"/>
      <w:marLeft w:val="0"/>
      <w:marRight w:val="0"/>
      <w:marTop w:val="0"/>
      <w:marBottom w:val="0"/>
      <w:divBdr>
        <w:top w:val="none" w:sz="0" w:space="0" w:color="auto"/>
        <w:left w:val="none" w:sz="0" w:space="0" w:color="auto"/>
        <w:bottom w:val="none" w:sz="0" w:space="0" w:color="auto"/>
        <w:right w:val="none" w:sz="0" w:space="0" w:color="auto"/>
      </w:divBdr>
    </w:div>
    <w:div w:id="1237322901">
      <w:bodyDiv w:val="1"/>
      <w:marLeft w:val="0"/>
      <w:marRight w:val="0"/>
      <w:marTop w:val="0"/>
      <w:marBottom w:val="0"/>
      <w:divBdr>
        <w:top w:val="none" w:sz="0" w:space="0" w:color="auto"/>
        <w:left w:val="none" w:sz="0" w:space="0" w:color="auto"/>
        <w:bottom w:val="none" w:sz="0" w:space="0" w:color="auto"/>
        <w:right w:val="none" w:sz="0" w:space="0" w:color="auto"/>
      </w:divBdr>
    </w:div>
    <w:div w:id="1258707586">
      <w:bodyDiv w:val="1"/>
      <w:marLeft w:val="0"/>
      <w:marRight w:val="0"/>
      <w:marTop w:val="0"/>
      <w:marBottom w:val="0"/>
      <w:divBdr>
        <w:top w:val="none" w:sz="0" w:space="0" w:color="auto"/>
        <w:left w:val="none" w:sz="0" w:space="0" w:color="auto"/>
        <w:bottom w:val="none" w:sz="0" w:space="0" w:color="auto"/>
        <w:right w:val="none" w:sz="0" w:space="0" w:color="auto"/>
      </w:divBdr>
    </w:div>
    <w:div w:id="1273786727">
      <w:bodyDiv w:val="1"/>
      <w:marLeft w:val="0"/>
      <w:marRight w:val="0"/>
      <w:marTop w:val="0"/>
      <w:marBottom w:val="0"/>
      <w:divBdr>
        <w:top w:val="none" w:sz="0" w:space="0" w:color="auto"/>
        <w:left w:val="none" w:sz="0" w:space="0" w:color="auto"/>
        <w:bottom w:val="none" w:sz="0" w:space="0" w:color="auto"/>
        <w:right w:val="none" w:sz="0" w:space="0" w:color="auto"/>
      </w:divBdr>
    </w:div>
    <w:div w:id="1285229530">
      <w:bodyDiv w:val="1"/>
      <w:marLeft w:val="0"/>
      <w:marRight w:val="0"/>
      <w:marTop w:val="0"/>
      <w:marBottom w:val="0"/>
      <w:divBdr>
        <w:top w:val="none" w:sz="0" w:space="0" w:color="auto"/>
        <w:left w:val="none" w:sz="0" w:space="0" w:color="auto"/>
        <w:bottom w:val="none" w:sz="0" w:space="0" w:color="auto"/>
        <w:right w:val="none" w:sz="0" w:space="0" w:color="auto"/>
      </w:divBdr>
    </w:div>
    <w:div w:id="1312100098">
      <w:bodyDiv w:val="1"/>
      <w:marLeft w:val="0"/>
      <w:marRight w:val="0"/>
      <w:marTop w:val="0"/>
      <w:marBottom w:val="0"/>
      <w:divBdr>
        <w:top w:val="none" w:sz="0" w:space="0" w:color="auto"/>
        <w:left w:val="none" w:sz="0" w:space="0" w:color="auto"/>
        <w:bottom w:val="none" w:sz="0" w:space="0" w:color="auto"/>
        <w:right w:val="none" w:sz="0" w:space="0" w:color="auto"/>
      </w:divBdr>
    </w:div>
    <w:div w:id="1318730464">
      <w:bodyDiv w:val="1"/>
      <w:marLeft w:val="0"/>
      <w:marRight w:val="0"/>
      <w:marTop w:val="0"/>
      <w:marBottom w:val="0"/>
      <w:divBdr>
        <w:top w:val="none" w:sz="0" w:space="0" w:color="auto"/>
        <w:left w:val="none" w:sz="0" w:space="0" w:color="auto"/>
        <w:bottom w:val="none" w:sz="0" w:space="0" w:color="auto"/>
        <w:right w:val="none" w:sz="0" w:space="0" w:color="auto"/>
      </w:divBdr>
    </w:div>
    <w:div w:id="1349939760">
      <w:bodyDiv w:val="1"/>
      <w:marLeft w:val="0"/>
      <w:marRight w:val="0"/>
      <w:marTop w:val="0"/>
      <w:marBottom w:val="0"/>
      <w:divBdr>
        <w:top w:val="none" w:sz="0" w:space="0" w:color="auto"/>
        <w:left w:val="none" w:sz="0" w:space="0" w:color="auto"/>
        <w:bottom w:val="none" w:sz="0" w:space="0" w:color="auto"/>
        <w:right w:val="none" w:sz="0" w:space="0" w:color="auto"/>
      </w:divBdr>
    </w:div>
    <w:div w:id="1351419530">
      <w:bodyDiv w:val="1"/>
      <w:marLeft w:val="0"/>
      <w:marRight w:val="0"/>
      <w:marTop w:val="0"/>
      <w:marBottom w:val="0"/>
      <w:divBdr>
        <w:top w:val="none" w:sz="0" w:space="0" w:color="auto"/>
        <w:left w:val="none" w:sz="0" w:space="0" w:color="auto"/>
        <w:bottom w:val="none" w:sz="0" w:space="0" w:color="auto"/>
        <w:right w:val="none" w:sz="0" w:space="0" w:color="auto"/>
      </w:divBdr>
    </w:div>
    <w:div w:id="1369065272">
      <w:bodyDiv w:val="1"/>
      <w:marLeft w:val="0"/>
      <w:marRight w:val="0"/>
      <w:marTop w:val="0"/>
      <w:marBottom w:val="0"/>
      <w:divBdr>
        <w:top w:val="none" w:sz="0" w:space="0" w:color="auto"/>
        <w:left w:val="none" w:sz="0" w:space="0" w:color="auto"/>
        <w:bottom w:val="none" w:sz="0" w:space="0" w:color="auto"/>
        <w:right w:val="none" w:sz="0" w:space="0" w:color="auto"/>
      </w:divBdr>
    </w:div>
    <w:div w:id="1379473920">
      <w:bodyDiv w:val="1"/>
      <w:marLeft w:val="0"/>
      <w:marRight w:val="0"/>
      <w:marTop w:val="0"/>
      <w:marBottom w:val="0"/>
      <w:divBdr>
        <w:top w:val="none" w:sz="0" w:space="0" w:color="auto"/>
        <w:left w:val="none" w:sz="0" w:space="0" w:color="auto"/>
        <w:bottom w:val="none" w:sz="0" w:space="0" w:color="auto"/>
        <w:right w:val="none" w:sz="0" w:space="0" w:color="auto"/>
      </w:divBdr>
    </w:div>
    <w:div w:id="1405058350">
      <w:bodyDiv w:val="1"/>
      <w:marLeft w:val="0"/>
      <w:marRight w:val="0"/>
      <w:marTop w:val="0"/>
      <w:marBottom w:val="0"/>
      <w:divBdr>
        <w:top w:val="none" w:sz="0" w:space="0" w:color="auto"/>
        <w:left w:val="none" w:sz="0" w:space="0" w:color="auto"/>
        <w:bottom w:val="none" w:sz="0" w:space="0" w:color="auto"/>
        <w:right w:val="none" w:sz="0" w:space="0" w:color="auto"/>
      </w:divBdr>
    </w:div>
    <w:div w:id="1409380394">
      <w:bodyDiv w:val="1"/>
      <w:marLeft w:val="0"/>
      <w:marRight w:val="0"/>
      <w:marTop w:val="0"/>
      <w:marBottom w:val="0"/>
      <w:divBdr>
        <w:top w:val="none" w:sz="0" w:space="0" w:color="auto"/>
        <w:left w:val="none" w:sz="0" w:space="0" w:color="auto"/>
        <w:bottom w:val="none" w:sz="0" w:space="0" w:color="auto"/>
        <w:right w:val="none" w:sz="0" w:space="0" w:color="auto"/>
      </w:divBdr>
    </w:div>
    <w:div w:id="1421490484">
      <w:bodyDiv w:val="1"/>
      <w:marLeft w:val="0"/>
      <w:marRight w:val="0"/>
      <w:marTop w:val="0"/>
      <w:marBottom w:val="0"/>
      <w:divBdr>
        <w:top w:val="none" w:sz="0" w:space="0" w:color="auto"/>
        <w:left w:val="none" w:sz="0" w:space="0" w:color="auto"/>
        <w:bottom w:val="none" w:sz="0" w:space="0" w:color="auto"/>
        <w:right w:val="none" w:sz="0" w:space="0" w:color="auto"/>
      </w:divBdr>
    </w:div>
    <w:div w:id="1462723262">
      <w:bodyDiv w:val="1"/>
      <w:marLeft w:val="0"/>
      <w:marRight w:val="0"/>
      <w:marTop w:val="0"/>
      <w:marBottom w:val="0"/>
      <w:divBdr>
        <w:top w:val="none" w:sz="0" w:space="0" w:color="auto"/>
        <w:left w:val="none" w:sz="0" w:space="0" w:color="auto"/>
        <w:bottom w:val="none" w:sz="0" w:space="0" w:color="auto"/>
        <w:right w:val="none" w:sz="0" w:space="0" w:color="auto"/>
      </w:divBdr>
    </w:div>
    <w:div w:id="1471820472">
      <w:bodyDiv w:val="1"/>
      <w:marLeft w:val="0"/>
      <w:marRight w:val="0"/>
      <w:marTop w:val="0"/>
      <w:marBottom w:val="0"/>
      <w:divBdr>
        <w:top w:val="none" w:sz="0" w:space="0" w:color="auto"/>
        <w:left w:val="none" w:sz="0" w:space="0" w:color="auto"/>
        <w:bottom w:val="none" w:sz="0" w:space="0" w:color="auto"/>
        <w:right w:val="none" w:sz="0" w:space="0" w:color="auto"/>
      </w:divBdr>
    </w:div>
    <w:div w:id="1483040712">
      <w:bodyDiv w:val="1"/>
      <w:marLeft w:val="0"/>
      <w:marRight w:val="0"/>
      <w:marTop w:val="0"/>
      <w:marBottom w:val="0"/>
      <w:divBdr>
        <w:top w:val="none" w:sz="0" w:space="0" w:color="auto"/>
        <w:left w:val="none" w:sz="0" w:space="0" w:color="auto"/>
        <w:bottom w:val="none" w:sz="0" w:space="0" w:color="auto"/>
        <w:right w:val="none" w:sz="0" w:space="0" w:color="auto"/>
      </w:divBdr>
    </w:div>
    <w:div w:id="1502310683">
      <w:bodyDiv w:val="1"/>
      <w:marLeft w:val="0"/>
      <w:marRight w:val="0"/>
      <w:marTop w:val="0"/>
      <w:marBottom w:val="0"/>
      <w:divBdr>
        <w:top w:val="none" w:sz="0" w:space="0" w:color="auto"/>
        <w:left w:val="none" w:sz="0" w:space="0" w:color="auto"/>
        <w:bottom w:val="none" w:sz="0" w:space="0" w:color="auto"/>
        <w:right w:val="none" w:sz="0" w:space="0" w:color="auto"/>
      </w:divBdr>
    </w:div>
    <w:div w:id="1511751566">
      <w:bodyDiv w:val="1"/>
      <w:marLeft w:val="0"/>
      <w:marRight w:val="0"/>
      <w:marTop w:val="0"/>
      <w:marBottom w:val="0"/>
      <w:divBdr>
        <w:top w:val="none" w:sz="0" w:space="0" w:color="auto"/>
        <w:left w:val="none" w:sz="0" w:space="0" w:color="auto"/>
        <w:bottom w:val="none" w:sz="0" w:space="0" w:color="auto"/>
        <w:right w:val="none" w:sz="0" w:space="0" w:color="auto"/>
      </w:divBdr>
    </w:div>
    <w:div w:id="1516460801">
      <w:bodyDiv w:val="1"/>
      <w:marLeft w:val="0"/>
      <w:marRight w:val="0"/>
      <w:marTop w:val="0"/>
      <w:marBottom w:val="0"/>
      <w:divBdr>
        <w:top w:val="none" w:sz="0" w:space="0" w:color="auto"/>
        <w:left w:val="none" w:sz="0" w:space="0" w:color="auto"/>
        <w:bottom w:val="none" w:sz="0" w:space="0" w:color="auto"/>
        <w:right w:val="none" w:sz="0" w:space="0" w:color="auto"/>
      </w:divBdr>
    </w:div>
    <w:div w:id="1516842417">
      <w:bodyDiv w:val="1"/>
      <w:marLeft w:val="0"/>
      <w:marRight w:val="0"/>
      <w:marTop w:val="0"/>
      <w:marBottom w:val="0"/>
      <w:divBdr>
        <w:top w:val="none" w:sz="0" w:space="0" w:color="auto"/>
        <w:left w:val="none" w:sz="0" w:space="0" w:color="auto"/>
        <w:bottom w:val="none" w:sz="0" w:space="0" w:color="auto"/>
        <w:right w:val="none" w:sz="0" w:space="0" w:color="auto"/>
      </w:divBdr>
    </w:div>
    <w:div w:id="1526362952">
      <w:bodyDiv w:val="1"/>
      <w:marLeft w:val="0"/>
      <w:marRight w:val="0"/>
      <w:marTop w:val="0"/>
      <w:marBottom w:val="0"/>
      <w:divBdr>
        <w:top w:val="none" w:sz="0" w:space="0" w:color="auto"/>
        <w:left w:val="none" w:sz="0" w:space="0" w:color="auto"/>
        <w:bottom w:val="none" w:sz="0" w:space="0" w:color="auto"/>
        <w:right w:val="none" w:sz="0" w:space="0" w:color="auto"/>
      </w:divBdr>
    </w:div>
    <w:div w:id="1531718980">
      <w:bodyDiv w:val="1"/>
      <w:marLeft w:val="0"/>
      <w:marRight w:val="0"/>
      <w:marTop w:val="0"/>
      <w:marBottom w:val="0"/>
      <w:divBdr>
        <w:top w:val="none" w:sz="0" w:space="0" w:color="auto"/>
        <w:left w:val="none" w:sz="0" w:space="0" w:color="auto"/>
        <w:bottom w:val="none" w:sz="0" w:space="0" w:color="auto"/>
        <w:right w:val="none" w:sz="0" w:space="0" w:color="auto"/>
      </w:divBdr>
    </w:div>
    <w:div w:id="1534146862">
      <w:bodyDiv w:val="1"/>
      <w:marLeft w:val="0"/>
      <w:marRight w:val="0"/>
      <w:marTop w:val="0"/>
      <w:marBottom w:val="0"/>
      <w:divBdr>
        <w:top w:val="none" w:sz="0" w:space="0" w:color="auto"/>
        <w:left w:val="none" w:sz="0" w:space="0" w:color="auto"/>
        <w:bottom w:val="none" w:sz="0" w:space="0" w:color="auto"/>
        <w:right w:val="none" w:sz="0" w:space="0" w:color="auto"/>
      </w:divBdr>
    </w:div>
    <w:div w:id="1558516711">
      <w:bodyDiv w:val="1"/>
      <w:marLeft w:val="0"/>
      <w:marRight w:val="0"/>
      <w:marTop w:val="0"/>
      <w:marBottom w:val="0"/>
      <w:divBdr>
        <w:top w:val="none" w:sz="0" w:space="0" w:color="auto"/>
        <w:left w:val="none" w:sz="0" w:space="0" w:color="auto"/>
        <w:bottom w:val="none" w:sz="0" w:space="0" w:color="auto"/>
        <w:right w:val="none" w:sz="0" w:space="0" w:color="auto"/>
      </w:divBdr>
    </w:div>
    <w:div w:id="1562640664">
      <w:bodyDiv w:val="1"/>
      <w:marLeft w:val="0"/>
      <w:marRight w:val="0"/>
      <w:marTop w:val="0"/>
      <w:marBottom w:val="0"/>
      <w:divBdr>
        <w:top w:val="none" w:sz="0" w:space="0" w:color="auto"/>
        <w:left w:val="none" w:sz="0" w:space="0" w:color="auto"/>
        <w:bottom w:val="none" w:sz="0" w:space="0" w:color="auto"/>
        <w:right w:val="none" w:sz="0" w:space="0" w:color="auto"/>
      </w:divBdr>
    </w:div>
    <w:div w:id="1598245300">
      <w:bodyDiv w:val="1"/>
      <w:marLeft w:val="0"/>
      <w:marRight w:val="0"/>
      <w:marTop w:val="0"/>
      <w:marBottom w:val="0"/>
      <w:divBdr>
        <w:top w:val="none" w:sz="0" w:space="0" w:color="auto"/>
        <w:left w:val="none" w:sz="0" w:space="0" w:color="auto"/>
        <w:bottom w:val="none" w:sz="0" w:space="0" w:color="auto"/>
        <w:right w:val="none" w:sz="0" w:space="0" w:color="auto"/>
      </w:divBdr>
    </w:div>
    <w:div w:id="1607927653">
      <w:bodyDiv w:val="1"/>
      <w:marLeft w:val="0"/>
      <w:marRight w:val="0"/>
      <w:marTop w:val="0"/>
      <w:marBottom w:val="0"/>
      <w:divBdr>
        <w:top w:val="none" w:sz="0" w:space="0" w:color="auto"/>
        <w:left w:val="none" w:sz="0" w:space="0" w:color="auto"/>
        <w:bottom w:val="none" w:sz="0" w:space="0" w:color="auto"/>
        <w:right w:val="none" w:sz="0" w:space="0" w:color="auto"/>
      </w:divBdr>
    </w:div>
    <w:div w:id="1635477638">
      <w:bodyDiv w:val="1"/>
      <w:marLeft w:val="0"/>
      <w:marRight w:val="0"/>
      <w:marTop w:val="0"/>
      <w:marBottom w:val="0"/>
      <w:divBdr>
        <w:top w:val="none" w:sz="0" w:space="0" w:color="auto"/>
        <w:left w:val="none" w:sz="0" w:space="0" w:color="auto"/>
        <w:bottom w:val="none" w:sz="0" w:space="0" w:color="auto"/>
        <w:right w:val="none" w:sz="0" w:space="0" w:color="auto"/>
      </w:divBdr>
      <w:divsChild>
        <w:div w:id="1074856672">
          <w:marLeft w:val="547"/>
          <w:marRight w:val="0"/>
          <w:marTop w:val="0"/>
          <w:marBottom w:val="0"/>
          <w:divBdr>
            <w:top w:val="none" w:sz="0" w:space="0" w:color="auto"/>
            <w:left w:val="none" w:sz="0" w:space="0" w:color="auto"/>
            <w:bottom w:val="none" w:sz="0" w:space="0" w:color="auto"/>
            <w:right w:val="none" w:sz="0" w:space="0" w:color="auto"/>
          </w:divBdr>
        </w:div>
        <w:div w:id="1728259759">
          <w:marLeft w:val="1166"/>
          <w:marRight w:val="0"/>
          <w:marTop w:val="0"/>
          <w:marBottom w:val="0"/>
          <w:divBdr>
            <w:top w:val="none" w:sz="0" w:space="0" w:color="auto"/>
            <w:left w:val="none" w:sz="0" w:space="0" w:color="auto"/>
            <w:bottom w:val="none" w:sz="0" w:space="0" w:color="auto"/>
            <w:right w:val="none" w:sz="0" w:space="0" w:color="auto"/>
          </w:divBdr>
        </w:div>
        <w:div w:id="1649506419">
          <w:marLeft w:val="1166"/>
          <w:marRight w:val="0"/>
          <w:marTop w:val="0"/>
          <w:marBottom w:val="0"/>
          <w:divBdr>
            <w:top w:val="none" w:sz="0" w:space="0" w:color="auto"/>
            <w:left w:val="none" w:sz="0" w:space="0" w:color="auto"/>
            <w:bottom w:val="none" w:sz="0" w:space="0" w:color="auto"/>
            <w:right w:val="none" w:sz="0" w:space="0" w:color="auto"/>
          </w:divBdr>
        </w:div>
        <w:div w:id="1204900410">
          <w:marLeft w:val="1166"/>
          <w:marRight w:val="0"/>
          <w:marTop w:val="0"/>
          <w:marBottom w:val="0"/>
          <w:divBdr>
            <w:top w:val="none" w:sz="0" w:space="0" w:color="auto"/>
            <w:left w:val="none" w:sz="0" w:space="0" w:color="auto"/>
            <w:bottom w:val="none" w:sz="0" w:space="0" w:color="auto"/>
            <w:right w:val="none" w:sz="0" w:space="0" w:color="auto"/>
          </w:divBdr>
        </w:div>
        <w:div w:id="1216546489">
          <w:marLeft w:val="1166"/>
          <w:marRight w:val="0"/>
          <w:marTop w:val="0"/>
          <w:marBottom w:val="0"/>
          <w:divBdr>
            <w:top w:val="none" w:sz="0" w:space="0" w:color="auto"/>
            <w:left w:val="none" w:sz="0" w:space="0" w:color="auto"/>
            <w:bottom w:val="none" w:sz="0" w:space="0" w:color="auto"/>
            <w:right w:val="none" w:sz="0" w:space="0" w:color="auto"/>
          </w:divBdr>
        </w:div>
        <w:div w:id="1452750801">
          <w:marLeft w:val="1166"/>
          <w:marRight w:val="0"/>
          <w:marTop w:val="0"/>
          <w:marBottom w:val="0"/>
          <w:divBdr>
            <w:top w:val="none" w:sz="0" w:space="0" w:color="auto"/>
            <w:left w:val="none" w:sz="0" w:space="0" w:color="auto"/>
            <w:bottom w:val="none" w:sz="0" w:space="0" w:color="auto"/>
            <w:right w:val="none" w:sz="0" w:space="0" w:color="auto"/>
          </w:divBdr>
        </w:div>
        <w:div w:id="1590624430">
          <w:marLeft w:val="1166"/>
          <w:marRight w:val="0"/>
          <w:marTop w:val="0"/>
          <w:marBottom w:val="0"/>
          <w:divBdr>
            <w:top w:val="none" w:sz="0" w:space="0" w:color="auto"/>
            <w:left w:val="none" w:sz="0" w:space="0" w:color="auto"/>
            <w:bottom w:val="none" w:sz="0" w:space="0" w:color="auto"/>
            <w:right w:val="none" w:sz="0" w:space="0" w:color="auto"/>
          </w:divBdr>
        </w:div>
        <w:div w:id="905527045">
          <w:marLeft w:val="1166"/>
          <w:marRight w:val="0"/>
          <w:marTop w:val="0"/>
          <w:marBottom w:val="0"/>
          <w:divBdr>
            <w:top w:val="none" w:sz="0" w:space="0" w:color="auto"/>
            <w:left w:val="none" w:sz="0" w:space="0" w:color="auto"/>
            <w:bottom w:val="none" w:sz="0" w:space="0" w:color="auto"/>
            <w:right w:val="none" w:sz="0" w:space="0" w:color="auto"/>
          </w:divBdr>
        </w:div>
        <w:div w:id="94177155">
          <w:marLeft w:val="1166"/>
          <w:marRight w:val="0"/>
          <w:marTop w:val="0"/>
          <w:marBottom w:val="0"/>
          <w:divBdr>
            <w:top w:val="none" w:sz="0" w:space="0" w:color="auto"/>
            <w:left w:val="none" w:sz="0" w:space="0" w:color="auto"/>
            <w:bottom w:val="none" w:sz="0" w:space="0" w:color="auto"/>
            <w:right w:val="none" w:sz="0" w:space="0" w:color="auto"/>
          </w:divBdr>
        </w:div>
        <w:div w:id="638414808">
          <w:marLeft w:val="1166"/>
          <w:marRight w:val="0"/>
          <w:marTop w:val="0"/>
          <w:marBottom w:val="0"/>
          <w:divBdr>
            <w:top w:val="none" w:sz="0" w:space="0" w:color="auto"/>
            <w:left w:val="none" w:sz="0" w:space="0" w:color="auto"/>
            <w:bottom w:val="none" w:sz="0" w:space="0" w:color="auto"/>
            <w:right w:val="none" w:sz="0" w:space="0" w:color="auto"/>
          </w:divBdr>
        </w:div>
      </w:divsChild>
    </w:div>
    <w:div w:id="1653367124">
      <w:bodyDiv w:val="1"/>
      <w:marLeft w:val="0"/>
      <w:marRight w:val="0"/>
      <w:marTop w:val="0"/>
      <w:marBottom w:val="0"/>
      <w:divBdr>
        <w:top w:val="none" w:sz="0" w:space="0" w:color="auto"/>
        <w:left w:val="none" w:sz="0" w:space="0" w:color="auto"/>
        <w:bottom w:val="none" w:sz="0" w:space="0" w:color="auto"/>
        <w:right w:val="none" w:sz="0" w:space="0" w:color="auto"/>
      </w:divBdr>
    </w:div>
    <w:div w:id="1662931357">
      <w:bodyDiv w:val="1"/>
      <w:marLeft w:val="0"/>
      <w:marRight w:val="0"/>
      <w:marTop w:val="0"/>
      <w:marBottom w:val="0"/>
      <w:divBdr>
        <w:top w:val="none" w:sz="0" w:space="0" w:color="auto"/>
        <w:left w:val="none" w:sz="0" w:space="0" w:color="auto"/>
        <w:bottom w:val="none" w:sz="0" w:space="0" w:color="auto"/>
        <w:right w:val="none" w:sz="0" w:space="0" w:color="auto"/>
      </w:divBdr>
    </w:div>
    <w:div w:id="1680497614">
      <w:bodyDiv w:val="1"/>
      <w:marLeft w:val="0"/>
      <w:marRight w:val="0"/>
      <w:marTop w:val="0"/>
      <w:marBottom w:val="0"/>
      <w:divBdr>
        <w:top w:val="none" w:sz="0" w:space="0" w:color="auto"/>
        <w:left w:val="none" w:sz="0" w:space="0" w:color="auto"/>
        <w:bottom w:val="none" w:sz="0" w:space="0" w:color="auto"/>
        <w:right w:val="none" w:sz="0" w:space="0" w:color="auto"/>
      </w:divBdr>
    </w:div>
    <w:div w:id="1684015952">
      <w:bodyDiv w:val="1"/>
      <w:marLeft w:val="0"/>
      <w:marRight w:val="0"/>
      <w:marTop w:val="0"/>
      <w:marBottom w:val="0"/>
      <w:divBdr>
        <w:top w:val="none" w:sz="0" w:space="0" w:color="auto"/>
        <w:left w:val="none" w:sz="0" w:space="0" w:color="auto"/>
        <w:bottom w:val="none" w:sz="0" w:space="0" w:color="auto"/>
        <w:right w:val="none" w:sz="0" w:space="0" w:color="auto"/>
      </w:divBdr>
    </w:div>
    <w:div w:id="1689059989">
      <w:bodyDiv w:val="1"/>
      <w:marLeft w:val="0"/>
      <w:marRight w:val="0"/>
      <w:marTop w:val="0"/>
      <w:marBottom w:val="0"/>
      <w:divBdr>
        <w:top w:val="none" w:sz="0" w:space="0" w:color="auto"/>
        <w:left w:val="none" w:sz="0" w:space="0" w:color="auto"/>
        <w:bottom w:val="none" w:sz="0" w:space="0" w:color="auto"/>
        <w:right w:val="none" w:sz="0" w:space="0" w:color="auto"/>
      </w:divBdr>
    </w:div>
    <w:div w:id="1693797248">
      <w:bodyDiv w:val="1"/>
      <w:marLeft w:val="0"/>
      <w:marRight w:val="0"/>
      <w:marTop w:val="0"/>
      <w:marBottom w:val="0"/>
      <w:divBdr>
        <w:top w:val="none" w:sz="0" w:space="0" w:color="auto"/>
        <w:left w:val="none" w:sz="0" w:space="0" w:color="auto"/>
        <w:bottom w:val="none" w:sz="0" w:space="0" w:color="auto"/>
        <w:right w:val="none" w:sz="0" w:space="0" w:color="auto"/>
      </w:divBdr>
    </w:div>
    <w:div w:id="1704474906">
      <w:bodyDiv w:val="1"/>
      <w:marLeft w:val="0"/>
      <w:marRight w:val="0"/>
      <w:marTop w:val="0"/>
      <w:marBottom w:val="0"/>
      <w:divBdr>
        <w:top w:val="none" w:sz="0" w:space="0" w:color="auto"/>
        <w:left w:val="none" w:sz="0" w:space="0" w:color="auto"/>
        <w:bottom w:val="none" w:sz="0" w:space="0" w:color="auto"/>
        <w:right w:val="none" w:sz="0" w:space="0" w:color="auto"/>
      </w:divBdr>
    </w:div>
    <w:div w:id="1712144619">
      <w:bodyDiv w:val="1"/>
      <w:marLeft w:val="0"/>
      <w:marRight w:val="0"/>
      <w:marTop w:val="0"/>
      <w:marBottom w:val="0"/>
      <w:divBdr>
        <w:top w:val="none" w:sz="0" w:space="0" w:color="auto"/>
        <w:left w:val="none" w:sz="0" w:space="0" w:color="auto"/>
        <w:bottom w:val="none" w:sz="0" w:space="0" w:color="auto"/>
        <w:right w:val="none" w:sz="0" w:space="0" w:color="auto"/>
      </w:divBdr>
    </w:div>
    <w:div w:id="1717700783">
      <w:bodyDiv w:val="1"/>
      <w:marLeft w:val="0"/>
      <w:marRight w:val="0"/>
      <w:marTop w:val="0"/>
      <w:marBottom w:val="0"/>
      <w:divBdr>
        <w:top w:val="none" w:sz="0" w:space="0" w:color="auto"/>
        <w:left w:val="none" w:sz="0" w:space="0" w:color="auto"/>
        <w:bottom w:val="none" w:sz="0" w:space="0" w:color="auto"/>
        <w:right w:val="none" w:sz="0" w:space="0" w:color="auto"/>
      </w:divBdr>
    </w:div>
    <w:div w:id="1769690976">
      <w:bodyDiv w:val="1"/>
      <w:marLeft w:val="0"/>
      <w:marRight w:val="0"/>
      <w:marTop w:val="0"/>
      <w:marBottom w:val="0"/>
      <w:divBdr>
        <w:top w:val="none" w:sz="0" w:space="0" w:color="auto"/>
        <w:left w:val="none" w:sz="0" w:space="0" w:color="auto"/>
        <w:bottom w:val="none" w:sz="0" w:space="0" w:color="auto"/>
        <w:right w:val="none" w:sz="0" w:space="0" w:color="auto"/>
      </w:divBdr>
    </w:div>
    <w:div w:id="1800536714">
      <w:bodyDiv w:val="1"/>
      <w:marLeft w:val="0"/>
      <w:marRight w:val="0"/>
      <w:marTop w:val="0"/>
      <w:marBottom w:val="0"/>
      <w:divBdr>
        <w:top w:val="none" w:sz="0" w:space="0" w:color="auto"/>
        <w:left w:val="none" w:sz="0" w:space="0" w:color="auto"/>
        <w:bottom w:val="none" w:sz="0" w:space="0" w:color="auto"/>
        <w:right w:val="none" w:sz="0" w:space="0" w:color="auto"/>
      </w:divBdr>
    </w:div>
    <w:div w:id="1813668417">
      <w:bodyDiv w:val="1"/>
      <w:marLeft w:val="0"/>
      <w:marRight w:val="0"/>
      <w:marTop w:val="0"/>
      <w:marBottom w:val="0"/>
      <w:divBdr>
        <w:top w:val="none" w:sz="0" w:space="0" w:color="auto"/>
        <w:left w:val="none" w:sz="0" w:space="0" w:color="auto"/>
        <w:bottom w:val="none" w:sz="0" w:space="0" w:color="auto"/>
        <w:right w:val="none" w:sz="0" w:space="0" w:color="auto"/>
      </w:divBdr>
    </w:div>
    <w:div w:id="1816684166">
      <w:bodyDiv w:val="1"/>
      <w:marLeft w:val="0"/>
      <w:marRight w:val="0"/>
      <w:marTop w:val="0"/>
      <w:marBottom w:val="0"/>
      <w:divBdr>
        <w:top w:val="none" w:sz="0" w:space="0" w:color="auto"/>
        <w:left w:val="none" w:sz="0" w:space="0" w:color="auto"/>
        <w:bottom w:val="none" w:sz="0" w:space="0" w:color="auto"/>
        <w:right w:val="none" w:sz="0" w:space="0" w:color="auto"/>
      </w:divBdr>
    </w:div>
    <w:div w:id="1836412096">
      <w:bodyDiv w:val="1"/>
      <w:marLeft w:val="0"/>
      <w:marRight w:val="0"/>
      <w:marTop w:val="0"/>
      <w:marBottom w:val="0"/>
      <w:divBdr>
        <w:top w:val="none" w:sz="0" w:space="0" w:color="auto"/>
        <w:left w:val="none" w:sz="0" w:space="0" w:color="auto"/>
        <w:bottom w:val="none" w:sz="0" w:space="0" w:color="auto"/>
        <w:right w:val="none" w:sz="0" w:space="0" w:color="auto"/>
      </w:divBdr>
    </w:div>
    <w:div w:id="1862234663">
      <w:bodyDiv w:val="1"/>
      <w:marLeft w:val="0"/>
      <w:marRight w:val="0"/>
      <w:marTop w:val="0"/>
      <w:marBottom w:val="0"/>
      <w:divBdr>
        <w:top w:val="none" w:sz="0" w:space="0" w:color="auto"/>
        <w:left w:val="none" w:sz="0" w:space="0" w:color="auto"/>
        <w:bottom w:val="none" w:sz="0" w:space="0" w:color="auto"/>
        <w:right w:val="none" w:sz="0" w:space="0" w:color="auto"/>
      </w:divBdr>
    </w:div>
    <w:div w:id="1884753618">
      <w:bodyDiv w:val="1"/>
      <w:marLeft w:val="0"/>
      <w:marRight w:val="0"/>
      <w:marTop w:val="0"/>
      <w:marBottom w:val="0"/>
      <w:divBdr>
        <w:top w:val="none" w:sz="0" w:space="0" w:color="auto"/>
        <w:left w:val="none" w:sz="0" w:space="0" w:color="auto"/>
        <w:bottom w:val="none" w:sz="0" w:space="0" w:color="auto"/>
        <w:right w:val="none" w:sz="0" w:space="0" w:color="auto"/>
      </w:divBdr>
    </w:div>
    <w:div w:id="1885868511">
      <w:bodyDiv w:val="1"/>
      <w:marLeft w:val="0"/>
      <w:marRight w:val="0"/>
      <w:marTop w:val="0"/>
      <w:marBottom w:val="0"/>
      <w:divBdr>
        <w:top w:val="none" w:sz="0" w:space="0" w:color="auto"/>
        <w:left w:val="none" w:sz="0" w:space="0" w:color="auto"/>
        <w:bottom w:val="none" w:sz="0" w:space="0" w:color="auto"/>
        <w:right w:val="none" w:sz="0" w:space="0" w:color="auto"/>
      </w:divBdr>
    </w:div>
    <w:div w:id="1891377384">
      <w:bodyDiv w:val="1"/>
      <w:marLeft w:val="0"/>
      <w:marRight w:val="0"/>
      <w:marTop w:val="0"/>
      <w:marBottom w:val="0"/>
      <w:divBdr>
        <w:top w:val="none" w:sz="0" w:space="0" w:color="auto"/>
        <w:left w:val="none" w:sz="0" w:space="0" w:color="auto"/>
        <w:bottom w:val="none" w:sz="0" w:space="0" w:color="auto"/>
        <w:right w:val="none" w:sz="0" w:space="0" w:color="auto"/>
      </w:divBdr>
    </w:div>
    <w:div w:id="1901331031">
      <w:bodyDiv w:val="1"/>
      <w:marLeft w:val="0"/>
      <w:marRight w:val="0"/>
      <w:marTop w:val="0"/>
      <w:marBottom w:val="0"/>
      <w:divBdr>
        <w:top w:val="none" w:sz="0" w:space="0" w:color="auto"/>
        <w:left w:val="none" w:sz="0" w:space="0" w:color="auto"/>
        <w:bottom w:val="none" w:sz="0" w:space="0" w:color="auto"/>
        <w:right w:val="none" w:sz="0" w:space="0" w:color="auto"/>
      </w:divBdr>
    </w:div>
    <w:div w:id="1903174727">
      <w:bodyDiv w:val="1"/>
      <w:marLeft w:val="0"/>
      <w:marRight w:val="0"/>
      <w:marTop w:val="0"/>
      <w:marBottom w:val="0"/>
      <w:divBdr>
        <w:top w:val="none" w:sz="0" w:space="0" w:color="auto"/>
        <w:left w:val="none" w:sz="0" w:space="0" w:color="auto"/>
        <w:bottom w:val="none" w:sz="0" w:space="0" w:color="auto"/>
        <w:right w:val="none" w:sz="0" w:space="0" w:color="auto"/>
      </w:divBdr>
    </w:div>
    <w:div w:id="1955868800">
      <w:bodyDiv w:val="1"/>
      <w:marLeft w:val="0"/>
      <w:marRight w:val="0"/>
      <w:marTop w:val="0"/>
      <w:marBottom w:val="0"/>
      <w:divBdr>
        <w:top w:val="none" w:sz="0" w:space="0" w:color="auto"/>
        <w:left w:val="none" w:sz="0" w:space="0" w:color="auto"/>
        <w:bottom w:val="none" w:sz="0" w:space="0" w:color="auto"/>
        <w:right w:val="none" w:sz="0" w:space="0" w:color="auto"/>
      </w:divBdr>
    </w:div>
    <w:div w:id="1958638578">
      <w:bodyDiv w:val="1"/>
      <w:marLeft w:val="0"/>
      <w:marRight w:val="0"/>
      <w:marTop w:val="0"/>
      <w:marBottom w:val="0"/>
      <w:divBdr>
        <w:top w:val="none" w:sz="0" w:space="0" w:color="auto"/>
        <w:left w:val="none" w:sz="0" w:space="0" w:color="auto"/>
        <w:bottom w:val="none" w:sz="0" w:space="0" w:color="auto"/>
        <w:right w:val="none" w:sz="0" w:space="0" w:color="auto"/>
      </w:divBdr>
    </w:div>
    <w:div w:id="1987464897">
      <w:bodyDiv w:val="1"/>
      <w:marLeft w:val="0"/>
      <w:marRight w:val="0"/>
      <w:marTop w:val="0"/>
      <w:marBottom w:val="0"/>
      <w:divBdr>
        <w:top w:val="none" w:sz="0" w:space="0" w:color="auto"/>
        <w:left w:val="none" w:sz="0" w:space="0" w:color="auto"/>
        <w:bottom w:val="none" w:sz="0" w:space="0" w:color="auto"/>
        <w:right w:val="none" w:sz="0" w:space="0" w:color="auto"/>
      </w:divBdr>
    </w:div>
    <w:div w:id="2000113808">
      <w:bodyDiv w:val="1"/>
      <w:marLeft w:val="0"/>
      <w:marRight w:val="0"/>
      <w:marTop w:val="0"/>
      <w:marBottom w:val="0"/>
      <w:divBdr>
        <w:top w:val="none" w:sz="0" w:space="0" w:color="auto"/>
        <w:left w:val="none" w:sz="0" w:space="0" w:color="auto"/>
        <w:bottom w:val="none" w:sz="0" w:space="0" w:color="auto"/>
        <w:right w:val="none" w:sz="0" w:space="0" w:color="auto"/>
      </w:divBdr>
    </w:div>
    <w:div w:id="2002929238">
      <w:bodyDiv w:val="1"/>
      <w:marLeft w:val="0"/>
      <w:marRight w:val="0"/>
      <w:marTop w:val="0"/>
      <w:marBottom w:val="0"/>
      <w:divBdr>
        <w:top w:val="none" w:sz="0" w:space="0" w:color="auto"/>
        <w:left w:val="none" w:sz="0" w:space="0" w:color="auto"/>
        <w:bottom w:val="none" w:sz="0" w:space="0" w:color="auto"/>
        <w:right w:val="none" w:sz="0" w:space="0" w:color="auto"/>
      </w:divBdr>
    </w:div>
    <w:div w:id="2005428013">
      <w:bodyDiv w:val="1"/>
      <w:marLeft w:val="0"/>
      <w:marRight w:val="0"/>
      <w:marTop w:val="0"/>
      <w:marBottom w:val="0"/>
      <w:divBdr>
        <w:top w:val="none" w:sz="0" w:space="0" w:color="auto"/>
        <w:left w:val="none" w:sz="0" w:space="0" w:color="auto"/>
        <w:bottom w:val="none" w:sz="0" w:space="0" w:color="auto"/>
        <w:right w:val="none" w:sz="0" w:space="0" w:color="auto"/>
      </w:divBdr>
    </w:div>
    <w:div w:id="2006087238">
      <w:bodyDiv w:val="1"/>
      <w:marLeft w:val="0"/>
      <w:marRight w:val="0"/>
      <w:marTop w:val="0"/>
      <w:marBottom w:val="0"/>
      <w:divBdr>
        <w:top w:val="none" w:sz="0" w:space="0" w:color="auto"/>
        <w:left w:val="none" w:sz="0" w:space="0" w:color="auto"/>
        <w:bottom w:val="none" w:sz="0" w:space="0" w:color="auto"/>
        <w:right w:val="none" w:sz="0" w:space="0" w:color="auto"/>
      </w:divBdr>
    </w:div>
    <w:div w:id="2020428546">
      <w:bodyDiv w:val="1"/>
      <w:marLeft w:val="0"/>
      <w:marRight w:val="0"/>
      <w:marTop w:val="0"/>
      <w:marBottom w:val="0"/>
      <w:divBdr>
        <w:top w:val="none" w:sz="0" w:space="0" w:color="auto"/>
        <w:left w:val="none" w:sz="0" w:space="0" w:color="auto"/>
        <w:bottom w:val="none" w:sz="0" w:space="0" w:color="auto"/>
        <w:right w:val="none" w:sz="0" w:space="0" w:color="auto"/>
      </w:divBdr>
    </w:div>
    <w:div w:id="2025205966">
      <w:bodyDiv w:val="1"/>
      <w:marLeft w:val="0"/>
      <w:marRight w:val="0"/>
      <w:marTop w:val="0"/>
      <w:marBottom w:val="0"/>
      <w:divBdr>
        <w:top w:val="none" w:sz="0" w:space="0" w:color="auto"/>
        <w:left w:val="none" w:sz="0" w:space="0" w:color="auto"/>
        <w:bottom w:val="none" w:sz="0" w:space="0" w:color="auto"/>
        <w:right w:val="none" w:sz="0" w:space="0" w:color="auto"/>
      </w:divBdr>
    </w:div>
    <w:div w:id="2028556417">
      <w:bodyDiv w:val="1"/>
      <w:marLeft w:val="0"/>
      <w:marRight w:val="0"/>
      <w:marTop w:val="0"/>
      <w:marBottom w:val="0"/>
      <w:divBdr>
        <w:top w:val="none" w:sz="0" w:space="0" w:color="auto"/>
        <w:left w:val="none" w:sz="0" w:space="0" w:color="auto"/>
        <w:bottom w:val="none" w:sz="0" w:space="0" w:color="auto"/>
        <w:right w:val="none" w:sz="0" w:space="0" w:color="auto"/>
      </w:divBdr>
    </w:div>
    <w:div w:id="2029091850">
      <w:bodyDiv w:val="1"/>
      <w:marLeft w:val="0"/>
      <w:marRight w:val="0"/>
      <w:marTop w:val="0"/>
      <w:marBottom w:val="0"/>
      <w:divBdr>
        <w:top w:val="none" w:sz="0" w:space="0" w:color="auto"/>
        <w:left w:val="none" w:sz="0" w:space="0" w:color="auto"/>
        <w:bottom w:val="none" w:sz="0" w:space="0" w:color="auto"/>
        <w:right w:val="none" w:sz="0" w:space="0" w:color="auto"/>
      </w:divBdr>
    </w:div>
    <w:div w:id="2033917589">
      <w:bodyDiv w:val="1"/>
      <w:marLeft w:val="0"/>
      <w:marRight w:val="0"/>
      <w:marTop w:val="0"/>
      <w:marBottom w:val="0"/>
      <w:divBdr>
        <w:top w:val="none" w:sz="0" w:space="0" w:color="auto"/>
        <w:left w:val="none" w:sz="0" w:space="0" w:color="auto"/>
        <w:bottom w:val="none" w:sz="0" w:space="0" w:color="auto"/>
        <w:right w:val="none" w:sz="0" w:space="0" w:color="auto"/>
      </w:divBdr>
    </w:div>
    <w:div w:id="2038314681">
      <w:bodyDiv w:val="1"/>
      <w:marLeft w:val="0"/>
      <w:marRight w:val="0"/>
      <w:marTop w:val="0"/>
      <w:marBottom w:val="0"/>
      <w:divBdr>
        <w:top w:val="none" w:sz="0" w:space="0" w:color="auto"/>
        <w:left w:val="none" w:sz="0" w:space="0" w:color="auto"/>
        <w:bottom w:val="none" w:sz="0" w:space="0" w:color="auto"/>
        <w:right w:val="none" w:sz="0" w:space="0" w:color="auto"/>
      </w:divBdr>
    </w:div>
    <w:div w:id="2040474316">
      <w:bodyDiv w:val="1"/>
      <w:marLeft w:val="0"/>
      <w:marRight w:val="0"/>
      <w:marTop w:val="0"/>
      <w:marBottom w:val="0"/>
      <w:divBdr>
        <w:top w:val="none" w:sz="0" w:space="0" w:color="auto"/>
        <w:left w:val="none" w:sz="0" w:space="0" w:color="auto"/>
        <w:bottom w:val="none" w:sz="0" w:space="0" w:color="auto"/>
        <w:right w:val="none" w:sz="0" w:space="0" w:color="auto"/>
      </w:divBdr>
    </w:div>
    <w:div w:id="2075352678">
      <w:bodyDiv w:val="1"/>
      <w:marLeft w:val="0"/>
      <w:marRight w:val="0"/>
      <w:marTop w:val="0"/>
      <w:marBottom w:val="0"/>
      <w:divBdr>
        <w:top w:val="none" w:sz="0" w:space="0" w:color="auto"/>
        <w:left w:val="none" w:sz="0" w:space="0" w:color="auto"/>
        <w:bottom w:val="none" w:sz="0" w:space="0" w:color="auto"/>
        <w:right w:val="none" w:sz="0" w:space="0" w:color="auto"/>
      </w:divBdr>
    </w:div>
    <w:div w:id="2083134290">
      <w:bodyDiv w:val="1"/>
      <w:marLeft w:val="0"/>
      <w:marRight w:val="0"/>
      <w:marTop w:val="0"/>
      <w:marBottom w:val="0"/>
      <w:divBdr>
        <w:top w:val="none" w:sz="0" w:space="0" w:color="auto"/>
        <w:left w:val="none" w:sz="0" w:space="0" w:color="auto"/>
        <w:bottom w:val="none" w:sz="0" w:space="0" w:color="auto"/>
        <w:right w:val="none" w:sz="0" w:space="0" w:color="auto"/>
      </w:divBdr>
      <w:divsChild>
        <w:div w:id="590699346">
          <w:marLeft w:val="547"/>
          <w:marRight w:val="0"/>
          <w:marTop w:val="0"/>
          <w:marBottom w:val="0"/>
          <w:divBdr>
            <w:top w:val="none" w:sz="0" w:space="0" w:color="auto"/>
            <w:left w:val="none" w:sz="0" w:space="0" w:color="auto"/>
            <w:bottom w:val="none" w:sz="0" w:space="0" w:color="auto"/>
            <w:right w:val="none" w:sz="0" w:space="0" w:color="auto"/>
          </w:divBdr>
        </w:div>
      </w:divsChild>
    </w:div>
    <w:div w:id="2105220578">
      <w:bodyDiv w:val="1"/>
      <w:marLeft w:val="0"/>
      <w:marRight w:val="0"/>
      <w:marTop w:val="0"/>
      <w:marBottom w:val="0"/>
      <w:divBdr>
        <w:top w:val="none" w:sz="0" w:space="0" w:color="auto"/>
        <w:left w:val="none" w:sz="0" w:space="0" w:color="auto"/>
        <w:bottom w:val="none" w:sz="0" w:space="0" w:color="auto"/>
        <w:right w:val="none" w:sz="0" w:space="0" w:color="auto"/>
      </w:divBdr>
    </w:div>
    <w:div w:id="2108381474">
      <w:bodyDiv w:val="1"/>
      <w:marLeft w:val="0"/>
      <w:marRight w:val="0"/>
      <w:marTop w:val="0"/>
      <w:marBottom w:val="0"/>
      <w:divBdr>
        <w:top w:val="none" w:sz="0" w:space="0" w:color="auto"/>
        <w:left w:val="none" w:sz="0" w:space="0" w:color="auto"/>
        <w:bottom w:val="none" w:sz="0" w:space="0" w:color="auto"/>
        <w:right w:val="none" w:sz="0" w:space="0" w:color="auto"/>
      </w:divBdr>
    </w:div>
    <w:div w:id="2122214754">
      <w:bodyDiv w:val="1"/>
      <w:marLeft w:val="0"/>
      <w:marRight w:val="0"/>
      <w:marTop w:val="0"/>
      <w:marBottom w:val="0"/>
      <w:divBdr>
        <w:top w:val="none" w:sz="0" w:space="0" w:color="auto"/>
        <w:left w:val="none" w:sz="0" w:space="0" w:color="auto"/>
        <w:bottom w:val="none" w:sz="0" w:space="0" w:color="auto"/>
        <w:right w:val="none" w:sz="0" w:space="0" w:color="auto"/>
      </w:divBdr>
    </w:div>
    <w:div w:id="2122601133">
      <w:bodyDiv w:val="1"/>
      <w:marLeft w:val="0"/>
      <w:marRight w:val="0"/>
      <w:marTop w:val="0"/>
      <w:marBottom w:val="0"/>
      <w:divBdr>
        <w:top w:val="none" w:sz="0" w:space="0" w:color="auto"/>
        <w:left w:val="none" w:sz="0" w:space="0" w:color="auto"/>
        <w:bottom w:val="none" w:sz="0" w:space="0" w:color="auto"/>
        <w:right w:val="none" w:sz="0" w:space="0" w:color="auto"/>
      </w:divBdr>
    </w:div>
    <w:div w:id="2134321726">
      <w:bodyDiv w:val="1"/>
      <w:marLeft w:val="0"/>
      <w:marRight w:val="0"/>
      <w:marTop w:val="0"/>
      <w:marBottom w:val="0"/>
      <w:divBdr>
        <w:top w:val="none" w:sz="0" w:space="0" w:color="auto"/>
        <w:left w:val="none" w:sz="0" w:space="0" w:color="auto"/>
        <w:bottom w:val="none" w:sz="0" w:space="0" w:color="auto"/>
        <w:right w:val="none" w:sz="0" w:space="0" w:color="auto"/>
      </w:divBdr>
    </w:div>
    <w:div w:id="2134592479">
      <w:bodyDiv w:val="1"/>
      <w:marLeft w:val="0"/>
      <w:marRight w:val="0"/>
      <w:marTop w:val="0"/>
      <w:marBottom w:val="0"/>
      <w:divBdr>
        <w:top w:val="none" w:sz="0" w:space="0" w:color="auto"/>
        <w:left w:val="none" w:sz="0" w:space="0" w:color="auto"/>
        <w:bottom w:val="none" w:sz="0" w:space="0" w:color="auto"/>
        <w:right w:val="none" w:sz="0" w:space="0" w:color="auto"/>
      </w:divBdr>
    </w:div>
    <w:div w:id="2134597152">
      <w:bodyDiv w:val="1"/>
      <w:marLeft w:val="0"/>
      <w:marRight w:val="0"/>
      <w:marTop w:val="0"/>
      <w:marBottom w:val="0"/>
      <w:divBdr>
        <w:top w:val="none" w:sz="0" w:space="0" w:color="auto"/>
        <w:left w:val="none" w:sz="0" w:space="0" w:color="auto"/>
        <w:bottom w:val="none" w:sz="0" w:space="0" w:color="auto"/>
        <w:right w:val="none" w:sz="0" w:space="0" w:color="auto"/>
      </w:divBdr>
    </w:div>
    <w:div w:id="2139449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QuickStyle" Target="diagrams/quickStyle1.xml"/><Relationship Id="rId18" Type="http://schemas.openxmlformats.org/officeDocument/2006/relationships/chart" Target="charts/chart3.xml"/><Relationship Id="rId26" Type="http://schemas.openxmlformats.org/officeDocument/2006/relationships/chart" Target="charts/chart11.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6.xml"/><Relationship Id="rId34" Type="http://schemas.openxmlformats.org/officeDocument/2006/relationships/chart" Target="charts/chart19.xml"/><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chart" Target="charts/chart2.xml"/><Relationship Id="rId25" Type="http://schemas.openxmlformats.org/officeDocument/2006/relationships/chart" Target="charts/chart10.xml"/><Relationship Id="rId33" Type="http://schemas.openxmlformats.org/officeDocument/2006/relationships/chart" Target="charts/chart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5.xml"/><Relationship Id="rId29" Type="http://schemas.openxmlformats.org/officeDocument/2006/relationships/chart" Target="charts/chart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chart" Target="charts/chart9.xml"/><Relationship Id="rId32" Type="http://schemas.openxmlformats.org/officeDocument/2006/relationships/chart" Target="charts/chart17.xml"/><Relationship Id="rId37" Type="http://schemas.openxmlformats.org/officeDocument/2006/relationships/chart" Target="charts/chart22.xm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chart" Target="charts/chart8.xml"/><Relationship Id="rId28" Type="http://schemas.openxmlformats.org/officeDocument/2006/relationships/chart" Target="charts/chart13.xml"/><Relationship Id="rId36" Type="http://schemas.openxmlformats.org/officeDocument/2006/relationships/chart" Target="charts/chart21.xml"/><Relationship Id="rId10" Type="http://schemas.openxmlformats.org/officeDocument/2006/relationships/footer" Target="footer1.xml"/><Relationship Id="rId19" Type="http://schemas.openxmlformats.org/officeDocument/2006/relationships/chart" Target="charts/chart4.xml"/><Relationship Id="rId31" Type="http://schemas.openxmlformats.org/officeDocument/2006/relationships/chart" Target="charts/chart16.xml"/><Relationship Id="rId4" Type="http://schemas.openxmlformats.org/officeDocument/2006/relationships/settings" Target="settings.xml"/><Relationship Id="rId9" Type="http://schemas.openxmlformats.org/officeDocument/2006/relationships/hyperlink" Target="mailto:fafroz171019@bba-ais.uiu.ac.bd" TargetMode="External"/><Relationship Id="rId14" Type="http://schemas.openxmlformats.org/officeDocument/2006/relationships/diagramColors" Target="diagrams/colors1.xml"/><Relationship Id="rId22" Type="http://schemas.openxmlformats.org/officeDocument/2006/relationships/chart" Target="charts/chart7.xml"/><Relationship Id="rId27" Type="http://schemas.openxmlformats.org/officeDocument/2006/relationships/chart" Target="charts/chart12.xml"/><Relationship Id="rId30" Type="http://schemas.openxmlformats.org/officeDocument/2006/relationships/chart" Target="charts/chart15.xml"/><Relationship Id="rId35" Type="http://schemas.openxmlformats.org/officeDocument/2006/relationships/chart" Target="charts/chart20.xml"/></Relationships>
</file>

<file path=word/charts/_rels/chart1.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oleObject" Target="file:///G:\Project\Final\Graphs.xlsx" TargetMode="External"/><Relationship Id="rId2" Type="http://schemas.microsoft.com/office/2011/relationships/chartColorStyle" Target="colors22.xml"/><Relationship Id="rId1" Type="http://schemas.microsoft.com/office/2011/relationships/chartStyle" Target="style2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ROE!$B$1</c:f>
              <c:strCache>
                <c:ptCount val="1"/>
                <c:pt idx="0">
                  <c:v>Average ROE</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ROE!$A$2:$A$23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ROE!$B$2:$B$23</c:f>
              <c:numCache>
                <c:formatCode>0%</c:formatCode>
                <c:ptCount val="22"/>
                <c:pt idx="0">
                  <c:v>2.5319999999999999E-2</c:v>
                </c:pt>
                <c:pt idx="1">
                  <c:v>0.10213999999999998</c:v>
                </c:pt>
                <c:pt idx="2">
                  <c:v>0.18631999999999999</c:v>
                </c:pt>
                <c:pt idx="3">
                  <c:v>7.985236071949306E-2</c:v>
                </c:pt>
                <c:pt idx="4">
                  <c:v>0.95120000000000005</c:v>
                </c:pt>
                <c:pt idx="5">
                  <c:v>0.15920000000000001</c:v>
                </c:pt>
                <c:pt idx="6">
                  <c:v>0.1313</c:v>
                </c:pt>
                <c:pt idx="7">
                  <c:v>9.64E-2</c:v>
                </c:pt>
                <c:pt idx="8">
                  <c:v>0.13166</c:v>
                </c:pt>
                <c:pt idx="9">
                  <c:v>0.13694000000000001</c:v>
                </c:pt>
                <c:pt idx="10">
                  <c:v>0.14843999999999999</c:v>
                </c:pt>
                <c:pt idx="11">
                  <c:v>0.1265</c:v>
                </c:pt>
                <c:pt idx="12">
                  <c:v>0.22884000000000002</c:v>
                </c:pt>
                <c:pt idx="13">
                  <c:v>0.74619999999999997</c:v>
                </c:pt>
                <c:pt idx="14">
                  <c:v>0.14466000000000001</c:v>
                </c:pt>
                <c:pt idx="15">
                  <c:v>7.1640000000000009E-2</c:v>
                </c:pt>
                <c:pt idx="16">
                  <c:v>0.13606913008467453</c:v>
                </c:pt>
                <c:pt idx="17">
                  <c:v>8.6220000000000005E-2</c:v>
                </c:pt>
                <c:pt idx="18">
                  <c:v>9.9080000000000001E-2</c:v>
                </c:pt>
                <c:pt idx="19">
                  <c:v>0.16294000000000003</c:v>
                </c:pt>
                <c:pt idx="20">
                  <c:v>0.1066</c:v>
                </c:pt>
                <c:pt idx="21">
                  <c:v>0.11542467347260503</c:v>
                </c:pt>
              </c:numCache>
            </c:numRef>
          </c:val>
          <c:extLst>
            <c:ext xmlns:c16="http://schemas.microsoft.com/office/drawing/2014/chart" uri="{C3380CC4-5D6E-409C-BE32-E72D297353CC}">
              <c16:uniqueId val="{00000000-346C-485C-B83F-80B137E9FADA}"/>
            </c:ext>
          </c:extLst>
        </c:ser>
        <c:dLbls>
          <c:showLegendKey val="0"/>
          <c:showVal val="0"/>
          <c:showCatName val="0"/>
          <c:showSerName val="0"/>
          <c:showPercent val="0"/>
          <c:showBubbleSize val="0"/>
        </c:dLbls>
        <c:gapWidth val="55"/>
        <c:gapDepth val="55"/>
        <c:shape val="box"/>
        <c:axId val="598105448"/>
        <c:axId val="598105840"/>
        <c:axId val="0"/>
      </c:bar3DChart>
      <c:catAx>
        <c:axId val="59810544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05840"/>
        <c:crosses val="autoZero"/>
        <c:auto val="1"/>
        <c:lblAlgn val="ctr"/>
        <c:lblOffset val="100"/>
        <c:noMultiLvlLbl val="0"/>
      </c:catAx>
      <c:valAx>
        <c:axId val="598105840"/>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054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NIM!$B$1</c:f>
              <c:strCache>
                <c:ptCount val="1"/>
                <c:pt idx="0">
                  <c:v>Average NIM</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elete val="1"/>
          </c:dLbls>
          <c:cat>
            <c:strRef>
              <c:f>NIM!$A$2:$A$23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NIM!$B$2:$B$23</c:f>
              <c:numCache>
                <c:formatCode>0%</c:formatCode>
                <c:ptCount val="22"/>
                <c:pt idx="0">
                  <c:v>6.1150120145233113E-2</c:v>
                </c:pt>
                <c:pt idx="1">
                  <c:v>-3.2201415652848293E-2</c:v>
                </c:pt>
                <c:pt idx="2">
                  <c:v>-1.8065450598978475E-2</c:v>
                </c:pt>
                <c:pt idx="3">
                  <c:v>-3.0639081903018461E-2</c:v>
                </c:pt>
                <c:pt idx="4">
                  <c:v>-3.8863703916952341E-3</c:v>
                </c:pt>
                <c:pt idx="5">
                  <c:v>-1.3477989721837563E-2</c:v>
                </c:pt>
                <c:pt idx="6">
                  <c:v>-1.201142856881024E-2</c:v>
                </c:pt>
                <c:pt idx="7">
                  <c:v>2.5399999999999999E-2</c:v>
                </c:pt>
                <c:pt idx="8">
                  <c:v>2.9179999999999994E-2</c:v>
                </c:pt>
                <c:pt idx="9">
                  <c:v>1.2492122544282225E-2</c:v>
                </c:pt>
                <c:pt idx="10">
                  <c:v>-3.8146051378898586E-2</c:v>
                </c:pt>
                <c:pt idx="11">
                  <c:v>-2.8136474398393896E-2</c:v>
                </c:pt>
                <c:pt idx="12">
                  <c:v>2.8139999999999998E-2</c:v>
                </c:pt>
                <c:pt idx="13">
                  <c:v>2.5740000000000002E-2</c:v>
                </c:pt>
                <c:pt idx="14">
                  <c:v>2.4780000000000003E-2</c:v>
                </c:pt>
                <c:pt idx="15">
                  <c:v>0.34992000000000001</c:v>
                </c:pt>
                <c:pt idx="16">
                  <c:v>-4.5190947456793071E-2</c:v>
                </c:pt>
                <c:pt idx="17">
                  <c:v>3.3279999999999997E-2</c:v>
                </c:pt>
                <c:pt idx="18">
                  <c:v>2.5019999999999997E-2</c:v>
                </c:pt>
                <c:pt idx="19">
                  <c:v>-0.19251560518575145</c:v>
                </c:pt>
                <c:pt idx="20">
                  <c:v>-1.4793670634461228E-2</c:v>
                </c:pt>
                <c:pt idx="21">
                  <c:v>-1.5702015622797535E-2</c:v>
                </c:pt>
              </c:numCache>
            </c:numRef>
          </c:val>
          <c:extLst>
            <c:ext xmlns:c16="http://schemas.microsoft.com/office/drawing/2014/chart" uri="{C3380CC4-5D6E-409C-BE32-E72D297353CC}">
              <c16:uniqueId val="{00000000-99C1-4543-97A5-EF73D79B53C9}"/>
            </c:ext>
          </c:extLst>
        </c:ser>
        <c:dLbls>
          <c:showLegendKey val="0"/>
          <c:showVal val="1"/>
          <c:showCatName val="0"/>
          <c:showSerName val="0"/>
          <c:showPercent val="0"/>
          <c:showBubbleSize val="0"/>
        </c:dLbls>
        <c:gapWidth val="150"/>
        <c:shape val="box"/>
        <c:axId val="598107408"/>
        <c:axId val="598105056"/>
        <c:axId val="0"/>
      </c:bar3DChart>
      <c:catAx>
        <c:axId val="5981074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05056"/>
        <c:crosses val="autoZero"/>
        <c:auto val="1"/>
        <c:lblAlgn val="ctr"/>
        <c:lblOffset val="100"/>
        <c:noMultiLvlLbl val="0"/>
      </c:catAx>
      <c:valAx>
        <c:axId val="598105056"/>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074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143825376258345E-2"/>
          <c:y val="0.14032658856940008"/>
          <c:w val="0.8978241802053224"/>
          <c:h val="0.56693779890932161"/>
        </c:manualLayout>
      </c:layout>
      <c:bar3DChart>
        <c:barDir val="col"/>
        <c:grouping val="stacked"/>
        <c:varyColors val="0"/>
        <c:ser>
          <c:idx val="0"/>
          <c:order val="0"/>
          <c:tx>
            <c:strRef>
              <c:f>'Cost to Income Ratio'!$B$1</c:f>
              <c:strCache>
                <c:ptCount val="1"/>
                <c:pt idx="0">
                  <c:v>Average Cost to Income Ratio</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'Cost to Income Ratio'!$A$2:$A$23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'Cost to Income Ratio'!$B$2:$B$23</c:f>
              <c:numCache>
                <c:formatCode>0%</c:formatCode>
                <c:ptCount val="22"/>
                <c:pt idx="0">
                  <c:v>0.53966000000000003</c:v>
                </c:pt>
                <c:pt idx="1">
                  <c:v>0.43048000000000003</c:v>
                </c:pt>
                <c:pt idx="2">
                  <c:v>0.52200000000000002</c:v>
                </c:pt>
                <c:pt idx="3">
                  <c:v>0.52360000000000007</c:v>
                </c:pt>
                <c:pt idx="4">
                  <c:v>0.42727999999999999</c:v>
                </c:pt>
                <c:pt idx="5">
                  <c:v>0.62640000000000007</c:v>
                </c:pt>
                <c:pt idx="6">
                  <c:v>0.45220000000000005</c:v>
                </c:pt>
                <c:pt idx="7">
                  <c:v>0.55959999999999999</c:v>
                </c:pt>
                <c:pt idx="8">
                  <c:v>0.49594000000000005</c:v>
                </c:pt>
                <c:pt idx="9">
                  <c:v>0.48332846697474141</c:v>
                </c:pt>
                <c:pt idx="10">
                  <c:v>0.5386200000000001</c:v>
                </c:pt>
                <c:pt idx="11">
                  <c:v>0.37075000000000002</c:v>
                </c:pt>
                <c:pt idx="12">
                  <c:v>0.42180610438226207</c:v>
                </c:pt>
                <c:pt idx="13">
                  <c:v>0.53183999999999998</c:v>
                </c:pt>
                <c:pt idx="14">
                  <c:v>0.51263999999999998</c:v>
                </c:pt>
                <c:pt idx="15">
                  <c:v>0.49426000000000003</c:v>
                </c:pt>
                <c:pt idx="16">
                  <c:v>0.48709698856013883</c:v>
                </c:pt>
                <c:pt idx="17">
                  <c:v>0.34351999999999999</c:v>
                </c:pt>
                <c:pt idx="18">
                  <c:v>0.5</c:v>
                </c:pt>
                <c:pt idx="19">
                  <c:v>0.41349999999999998</c:v>
                </c:pt>
                <c:pt idx="20">
                  <c:v>0.54681999999999997</c:v>
                </c:pt>
                <c:pt idx="21">
                  <c:v>0.74067695215777074</c:v>
                </c:pt>
              </c:numCache>
            </c:numRef>
          </c:val>
          <c:extLst>
            <c:ext xmlns:c16="http://schemas.microsoft.com/office/drawing/2014/chart" uri="{C3380CC4-5D6E-409C-BE32-E72D297353CC}">
              <c16:uniqueId val="{00000000-AEE9-4691-ACD9-27C3FE1CB7FE}"/>
            </c:ext>
          </c:extLst>
        </c:ser>
        <c:dLbls>
          <c:showLegendKey val="0"/>
          <c:showVal val="0"/>
          <c:showCatName val="0"/>
          <c:showSerName val="0"/>
          <c:showPercent val="0"/>
          <c:showBubbleSize val="0"/>
        </c:dLbls>
        <c:gapWidth val="55"/>
        <c:gapDepth val="55"/>
        <c:shape val="box"/>
        <c:axId val="598109760"/>
        <c:axId val="598110152"/>
        <c:axId val="0"/>
      </c:bar3DChart>
      <c:catAx>
        <c:axId val="59810976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0152"/>
        <c:crosses val="autoZero"/>
        <c:auto val="1"/>
        <c:lblAlgn val="ctr"/>
        <c:lblOffset val="100"/>
        <c:noMultiLvlLbl val="0"/>
      </c:catAx>
      <c:valAx>
        <c:axId val="598110152"/>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0976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143825376258345E-2"/>
          <c:y val="0.14032658856940008"/>
          <c:w val="0.8978241802053224"/>
          <c:h val="0.56693779890932161"/>
        </c:manualLayout>
      </c:layout>
      <c:bar3DChart>
        <c:barDir val="col"/>
        <c:grouping val="stacked"/>
        <c:varyColors val="0"/>
        <c:ser>
          <c:idx val="0"/>
          <c:order val="0"/>
          <c:tx>
            <c:strRef>
              <c:f>ROI!$B$1</c:f>
              <c:strCache>
                <c:ptCount val="1"/>
                <c:pt idx="0">
                  <c:v>Average ROI</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ROI!$A$2:$A$23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ROI!$B$2:$B$23</c:f>
              <c:numCache>
                <c:formatCode>0%</c:formatCode>
                <c:ptCount val="22"/>
                <c:pt idx="0">
                  <c:v>9.9639999999999992E-2</c:v>
                </c:pt>
                <c:pt idx="1">
                  <c:v>4.2139999999999997E-2</c:v>
                </c:pt>
                <c:pt idx="2">
                  <c:v>8.3940000000000001E-2</c:v>
                </c:pt>
                <c:pt idx="3">
                  <c:v>0.17357417386252777</c:v>
                </c:pt>
                <c:pt idx="4">
                  <c:v>0.11965999999999999</c:v>
                </c:pt>
                <c:pt idx="5">
                  <c:v>7.3860000000000009E-2</c:v>
                </c:pt>
                <c:pt idx="6">
                  <c:v>4.4319999999999998E-2</c:v>
                </c:pt>
                <c:pt idx="7">
                  <c:v>7.1660000000000001E-2</c:v>
                </c:pt>
                <c:pt idx="8">
                  <c:v>8.8599999999999984E-2</c:v>
                </c:pt>
                <c:pt idx="9">
                  <c:v>8.9419999999999999E-2</c:v>
                </c:pt>
                <c:pt idx="10">
                  <c:v>8.9399999999999993E-2</c:v>
                </c:pt>
                <c:pt idx="11">
                  <c:v>0.134325</c:v>
                </c:pt>
                <c:pt idx="12">
                  <c:v>4.0933687017889117E-2</c:v>
                </c:pt>
                <c:pt idx="13">
                  <c:v>0.10250000000000001</c:v>
                </c:pt>
                <c:pt idx="14">
                  <c:v>7.5760000000000008E-2</c:v>
                </c:pt>
                <c:pt idx="15">
                  <c:v>7.1640000000000009E-2</c:v>
                </c:pt>
                <c:pt idx="16">
                  <c:v>7.3160000000000003E-2</c:v>
                </c:pt>
                <c:pt idx="17">
                  <c:v>8.1199999999999987E-3</c:v>
                </c:pt>
                <c:pt idx="18">
                  <c:v>8.1740000000000007E-2</c:v>
                </c:pt>
                <c:pt idx="19">
                  <c:v>8.9579999999999993E-2</c:v>
                </c:pt>
                <c:pt idx="20">
                  <c:v>8.8039999999999993E-2</c:v>
                </c:pt>
                <c:pt idx="21">
                  <c:v>0.10658000000000001</c:v>
                </c:pt>
              </c:numCache>
            </c:numRef>
          </c:val>
          <c:extLst>
            <c:ext xmlns:c16="http://schemas.microsoft.com/office/drawing/2014/chart" uri="{C3380CC4-5D6E-409C-BE32-E72D297353CC}">
              <c16:uniqueId val="{00000000-D21B-430F-A1F0-B2B3AFCFD23E}"/>
            </c:ext>
          </c:extLst>
        </c:ser>
        <c:dLbls>
          <c:showLegendKey val="0"/>
          <c:showVal val="0"/>
          <c:showCatName val="0"/>
          <c:showSerName val="0"/>
          <c:showPercent val="0"/>
          <c:showBubbleSize val="0"/>
        </c:dLbls>
        <c:gapWidth val="55"/>
        <c:gapDepth val="55"/>
        <c:shape val="box"/>
        <c:axId val="598099960"/>
        <c:axId val="598103880"/>
        <c:axId val="0"/>
      </c:bar3DChart>
      <c:catAx>
        <c:axId val="59809996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03880"/>
        <c:crosses val="autoZero"/>
        <c:auto val="1"/>
        <c:lblAlgn val="ctr"/>
        <c:lblOffset val="100"/>
        <c:noMultiLvlLbl val="0"/>
      </c:catAx>
      <c:valAx>
        <c:axId val="598103880"/>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099960"/>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143825376258345E-2"/>
          <c:y val="0.14032658856940008"/>
          <c:w val="0.8978241802053224"/>
          <c:h val="0.56693779890932161"/>
        </c:manualLayout>
      </c:layout>
      <c:bar3DChart>
        <c:barDir val="col"/>
        <c:grouping val="stacked"/>
        <c:varyColors val="0"/>
        <c:ser>
          <c:idx val="0"/>
          <c:order val="0"/>
          <c:tx>
            <c:strRef>
              <c:f>CRR!$B$1</c:f>
              <c:strCache>
                <c:ptCount val="1"/>
                <c:pt idx="0">
                  <c:v>Average CRR</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CRR!$A$2:$A$23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CRR!$B$2:$B$23</c:f>
              <c:numCache>
                <c:formatCode>0%</c:formatCode>
                <c:ptCount val="22"/>
                <c:pt idx="0">
                  <c:v>0.04</c:v>
                </c:pt>
                <c:pt idx="1">
                  <c:v>6.0999999999999999E-2</c:v>
                </c:pt>
                <c:pt idx="2">
                  <c:v>5.5999999999999994E-2</c:v>
                </c:pt>
                <c:pt idx="3">
                  <c:v>7.3399999999999993E-2</c:v>
                </c:pt>
                <c:pt idx="4">
                  <c:v>6.2060000000000004E-2</c:v>
                </c:pt>
                <c:pt idx="5">
                  <c:v>8.0119999999999997E-2</c:v>
                </c:pt>
                <c:pt idx="6">
                  <c:v>6.3539999999999999E-2</c:v>
                </c:pt>
                <c:pt idx="7">
                  <c:v>6.2600000000000003E-2</c:v>
                </c:pt>
                <c:pt idx="8">
                  <c:v>6.3820000000000002E-2</c:v>
                </c:pt>
                <c:pt idx="9">
                  <c:v>6.0999999999999999E-2</c:v>
                </c:pt>
                <c:pt idx="10">
                  <c:v>6.3240000000000005E-2</c:v>
                </c:pt>
                <c:pt idx="11">
                  <c:v>6.1249999999999999E-2</c:v>
                </c:pt>
                <c:pt idx="12">
                  <c:v>6.0999999999999999E-2</c:v>
                </c:pt>
                <c:pt idx="13">
                  <c:v>6.3540000000000013E-2</c:v>
                </c:pt>
                <c:pt idx="14">
                  <c:v>6.7239999999999994E-2</c:v>
                </c:pt>
                <c:pt idx="15">
                  <c:v>6.3100000000000003E-2</c:v>
                </c:pt>
                <c:pt idx="16">
                  <c:v>6.8160000000000012E-2</c:v>
                </c:pt>
                <c:pt idx="17">
                  <c:v>6.0999999999999999E-2</c:v>
                </c:pt>
                <c:pt idx="18">
                  <c:v>6.0999999999999999E-2</c:v>
                </c:pt>
                <c:pt idx="19">
                  <c:v>6.2779999999999989E-2</c:v>
                </c:pt>
                <c:pt idx="20">
                  <c:v>6.0979999999999993E-2</c:v>
                </c:pt>
                <c:pt idx="21">
                  <c:v>6.3399999999999984E-2</c:v>
                </c:pt>
              </c:numCache>
            </c:numRef>
          </c:val>
          <c:extLst>
            <c:ext xmlns:c16="http://schemas.microsoft.com/office/drawing/2014/chart" uri="{C3380CC4-5D6E-409C-BE32-E72D297353CC}">
              <c16:uniqueId val="{00000000-3AA6-4AE3-BD7F-2DA6BF130E74}"/>
            </c:ext>
          </c:extLst>
        </c:ser>
        <c:dLbls>
          <c:showLegendKey val="0"/>
          <c:showVal val="0"/>
          <c:showCatName val="0"/>
          <c:showSerName val="0"/>
          <c:showPercent val="0"/>
          <c:showBubbleSize val="0"/>
        </c:dLbls>
        <c:gapWidth val="55"/>
        <c:gapDepth val="55"/>
        <c:shape val="box"/>
        <c:axId val="598106624"/>
        <c:axId val="598107016"/>
        <c:axId val="0"/>
      </c:bar3DChart>
      <c:catAx>
        <c:axId val="598106624"/>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07016"/>
        <c:crosses val="autoZero"/>
        <c:auto val="1"/>
        <c:lblAlgn val="ctr"/>
        <c:lblOffset val="100"/>
        <c:noMultiLvlLbl val="0"/>
      </c:catAx>
      <c:valAx>
        <c:axId val="598107016"/>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06624"/>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6.4143825376258345E-2"/>
          <c:y val="0.14032658856940008"/>
          <c:w val="0.8978241802053224"/>
          <c:h val="0.56693779890932161"/>
        </c:manualLayout>
      </c:layout>
      <c:bar3DChart>
        <c:barDir val="col"/>
        <c:grouping val="stacked"/>
        <c:varyColors val="0"/>
        <c:ser>
          <c:idx val="0"/>
          <c:order val="0"/>
          <c:tx>
            <c:strRef>
              <c:f>SLR!$B$1</c:f>
              <c:strCache>
                <c:ptCount val="1"/>
                <c:pt idx="0">
                  <c:v>Average SLR</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SLR!$A$2:$A$23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SLR!$B$2:$B$23</c:f>
              <c:numCache>
                <c:formatCode>0%</c:formatCode>
                <c:ptCount val="22"/>
                <c:pt idx="0">
                  <c:v>0.20150000000000001</c:v>
                </c:pt>
                <c:pt idx="1">
                  <c:v>0.13</c:v>
                </c:pt>
                <c:pt idx="2">
                  <c:v>0.13</c:v>
                </c:pt>
                <c:pt idx="3">
                  <c:v>0.16440000000000002</c:v>
                </c:pt>
                <c:pt idx="4">
                  <c:v>0.14906</c:v>
                </c:pt>
                <c:pt idx="5">
                  <c:v>0.20750000000000002</c:v>
                </c:pt>
                <c:pt idx="6">
                  <c:v>0.13</c:v>
                </c:pt>
                <c:pt idx="7">
                  <c:v>0.16619999999999999</c:v>
                </c:pt>
                <c:pt idx="8">
                  <c:v>0.23405999999999999</c:v>
                </c:pt>
                <c:pt idx="9">
                  <c:v>0.13</c:v>
                </c:pt>
                <c:pt idx="10">
                  <c:v>0.18251999999999999</c:v>
                </c:pt>
                <c:pt idx="11">
                  <c:v>0.14500000000000002</c:v>
                </c:pt>
                <c:pt idx="12">
                  <c:v>0.13</c:v>
                </c:pt>
                <c:pt idx="13">
                  <c:v>0.22498000000000001</c:v>
                </c:pt>
                <c:pt idx="14">
                  <c:v>0.17843999999999999</c:v>
                </c:pt>
                <c:pt idx="15">
                  <c:v>0.19044</c:v>
                </c:pt>
                <c:pt idx="16">
                  <c:v>0.16488</c:v>
                </c:pt>
                <c:pt idx="17">
                  <c:v>0.13</c:v>
                </c:pt>
                <c:pt idx="18">
                  <c:v>0.13</c:v>
                </c:pt>
                <c:pt idx="19">
                  <c:v>0.17809999999999998</c:v>
                </c:pt>
                <c:pt idx="20">
                  <c:v>0.17676</c:v>
                </c:pt>
                <c:pt idx="21">
                  <c:v>0.23444000000000004</c:v>
                </c:pt>
              </c:numCache>
            </c:numRef>
          </c:val>
          <c:extLst>
            <c:ext xmlns:c16="http://schemas.microsoft.com/office/drawing/2014/chart" uri="{C3380CC4-5D6E-409C-BE32-E72D297353CC}">
              <c16:uniqueId val="{00000000-512E-4D53-B673-B3624A8B376F}"/>
            </c:ext>
          </c:extLst>
        </c:ser>
        <c:dLbls>
          <c:showLegendKey val="0"/>
          <c:showVal val="0"/>
          <c:showCatName val="0"/>
          <c:showSerName val="0"/>
          <c:showPercent val="0"/>
          <c:showBubbleSize val="0"/>
        </c:dLbls>
        <c:gapWidth val="55"/>
        <c:gapDepth val="55"/>
        <c:shape val="box"/>
        <c:axId val="598099176"/>
        <c:axId val="598108192"/>
        <c:axId val="0"/>
      </c:bar3DChart>
      <c:catAx>
        <c:axId val="598099176"/>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08192"/>
        <c:crosses val="autoZero"/>
        <c:auto val="1"/>
        <c:lblAlgn val="ctr"/>
        <c:lblOffset val="100"/>
        <c:noMultiLvlLbl val="0"/>
      </c:catAx>
      <c:valAx>
        <c:axId val="598108192"/>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099176"/>
        <c:crosses val="autoZero"/>
        <c:crossBetween val="between"/>
      </c:valAx>
      <c:spPr>
        <a:noFill/>
        <a:ln>
          <a:noFill/>
        </a:ln>
        <a:effectLst/>
      </c:spPr>
    </c:plotArea>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Sheet2!$H$1</c:f>
              <c:strCache>
                <c:ptCount val="1"/>
                <c:pt idx="0">
                  <c:v>Average NPL to Total loans and Advances</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Sheet2!$G$2:$G$23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Sheet2!$H$2:$H$23</c:f>
              <c:numCache>
                <c:formatCode>0%</c:formatCode>
                <c:ptCount val="22"/>
                <c:pt idx="0">
                  <c:v>3.9199999999999999E-2</c:v>
                </c:pt>
                <c:pt idx="1">
                  <c:v>4.5520000000000005E-2</c:v>
                </c:pt>
                <c:pt idx="2">
                  <c:v>4.0079999999999998E-2</c:v>
                </c:pt>
                <c:pt idx="3">
                  <c:v>6.0199999999999997E-2</c:v>
                </c:pt>
                <c:pt idx="4">
                  <c:v>4.8759999999999998E-2</c:v>
                </c:pt>
                <c:pt idx="5">
                  <c:v>4.41E-2</c:v>
                </c:pt>
                <c:pt idx="6">
                  <c:v>2.8320000000000001E-2</c:v>
                </c:pt>
                <c:pt idx="7">
                  <c:v>5.9359999999999989E-2</c:v>
                </c:pt>
                <c:pt idx="8">
                  <c:v>4.4040000000000003E-2</c:v>
                </c:pt>
                <c:pt idx="9">
                  <c:v>4.7099999999999996E-2</c:v>
                </c:pt>
                <c:pt idx="10">
                  <c:v>4.3040000000000002E-2</c:v>
                </c:pt>
                <c:pt idx="11">
                  <c:v>9.375E-2</c:v>
                </c:pt>
                <c:pt idx="12">
                  <c:v>5.8479999999999997E-2</c:v>
                </c:pt>
                <c:pt idx="13">
                  <c:v>6.0100000000000001E-2</c:v>
                </c:pt>
                <c:pt idx="14">
                  <c:v>5.4380000000000005E-2</c:v>
                </c:pt>
                <c:pt idx="15">
                  <c:v>5.8440000000000006E-2</c:v>
                </c:pt>
                <c:pt idx="16">
                  <c:v>6.0219999999999996E-2</c:v>
                </c:pt>
                <c:pt idx="17">
                  <c:v>5.1740000000000008E-2</c:v>
                </c:pt>
                <c:pt idx="18">
                  <c:v>5.7300000000000004E-2</c:v>
                </c:pt>
                <c:pt idx="19">
                  <c:v>4.5379999999999997E-2</c:v>
                </c:pt>
                <c:pt idx="20">
                  <c:v>6.2080000000000003E-2</c:v>
                </c:pt>
                <c:pt idx="21">
                  <c:v>7.3820000000000011E-2</c:v>
                </c:pt>
              </c:numCache>
            </c:numRef>
          </c:val>
          <c:extLst>
            <c:ext xmlns:c16="http://schemas.microsoft.com/office/drawing/2014/chart" uri="{C3380CC4-5D6E-409C-BE32-E72D297353CC}">
              <c16:uniqueId val="{00000000-7A6B-4147-A3BC-D517BCF4DB61}"/>
            </c:ext>
          </c:extLst>
        </c:ser>
        <c:dLbls>
          <c:showLegendKey val="0"/>
          <c:showVal val="0"/>
          <c:showCatName val="0"/>
          <c:showSerName val="0"/>
          <c:showPercent val="0"/>
          <c:showBubbleSize val="0"/>
        </c:dLbls>
        <c:gapWidth val="150"/>
        <c:shape val="box"/>
        <c:axId val="598099568"/>
        <c:axId val="598100352"/>
        <c:axId val="0"/>
      </c:bar3DChart>
      <c:catAx>
        <c:axId val="5980995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00352"/>
        <c:crosses val="autoZero"/>
        <c:auto val="1"/>
        <c:lblAlgn val="ctr"/>
        <c:lblOffset val="100"/>
        <c:noMultiLvlLbl val="0"/>
      </c:catAx>
      <c:valAx>
        <c:axId val="598100352"/>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099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'CL by TLA'!$B$1</c:f>
              <c:strCache>
                <c:ptCount val="1"/>
                <c:pt idx="0">
                  <c:v>Average Percentage of Classified Loans against Total Loans and Advances</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'CL by TLA'!$A$2:$A$23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'CL by TLA'!$B$2:$B$23</c:f>
              <c:numCache>
                <c:formatCode>0%</c:formatCode>
                <c:ptCount val="22"/>
                <c:pt idx="0">
                  <c:v>3.9199999999999999E-2</c:v>
                </c:pt>
                <c:pt idx="1">
                  <c:v>4.5520000000000005E-2</c:v>
                </c:pt>
                <c:pt idx="2">
                  <c:v>4.0079999999999998E-2</c:v>
                </c:pt>
                <c:pt idx="3">
                  <c:v>6.0199999999999997E-2</c:v>
                </c:pt>
                <c:pt idx="4">
                  <c:v>4.8759999999999998E-2</c:v>
                </c:pt>
                <c:pt idx="5">
                  <c:v>4.41E-2</c:v>
                </c:pt>
                <c:pt idx="6">
                  <c:v>2.8320000000000001E-2</c:v>
                </c:pt>
                <c:pt idx="7">
                  <c:v>5.9359999999999989E-2</c:v>
                </c:pt>
                <c:pt idx="8">
                  <c:v>4.4460000000000006E-2</c:v>
                </c:pt>
                <c:pt idx="9">
                  <c:v>4.7099999999999996E-2</c:v>
                </c:pt>
                <c:pt idx="10">
                  <c:v>4.3400000000000008E-2</c:v>
                </c:pt>
                <c:pt idx="11">
                  <c:v>9.375E-2</c:v>
                </c:pt>
                <c:pt idx="12">
                  <c:v>5.8479999999999997E-2</c:v>
                </c:pt>
                <c:pt idx="13">
                  <c:v>6.0100000000000001E-2</c:v>
                </c:pt>
                <c:pt idx="14">
                  <c:v>5.4380000000000005E-2</c:v>
                </c:pt>
                <c:pt idx="15">
                  <c:v>5.8440000000000006E-2</c:v>
                </c:pt>
                <c:pt idx="16">
                  <c:v>6.0219999999999996E-2</c:v>
                </c:pt>
                <c:pt idx="17">
                  <c:v>5.3699999999999998E-2</c:v>
                </c:pt>
                <c:pt idx="18">
                  <c:v>5.1400000000000001E-2</c:v>
                </c:pt>
                <c:pt idx="19">
                  <c:v>4.5379999999999997E-2</c:v>
                </c:pt>
                <c:pt idx="20">
                  <c:v>6.2080000000000003E-2</c:v>
                </c:pt>
                <c:pt idx="21">
                  <c:v>7.3820000000000011E-2</c:v>
                </c:pt>
              </c:numCache>
            </c:numRef>
          </c:val>
          <c:extLst>
            <c:ext xmlns:c16="http://schemas.microsoft.com/office/drawing/2014/chart" uri="{C3380CC4-5D6E-409C-BE32-E72D297353CC}">
              <c16:uniqueId val="{00000000-7D32-4B1F-9E27-CF68A14ABA2D}"/>
            </c:ext>
          </c:extLst>
        </c:ser>
        <c:dLbls>
          <c:showLegendKey val="0"/>
          <c:showVal val="0"/>
          <c:showCatName val="0"/>
          <c:showSerName val="0"/>
          <c:showPercent val="0"/>
          <c:showBubbleSize val="0"/>
        </c:dLbls>
        <c:gapWidth val="150"/>
        <c:shape val="box"/>
        <c:axId val="598100744"/>
        <c:axId val="598104664"/>
        <c:axId val="0"/>
      </c:bar3DChart>
      <c:catAx>
        <c:axId val="5981007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04664"/>
        <c:crosses val="autoZero"/>
        <c:auto val="1"/>
        <c:lblAlgn val="ctr"/>
        <c:lblOffset val="100"/>
        <c:noMultiLvlLbl val="0"/>
      </c:catAx>
      <c:valAx>
        <c:axId val="598104664"/>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007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'Credit Deposit Ratio '!$B$1</c:f>
              <c:strCache>
                <c:ptCount val="1"/>
                <c:pt idx="0">
                  <c:v>Average Credit Deposit Ratio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'Credit Deposit Ratio '!$A$2:$A$23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'Credit Deposit Ratio '!$B$2:$B$23</c:f>
              <c:numCache>
                <c:formatCode>0.00%</c:formatCode>
                <c:ptCount val="22"/>
                <c:pt idx="0">
                  <c:v>0.88415999999999995</c:v>
                </c:pt>
                <c:pt idx="1">
                  <c:v>0.77549999999999997</c:v>
                </c:pt>
                <c:pt idx="2">
                  <c:v>0.82647500000000007</c:v>
                </c:pt>
                <c:pt idx="3" formatCode="0%">
                  <c:v>0.81220000000000014</c:v>
                </c:pt>
                <c:pt idx="4" formatCode="0%">
                  <c:v>0.83801999999999999</c:v>
                </c:pt>
                <c:pt idx="5">
                  <c:v>0.81091999999999997</c:v>
                </c:pt>
                <c:pt idx="6">
                  <c:v>1.0432000000000001</c:v>
                </c:pt>
                <c:pt idx="7">
                  <c:v>0.84310000000000007</c:v>
                </c:pt>
                <c:pt idx="8">
                  <c:v>0.82430000000000003</c:v>
                </c:pt>
                <c:pt idx="9">
                  <c:v>0.83667999999999998</c:v>
                </c:pt>
                <c:pt idx="10">
                  <c:v>0.92964400086493593</c:v>
                </c:pt>
                <c:pt idx="11">
                  <c:v>0.90419659174204481</c:v>
                </c:pt>
                <c:pt idx="12">
                  <c:v>0.83350000000000013</c:v>
                </c:pt>
                <c:pt idx="13" formatCode="0%">
                  <c:v>0.78400000000000003</c:v>
                </c:pt>
                <c:pt idx="14" formatCode="0%">
                  <c:v>0.85874000000000006</c:v>
                </c:pt>
                <c:pt idx="15">
                  <c:v>0.80308000000000013</c:v>
                </c:pt>
                <c:pt idx="16" formatCode="0%">
                  <c:v>0.83297999999999983</c:v>
                </c:pt>
                <c:pt idx="17">
                  <c:v>0.81796000000000002</c:v>
                </c:pt>
                <c:pt idx="18">
                  <c:v>0.83995999999999993</c:v>
                </c:pt>
                <c:pt idx="19">
                  <c:v>0.88129999999999986</c:v>
                </c:pt>
                <c:pt idx="20" formatCode="0%">
                  <c:v>0.79969999999999986</c:v>
                </c:pt>
                <c:pt idx="21" formatCode="0%">
                  <c:v>0.70319712512328636</c:v>
                </c:pt>
              </c:numCache>
            </c:numRef>
          </c:val>
          <c:extLst>
            <c:ext xmlns:c16="http://schemas.microsoft.com/office/drawing/2014/chart" uri="{C3380CC4-5D6E-409C-BE32-E72D297353CC}">
              <c16:uniqueId val="{00000000-2269-4533-B7E8-5874CC536605}"/>
            </c:ext>
          </c:extLst>
        </c:ser>
        <c:dLbls>
          <c:showLegendKey val="0"/>
          <c:showVal val="0"/>
          <c:showCatName val="0"/>
          <c:showSerName val="0"/>
          <c:showPercent val="0"/>
          <c:showBubbleSize val="0"/>
        </c:dLbls>
        <c:gapWidth val="150"/>
        <c:shape val="box"/>
        <c:axId val="598117208"/>
        <c:axId val="598117992"/>
        <c:axId val="0"/>
      </c:bar3DChart>
      <c:catAx>
        <c:axId val="5981172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7992"/>
        <c:crosses val="autoZero"/>
        <c:auto val="1"/>
        <c:lblAlgn val="ctr"/>
        <c:lblOffset val="100"/>
        <c:noMultiLvlLbl val="0"/>
      </c:catAx>
      <c:valAx>
        <c:axId val="598117992"/>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7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'Debt to Equity Ratio'!$B$1</c:f>
              <c:strCache>
                <c:ptCount val="1"/>
                <c:pt idx="0">
                  <c:v>Average Debt to Equity Ratio</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'Debt to Equity Ratio'!$A$2:$A$23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'Debt to Equity Ratio'!$B$2:$B$23</c:f>
              <c:numCache>
                <c:formatCode>_(* #,##0.00_);_(* \(#,##0.00\);_(* "-"??_);_(@_)</c:formatCode>
                <c:ptCount val="22"/>
                <c:pt idx="0">
                  <c:v>13.036825971645143</c:v>
                </c:pt>
                <c:pt idx="1">
                  <c:v>12.264000000000001</c:v>
                </c:pt>
                <c:pt idx="2">
                  <c:v>9.8000000000000007</c:v>
                </c:pt>
                <c:pt idx="3">
                  <c:v>11.16</c:v>
                </c:pt>
                <c:pt idx="4">
                  <c:v>14.053621669491895</c:v>
                </c:pt>
                <c:pt idx="5">
                  <c:v>35.06</c:v>
                </c:pt>
                <c:pt idx="6">
                  <c:v>6.4964430550008512</c:v>
                </c:pt>
                <c:pt idx="7">
                  <c:v>12.732859053775403</c:v>
                </c:pt>
                <c:pt idx="8">
                  <c:v>10.882</c:v>
                </c:pt>
                <c:pt idx="9">
                  <c:v>7.8019743321982755</c:v>
                </c:pt>
                <c:pt idx="10">
                  <c:v>15.561999999999998</c:v>
                </c:pt>
                <c:pt idx="11">
                  <c:v>7.65</c:v>
                </c:pt>
                <c:pt idx="12">
                  <c:v>9.3787122526669897</c:v>
                </c:pt>
                <c:pt idx="13">
                  <c:v>9.93</c:v>
                </c:pt>
                <c:pt idx="14">
                  <c:v>11.783999999999999</c:v>
                </c:pt>
                <c:pt idx="15">
                  <c:v>13.18</c:v>
                </c:pt>
                <c:pt idx="16">
                  <c:v>12.842617543689528</c:v>
                </c:pt>
                <c:pt idx="17">
                  <c:v>11.23</c:v>
                </c:pt>
                <c:pt idx="18">
                  <c:v>11.75</c:v>
                </c:pt>
                <c:pt idx="19">
                  <c:v>18.489999999999998</c:v>
                </c:pt>
                <c:pt idx="20">
                  <c:v>10.979999999999999</c:v>
                </c:pt>
                <c:pt idx="21">
                  <c:v>11.36</c:v>
                </c:pt>
              </c:numCache>
            </c:numRef>
          </c:val>
          <c:extLst>
            <c:ext xmlns:c16="http://schemas.microsoft.com/office/drawing/2014/chart" uri="{C3380CC4-5D6E-409C-BE32-E72D297353CC}">
              <c16:uniqueId val="{00000000-FE88-4B24-B19B-66FCD74DD62F}"/>
            </c:ext>
          </c:extLst>
        </c:ser>
        <c:dLbls>
          <c:showLegendKey val="0"/>
          <c:showVal val="0"/>
          <c:showCatName val="0"/>
          <c:showSerName val="0"/>
          <c:showPercent val="0"/>
          <c:showBubbleSize val="0"/>
        </c:dLbls>
        <c:gapWidth val="150"/>
        <c:shape val="box"/>
        <c:axId val="598120736"/>
        <c:axId val="598117600"/>
        <c:axId val="0"/>
      </c:bar3DChart>
      <c:catAx>
        <c:axId val="59812073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7600"/>
        <c:crosses val="autoZero"/>
        <c:auto val="1"/>
        <c:lblAlgn val="ctr"/>
        <c:lblOffset val="100"/>
        <c:noMultiLvlLbl val="0"/>
      </c:catAx>
      <c:valAx>
        <c:axId val="598117600"/>
        <c:scaling>
          <c:orientation val="minMax"/>
        </c:scaling>
        <c:delete val="0"/>
        <c:axPos val="l"/>
        <c:majorGridlines>
          <c:spPr>
            <a:ln w="9525" cap="flat" cmpd="sng" algn="ctr">
              <a:solidFill>
                <a:schemeClr val="dk1">
                  <a:lumMod val="50000"/>
                  <a:lumOff val="50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207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'Equity Multiplier '!$B$1</c:f>
              <c:strCache>
                <c:ptCount val="1"/>
                <c:pt idx="0">
                  <c:v>Average Equity Multiplier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'Equity Multiplier '!$A$2:$A$23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'Equity Multiplier '!$B$2:$B$23</c:f>
              <c:numCache>
                <c:formatCode>_(* #,##0.00_);_(* \(#,##0.00\);_(* "-"??_);_(@_)</c:formatCode>
                <c:ptCount val="22"/>
                <c:pt idx="0">
                  <c:v>14.04</c:v>
                </c:pt>
                <c:pt idx="1">
                  <c:v>13.261895326812759</c:v>
                </c:pt>
                <c:pt idx="2">
                  <c:v>10.8</c:v>
                </c:pt>
                <c:pt idx="3">
                  <c:v>11.817431249899069</c:v>
                </c:pt>
                <c:pt idx="4">
                  <c:v>15</c:v>
                </c:pt>
                <c:pt idx="5">
                  <c:v>15</c:v>
                </c:pt>
                <c:pt idx="6">
                  <c:v>65.38</c:v>
                </c:pt>
                <c:pt idx="7">
                  <c:v>13.732874630099388</c:v>
                </c:pt>
                <c:pt idx="8">
                  <c:v>11.88</c:v>
                </c:pt>
                <c:pt idx="9">
                  <c:v>8.8019743322185455</c:v>
                </c:pt>
                <c:pt idx="10">
                  <c:v>16.559999999999999</c:v>
                </c:pt>
                <c:pt idx="11">
                  <c:v>8.6521970344967194</c:v>
                </c:pt>
                <c:pt idx="12">
                  <c:v>24.506985287183337</c:v>
                </c:pt>
                <c:pt idx="13">
                  <c:v>11.11</c:v>
                </c:pt>
                <c:pt idx="14">
                  <c:v>11.1</c:v>
                </c:pt>
                <c:pt idx="15">
                  <c:v>14.175790042747897</c:v>
                </c:pt>
                <c:pt idx="16">
                  <c:v>37.28</c:v>
                </c:pt>
                <c:pt idx="17">
                  <c:v>12.239352051115592</c:v>
                </c:pt>
                <c:pt idx="18">
                  <c:v>12.7</c:v>
                </c:pt>
                <c:pt idx="19">
                  <c:v>19.488307347924227</c:v>
                </c:pt>
                <c:pt idx="20">
                  <c:v>13</c:v>
                </c:pt>
                <c:pt idx="21">
                  <c:v>12.355233537819549</c:v>
                </c:pt>
              </c:numCache>
            </c:numRef>
          </c:val>
          <c:extLst>
            <c:ext xmlns:c16="http://schemas.microsoft.com/office/drawing/2014/chart" uri="{C3380CC4-5D6E-409C-BE32-E72D297353CC}">
              <c16:uniqueId val="{00000000-1DD4-41CD-860E-F4C9C6DCDDB4}"/>
            </c:ext>
          </c:extLst>
        </c:ser>
        <c:dLbls>
          <c:showLegendKey val="0"/>
          <c:showVal val="0"/>
          <c:showCatName val="0"/>
          <c:showSerName val="0"/>
          <c:showPercent val="0"/>
          <c:showBubbleSize val="0"/>
        </c:dLbls>
        <c:gapWidth val="150"/>
        <c:shape val="box"/>
        <c:axId val="598116816"/>
        <c:axId val="598113680"/>
        <c:axId val="0"/>
      </c:bar3DChart>
      <c:catAx>
        <c:axId val="59811681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3680"/>
        <c:crosses val="autoZero"/>
        <c:auto val="1"/>
        <c:lblAlgn val="ctr"/>
        <c:lblOffset val="100"/>
        <c:noMultiLvlLbl val="0"/>
      </c:catAx>
      <c:valAx>
        <c:axId val="598113680"/>
        <c:scaling>
          <c:orientation val="minMax"/>
        </c:scaling>
        <c:delete val="0"/>
        <c:axPos val="l"/>
        <c:majorGridlines>
          <c:spPr>
            <a:ln w="9525" cap="flat" cmpd="sng" algn="ctr">
              <a:solidFill>
                <a:schemeClr val="dk1">
                  <a:lumMod val="50000"/>
                  <a:lumOff val="50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68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'Debt to Capital Ratio '!$B$1</c:f>
              <c:strCache>
                <c:ptCount val="1"/>
                <c:pt idx="0">
                  <c:v>Average Debt to Capital Ratio </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'Debt to Capital Ratio '!$A$2:$A$23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'Debt to Capital Ratio '!$B$2:$B$23</c:f>
              <c:numCache>
                <c:formatCode>0.00%</c:formatCode>
                <c:ptCount val="22"/>
                <c:pt idx="0">
                  <c:v>0.92830306397468088</c:v>
                </c:pt>
                <c:pt idx="1">
                  <c:v>0.92429204387450614</c:v>
                </c:pt>
                <c:pt idx="2">
                  <c:v>0.90683785140521889</c:v>
                </c:pt>
                <c:pt idx="3">
                  <c:v>0.91261312266418693</c:v>
                </c:pt>
                <c:pt idx="4">
                  <c:v>0.93303202992318668</c:v>
                </c:pt>
                <c:pt idx="5">
                  <c:v>0.93272488486579663</c:v>
                </c:pt>
                <c:pt idx="6">
                  <c:v>0.81338233438672325</c:v>
                </c:pt>
                <c:pt idx="7">
                  <c:v>0.92653080587014591</c:v>
                </c:pt>
                <c:pt idx="8">
                  <c:v>0.91376319506986015</c:v>
                </c:pt>
                <c:pt idx="9">
                  <c:v>0.72043198127824659</c:v>
                </c:pt>
                <c:pt idx="10">
                  <c:v>0.9395771103280921</c:v>
                </c:pt>
                <c:pt idx="11">
                  <c:v>0.88430735643574776</c:v>
                </c:pt>
                <c:pt idx="12">
                  <c:v>0.86101371533201421</c:v>
                </c:pt>
                <c:pt idx="13">
                  <c:v>0.90966390103736727</c:v>
                </c:pt>
                <c:pt idx="14">
                  <c:v>0.91005863426668743</c:v>
                </c:pt>
                <c:pt idx="15">
                  <c:v>0.92821238654134475</c:v>
                </c:pt>
                <c:pt idx="16">
                  <c:v>0.81831417695376474</c:v>
                </c:pt>
                <c:pt idx="17">
                  <c:v>0.91658533908520234</c:v>
                </c:pt>
                <c:pt idx="18">
                  <c:v>0.92097682285748217</c:v>
                </c:pt>
                <c:pt idx="19">
                  <c:v>0.94865077260071184</c:v>
                </c:pt>
                <c:pt idx="20">
                  <c:v>0.92284295990576271</c:v>
                </c:pt>
                <c:pt idx="21">
                  <c:v>0.9189254175471081</c:v>
                </c:pt>
              </c:numCache>
            </c:numRef>
          </c:val>
          <c:extLst>
            <c:ext xmlns:c16="http://schemas.microsoft.com/office/drawing/2014/chart" uri="{C3380CC4-5D6E-409C-BE32-E72D297353CC}">
              <c16:uniqueId val="{00000000-6B45-4ED9-8FC6-F0BE850D7512}"/>
            </c:ext>
          </c:extLst>
        </c:ser>
        <c:dLbls>
          <c:showLegendKey val="0"/>
          <c:showVal val="0"/>
          <c:showCatName val="0"/>
          <c:showSerName val="0"/>
          <c:showPercent val="0"/>
          <c:showBubbleSize val="0"/>
        </c:dLbls>
        <c:gapWidth val="150"/>
        <c:shape val="box"/>
        <c:axId val="598118776"/>
        <c:axId val="598119168"/>
        <c:axId val="0"/>
      </c:bar3DChart>
      <c:catAx>
        <c:axId val="59811877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9168"/>
        <c:crosses val="autoZero"/>
        <c:auto val="1"/>
        <c:lblAlgn val="ctr"/>
        <c:lblOffset val="100"/>
        <c:noMultiLvlLbl val="0"/>
      </c:catAx>
      <c:valAx>
        <c:axId val="598119168"/>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8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'Capital Adequacy Ratio'!$B$1</c:f>
              <c:strCache>
                <c:ptCount val="1"/>
                <c:pt idx="0">
                  <c:v>Average Capital Adequacy Ratio</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'Capital Adequacy Ratio'!$A$2:$A$23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'Capital Adequacy Ratio'!$B$2:$B$23</c:f>
              <c:numCache>
                <c:formatCode>0.00%</c:formatCode>
                <c:ptCount val="22"/>
                <c:pt idx="0">
                  <c:v>0.10607999999999999</c:v>
                </c:pt>
                <c:pt idx="1">
                  <c:v>0.14550000000000002</c:v>
                </c:pt>
                <c:pt idx="2">
                  <c:v>0.13189999999999999</c:v>
                </c:pt>
                <c:pt idx="3">
                  <c:v>0.126</c:v>
                </c:pt>
                <c:pt idx="4">
                  <c:v>0.1321</c:v>
                </c:pt>
                <c:pt idx="5">
                  <c:v>0.14476000000000003</c:v>
                </c:pt>
                <c:pt idx="6">
                  <c:v>0.14066000000000001</c:v>
                </c:pt>
                <c:pt idx="7">
                  <c:v>0.11864</c:v>
                </c:pt>
                <c:pt idx="8">
                  <c:v>0.12652000000000002</c:v>
                </c:pt>
                <c:pt idx="9">
                  <c:v>0.12806000000000001</c:v>
                </c:pt>
                <c:pt idx="10">
                  <c:v>0.12073999999999999</c:v>
                </c:pt>
                <c:pt idx="11">
                  <c:v>0.13267499999999999</c:v>
                </c:pt>
                <c:pt idx="12">
                  <c:v>0.12606000000000001</c:v>
                </c:pt>
                <c:pt idx="13">
                  <c:v>0.14732000000000001</c:v>
                </c:pt>
                <c:pt idx="14">
                  <c:v>0.11677999999999999</c:v>
                </c:pt>
                <c:pt idx="15">
                  <c:v>0.12280000000000002</c:v>
                </c:pt>
                <c:pt idx="16">
                  <c:v>0.12222</c:v>
                </c:pt>
                <c:pt idx="17">
                  <c:v>0.11681999999999999</c:v>
                </c:pt>
                <c:pt idx="18">
                  <c:v>0.13116</c:v>
                </c:pt>
                <c:pt idx="19">
                  <c:v>0.13352</c:v>
                </c:pt>
                <c:pt idx="20">
                  <c:v>0.12640000000000001</c:v>
                </c:pt>
                <c:pt idx="21">
                  <c:v>0.1288</c:v>
                </c:pt>
              </c:numCache>
            </c:numRef>
          </c:val>
          <c:extLst>
            <c:ext xmlns:c16="http://schemas.microsoft.com/office/drawing/2014/chart" uri="{C3380CC4-5D6E-409C-BE32-E72D297353CC}">
              <c16:uniqueId val="{00000000-C2E3-4BA4-A002-22ABFDE3AAA6}"/>
            </c:ext>
          </c:extLst>
        </c:ser>
        <c:dLbls>
          <c:showLegendKey val="0"/>
          <c:showVal val="0"/>
          <c:showCatName val="0"/>
          <c:showSerName val="0"/>
          <c:showPercent val="0"/>
          <c:showBubbleSize val="0"/>
        </c:dLbls>
        <c:gapWidth val="150"/>
        <c:shape val="box"/>
        <c:axId val="598120344"/>
        <c:axId val="598121128"/>
        <c:axId val="0"/>
      </c:bar3DChart>
      <c:catAx>
        <c:axId val="59812034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21128"/>
        <c:crosses val="autoZero"/>
        <c:auto val="1"/>
        <c:lblAlgn val="ctr"/>
        <c:lblOffset val="100"/>
        <c:noMultiLvlLbl val="0"/>
      </c:catAx>
      <c:valAx>
        <c:axId val="598121128"/>
        <c:scaling>
          <c:orientation val="minMax"/>
        </c:scaling>
        <c:delete val="0"/>
        <c:axPos val="l"/>
        <c:majorGridlines>
          <c:spPr>
            <a:ln w="9525" cap="flat" cmpd="sng" algn="ctr">
              <a:solidFill>
                <a:schemeClr val="dk1">
                  <a:lumMod val="50000"/>
                  <a:lumOff val="50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20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 Market Price per Share'!$B$1</c:f>
              <c:strCache>
                <c:ptCount val="1"/>
                <c:pt idx="0">
                  <c:v>Average Market Price per Share</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 Market Price per Share'!$A$2:$A$10,' Market Price per Share'!$A$12:$A$15,' Market Price per Share'!$A$17,' Market Price per Share'!$A$19:$A$23)</c:f>
              <c:strCache>
                <c:ptCount val="19"/>
                <c:pt idx="0">
                  <c:v>AB Bank</c:v>
                </c:pt>
                <c:pt idx="1">
                  <c:v>Bank Asia</c:v>
                </c:pt>
                <c:pt idx="2">
                  <c:v>Brac Bank</c:v>
                </c:pt>
                <c:pt idx="3">
                  <c:v>City Bank</c:v>
                </c:pt>
                <c:pt idx="4">
                  <c:v>Dhaka Bank</c:v>
                </c:pt>
                <c:pt idx="5">
                  <c:v>DBBL</c:v>
                </c:pt>
                <c:pt idx="6">
                  <c:v>EBL</c:v>
                </c:pt>
                <c:pt idx="7">
                  <c:v>IFIC Bank</c:v>
                </c:pt>
                <c:pt idx="8">
                  <c:v>Jamuna Bank </c:v>
                </c:pt>
                <c:pt idx="9">
                  <c:v>MTB</c:v>
                </c:pt>
                <c:pt idx="10">
                  <c:v>National Bank</c:v>
                </c:pt>
                <c:pt idx="11">
                  <c:v>NCC Bank</c:v>
                </c:pt>
                <c:pt idx="12">
                  <c:v>Prime Bank</c:v>
                </c:pt>
                <c:pt idx="13">
                  <c:v>Pubali Bank</c:v>
                </c:pt>
                <c:pt idx="14">
                  <c:v>SEBL</c:v>
                </c:pt>
                <c:pt idx="15">
                  <c:v>Standard Bank</c:v>
                </c:pt>
                <c:pt idx="16">
                  <c:v>Trust Bank Limited </c:v>
                </c:pt>
                <c:pt idx="17">
                  <c:v>UCB </c:v>
                </c:pt>
                <c:pt idx="18">
                  <c:v>Uttara Bank</c:v>
                </c:pt>
              </c:strCache>
            </c:strRef>
          </c:cat>
          <c:val>
            <c:numRef>
              <c:f>(' Market Price per Share'!$B$2:$B$10,' Market Price per Share'!$B$12:$B$15,' Market Price per Share'!$B$17,' Market Price per Share'!$B$19:$B$23)</c:f>
              <c:numCache>
                <c:formatCode>General</c:formatCode>
                <c:ptCount val="19"/>
                <c:pt idx="0">
                  <c:v>17.040000000000003</c:v>
                </c:pt>
                <c:pt idx="1">
                  <c:v>18.68</c:v>
                </c:pt>
                <c:pt idx="2">
                  <c:v>13.713999999999999</c:v>
                </c:pt>
                <c:pt idx="3">
                  <c:v>30.42</c:v>
                </c:pt>
                <c:pt idx="4">
                  <c:v>17.16</c:v>
                </c:pt>
                <c:pt idx="5">
                  <c:v>118.61999999999998</c:v>
                </c:pt>
                <c:pt idx="6">
                  <c:v>35.58</c:v>
                </c:pt>
                <c:pt idx="7">
                  <c:v>16.18</c:v>
                </c:pt>
                <c:pt idx="8">
                  <c:v>17.160000000000004</c:v>
                </c:pt>
                <c:pt idx="9">
                  <c:v>27.839999999999996</c:v>
                </c:pt>
                <c:pt idx="10">
                  <c:v>10.525</c:v>
                </c:pt>
                <c:pt idx="11">
                  <c:v>13.824999999999999</c:v>
                </c:pt>
                <c:pt idx="12">
                  <c:v>19.84</c:v>
                </c:pt>
                <c:pt idx="13">
                  <c:v>25.2</c:v>
                </c:pt>
                <c:pt idx="14">
                  <c:v>17.5</c:v>
                </c:pt>
                <c:pt idx="15">
                  <c:v>13.580000000000002</c:v>
                </c:pt>
                <c:pt idx="16">
                  <c:v>30.08</c:v>
                </c:pt>
                <c:pt idx="17">
                  <c:v>19.420000000000002</c:v>
                </c:pt>
                <c:pt idx="18">
                  <c:v>28</c:v>
                </c:pt>
              </c:numCache>
            </c:numRef>
          </c:val>
          <c:extLst>
            <c:ext xmlns:c16="http://schemas.microsoft.com/office/drawing/2014/chart" uri="{C3380CC4-5D6E-409C-BE32-E72D297353CC}">
              <c16:uniqueId val="{00000000-0CCA-467D-A94D-1CC4170844B0}"/>
            </c:ext>
          </c:extLst>
        </c:ser>
        <c:dLbls>
          <c:showLegendKey val="0"/>
          <c:showVal val="0"/>
          <c:showCatName val="0"/>
          <c:showSerName val="0"/>
          <c:showPercent val="0"/>
          <c:showBubbleSize val="0"/>
        </c:dLbls>
        <c:gapWidth val="150"/>
        <c:shape val="box"/>
        <c:axId val="598121520"/>
        <c:axId val="598115248"/>
        <c:axId val="0"/>
      </c:bar3DChart>
      <c:catAx>
        <c:axId val="59812152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5248"/>
        <c:crosses val="autoZero"/>
        <c:auto val="1"/>
        <c:lblAlgn val="ctr"/>
        <c:lblOffset val="100"/>
        <c:noMultiLvlLbl val="0"/>
      </c:catAx>
      <c:valAx>
        <c:axId val="598115248"/>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21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'Earnings per Share'!$B$1</c:f>
              <c:strCache>
                <c:ptCount val="1"/>
                <c:pt idx="0">
                  <c:v>Average Earnings per Share</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'Earnings per Share'!$A$2:$A$23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'Earnings per Share'!$B$2:$B$23</c:f>
              <c:numCache>
                <c:formatCode>General</c:formatCode>
                <c:ptCount val="22"/>
                <c:pt idx="0">
                  <c:v>0.73599999999999999</c:v>
                </c:pt>
                <c:pt idx="1">
                  <c:v>1.9899999999999998</c:v>
                </c:pt>
                <c:pt idx="2">
                  <c:v>4.5299999999999994</c:v>
                </c:pt>
                <c:pt idx="3">
                  <c:v>3.44</c:v>
                </c:pt>
                <c:pt idx="4">
                  <c:v>1.986</c:v>
                </c:pt>
                <c:pt idx="5">
                  <c:v>13.2</c:v>
                </c:pt>
                <c:pt idx="6">
                  <c:v>3.9560000000000004</c:v>
                </c:pt>
                <c:pt idx="7">
                  <c:v>1.4440000000000002</c:v>
                </c:pt>
                <c:pt idx="8">
                  <c:v>3</c:v>
                </c:pt>
                <c:pt idx="9">
                  <c:v>3.0940000000000003</c:v>
                </c:pt>
                <c:pt idx="10">
                  <c:v>3.044</c:v>
                </c:pt>
                <c:pt idx="11">
                  <c:v>1.9025000000000001</c:v>
                </c:pt>
                <c:pt idx="12">
                  <c:v>2.0499999999999998</c:v>
                </c:pt>
                <c:pt idx="13">
                  <c:v>1.6939999999999997</c:v>
                </c:pt>
                <c:pt idx="14">
                  <c:v>2.42</c:v>
                </c:pt>
                <c:pt idx="15">
                  <c:v>1.988</c:v>
                </c:pt>
                <c:pt idx="16">
                  <c:v>2.6280000000000001</c:v>
                </c:pt>
                <c:pt idx="17">
                  <c:v>2.282</c:v>
                </c:pt>
                <c:pt idx="18">
                  <c:v>1.5720000000000003</c:v>
                </c:pt>
                <c:pt idx="19">
                  <c:v>3.2339999999999995</c:v>
                </c:pt>
                <c:pt idx="20">
                  <c:v>2.6380000000000003</c:v>
                </c:pt>
                <c:pt idx="21">
                  <c:v>4.0720000000000001</c:v>
                </c:pt>
              </c:numCache>
            </c:numRef>
          </c:val>
          <c:extLst>
            <c:ext xmlns:c16="http://schemas.microsoft.com/office/drawing/2014/chart" uri="{C3380CC4-5D6E-409C-BE32-E72D297353CC}">
              <c16:uniqueId val="{00000000-1951-4457-A82F-7D2A78E898C5}"/>
            </c:ext>
          </c:extLst>
        </c:ser>
        <c:dLbls>
          <c:showLegendKey val="0"/>
          <c:showVal val="0"/>
          <c:showCatName val="0"/>
          <c:showSerName val="0"/>
          <c:showPercent val="0"/>
          <c:showBubbleSize val="0"/>
        </c:dLbls>
        <c:gapWidth val="150"/>
        <c:shape val="box"/>
        <c:axId val="598122696"/>
        <c:axId val="598112504"/>
        <c:axId val="0"/>
      </c:bar3DChart>
      <c:catAx>
        <c:axId val="5981226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2504"/>
        <c:crosses val="autoZero"/>
        <c:auto val="1"/>
        <c:lblAlgn val="ctr"/>
        <c:lblOffset val="100"/>
        <c:noMultiLvlLbl val="0"/>
      </c:catAx>
      <c:valAx>
        <c:axId val="598112504"/>
        <c:scaling>
          <c:orientation val="minMax"/>
        </c:scaling>
        <c:delete val="0"/>
        <c:axPos val="l"/>
        <c:majorGridlines>
          <c:spPr>
            <a:ln w="9525" cap="flat" cmpd="sng" algn="ctr">
              <a:solidFill>
                <a:schemeClr val="dk1">
                  <a:lumMod val="50000"/>
                  <a:lumOff val="50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22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'Price Earnings Ratio (Times)'!$B$1</c:f>
              <c:strCache>
                <c:ptCount val="1"/>
                <c:pt idx="0">
                  <c:v>Average Price Earnings Ratio (Times)</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('Price Earnings Ratio (Times)'!$A$2:$A$16,'Price Earnings Ratio (Times)'!$A$18:$A$23)</c:f>
              <c:strCache>
                <c:ptCount val="21"/>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One Bank</c:v>
                </c:pt>
                <c:pt idx="16">
                  <c:v>SEBL</c:v>
                </c:pt>
                <c:pt idx="17">
                  <c:v>Standard Bank</c:v>
                </c:pt>
                <c:pt idx="18">
                  <c:v>Trust Bank Limited </c:v>
                </c:pt>
                <c:pt idx="19">
                  <c:v>UCB </c:v>
                </c:pt>
                <c:pt idx="20">
                  <c:v>Uttara Bank</c:v>
                </c:pt>
              </c:strCache>
            </c:strRef>
          </c:cat>
          <c:val>
            <c:numRef>
              <c:f>('Price Earnings Ratio (Times)'!$B$2:$B$16,'Price Earnings Ratio (Times)'!$B$18:$B$23)</c:f>
              <c:numCache>
                <c:formatCode>_(* #,##0.00_);_(* \(#,##0.00\);_(* "-"??_);_(@_)</c:formatCode>
                <c:ptCount val="21"/>
                <c:pt idx="0">
                  <c:v>224.73000000000002</c:v>
                </c:pt>
                <c:pt idx="1">
                  <c:v>9.5380000000000003</c:v>
                </c:pt>
                <c:pt idx="2">
                  <c:v>14.123999999999999</c:v>
                </c:pt>
                <c:pt idx="3">
                  <c:v>9.4400000000000013</c:v>
                </c:pt>
                <c:pt idx="4">
                  <c:v>8.51</c:v>
                </c:pt>
                <c:pt idx="5">
                  <c:v>9.5599999999999987</c:v>
                </c:pt>
                <c:pt idx="6">
                  <c:v>9.3119999999999994</c:v>
                </c:pt>
                <c:pt idx="7">
                  <c:v>11.3</c:v>
                </c:pt>
                <c:pt idx="8">
                  <c:v>5.8039999999999994</c:v>
                </c:pt>
                <c:pt idx="9">
                  <c:v>5.8740000000000006</c:v>
                </c:pt>
                <c:pt idx="10">
                  <c:v>9.18</c:v>
                </c:pt>
                <c:pt idx="11">
                  <c:v>5.4875000000000007</c:v>
                </c:pt>
                <c:pt idx="12">
                  <c:v>6.6079999999999997</c:v>
                </c:pt>
                <c:pt idx="13">
                  <c:v>13.162000000000001</c:v>
                </c:pt>
                <c:pt idx="14">
                  <c:v>4.6300000000000008</c:v>
                </c:pt>
                <c:pt idx="15">
                  <c:v>6.418000000000001</c:v>
                </c:pt>
                <c:pt idx="16">
                  <c:v>6.3620000000000001</c:v>
                </c:pt>
                <c:pt idx="17">
                  <c:v>8.2279999999999998</c:v>
                </c:pt>
                <c:pt idx="18">
                  <c:v>9.0920000000000005</c:v>
                </c:pt>
                <c:pt idx="19">
                  <c:v>7.6639999999999997</c:v>
                </c:pt>
                <c:pt idx="20">
                  <c:v>6.8260000000000005</c:v>
                </c:pt>
              </c:numCache>
            </c:numRef>
          </c:val>
          <c:extLst>
            <c:ext xmlns:c16="http://schemas.microsoft.com/office/drawing/2014/chart" uri="{C3380CC4-5D6E-409C-BE32-E72D297353CC}">
              <c16:uniqueId val="{00000000-B3F5-4502-9B0C-50E34DE48BD2}"/>
            </c:ext>
          </c:extLst>
        </c:ser>
        <c:dLbls>
          <c:showLegendKey val="0"/>
          <c:showVal val="0"/>
          <c:showCatName val="0"/>
          <c:showSerName val="0"/>
          <c:showPercent val="0"/>
          <c:showBubbleSize val="0"/>
        </c:dLbls>
        <c:gapWidth val="150"/>
        <c:shape val="box"/>
        <c:axId val="598112896"/>
        <c:axId val="598123088"/>
        <c:axId val="0"/>
      </c:bar3DChart>
      <c:catAx>
        <c:axId val="59811289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23088"/>
        <c:crosses val="autoZero"/>
        <c:auto val="1"/>
        <c:lblAlgn val="ctr"/>
        <c:lblOffset val="100"/>
        <c:noMultiLvlLbl val="0"/>
      </c:catAx>
      <c:valAx>
        <c:axId val="598123088"/>
        <c:scaling>
          <c:orientation val="minMax"/>
        </c:scaling>
        <c:delete val="0"/>
        <c:axPos val="l"/>
        <c:majorGridlines>
          <c:spPr>
            <a:ln w="9525" cap="flat" cmpd="sng" algn="ctr">
              <a:solidFill>
                <a:schemeClr val="dk1">
                  <a:lumMod val="50000"/>
                  <a:lumOff val="50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2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'Net Assets Value per Share'!$B$1</c:f>
              <c:strCache>
                <c:ptCount val="1"/>
                <c:pt idx="0">
                  <c:v>Average Net Assets Value per Share</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'Net Assets Value per Share'!$A$2:$A$23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'Net Assets Value per Share'!$B$2:$B$23</c:f>
              <c:numCache>
                <c:formatCode>_(* #,##0.00_);_(* \(#,##0.00\);_(* "-"??_);_(@_)</c:formatCode>
                <c:ptCount val="22"/>
                <c:pt idx="0">
                  <c:v>30.119999999999997</c:v>
                </c:pt>
                <c:pt idx="1">
                  <c:v>20.206</c:v>
                </c:pt>
                <c:pt idx="2">
                  <c:v>26.401999999999997</c:v>
                </c:pt>
                <c:pt idx="3">
                  <c:v>24.94</c:v>
                </c:pt>
                <c:pt idx="4">
                  <c:v>20.740000000000002</c:v>
                </c:pt>
                <c:pt idx="5">
                  <c:v>87.97999999999999</c:v>
                </c:pt>
                <c:pt idx="6">
                  <c:v>30.934000000000005</c:v>
                </c:pt>
                <c:pt idx="7">
                  <c:v>18.596</c:v>
                </c:pt>
                <c:pt idx="8">
                  <c:v>23.802000000000003</c:v>
                </c:pt>
                <c:pt idx="9">
                  <c:v>22.326000000000001</c:v>
                </c:pt>
                <c:pt idx="10">
                  <c:v>23.161999999999999</c:v>
                </c:pt>
                <c:pt idx="11">
                  <c:v>17.945</c:v>
                </c:pt>
                <c:pt idx="12">
                  <c:v>19.362000000000002</c:v>
                </c:pt>
                <c:pt idx="13">
                  <c:v>24.198</c:v>
                </c:pt>
                <c:pt idx="14">
                  <c:v>18.541999999999998</c:v>
                </c:pt>
                <c:pt idx="15">
                  <c:v>27.538</c:v>
                </c:pt>
                <c:pt idx="16">
                  <c:v>19.248000000000001</c:v>
                </c:pt>
                <c:pt idx="17">
                  <c:v>27.942</c:v>
                </c:pt>
                <c:pt idx="18">
                  <c:v>17.016000000000002</c:v>
                </c:pt>
                <c:pt idx="19">
                  <c:v>22.326000000000001</c:v>
                </c:pt>
                <c:pt idx="20">
                  <c:v>25.826000000000001</c:v>
                </c:pt>
                <c:pt idx="21">
                  <c:v>35.239999999999995</c:v>
                </c:pt>
              </c:numCache>
            </c:numRef>
          </c:val>
          <c:extLst>
            <c:ext xmlns:c16="http://schemas.microsoft.com/office/drawing/2014/chart" uri="{C3380CC4-5D6E-409C-BE32-E72D297353CC}">
              <c16:uniqueId val="{00000000-BBD7-49CA-BB46-E9E4CCF8DC60}"/>
            </c:ext>
          </c:extLst>
        </c:ser>
        <c:dLbls>
          <c:showLegendKey val="0"/>
          <c:showVal val="0"/>
          <c:showCatName val="0"/>
          <c:showSerName val="0"/>
          <c:showPercent val="0"/>
          <c:showBubbleSize val="0"/>
        </c:dLbls>
        <c:gapWidth val="150"/>
        <c:shape val="box"/>
        <c:axId val="598123480"/>
        <c:axId val="598114072"/>
        <c:axId val="0"/>
      </c:bar3DChart>
      <c:catAx>
        <c:axId val="59812348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4072"/>
        <c:crosses val="autoZero"/>
        <c:auto val="1"/>
        <c:lblAlgn val="ctr"/>
        <c:lblOffset val="100"/>
        <c:noMultiLvlLbl val="0"/>
      </c:catAx>
      <c:valAx>
        <c:axId val="598114072"/>
        <c:scaling>
          <c:orientation val="minMax"/>
        </c:scaling>
        <c:delete val="0"/>
        <c:axPos val="l"/>
        <c:majorGridlines>
          <c:spPr>
            <a:ln w="9525" cap="flat" cmpd="sng" algn="ctr">
              <a:solidFill>
                <a:schemeClr val="dk1">
                  <a:lumMod val="50000"/>
                  <a:lumOff val="50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23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 Dividend Coverage Ratio'!$B$1</c:f>
              <c:strCache>
                <c:ptCount val="1"/>
                <c:pt idx="0">
                  <c:v>Average Dividend Coverage Ratio</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 Dividend Coverage Ratio'!$A$2:$A$23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 Dividend Coverage Ratio'!$B$2:$B$23</c:f>
              <c:numCache>
                <c:formatCode>_(* #,##0.00_);_(* \(#,##0.00\);_(* "-"??_);_(@_)</c:formatCode>
                <c:ptCount val="22"/>
                <c:pt idx="0">
                  <c:v>3.2000000000000001E-2</c:v>
                </c:pt>
                <c:pt idx="1">
                  <c:v>1.6740000000000002</c:v>
                </c:pt>
                <c:pt idx="2">
                  <c:v>2.5587915717180758</c:v>
                </c:pt>
                <c:pt idx="3">
                  <c:v>3.16</c:v>
                </c:pt>
                <c:pt idx="4">
                  <c:v>1.6059999999999999</c:v>
                </c:pt>
                <c:pt idx="5">
                  <c:v>5.0839519084166671</c:v>
                </c:pt>
                <c:pt idx="6">
                  <c:v>1.5079999999999998</c:v>
                </c:pt>
                <c:pt idx="7">
                  <c:v>1.5059999999999998</c:v>
                </c:pt>
                <c:pt idx="8">
                  <c:v>1.6219999999999999</c:v>
                </c:pt>
                <c:pt idx="9">
                  <c:v>1.878301286119721</c:v>
                </c:pt>
                <c:pt idx="10">
                  <c:v>2.3620000000000001</c:v>
                </c:pt>
                <c:pt idx="11">
                  <c:v>1.1199058029037703</c:v>
                </c:pt>
                <c:pt idx="12">
                  <c:v>1.9008777386553581</c:v>
                </c:pt>
                <c:pt idx="13">
                  <c:v>1.0899913747341323</c:v>
                </c:pt>
                <c:pt idx="14">
                  <c:v>2.1440000000000001</c:v>
                </c:pt>
                <c:pt idx="15">
                  <c:v>3.4431329907210548</c:v>
                </c:pt>
                <c:pt idx="16">
                  <c:v>1.9133326631655152</c:v>
                </c:pt>
                <c:pt idx="17">
                  <c:v>0.69599999999999995</c:v>
                </c:pt>
                <c:pt idx="18">
                  <c:v>0.65667517877888915</c:v>
                </c:pt>
                <c:pt idx="19">
                  <c:v>2.0194995439376742</c:v>
                </c:pt>
                <c:pt idx="20">
                  <c:v>2.0380000000000003</c:v>
                </c:pt>
                <c:pt idx="21">
                  <c:v>2.0444174875807506</c:v>
                </c:pt>
              </c:numCache>
            </c:numRef>
          </c:val>
          <c:extLst>
            <c:ext xmlns:c16="http://schemas.microsoft.com/office/drawing/2014/chart" uri="{C3380CC4-5D6E-409C-BE32-E72D297353CC}">
              <c16:uniqueId val="{00000000-BCCB-4625-9E3E-48494CF0258D}"/>
            </c:ext>
          </c:extLst>
        </c:ser>
        <c:dLbls>
          <c:showLegendKey val="0"/>
          <c:showVal val="0"/>
          <c:showCatName val="0"/>
          <c:showSerName val="0"/>
          <c:showPercent val="0"/>
          <c:showBubbleSize val="0"/>
        </c:dLbls>
        <c:gapWidth val="150"/>
        <c:shape val="box"/>
        <c:axId val="598114856"/>
        <c:axId val="598115640"/>
        <c:axId val="0"/>
      </c:bar3DChart>
      <c:catAx>
        <c:axId val="5981148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5640"/>
        <c:crosses val="autoZero"/>
        <c:auto val="1"/>
        <c:lblAlgn val="ctr"/>
        <c:lblOffset val="100"/>
        <c:noMultiLvlLbl val="0"/>
      </c:catAx>
      <c:valAx>
        <c:axId val="598115640"/>
        <c:scaling>
          <c:orientation val="minMax"/>
        </c:scaling>
        <c:delete val="0"/>
        <c:axPos val="l"/>
        <c:majorGridlines>
          <c:spPr>
            <a:ln w="9525" cap="flat" cmpd="sng" algn="ctr">
              <a:solidFill>
                <a:schemeClr val="dk1">
                  <a:lumMod val="50000"/>
                  <a:lumOff val="50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4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'Operating Profit per Share'!$B$1</c:f>
              <c:strCache>
                <c:ptCount val="1"/>
                <c:pt idx="0">
                  <c:v>Average Operating Profit per Share</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'Operating Profit per Share'!$A$2:$A$23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'Operating Profit per Share'!$B$2:$B$23</c:f>
              <c:numCache>
                <c:formatCode>_(* #,##0.00_);_(* \(#,##0.00\);_(* "-"??_);_(@_)</c:formatCode>
                <c:ptCount val="22"/>
                <c:pt idx="0">
                  <c:v>6.65</c:v>
                </c:pt>
                <c:pt idx="1">
                  <c:v>7.11</c:v>
                </c:pt>
                <c:pt idx="2">
                  <c:v>3.6613598075471652</c:v>
                </c:pt>
                <c:pt idx="3">
                  <c:v>5.7</c:v>
                </c:pt>
                <c:pt idx="4">
                  <c:v>12.491448225323298</c:v>
                </c:pt>
                <c:pt idx="5">
                  <c:v>25.62</c:v>
                </c:pt>
                <c:pt idx="6">
                  <c:v>9.33</c:v>
                </c:pt>
                <c:pt idx="7">
                  <c:v>4.68</c:v>
                </c:pt>
                <c:pt idx="8">
                  <c:v>6.6725745393697782</c:v>
                </c:pt>
                <c:pt idx="9">
                  <c:v>7.03</c:v>
                </c:pt>
                <c:pt idx="10">
                  <c:v>7.6760000000000002</c:v>
                </c:pt>
                <c:pt idx="11">
                  <c:v>4.24</c:v>
                </c:pt>
                <c:pt idx="12">
                  <c:v>4.9058429564040269</c:v>
                </c:pt>
                <c:pt idx="13">
                  <c:v>5.55</c:v>
                </c:pt>
                <c:pt idx="14">
                  <c:v>5.7220994922094004</c:v>
                </c:pt>
                <c:pt idx="15">
                  <c:v>8.33</c:v>
                </c:pt>
                <c:pt idx="16">
                  <c:v>6.2303348162223848</c:v>
                </c:pt>
                <c:pt idx="17">
                  <c:v>10.210000000000001</c:v>
                </c:pt>
                <c:pt idx="18">
                  <c:v>4.1226342967132892</c:v>
                </c:pt>
                <c:pt idx="19">
                  <c:v>8.3800000000000008</c:v>
                </c:pt>
                <c:pt idx="20">
                  <c:v>2.6</c:v>
                </c:pt>
                <c:pt idx="21">
                  <c:v>8.9265084829104229</c:v>
                </c:pt>
              </c:numCache>
            </c:numRef>
          </c:val>
          <c:extLst>
            <c:ext xmlns:c16="http://schemas.microsoft.com/office/drawing/2014/chart" uri="{C3380CC4-5D6E-409C-BE32-E72D297353CC}">
              <c16:uniqueId val="{00000000-F227-4A86-A85F-847520BD35B3}"/>
            </c:ext>
          </c:extLst>
        </c:ser>
        <c:dLbls>
          <c:showLegendKey val="0"/>
          <c:showVal val="0"/>
          <c:showCatName val="0"/>
          <c:showSerName val="0"/>
          <c:showPercent val="0"/>
          <c:showBubbleSize val="0"/>
        </c:dLbls>
        <c:gapWidth val="150"/>
        <c:shape val="box"/>
        <c:axId val="598116424"/>
        <c:axId val="589587784"/>
        <c:axId val="0"/>
      </c:bar3DChart>
      <c:catAx>
        <c:axId val="59811642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89587784"/>
        <c:crosses val="autoZero"/>
        <c:auto val="1"/>
        <c:lblAlgn val="ctr"/>
        <c:lblOffset val="100"/>
        <c:noMultiLvlLbl val="0"/>
      </c:catAx>
      <c:valAx>
        <c:axId val="589587784"/>
        <c:scaling>
          <c:orientation val="minMax"/>
        </c:scaling>
        <c:delete val="0"/>
        <c:axPos val="l"/>
        <c:majorGridlines>
          <c:spPr>
            <a:ln w="9525" cap="flat" cmpd="sng" algn="ctr">
              <a:solidFill>
                <a:schemeClr val="dk1">
                  <a:lumMod val="50000"/>
                  <a:lumOff val="50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98116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9.1568746214415506E-2"/>
          <c:y val="0.23957575757575758"/>
          <c:w val="0.884926980281311"/>
          <c:h val="0.46633691243140069"/>
        </c:manualLayout>
      </c:layout>
      <c:bar3DChart>
        <c:barDir val="col"/>
        <c:grouping val="stacked"/>
        <c:varyColors val="0"/>
        <c:ser>
          <c:idx val="0"/>
          <c:order val="0"/>
          <c:tx>
            <c:strRef>
              <c:f>'NOCF per share'!$B$1</c:f>
              <c:strCache>
                <c:ptCount val="1"/>
                <c:pt idx="0">
                  <c:v>Average Net Operating Cash Flow per Share</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'NOCF per share'!$A$2:$A$23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'NOCF per share'!$B$2:$B$23</c:f>
              <c:numCache>
                <c:formatCode>_(* #,##0.00_);_(* \(#,##0.00\);_(* "-"??_);_(@_)</c:formatCode>
                <c:ptCount val="22"/>
                <c:pt idx="0">
                  <c:v>8.94</c:v>
                </c:pt>
                <c:pt idx="1">
                  <c:v>10.002219281201096</c:v>
                </c:pt>
                <c:pt idx="2">
                  <c:v>6.4818825296131308</c:v>
                </c:pt>
                <c:pt idx="3">
                  <c:v>9.6899940470122186</c:v>
                </c:pt>
                <c:pt idx="4">
                  <c:v>0.32272843081905817</c:v>
                </c:pt>
                <c:pt idx="5">
                  <c:v>64.17</c:v>
                </c:pt>
                <c:pt idx="6">
                  <c:v>9.33</c:v>
                </c:pt>
                <c:pt idx="7">
                  <c:v>1.998</c:v>
                </c:pt>
                <c:pt idx="8">
                  <c:v>1.0840000000000001</c:v>
                </c:pt>
                <c:pt idx="9">
                  <c:v>3.6256806095951228</c:v>
                </c:pt>
                <c:pt idx="10">
                  <c:v>6.35</c:v>
                </c:pt>
                <c:pt idx="11">
                  <c:v>4.1850856024433485</c:v>
                </c:pt>
                <c:pt idx="12">
                  <c:v>3.9340000000000002</c:v>
                </c:pt>
                <c:pt idx="13">
                  <c:v>-0.94</c:v>
                </c:pt>
                <c:pt idx="14">
                  <c:v>2.0768437660192238</c:v>
                </c:pt>
                <c:pt idx="15">
                  <c:v>3.348111459294997</c:v>
                </c:pt>
                <c:pt idx="16">
                  <c:v>7.4459999999999997</c:v>
                </c:pt>
                <c:pt idx="17">
                  <c:v>7.1962408439177183</c:v>
                </c:pt>
                <c:pt idx="18">
                  <c:v>6.4700000000000015</c:v>
                </c:pt>
                <c:pt idx="19">
                  <c:v>10.802000000000001</c:v>
                </c:pt>
                <c:pt idx="20">
                  <c:v>-1.13352406372579</c:v>
                </c:pt>
                <c:pt idx="21">
                  <c:v>8.5858536118809585</c:v>
                </c:pt>
              </c:numCache>
            </c:numRef>
          </c:val>
          <c:extLst>
            <c:ext xmlns:c16="http://schemas.microsoft.com/office/drawing/2014/chart" uri="{C3380CC4-5D6E-409C-BE32-E72D297353CC}">
              <c16:uniqueId val="{00000000-DDB6-4756-A146-B811B08403E6}"/>
            </c:ext>
          </c:extLst>
        </c:ser>
        <c:dLbls>
          <c:showLegendKey val="0"/>
          <c:showVal val="0"/>
          <c:showCatName val="0"/>
          <c:showSerName val="0"/>
          <c:showPercent val="0"/>
          <c:showBubbleSize val="0"/>
        </c:dLbls>
        <c:gapWidth val="150"/>
        <c:shape val="box"/>
        <c:axId val="589594056"/>
        <c:axId val="589587392"/>
        <c:axId val="0"/>
      </c:bar3DChart>
      <c:catAx>
        <c:axId val="5895940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89587392"/>
        <c:crosses val="autoZero"/>
        <c:auto val="1"/>
        <c:lblAlgn val="ctr"/>
        <c:lblOffset val="100"/>
        <c:noMultiLvlLbl val="0"/>
      </c:catAx>
      <c:valAx>
        <c:axId val="589587392"/>
        <c:scaling>
          <c:orientation val="minMax"/>
        </c:scaling>
        <c:delete val="0"/>
        <c:axPos val="l"/>
        <c:majorGridlines>
          <c:spPr>
            <a:ln w="9525" cap="flat" cmpd="sng" algn="ctr">
              <a:solidFill>
                <a:schemeClr val="dk1">
                  <a:lumMod val="50000"/>
                  <a:lumOff val="50000"/>
                </a:schemeClr>
              </a:solidFill>
              <a:round/>
            </a:ln>
            <a:effectLst/>
          </c:spPr>
        </c:majorGridlines>
        <c:numFmt formatCode="_(* #,##0.00_);_(* \(#,##0.0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895940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'Dividend Yield'!$B$1</c:f>
              <c:strCache>
                <c:ptCount val="1"/>
                <c:pt idx="0">
                  <c:v>Average Dividend Yield</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('Dividend Yield'!$A$2:$A$10,'Dividend Yield'!$A$12:$A$23)</c:f>
              <c:strCache>
                <c:ptCount val="21"/>
                <c:pt idx="0">
                  <c:v>AB Bank</c:v>
                </c:pt>
                <c:pt idx="1">
                  <c:v>Bank Asia</c:v>
                </c:pt>
                <c:pt idx="2">
                  <c:v>Brac Bank</c:v>
                </c:pt>
                <c:pt idx="3">
                  <c:v>City Bank</c:v>
                </c:pt>
                <c:pt idx="4">
                  <c:v>Dhaka Bank</c:v>
                </c:pt>
                <c:pt idx="5">
                  <c:v>DBBL</c:v>
                </c:pt>
                <c:pt idx="6">
                  <c:v>EBL</c:v>
                </c:pt>
                <c:pt idx="7">
                  <c:v>IFIC Bank</c:v>
                </c:pt>
                <c:pt idx="8">
                  <c:v>Jamuna Bank </c:v>
                </c:pt>
                <c:pt idx="9">
                  <c:v>MTB</c:v>
                </c:pt>
                <c:pt idx="10">
                  <c:v>National Bank</c:v>
                </c:pt>
                <c:pt idx="11">
                  <c:v>NCC Bank</c:v>
                </c:pt>
                <c:pt idx="12">
                  <c:v>Prime Bank</c:v>
                </c:pt>
                <c:pt idx="13">
                  <c:v>Premier Bank</c:v>
                </c:pt>
                <c:pt idx="14">
                  <c:v>Pubali Bank</c:v>
                </c:pt>
                <c:pt idx="15">
                  <c:v>One Bank</c:v>
                </c:pt>
                <c:pt idx="16">
                  <c:v>SEBL</c:v>
                </c:pt>
                <c:pt idx="17">
                  <c:v>Standard Bank</c:v>
                </c:pt>
                <c:pt idx="18">
                  <c:v>Trust Bank Limited </c:v>
                </c:pt>
                <c:pt idx="19">
                  <c:v>UCB </c:v>
                </c:pt>
                <c:pt idx="20">
                  <c:v>Uttara Bank</c:v>
                </c:pt>
              </c:strCache>
            </c:strRef>
          </c:cat>
          <c:val>
            <c:numRef>
              <c:f>('Dividend Yield'!$B$2:$B$10,'Dividend Yield'!$B$12:$B$23)</c:f>
              <c:numCache>
                <c:formatCode>0%</c:formatCode>
                <c:ptCount val="21"/>
                <c:pt idx="0">
                  <c:v>0.23172484819876843</c:v>
                </c:pt>
                <c:pt idx="1">
                  <c:v>2.0056783062386861E-2</c:v>
                </c:pt>
                <c:pt idx="2">
                  <c:v>0.14274976005104434</c:v>
                </c:pt>
                <c:pt idx="3">
                  <c:v>4.8603053816777299E-2</c:v>
                </c:pt>
                <c:pt idx="4">
                  <c:v>4.7301754049089706E-2</c:v>
                </c:pt>
                <c:pt idx="5">
                  <c:v>3.4088808590926764E-2</c:v>
                </c:pt>
                <c:pt idx="6">
                  <c:v>5.448896645613753E-2</c:v>
                </c:pt>
                <c:pt idx="7">
                  <c:v>6.6872093910564659E-2</c:v>
                </c:pt>
                <c:pt idx="8">
                  <c:v>0.11214632313983626</c:v>
                </c:pt>
                <c:pt idx="9">
                  <c:v>0</c:v>
                </c:pt>
                <c:pt idx="10">
                  <c:v>0.17326745385142683</c:v>
                </c:pt>
                <c:pt idx="11">
                  <c:v>6.7363395375449164E-2</c:v>
                </c:pt>
                <c:pt idx="12">
                  <c:v>7.5939999999999994E-2</c:v>
                </c:pt>
                <c:pt idx="13">
                  <c:v>0</c:v>
                </c:pt>
                <c:pt idx="14">
                  <c:v>3.3211256620145235E-2</c:v>
                </c:pt>
                <c:pt idx="15">
                  <c:v>0</c:v>
                </c:pt>
                <c:pt idx="16">
                  <c:v>6.4000000000000001E-2</c:v>
                </c:pt>
                <c:pt idx="17">
                  <c:v>6.1050060895856649E-3</c:v>
                </c:pt>
                <c:pt idx="18">
                  <c:v>2.3661216510567951E-2</c:v>
                </c:pt>
                <c:pt idx="19">
                  <c:v>7.2440000000000004E-2</c:v>
                </c:pt>
                <c:pt idx="20">
                  <c:v>7.3324343808008063E-2</c:v>
                </c:pt>
              </c:numCache>
            </c:numRef>
          </c:val>
          <c:extLst>
            <c:ext xmlns:c16="http://schemas.microsoft.com/office/drawing/2014/chart" uri="{C3380CC4-5D6E-409C-BE32-E72D297353CC}">
              <c16:uniqueId val="{00000000-838C-4630-B6B0-4AF495EF2D75}"/>
            </c:ext>
          </c:extLst>
        </c:ser>
        <c:dLbls>
          <c:showLegendKey val="0"/>
          <c:showVal val="0"/>
          <c:showCatName val="0"/>
          <c:showSerName val="0"/>
          <c:showPercent val="0"/>
          <c:showBubbleSize val="0"/>
        </c:dLbls>
        <c:gapWidth val="150"/>
        <c:shape val="box"/>
        <c:axId val="589588960"/>
        <c:axId val="589593664"/>
        <c:axId val="0"/>
      </c:bar3DChart>
      <c:catAx>
        <c:axId val="58958896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89593664"/>
        <c:crosses val="autoZero"/>
        <c:auto val="1"/>
        <c:lblAlgn val="ctr"/>
        <c:lblOffset val="100"/>
        <c:noMultiLvlLbl val="0"/>
      </c:catAx>
      <c:valAx>
        <c:axId val="589593664"/>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89588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spc="100" baseline="0">
              <a:solidFill>
                <a:schemeClr val="lt1">
                  <a:lumMod val="95000"/>
                </a:schemeClr>
              </a:solidFill>
              <a:effectLst>
                <a:outerShdw blurRad="50800" dist="38100" dir="5400000" algn="t" rotWithShape="0">
                  <a:prstClr val="black">
                    <a:alpha val="40000"/>
                  </a:prstClr>
                </a:outerShdw>
              </a:effectLst>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'Dividend Payout Ratio'!$B$1</c:f>
              <c:strCache>
                <c:ptCount val="1"/>
                <c:pt idx="0">
                  <c:v>Average Dividend Payout Ratio</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cat>
            <c:strRef>
              <c:f>'Dividend Payout Ratio'!$A$2:$A$23</c:f>
              <c:strCache>
                <c:ptCount val="22"/>
                <c:pt idx="0">
                  <c:v>AB Bank</c:v>
                </c:pt>
                <c:pt idx="1">
                  <c:v>Bank Asia</c:v>
                </c:pt>
                <c:pt idx="2">
                  <c:v>Brac Bank</c:v>
                </c:pt>
                <c:pt idx="3">
                  <c:v>City Bank</c:v>
                </c:pt>
                <c:pt idx="4">
                  <c:v>Dhaka Bank</c:v>
                </c:pt>
                <c:pt idx="5">
                  <c:v>DBBL</c:v>
                </c:pt>
                <c:pt idx="6">
                  <c:v>EBL</c:v>
                </c:pt>
                <c:pt idx="7">
                  <c:v>IFIC Bank</c:v>
                </c:pt>
                <c:pt idx="8">
                  <c:v>Jamuna Bank </c:v>
                </c:pt>
                <c:pt idx="9">
                  <c:v>Mercantile Bank</c:v>
                </c:pt>
                <c:pt idx="10">
                  <c:v>MTB</c:v>
                </c:pt>
                <c:pt idx="11">
                  <c:v>National Bank</c:v>
                </c:pt>
                <c:pt idx="12">
                  <c:v>NCC Bank</c:v>
                </c:pt>
                <c:pt idx="13">
                  <c:v>Prime Bank</c:v>
                </c:pt>
                <c:pt idx="14">
                  <c:v>Premier Bank</c:v>
                </c:pt>
                <c:pt idx="15">
                  <c:v>Pubali Bank</c:v>
                </c:pt>
                <c:pt idx="16">
                  <c:v>One Bank</c:v>
                </c:pt>
                <c:pt idx="17">
                  <c:v>SEBL</c:v>
                </c:pt>
                <c:pt idx="18">
                  <c:v>Standard Bank</c:v>
                </c:pt>
                <c:pt idx="19">
                  <c:v>Trust Bank Limited </c:v>
                </c:pt>
                <c:pt idx="20">
                  <c:v>UCB </c:v>
                </c:pt>
                <c:pt idx="21">
                  <c:v>Uttara Bank</c:v>
                </c:pt>
              </c:strCache>
            </c:strRef>
          </c:cat>
          <c:val>
            <c:numRef>
              <c:f>'Dividend Payout Ratio'!$B$2:$B$23</c:f>
              <c:numCache>
                <c:formatCode>0%</c:formatCode>
                <c:ptCount val="22"/>
                <c:pt idx="0">
                  <c:v>2.9415836101882613</c:v>
                </c:pt>
                <c:pt idx="1">
                  <c:v>0.22646500641693551</c:v>
                </c:pt>
                <c:pt idx="2">
                  <c:v>0.43135578748463865</c:v>
                </c:pt>
                <c:pt idx="3">
                  <c:v>0.38490404206006434</c:v>
                </c:pt>
                <c:pt idx="4">
                  <c:v>0.40194301089178763</c:v>
                </c:pt>
                <c:pt idx="5">
                  <c:v>0.30848754141272539</c:v>
                </c:pt>
                <c:pt idx="6">
                  <c:v>0.47988044456042234</c:v>
                </c:pt>
                <c:pt idx="7">
                  <c:v>0.70474590218285471</c:v>
                </c:pt>
                <c:pt idx="8">
                  <c:v>0.63056082850188422</c:v>
                </c:pt>
                <c:pt idx="9">
                  <c:v>0.32964731386315432</c:v>
                </c:pt>
                <c:pt idx="10">
                  <c:v>0.44117999999999996</c:v>
                </c:pt>
                <c:pt idx="11">
                  <c:v>0.96768066904662686</c:v>
                </c:pt>
                <c:pt idx="12">
                  <c:v>0.43012192708999064</c:v>
                </c:pt>
                <c:pt idx="13">
                  <c:v>0.65379486598546421</c:v>
                </c:pt>
                <c:pt idx="14">
                  <c:v>8.2041184728950931E-2</c:v>
                </c:pt>
                <c:pt idx="15">
                  <c:v>8.2542555281004629E-3</c:v>
                </c:pt>
                <c:pt idx="16">
                  <c:v>0.35382694909097884</c:v>
                </c:pt>
                <c:pt idx="17">
                  <c:v>0.56200000000000006</c:v>
                </c:pt>
                <c:pt idx="18">
                  <c:v>6.7069080984180546E-2</c:v>
                </c:pt>
                <c:pt idx="19">
                  <c:v>0.17500000000000002</c:v>
                </c:pt>
                <c:pt idx="20">
                  <c:v>0.47710236603469919</c:v>
                </c:pt>
                <c:pt idx="21">
                  <c:v>0.49047242440199745</c:v>
                </c:pt>
              </c:numCache>
            </c:numRef>
          </c:val>
          <c:extLst>
            <c:ext xmlns:c16="http://schemas.microsoft.com/office/drawing/2014/chart" uri="{C3380CC4-5D6E-409C-BE32-E72D297353CC}">
              <c16:uniqueId val="{00000000-2585-4DCE-A067-8879864537F4}"/>
            </c:ext>
          </c:extLst>
        </c:ser>
        <c:dLbls>
          <c:showLegendKey val="0"/>
          <c:showVal val="0"/>
          <c:showCatName val="0"/>
          <c:showSerName val="0"/>
          <c:showPercent val="0"/>
          <c:showBubbleSize val="0"/>
        </c:dLbls>
        <c:gapWidth val="150"/>
        <c:shape val="box"/>
        <c:axId val="589590528"/>
        <c:axId val="589590136"/>
        <c:axId val="0"/>
      </c:bar3DChart>
      <c:catAx>
        <c:axId val="5895905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89590136"/>
        <c:crosses val="autoZero"/>
        <c:auto val="1"/>
        <c:lblAlgn val="ctr"/>
        <c:lblOffset val="100"/>
        <c:noMultiLvlLbl val="0"/>
      </c:catAx>
      <c:valAx>
        <c:axId val="589590136"/>
        <c:scaling>
          <c:orientation val="minMax"/>
        </c:scaling>
        <c:delete val="0"/>
        <c:axPos val="l"/>
        <c:majorGridlines>
          <c:spPr>
            <a:ln w="9525" cap="flat" cmpd="sng" algn="ctr">
              <a:solidFill>
                <a:schemeClr val="dk1">
                  <a:lumMod val="50000"/>
                  <a:lumOff val="50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crossAx val="589590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lt1">
                  <a:lumMod val="85000"/>
                </a:schemeClr>
              </a:solidFill>
              <a:latin typeface="+mn-lt"/>
              <a:ea typeface="+mn-ea"/>
              <a:cs typeface="+mn-cs"/>
            </a:defRPr>
          </a:pPr>
          <a:endParaRPr lang="en-US"/>
        </a:p>
      </c:txPr>
    </c:legend>
    <c:plotVisOnly val="1"/>
    <c:dispBlanksAs val="gap"/>
    <c:showDLblsOverMax val="0"/>
  </c:chart>
  <c: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a:ln>
      <a:noFill/>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8.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9.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0.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3.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4.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5.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6.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7.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8.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19.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0.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1.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charts/style22.xml><?xml version="1.0" encoding="utf-8"?>
<cs:chartStyle xmlns:cs="http://schemas.microsoft.com/office/drawing/2012/chartStyle" xmlns:a="http://schemas.openxmlformats.org/drawingml/2006/main" id="294">
  <cs:axisTitle>
    <cs:lnRef idx="0"/>
    <cs:fillRef idx="0"/>
    <cs:effectRef idx="0"/>
    <cs:fontRef idx="minor">
      <a:schemeClr val="lt1">
        <a:lumMod val="85000"/>
      </a:schemeClr>
    </cs:fontRef>
    <cs:defRPr sz="900" b="1" kern="1200" cap="all"/>
  </cs:axisTitle>
  <cs:categoryAxis>
    <cs:lnRef idx="0"/>
    <cs:fillRef idx="0"/>
    <cs:effectRef idx="0"/>
    <cs:fontRef idx="minor">
      <a:schemeClr val="lt1">
        <a:lumMod val="85000"/>
      </a:schemeClr>
    </cs:fontRef>
    <cs:spPr/>
    <cs:defRPr sz="900" kern="1200"/>
  </cs:categoryAxis>
  <cs:chartArea>
    <cs:lnRef idx="0"/>
    <cs:fillRef idx="0"/>
    <cs:effectRef idx="0"/>
    <cs:fontRef idx="minor">
      <a:schemeClr val="dk1"/>
    </cs:fontRef>
    <cs:spPr>
      <a:gradFill flip="none" rotWithShape="1">
        <a:gsLst>
          <a:gs pos="0">
            <a:schemeClr val="dk1">
              <a:lumMod val="65000"/>
              <a:lumOff val="35000"/>
            </a:schemeClr>
          </a:gs>
          <a:gs pos="100000">
            <a:schemeClr val="dk1">
              <a:lumMod val="85000"/>
              <a:lumOff val="15000"/>
            </a:schemeClr>
          </a:gs>
        </a:gsLst>
        <a:path path="circle">
          <a:fillToRect l="50000" t="50000" r="50000" b="50000"/>
        </a:path>
        <a:tileRect/>
      </a:gradFill>
    </cs:spPr>
    <cs:defRPr sz="1000" kern="1200"/>
  </cs:chartArea>
  <cs:dataLabel>
    <cs:lnRef idx="0"/>
    <cs:fillRef idx="0"/>
    <cs:effectRef idx="0"/>
    <cs:fontRef idx="minor">
      <a:schemeClr val="lt1">
        <a:lumMod val="85000"/>
      </a:schemeClr>
    </cs:fontRef>
    <cs:defRPr sz="900" kern="1200"/>
  </cs:dataLabel>
  <cs:dataLabelCallout>
    <cs:lnRef idx="0"/>
    <cs:fillRef idx="0"/>
    <cs:effectRef idx="0"/>
    <cs:fontRef idx="minor">
      <a:schemeClr val="dk1">
        <a:lumMod val="65000"/>
        <a:lumOff val="35000"/>
      </a:schemeClr>
    </cs:fontRef>
    <cs:spPr>
      <a:solidFill>
        <a:schemeClr val="lt1"/>
      </a:solidFill>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lt1">
        <a:lumMod val="85000"/>
      </a:schemeClr>
    </cs:fontRef>
    <cs:spPr>
      <a:ln w="9525">
        <a:solidFill>
          <a:schemeClr val="lt1">
            <a:lumMod val="95000"/>
            <a:alpha val="54000"/>
          </a:schemeClr>
        </a:solidFill>
      </a:ln>
    </cs:spPr>
    <cs:defRPr sz="900" kern="1200"/>
  </cs:dataTable>
  <cs:downBar>
    <cs:lnRef idx="0"/>
    <cs:fillRef idx="0"/>
    <cs:effectRef idx="0"/>
    <cs:fontRef idx="minor">
      <a:schemeClr val="tx1"/>
    </cs:fontRef>
    <cs:spPr>
      <a:solidFill>
        <a:schemeClr val="dk1">
          <a:lumMod val="75000"/>
          <a:lumOff val="25000"/>
        </a:schemeClr>
      </a:solidFill>
      <a:ln w="9525">
        <a:solidFill>
          <a:schemeClr val="lt1">
            <a:lumMod val="95000"/>
            <a:alpha val="54000"/>
          </a:schemeClr>
        </a:solidFill>
      </a:ln>
    </cs:spPr>
  </cs:downBar>
  <cs:dropLine>
    <cs:lnRef idx="0"/>
    <cs:fillRef idx="0"/>
    <cs:effectRef idx="0"/>
    <cs:fontRef idx="minor">
      <a:schemeClr val="tx1"/>
    </cs:fontRef>
    <cs:spPr>
      <a:ln w="9525">
        <a:solidFill>
          <a:schemeClr val="lt1">
            <a:lumMod val="95000"/>
            <a:alpha val="54000"/>
          </a:schemeClr>
        </a:solidFill>
        <a:prstDash val="dash"/>
      </a:ln>
    </cs:spPr>
  </cs:dropLine>
  <cs:errorBar>
    <cs:lnRef idx="0"/>
    <cs:fillRef idx="0"/>
    <cs:effectRef idx="0"/>
    <cs:fontRef idx="minor">
      <a:schemeClr val="tx1"/>
    </cs:fontRef>
    <cs:spPr>
      <a:ln w="9525" cap="flat" cmpd="sng" algn="ctr">
        <a:solidFill>
          <a:schemeClr val="lt1">
            <a:lumMod val="9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dk1">
            <a:lumMod val="50000"/>
            <a:lumOff val="50000"/>
          </a:schemeClr>
        </a:solidFill>
        <a:round/>
      </a:ln>
    </cs:spPr>
  </cs:gridlineMajor>
  <cs:gridlineMinor>
    <cs:lnRef idx="0"/>
    <cs:fillRef idx="0"/>
    <cs:effectRef idx="0"/>
    <cs:fontRef idx="minor">
      <a:schemeClr val="tx1"/>
    </cs:fontRef>
    <cs:spPr>
      <a:ln>
        <a:solidFill>
          <a:schemeClr val="dk1">
            <a:lumMod val="60000"/>
            <a:lumOff val="40000"/>
          </a:schemeClr>
        </a:solidFill>
      </a:ln>
    </cs:spPr>
  </cs:gridlineMinor>
  <cs:hiLoLine>
    <cs:lnRef idx="0"/>
    <cs:fillRef idx="0"/>
    <cs:effectRef idx="0"/>
    <cs:fontRef idx="minor">
      <a:schemeClr val="tx1"/>
    </cs:fontRef>
    <cs:spPr>
      <a:ln w="9525">
        <a:solidFill>
          <a:schemeClr val="lt1">
            <a:lumMod val="95000"/>
            <a:alpha val="54000"/>
          </a:schemeClr>
        </a:solidFill>
        <a:prstDash val="dash"/>
      </a:ln>
    </cs:spPr>
  </cs:hiLoLine>
  <cs:leaderLine>
    <cs:lnRef idx="0"/>
    <cs:fillRef idx="0"/>
    <cs:effectRef idx="0"/>
    <cs:fontRef idx="minor">
      <a:schemeClr val="tx1"/>
    </cs:fontRef>
    <cs:spPr>
      <a:ln w="9525">
        <a:solidFill>
          <a:schemeClr val="lt1">
            <a:lumMod val="95000"/>
            <a:alpha val="54000"/>
          </a:schemeClr>
        </a:solidFill>
      </a:ln>
    </cs:spPr>
  </cs:leaderLine>
  <cs:legend>
    <cs:lnRef idx="0"/>
    <cs:fillRef idx="0"/>
    <cs:effectRef idx="0"/>
    <cs:fontRef idx="minor">
      <a:schemeClr val="lt1">
        <a:lumMod val="85000"/>
      </a:schemeClr>
    </cs:fontRef>
    <cs:defRPr sz="900" kern="1200"/>
  </cs:legend>
  <cs:plotArea>
    <cs:lnRef idx="0"/>
    <cs:fillRef idx="0"/>
    <cs:effectRef idx="0"/>
    <cs:fontRef idx="minor">
      <a:schemeClr val="tx1"/>
    </cs:fontRef>
  </cs:plotArea>
  <cs:plotArea3D>
    <cs:lnRef idx="0"/>
    <cs:fillRef idx="0"/>
    <cs:effectRef idx="0"/>
    <cs:fontRef idx="minor">
      <a:schemeClr val="tx1"/>
    </cs:fontRef>
  </cs:plotArea3D>
  <cs:seriesAxis>
    <cs:lnRef idx="0"/>
    <cs:fillRef idx="0"/>
    <cs:effectRef idx="0"/>
    <cs:fontRef idx="minor">
      <a:schemeClr val="lt1">
        <a:lumMod val="85000"/>
      </a:schemeClr>
    </cs:fontRef>
    <cs:spPr/>
    <cs:defRPr sz="900" kern="1200"/>
  </cs:seriesAxis>
  <cs:seriesLine>
    <cs:lnRef idx="0"/>
    <cs:fillRef idx="0"/>
    <cs:effectRef idx="0"/>
    <cs:fontRef idx="minor">
      <a:schemeClr val="lt1"/>
    </cs:fontRef>
    <cs:spPr>
      <a:ln w="9525" cap="flat" cmpd="sng" algn="ctr">
        <a:solidFill>
          <a:schemeClr val="lt1">
            <a:lumMod val="95000"/>
            <a:alpha val="54000"/>
          </a:schemeClr>
        </a:solidFill>
        <a:round/>
      </a:ln>
    </cs:spPr>
  </cs:seriesLine>
  <cs:title>
    <cs:lnRef idx="0"/>
    <cs:fillRef idx="0"/>
    <cs:effectRef idx="0"/>
    <cs:fontRef idx="minor">
      <a:schemeClr val="lt1">
        <a:lumMod val="95000"/>
      </a:schemeClr>
    </cs:fontRef>
    <cs:defRPr sz="1600" b="1" kern="1200" spc="100" baseline="0">
      <a:effectLst>
        <a:outerShdw blurRad="50800" dist="38100" dir="5400000" algn="t" rotWithShape="0">
          <a:prstClr val="black">
            <a:alpha val="40000"/>
          </a:prstClr>
        </a:outerShdw>
      </a:effectLst>
    </cs:defRPr>
  </cs:title>
  <cs:trendline>
    <cs:lnRef idx="0">
      <cs:styleClr val="auto"/>
    </cs:lnRef>
    <cs:fillRef idx="0"/>
    <cs:effectRef idx="0"/>
    <cs:fontRef idx="minor">
      <a:schemeClr val="tx1"/>
    </cs:fontRef>
    <cs:spPr>
      <a:ln w="19050" cap="rnd">
        <a:solidFill>
          <a:schemeClr val="phClr"/>
        </a:solidFill>
      </a:ln>
    </cs:spPr>
  </cs:trendline>
  <cs:trendlineLabel>
    <cs:lnRef idx="0"/>
    <cs:fillRef idx="0"/>
    <cs:effectRef idx="0"/>
    <cs:fontRef idx="minor">
      <a:schemeClr val="lt1">
        <a:lumMod val="85000"/>
      </a:schemeClr>
    </cs:fontRef>
    <cs:defRPr sz="900" kern="1200"/>
  </cs:trendlineLabel>
  <cs:upBar>
    <cs:lnRef idx="0"/>
    <cs:fillRef idx="0"/>
    <cs:effectRef idx="0"/>
    <cs:fontRef idx="minor">
      <a:schemeClr val="tx1"/>
    </cs:fontRef>
    <cs:spPr>
      <a:solidFill>
        <a:schemeClr val="lt1"/>
      </a:solidFill>
      <a:ln w="9525">
        <a:solidFill>
          <a:schemeClr val="lt1">
            <a:lumMod val="95000"/>
            <a:alpha val="54000"/>
          </a:schemeClr>
        </a:solidFill>
      </a:ln>
    </cs:spPr>
  </cs:upBar>
  <cs:valueAxis>
    <cs:lnRef idx="0"/>
    <cs:fillRef idx="0"/>
    <cs:effectRef idx="0"/>
    <cs:fontRef idx="minor">
      <a:schemeClr val="lt1">
        <a:lumMod val="85000"/>
      </a:schemeClr>
    </cs:fontRef>
    <cs:defRPr sz="900" kern="1200"/>
  </cs:valueAxis>
  <cs:wall>
    <cs:lnRef idx="0"/>
    <cs:fillRef idx="0"/>
    <cs:effectRef idx="0"/>
    <cs:fontRef idx="minor">
      <a:schemeClr val="tx1"/>
    </cs:fontRef>
  </cs:wall>
</cs:chartStyle>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67A677E-352F-4D2B-9778-2E11C9BC0912}" type="doc">
      <dgm:prSet loTypeId="urn:microsoft.com/office/officeart/2005/8/layout/vList2" loCatId="list" qsTypeId="urn:microsoft.com/office/officeart/2005/8/quickstyle/simple1" qsCatId="simple" csTypeId="urn:microsoft.com/office/officeart/2005/8/colors/accent0_2" csCatId="mainScheme" phldr="1"/>
      <dgm:spPr/>
      <dgm:t>
        <a:bodyPr/>
        <a:lstStyle/>
        <a:p>
          <a:endParaRPr lang="en-US"/>
        </a:p>
      </dgm:t>
    </dgm:pt>
    <dgm:pt modelId="{508E689A-9172-4C5C-91CB-914AB978787E}">
      <dgm:prSet phldrT="[Text]" custT="1"/>
      <dgm:spPr/>
      <dgm:t>
        <a:bodyPr/>
        <a:lstStyle/>
        <a:p>
          <a:r>
            <a:rPr lang="en-US" sz="1200" b="1" i="0" u="none">
              <a:latin typeface="Times New Roman" panose="02020603050405020304" pitchFamily="18" charset="0"/>
              <a:cs typeface="Times New Roman" panose="02020603050405020304" pitchFamily="18" charset="0"/>
            </a:rPr>
            <a:t>PROFITABILITY RATIOS</a:t>
          </a:r>
          <a:endParaRPr lang="en-US" sz="1200">
            <a:latin typeface="Times New Roman" panose="02020603050405020304" pitchFamily="18" charset="0"/>
            <a:cs typeface="Times New Roman" panose="02020603050405020304" pitchFamily="18" charset="0"/>
          </a:endParaRPr>
        </a:p>
      </dgm:t>
    </dgm:pt>
    <dgm:pt modelId="{795BAEDC-FDF8-4BBE-95B8-C51B6A8D9BF7}" type="parTrans" cxnId="{7C3E0261-2043-4D31-B3B3-2609D8F3F059}">
      <dgm:prSet/>
      <dgm:spPr/>
      <dgm:t>
        <a:bodyPr/>
        <a:lstStyle/>
        <a:p>
          <a:endParaRPr lang="en-US">
            <a:latin typeface="Times New Roman" panose="02020603050405020304" pitchFamily="18" charset="0"/>
            <a:cs typeface="Times New Roman" panose="02020603050405020304" pitchFamily="18" charset="0"/>
          </a:endParaRPr>
        </a:p>
      </dgm:t>
    </dgm:pt>
    <dgm:pt modelId="{434B0577-9093-48D6-AFFB-AC02A5CB989D}" type="sibTrans" cxnId="{7C3E0261-2043-4D31-B3B3-2609D8F3F059}">
      <dgm:prSet/>
      <dgm:spPr/>
      <dgm:t>
        <a:bodyPr/>
        <a:lstStyle/>
        <a:p>
          <a:endParaRPr lang="en-US">
            <a:latin typeface="Times New Roman" panose="02020603050405020304" pitchFamily="18" charset="0"/>
            <a:cs typeface="Times New Roman" panose="02020603050405020304" pitchFamily="18" charset="0"/>
          </a:endParaRPr>
        </a:p>
      </dgm:t>
    </dgm:pt>
    <dgm:pt modelId="{A31C7C02-838D-4499-8EA5-7DF9D8DFD74D}">
      <dgm:prSet phldrT="[Text]" custT="1"/>
      <dgm:spPr/>
      <dgm:t>
        <a:bodyPr/>
        <a:lstStyle/>
        <a:p>
          <a:pPr algn="just"/>
          <a:r>
            <a:rPr lang="en-US" sz="1000" b="0" i="0" u="none">
              <a:latin typeface="Times New Roman" panose="02020603050405020304" pitchFamily="18" charset="0"/>
              <a:cs typeface="Times New Roman" panose="02020603050405020304" pitchFamily="18" charset="0"/>
            </a:rPr>
            <a:t>Return on Equity= Net Income/ Shareholder's Equity</a:t>
          </a:r>
          <a:endParaRPr lang="en-US" sz="1000">
            <a:latin typeface="Times New Roman" pitchFamily="18" charset="0"/>
            <a:cs typeface="Times New Roman" pitchFamily="18" charset="0"/>
          </a:endParaRPr>
        </a:p>
      </dgm:t>
    </dgm:pt>
    <dgm:pt modelId="{6B3A6AFB-FFC4-476D-858A-22CB380F74EA}" type="parTrans" cxnId="{7C43D39F-83AF-4AEA-ADD5-973B05CCB6DC}">
      <dgm:prSet/>
      <dgm:spPr/>
      <dgm:t>
        <a:bodyPr/>
        <a:lstStyle/>
        <a:p>
          <a:endParaRPr lang="en-US">
            <a:latin typeface="Times New Roman" panose="02020603050405020304" pitchFamily="18" charset="0"/>
            <a:cs typeface="Times New Roman" panose="02020603050405020304" pitchFamily="18" charset="0"/>
          </a:endParaRPr>
        </a:p>
      </dgm:t>
    </dgm:pt>
    <dgm:pt modelId="{AEE1F2CD-D09A-4328-A5C2-36BA9BAA4B47}" type="sibTrans" cxnId="{7C43D39F-83AF-4AEA-ADD5-973B05CCB6DC}">
      <dgm:prSet/>
      <dgm:spPr/>
      <dgm:t>
        <a:bodyPr/>
        <a:lstStyle/>
        <a:p>
          <a:endParaRPr lang="en-US">
            <a:latin typeface="Times New Roman" panose="02020603050405020304" pitchFamily="18" charset="0"/>
            <a:cs typeface="Times New Roman" panose="02020603050405020304" pitchFamily="18" charset="0"/>
          </a:endParaRPr>
        </a:p>
      </dgm:t>
    </dgm:pt>
    <dgm:pt modelId="{EDD9895C-7C99-41C8-8119-2ECF5A1FB5C5}">
      <dgm:prSet phldrT="[Text]" custT="1"/>
      <dgm:spPr/>
      <dgm:t>
        <a:bodyPr/>
        <a:lstStyle/>
        <a:p>
          <a:r>
            <a:rPr lang="en-US" sz="1200" b="1" i="0" u="none">
              <a:latin typeface="Times New Roman" panose="02020603050405020304" pitchFamily="18" charset="0"/>
              <a:cs typeface="Times New Roman" panose="02020603050405020304" pitchFamily="18" charset="0"/>
            </a:rPr>
            <a:t>Liquidity Ratios</a:t>
          </a:r>
          <a:endParaRPr lang="en-US" sz="1200">
            <a:latin typeface="Times New Roman" panose="02020603050405020304" pitchFamily="18" charset="0"/>
            <a:cs typeface="Times New Roman" panose="02020603050405020304" pitchFamily="18" charset="0"/>
          </a:endParaRPr>
        </a:p>
      </dgm:t>
    </dgm:pt>
    <dgm:pt modelId="{CE51FE00-11B3-4089-9536-3F2AA3639B58}" type="parTrans" cxnId="{9246C18A-59EC-45BF-9B4F-229DB1E4183C}">
      <dgm:prSet/>
      <dgm:spPr/>
      <dgm:t>
        <a:bodyPr/>
        <a:lstStyle/>
        <a:p>
          <a:endParaRPr lang="en-US">
            <a:latin typeface="Times New Roman" panose="02020603050405020304" pitchFamily="18" charset="0"/>
            <a:cs typeface="Times New Roman" panose="02020603050405020304" pitchFamily="18" charset="0"/>
          </a:endParaRPr>
        </a:p>
      </dgm:t>
    </dgm:pt>
    <dgm:pt modelId="{ABC415F4-5A17-48A5-B2FE-34528E409FDD}" type="sibTrans" cxnId="{9246C18A-59EC-45BF-9B4F-229DB1E4183C}">
      <dgm:prSet/>
      <dgm:spPr/>
      <dgm:t>
        <a:bodyPr/>
        <a:lstStyle/>
        <a:p>
          <a:endParaRPr lang="en-US">
            <a:latin typeface="Times New Roman" panose="02020603050405020304" pitchFamily="18" charset="0"/>
            <a:cs typeface="Times New Roman" panose="02020603050405020304" pitchFamily="18" charset="0"/>
          </a:endParaRPr>
        </a:p>
      </dgm:t>
    </dgm:pt>
    <dgm:pt modelId="{8A61215C-4B08-4B7B-BBD2-354C98BD3489}">
      <dgm:prSet phldrT="[Text]" custT="1"/>
      <dgm:spPr/>
      <dgm:t>
        <a:bodyPr/>
        <a:lstStyle/>
        <a:p>
          <a:r>
            <a:rPr lang="en-US" sz="1000" b="0" i="0" u="none">
              <a:latin typeface="Times New Roman" panose="02020603050405020304" pitchFamily="18" charset="0"/>
              <a:cs typeface="Times New Roman" panose="02020603050405020304" pitchFamily="18" charset="0"/>
            </a:rPr>
            <a:t>Cash Reserve Ratio= </a:t>
          </a:r>
          <a:r>
            <a:rPr lang="en-US" sz="1000" b="0" i="0">
              <a:latin typeface="Times New Roman" panose="02020603050405020304" pitchFamily="18" charset="0"/>
              <a:cs typeface="Times New Roman" panose="02020603050405020304" pitchFamily="18" charset="0"/>
            </a:rPr>
            <a:t>Reserve Requirement *</a:t>
          </a:r>
          <a:r>
            <a:rPr lang="en-US" sz="1000" b="1" i="0">
              <a:latin typeface="Times New Roman" panose="02020603050405020304" pitchFamily="18" charset="0"/>
              <a:cs typeface="Times New Roman" panose="02020603050405020304" pitchFamily="18" charset="0"/>
            </a:rPr>
            <a:t> </a:t>
          </a:r>
          <a:r>
            <a:rPr lang="en-US" sz="1000" b="0" i="0">
              <a:latin typeface="Times New Roman" panose="02020603050405020304" pitchFamily="18" charset="0"/>
              <a:cs typeface="Times New Roman" panose="02020603050405020304" pitchFamily="18" charset="0"/>
            </a:rPr>
            <a:t>Bank Deposits</a:t>
          </a:r>
          <a:endParaRPr lang="en-US" sz="1000" b="0">
            <a:latin typeface="Times New Roman" panose="02020603050405020304" pitchFamily="18" charset="0"/>
            <a:cs typeface="Times New Roman" panose="02020603050405020304" pitchFamily="18" charset="0"/>
          </a:endParaRPr>
        </a:p>
      </dgm:t>
    </dgm:pt>
    <dgm:pt modelId="{96200CC3-978C-4479-B1EB-60FC78240385}" type="parTrans" cxnId="{1F69A49A-716D-4549-8B83-BBE1BF545CEC}">
      <dgm:prSet/>
      <dgm:spPr/>
      <dgm:t>
        <a:bodyPr/>
        <a:lstStyle/>
        <a:p>
          <a:endParaRPr lang="en-US">
            <a:latin typeface="Times New Roman" panose="02020603050405020304" pitchFamily="18" charset="0"/>
            <a:cs typeface="Times New Roman" panose="02020603050405020304" pitchFamily="18" charset="0"/>
          </a:endParaRPr>
        </a:p>
      </dgm:t>
    </dgm:pt>
    <dgm:pt modelId="{6708A6D7-07CB-4690-AAA6-87ACA2788E7F}" type="sibTrans" cxnId="{1F69A49A-716D-4549-8B83-BBE1BF545CEC}">
      <dgm:prSet/>
      <dgm:spPr/>
      <dgm:t>
        <a:bodyPr/>
        <a:lstStyle/>
        <a:p>
          <a:endParaRPr lang="en-US">
            <a:latin typeface="Times New Roman" panose="02020603050405020304" pitchFamily="18" charset="0"/>
            <a:cs typeface="Times New Roman" panose="02020603050405020304" pitchFamily="18" charset="0"/>
          </a:endParaRPr>
        </a:p>
      </dgm:t>
    </dgm:pt>
    <dgm:pt modelId="{A0B1E6B4-622A-4ABC-87AE-EEE7696C6479}">
      <dgm:prSet custT="1"/>
      <dgm:spPr/>
      <dgm:t>
        <a:bodyPr/>
        <a:lstStyle/>
        <a:p>
          <a:pPr algn="just"/>
          <a:r>
            <a:rPr lang="en-US" sz="1000" b="0" i="0" u="none">
              <a:latin typeface="Times New Roman" panose="02020603050405020304" pitchFamily="18" charset="0"/>
              <a:cs typeface="Times New Roman" panose="02020603050405020304" pitchFamily="18" charset="0"/>
            </a:rPr>
            <a:t>Net Interest Margin on Average Earning Assets= </a:t>
          </a:r>
          <a:r>
            <a:rPr lang="en-US" sz="1000" b="0" i="0">
              <a:latin typeface="Times New Roman" panose="02020603050405020304" pitchFamily="18" charset="0"/>
              <a:cs typeface="Times New Roman" panose="02020603050405020304" pitchFamily="18" charset="0"/>
            </a:rPr>
            <a:t>( Investment Income – Interest Expenses ) / Average Earning Assets</a:t>
          </a:r>
          <a:endParaRPr lang="en-US" sz="1000">
            <a:latin typeface="Times New Roman" pitchFamily="18" charset="0"/>
            <a:cs typeface="Times New Roman" pitchFamily="18" charset="0"/>
          </a:endParaRPr>
        </a:p>
      </dgm:t>
    </dgm:pt>
    <dgm:pt modelId="{A5C1DACE-5C45-403C-8A1F-56BD85F12C05}" type="parTrans" cxnId="{09ECBD59-C881-4D92-A78B-8904C3DDB26A}">
      <dgm:prSet/>
      <dgm:spPr/>
      <dgm:t>
        <a:bodyPr/>
        <a:lstStyle/>
        <a:p>
          <a:endParaRPr lang="en-US">
            <a:latin typeface="Times New Roman" panose="02020603050405020304" pitchFamily="18" charset="0"/>
            <a:cs typeface="Times New Roman" panose="02020603050405020304" pitchFamily="18" charset="0"/>
          </a:endParaRPr>
        </a:p>
      </dgm:t>
    </dgm:pt>
    <dgm:pt modelId="{7870D3E1-ADA1-4329-86D6-399B123BA643}" type="sibTrans" cxnId="{09ECBD59-C881-4D92-A78B-8904C3DDB26A}">
      <dgm:prSet/>
      <dgm:spPr/>
      <dgm:t>
        <a:bodyPr/>
        <a:lstStyle/>
        <a:p>
          <a:endParaRPr lang="en-US">
            <a:latin typeface="Times New Roman" panose="02020603050405020304" pitchFamily="18" charset="0"/>
            <a:cs typeface="Times New Roman" panose="02020603050405020304" pitchFamily="18" charset="0"/>
          </a:endParaRPr>
        </a:p>
      </dgm:t>
    </dgm:pt>
    <dgm:pt modelId="{D579AA1B-4255-4469-AC2B-47ECF67DF5A9}">
      <dgm:prSet custT="1"/>
      <dgm:spPr/>
      <dgm:t>
        <a:bodyPr/>
        <a:lstStyle/>
        <a:p>
          <a:pPr algn="just"/>
          <a:r>
            <a:rPr lang="en-US" sz="1000" b="0" i="0" u="none">
              <a:latin typeface="Times New Roman" panose="02020603050405020304" pitchFamily="18" charset="0"/>
              <a:cs typeface="Times New Roman" panose="02020603050405020304" pitchFamily="18" charset="0"/>
            </a:rPr>
            <a:t>Cost to Income Ratio= Operating Expenses/ Operating Incomes</a:t>
          </a:r>
          <a:endParaRPr lang="en-US" sz="1000">
            <a:latin typeface="Times New Roman" pitchFamily="18" charset="0"/>
            <a:cs typeface="Times New Roman" pitchFamily="18" charset="0"/>
          </a:endParaRPr>
        </a:p>
      </dgm:t>
    </dgm:pt>
    <dgm:pt modelId="{077925BA-9448-4895-8C08-CFDE5D7D65F9}" type="parTrans" cxnId="{210FF44F-6478-4B7F-BF59-A8B4AFE1BE44}">
      <dgm:prSet/>
      <dgm:spPr/>
      <dgm:t>
        <a:bodyPr/>
        <a:lstStyle/>
        <a:p>
          <a:endParaRPr lang="en-US">
            <a:latin typeface="Times New Roman" panose="02020603050405020304" pitchFamily="18" charset="0"/>
            <a:cs typeface="Times New Roman" panose="02020603050405020304" pitchFamily="18" charset="0"/>
          </a:endParaRPr>
        </a:p>
      </dgm:t>
    </dgm:pt>
    <dgm:pt modelId="{53AB1DBD-3D8F-4A37-AD67-1647F263C6CC}" type="sibTrans" cxnId="{210FF44F-6478-4B7F-BF59-A8B4AFE1BE44}">
      <dgm:prSet/>
      <dgm:spPr/>
      <dgm:t>
        <a:bodyPr/>
        <a:lstStyle/>
        <a:p>
          <a:endParaRPr lang="en-US">
            <a:latin typeface="Times New Roman" panose="02020603050405020304" pitchFamily="18" charset="0"/>
            <a:cs typeface="Times New Roman" panose="02020603050405020304" pitchFamily="18" charset="0"/>
          </a:endParaRPr>
        </a:p>
      </dgm:t>
    </dgm:pt>
    <dgm:pt modelId="{2D6FC722-4590-48F1-B2AD-259630D1C834}">
      <dgm:prSet custT="1"/>
      <dgm:spPr/>
      <dgm:t>
        <a:bodyPr/>
        <a:lstStyle/>
        <a:p>
          <a:pPr algn="l"/>
          <a:r>
            <a:rPr lang="en-US" sz="1000" b="0" i="0" u="none">
              <a:latin typeface="Times New Roman" panose="02020603050405020304" pitchFamily="18" charset="0"/>
              <a:cs typeface="Times New Roman" panose="02020603050405020304" pitchFamily="18" charset="0"/>
            </a:rPr>
            <a:t>Debt to capital = Debt / Debt + Shareholders equity</a:t>
          </a:r>
          <a:endParaRPr lang="en-US" sz="1000">
            <a:latin typeface="Times New Roman" panose="02020603050405020304" pitchFamily="18" charset="0"/>
            <a:cs typeface="Times New Roman" panose="02020603050405020304" pitchFamily="18" charset="0"/>
          </a:endParaRPr>
        </a:p>
      </dgm:t>
    </dgm:pt>
    <dgm:pt modelId="{4F51AA9F-F304-429D-A8B6-A63D7366FC72}" type="parTrans" cxnId="{8D80D081-DEBD-4ECB-A8D6-539267CDB800}">
      <dgm:prSet/>
      <dgm:spPr/>
      <dgm:t>
        <a:bodyPr/>
        <a:lstStyle/>
        <a:p>
          <a:endParaRPr lang="en-US">
            <a:latin typeface="Times New Roman" panose="02020603050405020304" pitchFamily="18" charset="0"/>
            <a:cs typeface="Times New Roman" panose="02020603050405020304" pitchFamily="18" charset="0"/>
          </a:endParaRPr>
        </a:p>
      </dgm:t>
    </dgm:pt>
    <dgm:pt modelId="{6EE98E36-01D7-418F-AD58-EE0B0F8BE948}" type="sibTrans" cxnId="{8D80D081-DEBD-4ECB-A8D6-539267CDB800}">
      <dgm:prSet/>
      <dgm:spPr/>
      <dgm:t>
        <a:bodyPr/>
        <a:lstStyle/>
        <a:p>
          <a:endParaRPr lang="en-US">
            <a:latin typeface="Times New Roman" panose="02020603050405020304" pitchFamily="18" charset="0"/>
            <a:cs typeface="Times New Roman" panose="02020603050405020304" pitchFamily="18" charset="0"/>
          </a:endParaRPr>
        </a:p>
      </dgm:t>
    </dgm:pt>
    <dgm:pt modelId="{28C607AC-052C-47DF-B261-E390ECD34249}">
      <dgm:prSet custT="1"/>
      <dgm:spPr/>
      <dgm:t>
        <a:bodyPr/>
        <a:lstStyle/>
        <a:p>
          <a:pPr algn="l"/>
          <a:r>
            <a:rPr lang="en-US" sz="1000" b="0" i="0" u="none">
              <a:latin typeface="Times New Roman" panose="02020603050405020304" pitchFamily="18" charset="0"/>
              <a:cs typeface="Times New Roman" panose="02020603050405020304" pitchFamily="18" charset="0"/>
            </a:rPr>
            <a:t>Capital Adequacy Ratio= </a:t>
          </a:r>
          <a:r>
            <a:rPr lang="en-US" sz="1000" b="0" i="0">
              <a:latin typeface="Times New Roman" panose="02020603050405020304" pitchFamily="18" charset="0"/>
              <a:cs typeface="Times New Roman" panose="02020603050405020304" pitchFamily="18" charset="0"/>
            </a:rPr>
            <a:t>(Tier 1 Capital + Tier 2 Capital) / Risk-Weighted Assets</a:t>
          </a:r>
          <a:endParaRPr lang="en-US" sz="1000" b="0">
            <a:latin typeface="Times New Roman" panose="02020603050405020304" pitchFamily="18" charset="0"/>
            <a:cs typeface="Times New Roman" panose="02020603050405020304" pitchFamily="18" charset="0"/>
          </a:endParaRPr>
        </a:p>
      </dgm:t>
    </dgm:pt>
    <dgm:pt modelId="{42378A68-6FBD-49EB-B5C1-6AE5314137CF}" type="parTrans" cxnId="{7C5CD29A-D0E9-4CE1-97B2-22F7BD5BD346}">
      <dgm:prSet/>
      <dgm:spPr/>
      <dgm:t>
        <a:bodyPr/>
        <a:lstStyle/>
        <a:p>
          <a:endParaRPr lang="en-US">
            <a:latin typeface="Times New Roman" panose="02020603050405020304" pitchFamily="18" charset="0"/>
            <a:cs typeface="Times New Roman" panose="02020603050405020304" pitchFamily="18" charset="0"/>
          </a:endParaRPr>
        </a:p>
      </dgm:t>
    </dgm:pt>
    <dgm:pt modelId="{83801182-0BB2-4961-B63D-03E777C5C347}" type="sibTrans" cxnId="{7C5CD29A-D0E9-4CE1-97B2-22F7BD5BD346}">
      <dgm:prSet/>
      <dgm:spPr/>
      <dgm:t>
        <a:bodyPr/>
        <a:lstStyle/>
        <a:p>
          <a:endParaRPr lang="en-US">
            <a:latin typeface="Times New Roman" panose="02020603050405020304" pitchFamily="18" charset="0"/>
            <a:cs typeface="Times New Roman" panose="02020603050405020304" pitchFamily="18" charset="0"/>
          </a:endParaRPr>
        </a:p>
      </dgm:t>
    </dgm:pt>
    <dgm:pt modelId="{B48C1754-D254-4F00-86F8-E149B71612C4}">
      <dgm:prSet custT="1"/>
      <dgm:spPr/>
      <dgm:t>
        <a:bodyPr/>
        <a:lstStyle/>
        <a:p>
          <a:pPr algn="just"/>
          <a:r>
            <a:rPr lang="en-US" sz="1000" b="0" i="0" u="none">
              <a:latin typeface="Times New Roman" pitchFamily="18" charset="0"/>
              <a:cs typeface="Times New Roman" pitchFamily="18" charset="0"/>
            </a:rPr>
            <a:t>Price to Earnings Ratio = Share price/ Earning per share</a:t>
          </a:r>
          <a:endParaRPr lang="en-US" sz="1000">
            <a:latin typeface="Times New Roman" pitchFamily="18" charset="0"/>
            <a:cs typeface="Times New Roman" pitchFamily="18" charset="0"/>
          </a:endParaRPr>
        </a:p>
      </dgm:t>
    </dgm:pt>
    <dgm:pt modelId="{176F4F9A-9222-4297-855F-AD122C359A7C}" type="parTrans" cxnId="{CDAEEC03-C5DF-4A8B-8B0D-622DE8FC6B38}">
      <dgm:prSet/>
      <dgm:spPr/>
      <dgm:t>
        <a:bodyPr/>
        <a:lstStyle/>
        <a:p>
          <a:endParaRPr lang="en-US">
            <a:latin typeface="Times New Roman" panose="02020603050405020304" pitchFamily="18" charset="0"/>
            <a:cs typeface="Times New Roman" panose="02020603050405020304" pitchFamily="18" charset="0"/>
          </a:endParaRPr>
        </a:p>
      </dgm:t>
    </dgm:pt>
    <dgm:pt modelId="{F9B55915-A768-458D-9684-B965B195CC10}" type="sibTrans" cxnId="{CDAEEC03-C5DF-4A8B-8B0D-622DE8FC6B38}">
      <dgm:prSet/>
      <dgm:spPr/>
      <dgm:t>
        <a:bodyPr/>
        <a:lstStyle/>
        <a:p>
          <a:endParaRPr lang="en-US">
            <a:latin typeface="Times New Roman" panose="02020603050405020304" pitchFamily="18" charset="0"/>
            <a:cs typeface="Times New Roman" panose="02020603050405020304" pitchFamily="18" charset="0"/>
          </a:endParaRPr>
        </a:p>
      </dgm:t>
    </dgm:pt>
    <dgm:pt modelId="{0F37DD9A-CA68-4364-9184-D98DD44A0E6F}">
      <dgm:prSet custT="1"/>
      <dgm:spPr/>
      <dgm:t>
        <a:bodyPr/>
        <a:lstStyle/>
        <a:p>
          <a:r>
            <a:rPr lang="en-US" sz="1200" b="1" i="0" u="none">
              <a:latin typeface="Times New Roman" panose="02020603050405020304" pitchFamily="18" charset="0"/>
              <a:cs typeface="Times New Roman" panose="02020603050405020304" pitchFamily="18" charset="0"/>
            </a:rPr>
            <a:t>MARKET PROSPECT RATIOS</a:t>
          </a:r>
          <a:endParaRPr lang="en-US" sz="1200">
            <a:latin typeface="Times New Roman" panose="02020603050405020304" pitchFamily="18" charset="0"/>
            <a:cs typeface="Times New Roman" panose="02020603050405020304" pitchFamily="18" charset="0"/>
          </a:endParaRPr>
        </a:p>
      </dgm:t>
    </dgm:pt>
    <dgm:pt modelId="{678DD4F4-A408-4CBE-AE76-E5184D55016D}" type="parTrans" cxnId="{B57D9B22-CEDA-4245-AFE8-3A6AD5EDF34F}">
      <dgm:prSet/>
      <dgm:spPr/>
      <dgm:t>
        <a:bodyPr/>
        <a:lstStyle/>
        <a:p>
          <a:endParaRPr lang="en-US">
            <a:latin typeface="Times New Roman" panose="02020603050405020304" pitchFamily="18" charset="0"/>
            <a:cs typeface="Times New Roman" panose="02020603050405020304" pitchFamily="18" charset="0"/>
          </a:endParaRPr>
        </a:p>
      </dgm:t>
    </dgm:pt>
    <dgm:pt modelId="{E8D65082-6BD8-4BC7-8246-BE763620C246}" type="sibTrans" cxnId="{B57D9B22-CEDA-4245-AFE8-3A6AD5EDF34F}">
      <dgm:prSet/>
      <dgm:spPr/>
      <dgm:t>
        <a:bodyPr/>
        <a:lstStyle/>
        <a:p>
          <a:endParaRPr lang="en-US">
            <a:latin typeface="Times New Roman" panose="02020603050405020304" pitchFamily="18" charset="0"/>
            <a:cs typeface="Times New Roman" panose="02020603050405020304" pitchFamily="18" charset="0"/>
          </a:endParaRPr>
        </a:p>
      </dgm:t>
    </dgm:pt>
    <dgm:pt modelId="{B313CBC4-85B2-48DF-B5F5-CB7EFD76E5E8}">
      <dgm:prSet custT="1"/>
      <dgm:spPr/>
      <dgm:t>
        <a:bodyPr/>
        <a:lstStyle/>
        <a:p>
          <a:pPr algn="just"/>
          <a:r>
            <a:rPr lang="en-US" sz="1000" b="0" i="0" u="none">
              <a:latin typeface="Times New Roman" panose="02020603050405020304" pitchFamily="18" charset="0"/>
              <a:cs typeface="Times New Roman" panose="02020603050405020304" pitchFamily="18" charset="0"/>
            </a:rPr>
            <a:t>Net Assets Value per Share= (Value of assets- Value of liabilities)/ Total shares outstanding</a:t>
          </a:r>
          <a:endParaRPr lang="en-US" sz="1000">
            <a:latin typeface="Times New Roman" pitchFamily="18" charset="0"/>
            <a:cs typeface="Times New Roman" pitchFamily="18" charset="0"/>
          </a:endParaRPr>
        </a:p>
      </dgm:t>
    </dgm:pt>
    <dgm:pt modelId="{385663E5-700B-4105-A3F5-C2A08843DDE8}" type="parTrans" cxnId="{FFF0E60D-08EF-49C1-8DE4-59651A6179E9}">
      <dgm:prSet/>
      <dgm:spPr/>
      <dgm:t>
        <a:bodyPr/>
        <a:lstStyle/>
        <a:p>
          <a:endParaRPr lang="en-US">
            <a:latin typeface="Times New Roman" panose="02020603050405020304" pitchFamily="18" charset="0"/>
            <a:cs typeface="Times New Roman" panose="02020603050405020304" pitchFamily="18" charset="0"/>
          </a:endParaRPr>
        </a:p>
      </dgm:t>
    </dgm:pt>
    <dgm:pt modelId="{AF252A1A-1C2C-4C03-BC57-BBB07744F2C9}" type="sibTrans" cxnId="{FFF0E60D-08EF-49C1-8DE4-59651A6179E9}">
      <dgm:prSet/>
      <dgm:spPr/>
      <dgm:t>
        <a:bodyPr/>
        <a:lstStyle/>
        <a:p>
          <a:endParaRPr lang="en-US">
            <a:latin typeface="Times New Roman" panose="02020603050405020304" pitchFamily="18" charset="0"/>
            <a:cs typeface="Times New Roman" panose="02020603050405020304" pitchFamily="18" charset="0"/>
          </a:endParaRPr>
        </a:p>
      </dgm:t>
    </dgm:pt>
    <dgm:pt modelId="{BA8C9447-8115-4601-BB40-CD1855543D2E}">
      <dgm:prSet custT="1"/>
      <dgm:spPr/>
      <dgm:t>
        <a:bodyPr/>
        <a:lstStyle/>
        <a:p>
          <a:pPr algn="just"/>
          <a:r>
            <a:rPr lang="en-US" sz="1000" b="0" i="0" u="none">
              <a:latin typeface="Times New Roman" pitchFamily="18" charset="0"/>
              <a:cs typeface="Times New Roman" pitchFamily="18" charset="0"/>
            </a:rPr>
            <a:t>Dividend Payout Ratio = Dividend / Total Income</a:t>
          </a:r>
          <a:endParaRPr lang="en-US" sz="1000">
            <a:latin typeface="Times New Roman" pitchFamily="18" charset="0"/>
            <a:cs typeface="Times New Roman" pitchFamily="18" charset="0"/>
          </a:endParaRPr>
        </a:p>
      </dgm:t>
    </dgm:pt>
    <dgm:pt modelId="{05FA9310-2009-4660-A689-ED798201630A}" type="parTrans" cxnId="{F684EC1D-0179-41DB-86F0-F24AF9EDF7DF}">
      <dgm:prSet/>
      <dgm:spPr/>
      <dgm:t>
        <a:bodyPr/>
        <a:lstStyle/>
        <a:p>
          <a:endParaRPr lang="en-US">
            <a:latin typeface="Times New Roman" panose="02020603050405020304" pitchFamily="18" charset="0"/>
            <a:cs typeface="Times New Roman" panose="02020603050405020304" pitchFamily="18" charset="0"/>
          </a:endParaRPr>
        </a:p>
      </dgm:t>
    </dgm:pt>
    <dgm:pt modelId="{BCF9219F-15DF-4949-82BE-C149ECB0E4A1}" type="sibTrans" cxnId="{F684EC1D-0179-41DB-86F0-F24AF9EDF7DF}">
      <dgm:prSet/>
      <dgm:spPr/>
      <dgm:t>
        <a:bodyPr/>
        <a:lstStyle/>
        <a:p>
          <a:endParaRPr lang="en-US">
            <a:latin typeface="Times New Roman" panose="02020603050405020304" pitchFamily="18" charset="0"/>
            <a:cs typeface="Times New Roman" panose="02020603050405020304" pitchFamily="18" charset="0"/>
          </a:endParaRPr>
        </a:p>
      </dgm:t>
    </dgm:pt>
    <dgm:pt modelId="{F4367203-0595-4944-8692-3CC0D8D5901E}">
      <dgm:prSet custT="1"/>
      <dgm:spPr/>
      <dgm:t>
        <a:bodyPr/>
        <a:lstStyle/>
        <a:p>
          <a:r>
            <a:rPr lang="en-US" sz="1200" b="1" i="0" u="none">
              <a:latin typeface="Times New Roman" panose="02020603050405020304" pitchFamily="18" charset="0"/>
              <a:cs typeface="Times New Roman" panose="02020603050405020304" pitchFamily="18" charset="0"/>
            </a:rPr>
            <a:t>SOLVENCY RATIOS</a:t>
          </a:r>
          <a:endParaRPr lang="en-US" sz="1200">
            <a:latin typeface="Times New Roman" panose="02020603050405020304" pitchFamily="18" charset="0"/>
            <a:cs typeface="Times New Roman" panose="02020603050405020304" pitchFamily="18" charset="0"/>
          </a:endParaRPr>
        </a:p>
      </dgm:t>
    </dgm:pt>
    <dgm:pt modelId="{13966B9C-EBBF-43E9-827E-6FEC4C4E6634}" type="sibTrans" cxnId="{6F6CC69A-B4D8-403A-A8B1-7D04326D97C7}">
      <dgm:prSet/>
      <dgm:spPr/>
      <dgm:t>
        <a:bodyPr/>
        <a:lstStyle/>
        <a:p>
          <a:endParaRPr lang="en-US">
            <a:latin typeface="Times New Roman" panose="02020603050405020304" pitchFamily="18" charset="0"/>
            <a:cs typeface="Times New Roman" panose="02020603050405020304" pitchFamily="18" charset="0"/>
          </a:endParaRPr>
        </a:p>
      </dgm:t>
    </dgm:pt>
    <dgm:pt modelId="{A3648C3B-0477-49C6-8117-F79D3BB5804F}" type="parTrans" cxnId="{6F6CC69A-B4D8-403A-A8B1-7D04326D97C7}">
      <dgm:prSet/>
      <dgm:spPr/>
      <dgm:t>
        <a:bodyPr/>
        <a:lstStyle/>
        <a:p>
          <a:endParaRPr lang="en-US">
            <a:latin typeface="Times New Roman" panose="02020603050405020304" pitchFamily="18" charset="0"/>
            <a:cs typeface="Times New Roman" panose="02020603050405020304" pitchFamily="18" charset="0"/>
          </a:endParaRPr>
        </a:p>
      </dgm:t>
    </dgm:pt>
    <dgm:pt modelId="{2A375942-6FE1-4F08-B9CD-00A074FA81E1}">
      <dgm:prSet custT="1"/>
      <dgm:spPr/>
      <dgm:t>
        <a:bodyPr/>
        <a:lstStyle/>
        <a:p>
          <a:pPr algn="just"/>
          <a:r>
            <a:rPr lang="en-US" sz="1000" b="0" i="0" u="none">
              <a:latin typeface="Times New Roman" panose="02020603050405020304" pitchFamily="18" charset="0"/>
              <a:cs typeface="Times New Roman" panose="02020603050405020304" pitchFamily="18" charset="0"/>
            </a:rPr>
            <a:t>Return on Investment= </a:t>
          </a:r>
          <a:r>
            <a:rPr lang="en-US" sz="1000" b="0" i="0">
              <a:latin typeface="Times New Roman" panose="02020603050405020304" pitchFamily="18" charset="0"/>
              <a:cs typeface="Times New Roman" panose="02020603050405020304" pitchFamily="18" charset="0"/>
            </a:rPr>
            <a:t>Net Profit / Total Investment</a:t>
          </a:r>
          <a:endParaRPr lang="en-US" sz="1000">
            <a:latin typeface="Times New Roman" pitchFamily="18" charset="0"/>
            <a:cs typeface="Times New Roman" pitchFamily="18" charset="0"/>
          </a:endParaRPr>
        </a:p>
      </dgm:t>
    </dgm:pt>
    <dgm:pt modelId="{8766E07D-B7B2-4732-AC4D-C486A5AECB70}" type="sibTrans" cxnId="{97E4B768-82C2-4D75-8AFD-3A6C31EEB406}">
      <dgm:prSet/>
      <dgm:spPr/>
      <dgm:t>
        <a:bodyPr/>
        <a:lstStyle/>
        <a:p>
          <a:endParaRPr lang="en-US">
            <a:latin typeface="Times New Roman" panose="02020603050405020304" pitchFamily="18" charset="0"/>
            <a:cs typeface="Times New Roman" panose="02020603050405020304" pitchFamily="18" charset="0"/>
          </a:endParaRPr>
        </a:p>
      </dgm:t>
    </dgm:pt>
    <dgm:pt modelId="{6064AF6B-CC28-4481-97FC-7BE3E960F370}" type="parTrans" cxnId="{97E4B768-82C2-4D75-8AFD-3A6C31EEB406}">
      <dgm:prSet/>
      <dgm:spPr/>
      <dgm:t>
        <a:bodyPr/>
        <a:lstStyle/>
        <a:p>
          <a:endParaRPr lang="en-US">
            <a:latin typeface="Times New Roman" panose="02020603050405020304" pitchFamily="18" charset="0"/>
            <a:cs typeface="Times New Roman" panose="02020603050405020304" pitchFamily="18" charset="0"/>
          </a:endParaRPr>
        </a:p>
      </dgm:t>
    </dgm:pt>
    <dgm:pt modelId="{EC9AB196-C9D8-4BFF-B313-D4624F4FEC25}">
      <dgm:prSet custT="1"/>
      <dgm:spPr/>
      <dgm:t>
        <a:bodyPr/>
        <a:lstStyle/>
        <a:p>
          <a:r>
            <a:rPr lang="en-US" sz="1000" b="0" i="0" u="none">
              <a:latin typeface="Times New Roman" panose="02020603050405020304" pitchFamily="18" charset="0"/>
              <a:cs typeface="Times New Roman" panose="02020603050405020304" pitchFamily="18" charset="0"/>
            </a:rPr>
            <a:t>Credit Deposit Ratio= Loans/ Deposits</a:t>
          </a:r>
          <a:endParaRPr lang="en-US" sz="1000">
            <a:latin typeface="Times New Roman" panose="02020603050405020304" pitchFamily="18" charset="0"/>
            <a:cs typeface="Times New Roman" panose="02020603050405020304" pitchFamily="18" charset="0"/>
          </a:endParaRPr>
        </a:p>
      </dgm:t>
    </dgm:pt>
    <dgm:pt modelId="{58E255E0-F2C2-4114-B36C-2F2CFFFD9D99}" type="sibTrans" cxnId="{12D09AC9-4AAE-4F06-BE00-933E9FC036BA}">
      <dgm:prSet/>
      <dgm:spPr/>
      <dgm:t>
        <a:bodyPr/>
        <a:lstStyle/>
        <a:p>
          <a:endParaRPr lang="en-US">
            <a:latin typeface="Times New Roman" panose="02020603050405020304" pitchFamily="18" charset="0"/>
            <a:cs typeface="Times New Roman" panose="02020603050405020304" pitchFamily="18" charset="0"/>
          </a:endParaRPr>
        </a:p>
      </dgm:t>
    </dgm:pt>
    <dgm:pt modelId="{3DD25FBE-A3AD-494B-8CD7-DD9CE0F55CD9}" type="parTrans" cxnId="{12D09AC9-4AAE-4F06-BE00-933E9FC036BA}">
      <dgm:prSet/>
      <dgm:spPr/>
      <dgm:t>
        <a:bodyPr/>
        <a:lstStyle/>
        <a:p>
          <a:endParaRPr lang="en-US">
            <a:latin typeface="Times New Roman" panose="02020603050405020304" pitchFamily="18" charset="0"/>
            <a:cs typeface="Times New Roman" panose="02020603050405020304" pitchFamily="18" charset="0"/>
          </a:endParaRPr>
        </a:p>
      </dgm:t>
    </dgm:pt>
    <dgm:pt modelId="{912D718F-8D3C-4274-BEA4-93A8E068191E}">
      <dgm:prSet custT="1"/>
      <dgm:spPr/>
      <dgm:t>
        <a:bodyPr/>
        <a:lstStyle/>
        <a:p>
          <a:r>
            <a:rPr lang="en-US" sz="1000" b="0" i="0" u="none">
              <a:latin typeface="Times New Roman" panose="02020603050405020304" pitchFamily="18" charset="0"/>
              <a:cs typeface="Times New Roman" panose="02020603050405020304" pitchFamily="18" charset="0"/>
            </a:rPr>
            <a:t>Percentage of Classified Loans against Total Loans and Advances= Classified Loans/ Total Loans and Advances</a:t>
          </a:r>
          <a:endParaRPr lang="en-US" sz="1000">
            <a:latin typeface="Times New Roman" panose="02020603050405020304" pitchFamily="18" charset="0"/>
            <a:cs typeface="Times New Roman" panose="02020603050405020304" pitchFamily="18" charset="0"/>
          </a:endParaRPr>
        </a:p>
      </dgm:t>
    </dgm:pt>
    <dgm:pt modelId="{C63702D1-8111-42B5-8CC1-CB5EC4403D55}" type="sibTrans" cxnId="{78CDDB7F-A6BE-4F76-89E9-CECDD2C5C42A}">
      <dgm:prSet/>
      <dgm:spPr/>
      <dgm:t>
        <a:bodyPr/>
        <a:lstStyle/>
        <a:p>
          <a:endParaRPr lang="en-US">
            <a:latin typeface="Times New Roman" panose="02020603050405020304" pitchFamily="18" charset="0"/>
            <a:cs typeface="Times New Roman" panose="02020603050405020304" pitchFamily="18" charset="0"/>
          </a:endParaRPr>
        </a:p>
      </dgm:t>
    </dgm:pt>
    <dgm:pt modelId="{75380194-4F6D-4FCE-84A3-1678D888898C}" type="parTrans" cxnId="{78CDDB7F-A6BE-4F76-89E9-CECDD2C5C42A}">
      <dgm:prSet/>
      <dgm:spPr/>
      <dgm:t>
        <a:bodyPr/>
        <a:lstStyle/>
        <a:p>
          <a:endParaRPr lang="en-US">
            <a:latin typeface="Times New Roman" panose="02020603050405020304" pitchFamily="18" charset="0"/>
            <a:cs typeface="Times New Roman" panose="02020603050405020304" pitchFamily="18" charset="0"/>
          </a:endParaRPr>
        </a:p>
      </dgm:t>
    </dgm:pt>
    <dgm:pt modelId="{29453D07-7BD3-4E04-A566-5B8167B90ECA}">
      <dgm:prSet custT="1"/>
      <dgm:spPr/>
      <dgm:t>
        <a:bodyPr/>
        <a:lstStyle/>
        <a:p>
          <a:r>
            <a:rPr lang="en-US" sz="1000" b="0" i="0" u="none">
              <a:latin typeface="Times New Roman" panose="02020603050405020304" pitchFamily="18" charset="0"/>
              <a:cs typeface="Times New Roman" panose="02020603050405020304" pitchFamily="18" charset="0"/>
            </a:rPr>
            <a:t>Non-Performing Loans to Total Loans and Advances= Total </a:t>
          </a:r>
          <a:r>
            <a:rPr lang="en-US" sz="1000" b="0" i="0">
              <a:latin typeface="Times New Roman" panose="02020603050405020304" pitchFamily="18" charset="0"/>
              <a:cs typeface="Times New Roman" panose="02020603050405020304" pitchFamily="18" charset="0"/>
            </a:rPr>
            <a:t>NPL/ Total amount of outstanding loans</a:t>
          </a:r>
          <a:endParaRPr lang="en-US" sz="1000">
            <a:latin typeface="Times New Roman" panose="02020603050405020304" pitchFamily="18" charset="0"/>
            <a:cs typeface="Times New Roman" panose="02020603050405020304" pitchFamily="18" charset="0"/>
          </a:endParaRPr>
        </a:p>
      </dgm:t>
    </dgm:pt>
    <dgm:pt modelId="{90FA8333-8CFB-4571-B896-8543388A15C0}" type="sibTrans" cxnId="{970FCFA6-77E0-4DBB-B42A-35E65A1AD54A}">
      <dgm:prSet/>
      <dgm:spPr/>
      <dgm:t>
        <a:bodyPr/>
        <a:lstStyle/>
        <a:p>
          <a:endParaRPr lang="en-US">
            <a:latin typeface="Times New Roman" panose="02020603050405020304" pitchFamily="18" charset="0"/>
            <a:cs typeface="Times New Roman" panose="02020603050405020304" pitchFamily="18" charset="0"/>
          </a:endParaRPr>
        </a:p>
      </dgm:t>
    </dgm:pt>
    <dgm:pt modelId="{DC66D3D8-71CE-4FAD-8022-311B8000C2CF}" type="parTrans" cxnId="{970FCFA6-77E0-4DBB-B42A-35E65A1AD54A}">
      <dgm:prSet/>
      <dgm:spPr/>
      <dgm:t>
        <a:bodyPr/>
        <a:lstStyle/>
        <a:p>
          <a:endParaRPr lang="en-US">
            <a:latin typeface="Times New Roman" panose="02020603050405020304" pitchFamily="18" charset="0"/>
            <a:cs typeface="Times New Roman" panose="02020603050405020304" pitchFamily="18" charset="0"/>
          </a:endParaRPr>
        </a:p>
      </dgm:t>
    </dgm:pt>
    <dgm:pt modelId="{8A06C974-AA15-41B4-9013-BFBF88B7237B}">
      <dgm:prSet custT="1"/>
      <dgm:spPr/>
      <dgm:t>
        <a:bodyPr/>
        <a:lstStyle/>
        <a:p>
          <a:r>
            <a:rPr lang="en-US" sz="1000" b="0" i="0" u="none">
              <a:latin typeface="Times New Roman" panose="02020603050405020304" pitchFamily="18" charset="0"/>
              <a:cs typeface="Times New Roman" panose="02020603050405020304" pitchFamily="18" charset="0"/>
            </a:rPr>
            <a:t>Statutory Liquidity Ratio= </a:t>
          </a:r>
          <a:r>
            <a:rPr lang="en-US" sz="1000" b="0" i="0">
              <a:latin typeface="Times New Roman" panose="02020603050405020304" pitchFamily="18" charset="0"/>
              <a:cs typeface="Times New Roman" panose="02020603050405020304" pitchFamily="18" charset="0"/>
            </a:rPr>
            <a:t>liquid assets / (demand + time liabilities)</a:t>
          </a:r>
          <a:endParaRPr lang="en-US" sz="1000">
            <a:latin typeface="Times New Roman" panose="02020603050405020304" pitchFamily="18" charset="0"/>
            <a:cs typeface="Times New Roman" panose="02020603050405020304" pitchFamily="18" charset="0"/>
          </a:endParaRPr>
        </a:p>
      </dgm:t>
    </dgm:pt>
    <dgm:pt modelId="{F6A654F6-B6D1-4050-88C3-9A2293563327}" type="sibTrans" cxnId="{A19C2727-592E-4051-BDC9-0B3DC49285BC}">
      <dgm:prSet/>
      <dgm:spPr/>
      <dgm:t>
        <a:bodyPr/>
        <a:lstStyle/>
        <a:p>
          <a:endParaRPr lang="en-US">
            <a:latin typeface="Times New Roman" panose="02020603050405020304" pitchFamily="18" charset="0"/>
            <a:cs typeface="Times New Roman" panose="02020603050405020304" pitchFamily="18" charset="0"/>
          </a:endParaRPr>
        </a:p>
      </dgm:t>
    </dgm:pt>
    <dgm:pt modelId="{15E51A55-AA0D-407A-8D5D-C67A085367AC}" type="parTrans" cxnId="{A19C2727-592E-4051-BDC9-0B3DC49285BC}">
      <dgm:prSet/>
      <dgm:spPr/>
      <dgm:t>
        <a:bodyPr/>
        <a:lstStyle/>
        <a:p>
          <a:endParaRPr lang="en-US">
            <a:latin typeface="Times New Roman" panose="02020603050405020304" pitchFamily="18" charset="0"/>
            <a:cs typeface="Times New Roman" panose="02020603050405020304" pitchFamily="18" charset="0"/>
          </a:endParaRPr>
        </a:p>
      </dgm:t>
    </dgm:pt>
    <dgm:pt modelId="{6AF5674C-1758-4607-8115-6EFFA25A4A5C}">
      <dgm:prSet custT="1"/>
      <dgm:spPr/>
      <dgm:t>
        <a:bodyPr/>
        <a:lstStyle/>
        <a:p>
          <a:pPr algn="l"/>
          <a:r>
            <a:rPr lang="en-US" sz="1000" b="0" i="0" u="none">
              <a:latin typeface="Times New Roman" panose="02020603050405020304" pitchFamily="18" charset="0"/>
              <a:cs typeface="Times New Roman" panose="02020603050405020304" pitchFamily="18" charset="0"/>
            </a:rPr>
            <a:t>Debt to Equity Ratio= TL/ Shareholders Equity</a:t>
          </a:r>
          <a:endParaRPr lang="en-US" sz="1000">
            <a:latin typeface="Times New Roman" panose="02020603050405020304" pitchFamily="18" charset="0"/>
            <a:cs typeface="Times New Roman" panose="02020603050405020304" pitchFamily="18" charset="0"/>
          </a:endParaRPr>
        </a:p>
      </dgm:t>
    </dgm:pt>
    <dgm:pt modelId="{F19B5C61-6D16-4A6D-B95C-7EDACD895851}" type="parTrans" cxnId="{6E01F8E2-BB2A-4BC6-810A-17054158F739}">
      <dgm:prSet/>
      <dgm:spPr/>
      <dgm:t>
        <a:bodyPr/>
        <a:lstStyle/>
        <a:p>
          <a:endParaRPr lang="en-US">
            <a:latin typeface="Times New Roman" panose="02020603050405020304" pitchFamily="18" charset="0"/>
            <a:cs typeface="Times New Roman" panose="02020603050405020304" pitchFamily="18" charset="0"/>
          </a:endParaRPr>
        </a:p>
      </dgm:t>
    </dgm:pt>
    <dgm:pt modelId="{83924725-422C-475D-A2AF-AA3011A85E21}" type="sibTrans" cxnId="{6E01F8E2-BB2A-4BC6-810A-17054158F739}">
      <dgm:prSet/>
      <dgm:spPr/>
      <dgm:t>
        <a:bodyPr/>
        <a:lstStyle/>
        <a:p>
          <a:endParaRPr lang="en-US">
            <a:latin typeface="Times New Roman" panose="02020603050405020304" pitchFamily="18" charset="0"/>
            <a:cs typeface="Times New Roman" panose="02020603050405020304" pitchFamily="18" charset="0"/>
          </a:endParaRPr>
        </a:p>
      </dgm:t>
    </dgm:pt>
    <dgm:pt modelId="{D2DF41D7-11D9-4074-808B-E6C43B56E317}">
      <dgm:prSet custT="1"/>
      <dgm:spPr/>
      <dgm:t>
        <a:bodyPr/>
        <a:lstStyle/>
        <a:p>
          <a:pPr algn="l"/>
          <a:r>
            <a:rPr lang="en-US" sz="1000" b="0" i="0" u="none">
              <a:latin typeface="Times New Roman" panose="02020603050405020304" pitchFamily="18" charset="0"/>
              <a:cs typeface="Times New Roman" panose="02020603050405020304" pitchFamily="18" charset="0"/>
            </a:rPr>
            <a:t>Equity Multiplier Ratio = TA/ Total Equity</a:t>
          </a:r>
          <a:endParaRPr lang="en-US" sz="1000">
            <a:latin typeface="Times New Roman" panose="02020603050405020304" pitchFamily="18" charset="0"/>
            <a:cs typeface="Times New Roman" panose="02020603050405020304" pitchFamily="18" charset="0"/>
          </a:endParaRPr>
        </a:p>
      </dgm:t>
    </dgm:pt>
    <dgm:pt modelId="{E3BA6D9F-C12E-4E80-8AE4-AEC1762B22BB}" type="parTrans" cxnId="{6545F7D3-9BBE-430D-A785-03D9BA26C282}">
      <dgm:prSet/>
      <dgm:spPr/>
      <dgm:t>
        <a:bodyPr/>
        <a:lstStyle/>
        <a:p>
          <a:endParaRPr lang="en-US">
            <a:latin typeface="Times New Roman" panose="02020603050405020304" pitchFamily="18" charset="0"/>
            <a:cs typeface="Times New Roman" panose="02020603050405020304" pitchFamily="18" charset="0"/>
          </a:endParaRPr>
        </a:p>
      </dgm:t>
    </dgm:pt>
    <dgm:pt modelId="{B19C2CB8-EBEE-4793-98C1-A924D9C86083}" type="sibTrans" cxnId="{6545F7D3-9BBE-430D-A785-03D9BA26C282}">
      <dgm:prSet/>
      <dgm:spPr/>
      <dgm:t>
        <a:bodyPr/>
        <a:lstStyle/>
        <a:p>
          <a:endParaRPr lang="en-US">
            <a:latin typeface="Times New Roman" panose="02020603050405020304" pitchFamily="18" charset="0"/>
            <a:cs typeface="Times New Roman" panose="02020603050405020304" pitchFamily="18" charset="0"/>
          </a:endParaRPr>
        </a:p>
      </dgm:t>
    </dgm:pt>
    <dgm:pt modelId="{1D56E55A-9D4F-4941-8AB0-61A5F8A75DFA}">
      <dgm:prSet custT="1"/>
      <dgm:spPr/>
      <dgm:t>
        <a:bodyPr/>
        <a:lstStyle/>
        <a:p>
          <a:pPr algn="just"/>
          <a:r>
            <a:rPr lang="en-US" sz="1000" b="0" i="0" u="none">
              <a:latin typeface="Times New Roman" panose="02020603050405020304" pitchFamily="18" charset="0"/>
              <a:cs typeface="Times New Roman" panose="02020603050405020304" pitchFamily="18" charset="0"/>
            </a:rPr>
            <a:t>Market Price per Share= T</a:t>
          </a:r>
          <a:r>
            <a:rPr lang="en-US" sz="1000" b="0" i="0">
              <a:latin typeface="Times New Roman" panose="02020603050405020304" pitchFamily="18" charset="0"/>
              <a:cs typeface="Times New Roman" panose="02020603050405020304" pitchFamily="18" charset="0"/>
            </a:rPr>
            <a:t>otal value of the company/ Total number of shares</a:t>
          </a:r>
          <a:endParaRPr lang="en-US" sz="1000">
            <a:latin typeface="Times New Roman" pitchFamily="18" charset="0"/>
            <a:cs typeface="Times New Roman" pitchFamily="18" charset="0"/>
          </a:endParaRPr>
        </a:p>
      </dgm:t>
    </dgm:pt>
    <dgm:pt modelId="{95F05664-7230-4116-A431-2AF7859AE502}" type="parTrans" cxnId="{CC2019D1-6D2F-4F93-A93A-B5AD9EFFF4BC}">
      <dgm:prSet/>
      <dgm:spPr/>
      <dgm:t>
        <a:bodyPr/>
        <a:lstStyle/>
        <a:p>
          <a:endParaRPr lang="en-US">
            <a:latin typeface="Times New Roman" panose="02020603050405020304" pitchFamily="18" charset="0"/>
            <a:cs typeface="Times New Roman" panose="02020603050405020304" pitchFamily="18" charset="0"/>
          </a:endParaRPr>
        </a:p>
      </dgm:t>
    </dgm:pt>
    <dgm:pt modelId="{2AAC23BC-1BEB-48BB-A57D-1E2C942679B9}" type="sibTrans" cxnId="{CC2019D1-6D2F-4F93-A93A-B5AD9EFFF4BC}">
      <dgm:prSet/>
      <dgm:spPr/>
      <dgm:t>
        <a:bodyPr/>
        <a:lstStyle/>
        <a:p>
          <a:endParaRPr lang="en-US">
            <a:latin typeface="Times New Roman" panose="02020603050405020304" pitchFamily="18" charset="0"/>
            <a:cs typeface="Times New Roman" panose="02020603050405020304" pitchFamily="18" charset="0"/>
          </a:endParaRPr>
        </a:p>
      </dgm:t>
    </dgm:pt>
    <dgm:pt modelId="{56D97549-6FFA-494D-BFC1-EDD0A92D1814}">
      <dgm:prSet custT="1"/>
      <dgm:spPr/>
      <dgm:t>
        <a:bodyPr/>
        <a:lstStyle/>
        <a:p>
          <a:pPr algn="just"/>
          <a:r>
            <a:rPr lang="en-US" sz="1000" b="0" i="0" u="none">
              <a:latin typeface="Times New Roman" panose="02020603050405020304" pitchFamily="18" charset="0"/>
              <a:cs typeface="Times New Roman" panose="02020603050405020304" pitchFamily="18" charset="0"/>
            </a:rPr>
            <a:t>Earnings per Share= Total </a:t>
          </a:r>
          <a:r>
            <a:rPr lang="en-US" sz="1000" b="0" i="0">
              <a:latin typeface="Times New Roman" panose="02020603050405020304" pitchFamily="18" charset="0"/>
              <a:cs typeface="Times New Roman" panose="02020603050405020304" pitchFamily="18" charset="0"/>
            </a:rPr>
            <a:t>earnings/ Total number of shares.  </a:t>
          </a:r>
          <a:endParaRPr lang="en-US" sz="1000">
            <a:latin typeface="Times New Roman" pitchFamily="18" charset="0"/>
            <a:cs typeface="Times New Roman" pitchFamily="18" charset="0"/>
          </a:endParaRPr>
        </a:p>
      </dgm:t>
    </dgm:pt>
    <dgm:pt modelId="{D315E617-C427-4B1E-B884-C7E2864C8EBC}" type="parTrans" cxnId="{13C92AD5-8C18-4545-B3DF-BD3416D5305B}">
      <dgm:prSet/>
      <dgm:spPr/>
      <dgm:t>
        <a:bodyPr/>
        <a:lstStyle/>
        <a:p>
          <a:endParaRPr lang="en-US">
            <a:latin typeface="Times New Roman" panose="02020603050405020304" pitchFamily="18" charset="0"/>
            <a:cs typeface="Times New Roman" panose="02020603050405020304" pitchFamily="18" charset="0"/>
          </a:endParaRPr>
        </a:p>
      </dgm:t>
    </dgm:pt>
    <dgm:pt modelId="{69F2FE5C-B63C-46E7-BB8C-0AEFD533282D}" type="sibTrans" cxnId="{13C92AD5-8C18-4545-B3DF-BD3416D5305B}">
      <dgm:prSet/>
      <dgm:spPr/>
      <dgm:t>
        <a:bodyPr/>
        <a:lstStyle/>
        <a:p>
          <a:endParaRPr lang="en-US">
            <a:latin typeface="Times New Roman" panose="02020603050405020304" pitchFamily="18" charset="0"/>
            <a:cs typeface="Times New Roman" panose="02020603050405020304" pitchFamily="18" charset="0"/>
          </a:endParaRPr>
        </a:p>
      </dgm:t>
    </dgm:pt>
    <dgm:pt modelId="{5A404F8D-E31B-4DB0-93B3-1C6DDA9D4F8C}">
      <dgm:prSet custT="1"/>
      <dgm:spPr/>
      <dgm:t>
        <a:bodyPr/>
        <a:lstStyle/>
        <a:p>
          <a:pPr algn="just"/>
          <a:r>
            <a:rPr lang="en-US" sz="1000" b="0" i="0" u="none">
              <a:latin typeface="Times New Roman" panose="02020603050405020304" pitchFamily="18" charset="0"/>
              <a:cs typeface="Times New Roman" panose="02020603050405020304" pitchFamily="18" charset="0"/>
            </a:rPr>
            <a:t>Dividend Coverage Ratio= </a:t>
          </a:r>
          <a:r>
            <a:rPr lang="en-US" sz="1000" b="0" i="0">
              <a:latin typeface="Times New Roman" panose="02020603050405020304" pitchFamily="18" charset="0"/>
              <a:cs typeface="Times New Roman" panose="02020603050405020304" pitchFamily="18" charset="0"/>
            </a:rPr>
            <a:t>Net income / Dividend declared</a:t>
          </a:r>
          <a:endParaRPr lang="en-US" sz="1000" b="0">
            <a:latin typeface="Times New Roman" pitchFamily="18" charset="0"/>
            <a:cs typeface="Times New Roman" pitchFamily="18" charset="0"/>
          </a:endParaRPr>
        </a:p>
      </dgm:t>
    </dgm:pt>
    <dgm:pt modelId="{6E3B760F-B006-4FCF-A591-B40D8A580890}" type="parTrans" cxnId="{753C4C85-E85A-48C5-BD7F-1282D4336511}">
      <dgm:prSet/>
      <dgm:spPr/>
      <dgm:t>
        <a:bodyPr/>
        <a:lstStyle/>
        <a:p>
          <a:endParaRPr lang="en-US">
            <a:latin typeface="Times New Roman" panose="02020603050405020304" pitchFamily="18" charset="0"/>
            <a:cs typeface="Times New Roman" panose="02020603050405020304" pitchFamily="18" charset="0"/>
          </a:endParaRPr>
        </a:p>
      </dgm:t>
    </dgm:pt>
    <dgm:pt modelId="{325960AD-CFAB-4540-B73C-59C61BD3FE40}" type="sibTrans" cxnId="{753C4C85-E85A-48C5-BD7F-1282D4336511}">
      <dgm:prSet/>
      <dgm:spPr/>
      <dgm:t>
        <a:bodyPr/>
        <a:lstStyle/>
        <a:p>
          <a:endParaRPr lang="en-US">
            <a:latin typeface="Times New Roman" panose="02020603050405020304" pitchFamily="18" charset="0"/>
            <a:cs typeface="Times New Roman" panose="02020603050405020304" pitchFamily="18" charset="0"/>
          </a:endParaRPr>
        </a:p>
      </dgm:t>
    </dgm:pt>
    <dgm:pt modelId="{7A57B21D-3585-4143-B7D6-2A6458F7C755}">
      <dgm:prSet custT="1"/>
      <dgm:spPr/>
      <dgm:t>
        <a:bodyPr/>
        <a:lstStyle/>
        <a:p>
          <a:pPr algn="just"/>
          <a:r>
            <a:rPr lang="en-US" sz="1000" b="0" i="0" u="none">
              <a:latin typeface="Times New Roman" panose="02020603050405020304" pitchFamily="18" charset="0"/>
              <a:cs typeface="Times New Roman" panose="02020603050405020304" pitchFamily="18" charset="0"/>
            </a:rPr>
            <a:t>Operating Profit per Share= O</a:t>
          </a:r>
          <a:r>
            <a:rPr lang="en-US" sz="1000" b="0" i="0">
              <a:latin typeface="Times New Roman" panose="02020603050405020304" pitchFamily="18" charset="0"/>
              <a:cs typeface="Times New Roman" panose="02020603050405020304" pitchFamily="18" charset="0"/>
            </a:rPr>
            <a:t>perating net income/ Total common shares</a:t>
          </a:r>
          <a:endParaRPr lang="en-US" sz="1000" b="0">
            <a:latin typeface="Times New Roman" pitchFamily="18" charset="0"/>
            <a:cs typeface="Times New Roman" pitchFamily="18" charset="0"/>
          </a:endParaRPr>
        </a:p>
      </dgm:t>
    </dgm:pt>
    <dgm:pt modelId="{9EAB2ABE-A68A-4282-9AF5-3A5528885C75}" type="parTrans" cxnId="{756B8C54-DB80-4C86-A2CE-4BF0BEBCDD04}">
      <dgm:prSet/>
      <dgm:spPr/>
      <dgm:t>
        <a:bodyPr/>
        <a:lstStyle/>
        <a:p>
          <a:endParaRPr lang="en-US">
            <a:latin typeface="Times New Roman" panose="02020603050405020304" pitchFamily="18" charset="0"/>
            <a:cs typeface="Times New Roman" panose="02020603050405020304" pitchFamily="18" charset="0"/>
          </a:endParaRPr>
        </a:p>
      </dgm:t>
    </dgm:pt>
    <dgm:pt modelId="{7C431C83-BFA0-46FD-9F46-BB49963D8742}" type="sibTrans" cxnId="{756B8C54-DB80-4C86-A2CE-4BF0BEBCDD04}">
      <dgm:prSet/>
      <dgm:spPr/>
      <dgm:t>
        <a:bodyPr/>
        <a:lstStyle/>
        <a:p>
          <a:endParaRPr lang="en-US">
            <a:latin typeface="Times New Roman" panose="02020603050405020304" pitchFamily="18" charset="0"/>
            <a:cs typeface="Times New Roman" panose="02020603050405020304" pitchFamily="18" charset="0"/>
          </a:endParaRPr>
        </a:p>
      </dgm:t>
    </dgm:pt>
    <dgm:pt modelId="{4AE71DC2-83F6-4D3E-BDFD-CD6BA03D2B16}">
      <dgm:prSet custT="1"/>
      <dgm:spPr/>
      <dgm:t>
        <a:bodyPr/>
        <a:lstStyle/>
        <a:p>
          <a:pPr algn="just"/>
          <a:r>
            <a:rPr lang="en-US" sz="1000" b="0" i="0" u="none">
              <a:latin typeface="Times New Roman" panose="02020603050405020304" pitchFamily="18" charset="0"/>
              <a:cs typeface="Times New Roman" panose="02020603050405020304" pitchFamily="18" charset="0"/>
            </a:rPr>
            <a:t>Net Operating Cash Flow per Share= C</a:t>
          </a:r>
          <a:r>
            <a:rPr lang="en-US" sz="1000" b="0" i="0">
              <a:latin typeface="Times New Roman" panose="02020603050405020304" pitchFamily="18" charset="0"/>
              <a:cs typeface="Times New Roman" panose="02020603050405020304" pitchFamily="18" charset="0"/>
            </a:rPr>
            <a:t>ash flow earned in a given reporting period/ Total number of shares outstanding </a:t>
          </a:r>
          <a:endParaRPr lang="en-US" sz="1000" b="0">
            <a:latin typeface="Times New Roman" pitchFamily="18" charset="0"/>
            <a:cs typeface="Times New Roman" pitchFamily="18" charset="0"/>
          </a:endParaRPr>
        </a:p>
      </dgm:t>
    </dgm:pt>
    <dgm:pt modelId="{BE410CDA-F08C-44B5-8EF2-B2A828D4828E}" type="parTrans" cxnId="{0F2C94A7-489E-45CC-B484-E949386853CD}">
      <dgm:prSet/>
      <dgm:spPr/>
      <dgm:t>
        <a:bodyPr/>
        <a:lstStyle/>
        <a:p>
          <a:endParaRPr lang="en-US">
            <a:latin typeface="Times New Roman" panose="02020603050405020304" pitchFamily="18" charset="0"/>
            <a:cs typeface="Times New Roman" panose="02020603050405020304" pitchFamily="18" charset="0"/>
          </a:endParaRPr>
        </a:p>
      </dgm:t>
    </dgm:pt>
    <dgm:pt modelId="{2E105DC4-7681-43AD-8ADE-7659011CBAA9}" type="sibTrans" cxnId="{0F2C94A7-489E-45CC-B484-E949386853CD}">
      <dgm:prSet/>
      <dgm:spPr/>
      <dgm:t>
        <a:bodyPr/>
        <a:lstStyle/>
        <a:p>
          <a:endParaRPr lang="en-US">
            <a:latin typeface="Times New Roman" panose="02020603050405020304" pitchFamily="18" charset="0"/>
            <a:cs typeface="Times New Roman" panose="02020603050405020304" pitchFamily="18" charset="0"/>
          </a:endParaRPr>
        </a:p>
      </dgm:t>
    </dgm:pt>
    <dgm:pt modelId="{0338933D-EFBC-4C3B-A8D8-FBE300114721}">
      <dgm:prSet custT="1"/>
      <dgm:spPr/>
      <dgm:t>
        <a:bodyPr/>
        <a:lstStyle/>
        <a:p>
          <a:pPr algn="just"/>
          <a:r>
            <a:rPr lang="en-US" sz="1000" b="0" i="0" u="none">
              <a:latin typeface="Times New Roman" pitchFamily="18" charset="0"/>
              <a:cs typeface="Times New Roman" pitchFamily="18" charset="0"/>
            </a:rPr>
            <a:t>Dividend Yeild Ratio = Dividend per share / price per share</a:t>
          </a:r>
          <a:endParaRPr lang="en-US" sz="1000" b="0">
            <a:latin typeface="Times New Roman" pitchFamily="18" charset="0"/>
            <a:cs typeface="Times New Roman" pitchFamily="18" charset="0"/>
          </a:endParaRPr>
        </a:p>
      </dgm:t>
    </dgm:pt>
    <dgm:pt modelId="{5A23B3FF-9F20-4B6C-8EE2-7CBAB7D44319}" type="parTrans" cxnId="{F2593A38-C8A5-4E1C-9765-8B452AA3D65B}">
      <dgm:prSet/>
      <dgm:spPr/>
      <dgm:t>
        <a:bodyPr/>
        <a:lstStyle/>
        <a:p>
          <a:endParaRPr lang="en-US">
            <a:latin typeface="Times New Roman" panose="02020603050405020304" pitchFamily="18" charset="0"/>
            <a:cs typeface="Times New Roman" panose="02020603050405020304" pitchFamily="18" charset="0"/>
          </a:endParaRPr>
        </a:p>
      </dgm:t>
    </dgm:pt>
    <dgm:pt modelId="{5633D638-251C-4EE0-A0FD-720249139307}" type="sibTrans" cxnId="{F2593A38-C8A5-4E1C-9765-8B452AA3D65B}">
      <dgm:prSet/>
      <dgm:spPr/>
      <dgm:t>
        <a:bodyPr/>
        <a:lstStyle/>
        <a:p>
          <a:endParaRPr lang="en-US">
            <a:latin typeface="Times New Roman" panose="02020603050405020304" pitchFamily="18" charset="0"/>
            <a:cs typeface="Times New Roman" panose="02020603050405020304" pitchFamily="18" charset="0"/>
          </a:endParaRPr>
        </a:p>
      </dgm:t>
    </dgm:pt>
    <dgm:pt modelId="{76FB7371-E0F6-443E-92DF-ECF0FF9D7A20}" type="pres">
      <dgm:prSet presAssocID="{E67A677E-352F-4D2B-9778-2E11C9BC0912}" presName="linear" presStyleCnt="0">
        <dgm:presLayoutVars>
          <dgm:animLvl val="lvl"/>
          <dgm:resizeHandles val="exact"/>
        </dgm:presLayoutVars>
      </dgm:prSet>
      <dgm:spPr/>
    </dgm:pt>
    <dgm:pt modelId="{75B97BB6-FF18-4111-B0A2-D5D39F23E389}" type="pres">
      <dgm:prSet presAssocID="{508E689A-9172-4C5C-91CB-914AB978787E}" presName="parentText" presStyleLbl="node1" presStyleIdx="0" presStyleCnt="4">
        <dgm:presLayoutVars>
          <dgm:chMax val="0"/>
          <dgm:bulletEnabled val="1"/>
        </dgm:presLayoutVars>
      </dgm:prSet>
      <dgm:spPr/>
    </dgm:pt>
    <dgm:pt modelId="{66C74BC3-6433-4968-9F0C-50CF996BBDC3}" type="pres">
      <dgm:prSet presAssocID="{508E689A-9172-4C5C-91CB-914AB978787E}" presName="childText" presStyleLbl="revTx" presStyleIdx="0" presStyleCnt="4" custScaleY="168147" custLinFactNeighborY="18055">
        <dgm:presLayoutVars>
          <dgm:bulletEnabled val="1"/>
        </dgm:presLayoutVars>
      </dgm:prSet>
      <dgm:spPr/>
    </dgm:pt>
    <dgm:pt modelId="{20DEC4C0-C8E1-402E-A2C2-077E754D5393}" type="pres">
      <dgm:prSet presAssocID="{EDD9895C-7C99-41C8-8119-2ECF5A1FB5C5}" presName="parentText" presStyleLbl="node1" presStyleIdx="1" presStyleCnt="4" custLinFactNeighborY="-36724">
        <dgm:presLayoutVars>
          <dgm:chMax val="0"/>
          <dgm:bulletEnabled val="1"/>
        </dgm:presLayoutVars>
      </dgm:prSet>
      <dgm:spPr/>
    </dgm:pt>
    <dgm:pt modelId="{66A03B14-9705-4DB0-B422-B73F6FA1265D}" type="pres">
      <dgm:prSet presAssocID="{EDD9895C-7C99-41C8-8119-2ECF5A1FB5C5}" presName="childText" presStyleLbl="revTx" presStyleIdx="1" presStyleCnt="4" custScaleY="108720" custLinFactNeighborY="-83590">
        <dgm:presLayoutVars>
          <dgm:bulletEnabled val="1"/>
        </dgm:presLayoutVars>
      </dgm:prSet>
      <dgm:spPr/>
    </dgm:pt>
    <dgm:pt modelId="{75B47E2C-8F62-4280-A7E1-5641EBF0E6BF}" type="pres">
      <dgm:prSet presAssocID="{F4367203-0595-4944-8692-3CC0D8D5901E}" presName="parentText" presStyleLbl="node1" presStyleIdx="2" presStyleCnt="4" custLinFactNeighborX="-771" custLinFactNeighborY="-54436">
        <dgm:presLayoutVars>
          <dgm:chMax val="0"/>
          <dgm:bulletEnabled val="1"/>
        </dgm:presLayoutVars>
      </dgm:prSet>
      <dgm:spPr/>
    </dgm:pt>
    <dgm:pt modelId="{BDCB1EF7-57E6-4F7E-A3BF-EEF3FBBDD15B}" type="pres">
      <dgm:prSet presAssocID="{F4367203-0595-4944-8692-3CC0D8D5901E}" presName="childText" presStyleLbl="revTx" presStyleIdx="2" presStyleCnt="4" custLinFactNeighborY="-70894">
        <dgm:presLayoutVars>
          <dgm:bulletEnabled val="1"/>
        </dgm:presLayoutVars>
      </dgm:prSet>
      <dgm:spPr/>
    </dgm:pt>
    <dgm:pt modelId="{B68F23FE-8B2A-4B8F-88F1-62E31A0CF511}" type="pres">
      <dgm:prSet presAssocID="{0F37DD9A-CA68-4364-9184-D98DD44A0E6F}" presName="parentText" presStyleLbl="node1" presStyleIdx="3" presStyleCnt="4" custLinFactNeighborX="7" custLinFactNeighborY="-10385">
        <dgm:presLayoutVars>
          <dgm:chMax val="0"/>
          <dgm:bulletEnabled val="1"/>
        </dgm:presLayoutVars>
      </dgm:prSet>
      <dgm:spPr/>
    </dgm:pt>
    <dgm:pt modelId="{E01A6704-8953-4557-A91A-06A69B5418B0}" type="pres">
      <dgm:prSet presAssocID="{0F37DD9A-CA68-4364-9184-D98DD44A0E6F}" presName="childText" presStyleLbl="revTx" presStyleIdx="3" presStyleCnt="4" custLinFactNeighborX="2" custLinFactNeighborY="-32440">
        <dgm:presLayoutVars>
          <dgm:bulletEnabled val="1"/>
        </dgm:presLayoutVars>
      </dgm:prSet>
      <dgm:spPr/>
    </dgm:pt>
  </dgm:ptLst>
  <dgm:cxnLst>
    <dgm:cxn modelId="{CDAEEC03-C5DF-4A8B-8B0D-622DE8FC6B38}" srcId="{0F37DD9A-CA68-4364-9184-D98DD44A0E6F}" destId="{B48C1754-D254-4F00-86F8-E149B71612C4}" srcOrd="2" destOrd="0" parTransId="{176F4F9A-9222-4297-855F-AD122C359A7C}" sibTransId="{F9B55915-A768-458D-9684-B965B195CC10}"/>
    <dgm:cxn modelId="{2A30FB04-13DA-4157-A3A0-11B6A80DB6CA}" type="presOf" srcId="{B313CBC4-85B2-48DF-B5F5-CB7EFD76E5E8}" destId="{E01A6704-8953-4557-A91A-06A69B5418B0}" srcOrd="0" destOrd="3" presId="urn:microsoft.com/office/officeart/2005/8/layout/vList2"/>
    <dgm:cxn modelId="{A037A408-0257-4A5C-97F6-ECF2C8D6AE3F}" type="presOf" srcId="{508E689A-9172-4C5C-91CB-914AB978787E}" destId="{75B97BB6-FF18-4111-B0A2-D5D39F23E389}" srcOrd="0" destOrd="0" presId="urn:microsoft.com/office/officeart/2005/8/layout/vList2"/>
    <dgm:cxn modelId="{80B0060A-EC97-47CF-A0EE-950C3FD5DED2}" type="presOf" srcId="{A31C7C02-838D-4499-8EA5-7DF9D8DFD74D}" destId="{66C74BC3-6433-4968-9F0C-50CF996BBDC3}" srcOrd="0" destOrd="0" presId="urn:microsoft.com/office/officeart/2005/8/layout/vList2"/>
    <dgm:cxn modelId="{FFF0E60D-08EF-49C1-8DE4-59651A6179E9}" srcId="{0F37DD9A-CA68-4364-9184-D98DD44A0E6F}" destId="{B313CBC4-85B2-48DF-B5F5-CB7EFD76E5E8}" srcOrd="3" destOrd="0" parTransId="{385663E5-700B-4105-A3F5-C2A08843DDE8}" sibTransId="{AF252A1A-1C2C-4C03-BC57-BBB07744F2C9}"/>
    <dgm:cxn modelId="{31CE2F10-129F-4CE9-A5FE-992955465E55}" type="presOf" srcId="{7A57B21D-3585-4143-B7D6-2A6458F7C755}" destId="{E01A6704-8953-4557-A91A-06A69B5418B0}" srcOrd="0" destOrd="5" presId="urn:microsoft.com/office/officeart/2005/8/layout/vList2"/>
    <dgm:cxn modelId="{F0A3A913-D488-4DC0-9392-7B5A99AD5AF6}" type="presOf" srcId="{1D56E55A-9D4F-4941-8AB0-61A5F8A75DFA}" destId="{E01A6704-8953-4557-A91A-06A69B5418B0}" srcOrd="0" destOrd="0" presId="urn:microsoft.com/office/officeart/2005/8/layout/vList2"/>
    <dgm:cxn modelId="{BD755D15-7A6C-4CDA-B98D-804F3DD59E8D}" type="presOf" srcId="{912D718F-8D3C-4274-BEA4-93A8E068191E}" destId="{66A03B14-9705-4DB0-B422-B73F6FA1265D}" srcOrd="0" destOrd="3" presId="urn:microsoft.com/office/officeart/2005/8/layout/vList2"/>
    <dgm:cxn modelId="{F684EC1D-0179-41DB-86F0-F24AF9EDF7DF}" srcId="{0F37DD9A-CA68-4364-9184-D98DD44A0E6F}" destId="{BA8C9447-8115-4601-BB40-CD1855543D2E}" srcOrd="8" destOrd="0" parTransId="{05FA9310-2009-4660-A689-ED798201630A}" sibTransId="{BCF9219F-15DF-4949-82BE-C149ECB0E4A1}"/>
    <dgm:cxn modelId="{2DCDEC20-30FC-43E0-A69C-0104606311BC}" type="presOf" srcId="{0F37DD9A-CA68-4364-9184-D98DD44A0E6F}" destId="{B68F23FE-8B2A-4B8F-88F1-62E31A0CF511}" srcOrd="0" destOrd="0" presId="urn:microsoft.com/office/officeart/2005/8/layout/vList2"/>
    <dgm:cxn modelId="{B57D9B22-CEDA-4245-AFE8-3A6AD5EDF34F}" srcId="{E67A677E-352F-4D2B-9778-2E11C9BC0912}" destId="{0F37DD9A-CA68-4364-9184-D98DD44A0E6F}" srcOrd="3" destOrd="0" parTransId="{678DD4F4-A408-4CBE-AE76-E5184D55016D}" sibTransId="{E8D65082-6BD8-4BC7-8246-BE763620C246}"/>
    <dgm:cxn modelId="{A19C2727-592E-4051-BDC9-0B3DC49285BC}" srcId="{EDD9895C-7C99-41C8-8119-2ECF5A1FB5C5}" destId="{8A06C974-AA15-41B4-9013-BFBF88B7237B}" srcOrd="1" destOrd="0" parTransId="{15E51A55-AA0D-407A-8D5D-C67A085367AC}" sibTransId="{F6A654F6-B6D1-4050-88C3-9A2293563327}"/>
    <dgm:cxn modelId="{7FE6CD36-EB8D-499B-8289-A433EC0A2ABA}" type="presOf" srcId="{BA8C9447-8115-4601-BB40-CD1855543D2E}" destId="{E01A6704-8953-4557-A91A-06A69B5418B0}" srcOrd="0" destOrd="8" presId="urn:microsoft.com/office/officeart/2005/8/layout/vList2"/>
    <dgm:cxn modelId="{F2593A38-C8A5-4E1C-9765-8B452AA3D65B}" srcId="{0F37DD9A-CA68-4364-9184-D98DD44A0E6F}" destId="{0338933D-EFBC-4C3B-A8D8-FBE300114721}" srcOrd="7" destOrd="0" parTransId="{5A23B3FF-9F20-4B6C-8EE2-7CBAB7D44319}" sibTransId="{5633D638-251C-4EE0-A0FD-720249139307}"/>
    <dgm:cxn modelId="{34135B5E-798D-492D-8750-74462C20D7D8}" type="presOf" srcId="{8A06C974-AA15-41B4-9013-BFBF88B7237B}" destId="{66A03B14-9705-4DB0-B422-B73F6FA1265D}" srcOrd="0" destOrd="1" presId="urn:microsoft.com/office/officeart/2005/8/layout/vList2"/>
    <dgm:cxn modelId="{7C3E0261-2043-4D31-B3B3-2609D8F3F059}" srcId="{E67A677E-352F-4D2B-9778-2E11C9BC0912}" destId="{508E689A-9172-4C5C-91CB-914AB978787E}" srcOrd="0" destOrd="0" parTransId="{795BAEDC-FDF8-4BBE-95B8-C51B6A8D9BF7}" sibTransId="{434B0577-9093-48D6-AFFB-AC02A5CB989D}"/>
    <dgm:cxn modelId="{BF8A1A68-1B4F-41AD-9960-69BF1912C656}" type="presOf" srcId="{D2DF41D7-11D9-4074-808B-E6C43B56E317}" destId="{BDCB1EF7-57E6-4F7E-A3BF-EEF3FBBDD15B}" srcOrd="0" destOrd="1" presId="urn:microsoft.com/office/officeart/2005/8/layout/vList2"/>
    <dgm:cxn modelId="{97E4B768-82C2-4D75-8AFD-3A6C31EEB406}" srcId="{508E689A-9172-4C5C-91CB-914AB978787E}" destId="{2A375942-6FE1-4F08-B9CD-00A074FA81E1}" srcOrd="3" destOrd="0" parTransId="{6064AF6B-CC28-4481-97FC-7BE3E960F370}" sibTransId="{8766E07D-B7B2-4732-AC4D-C486A5AECB70}"/>
    <dgm:cxn modelId="{FA5DCE6D-289E-4F41-9C27-D19CB3523D06}" type="presOf" srcId="{56D97549-6FFA-494D-BFC1-EDD0A92D1814}" destId="{E01A6704-8953-4557-A91A-06A69B5418B0}" srcOrd="0" destOrd="1" presId="urn:microsoft.com/office/officeart/2005/8/layout/vList2"/>
    <dgm:cxn modelId="{66F8D06D-B7E7-4A1C-962B-215E10EE7E2D}" type="presOf" srcId="{D579AA1B-4255-4469-AC2B-47ECF67DF5A9}" destId="{66C74BC3-6433-4968-9F0C-50CF996BBDC3}" srcOrd="0" destOrd="2" presId="urn:microsoft.com/office/officeart/2005/8/layout/vList2"/>
    <dgm:cxn modelId="{210FF44F-6478-4B7F-BF59-A8B4AFE1BE44}" srcId="{508E689A-9172-4C5C-91CB-914AB978787E}" destId="{D579AA1B-4255-4469-AC2B-47ECF67DF5A9}" srcOrd="2" destOrd="0" parTransId="{077925BA-9448-4895-8C08-CFDE5D7D65F9}" sibTransId="{53AB1DBD-3D8F-4A37-AD67-1647F263C6CC}"/>
    <dgm:cxn modelId="{756B8C54-DB80-4C86-A2CE-4BF0BEBCDD04}" srcId="{0F37DD9A-CA68-4364-9184-D98DD44A0E6F}" destId="{7A57B21D-3585-4143-B7D6-2A6458F7C755}" srcOrd="5" destOrd="0" parTransId="{9EAB2ABE-A68A-4282-9AF5-3A5528885C75}" sibTransId="{7C431C83-BFA0-46FD-9F46-BB49963D8742}"/>
    <dgm:cxn modelId="{8FE45375-AD17-41B0-8D66-7121988D464F}" type="presOf" srcId="{29453D07-7BD3-4E04-A566-5B8167B90ECA}" destId="{66A03B14-9705-4DB0-B422-B73F6FA1265D}" srcOrd="0" destOrd="2" presId="urn:microsoft.com/office/officeart/2005/8/layout/vList2"/>
    <dgm:cxn modelId="{09ECBD59-C881-4D92-A78B-8904C3DDB26A}" srcId="{508E689A-9172-4C5C-91CB-914AB978787E}" destId="{A0B1E6B4-622A-4ABC-87AE-EEE7696C6479}" srcOrd="1" destOrd="0" parTransId="{A5C1DACE-5C45-403C-8A1F-56BD85F12C05}" sibTransId="{7870D3E1-ADA1-4329-86D6-399B123BA643}"/>
    <dgm:cxn modelId="{78CDDB7F-A6BE-4F76-89E9-CECDD2C5C42A}" srcId="{EDD9895C-7C99-41C8-8119-2ECF5A1FB5C5}" destId="{912D718F-8D3C-4274-BEA4-93A8E068191E}" srcOrd="3" destOrd="0" parTransId="{75380194-4F6D-4FCE-84A3-1678D888898C}" sibTransId="{C63702D1-8111-42B5-8CC1-CB5EC4403D55}"/>
    <dgm:cxn modelId="{8D80D081-DEBD-4ECB-A8D6-539267CDB800}" srcId="{F4367203-0595-4944-8692-3CC0D8D5901E}" destId="{2D6FC722-4590-48F1-B2AD-259630D1C834}" srcOrd="2" destOrd="0" parTransId="{4F51AA9F-F304-429D-A8B6-A63D7366FC72}" sibTransId="{6EE98E36-01D7-418F-AD58-EE0B0F8BE948}"/>
    <dgm:cxn modelId="{753C4C85-E85A-48C5-BD7F-1282D4336511}" srcId="{0F37DD9A-CA68-4364-9184-D98DD44A0E6F}" destId="{5A404F8D-E31B-4DB0-93B3-1C6DDA9D4F8C}" srcOrd="4" destOrd="0" parTransId="{6E3B760F-B006-4FCF-A591-B40D8A580890}" sibTransId="{325960AD-CFAB-4540-B73C-59C61BD3FE40}"/>
    <dgm:cxn modelId="{88888886-E719-499C-9FB4-DD6268390CA8}" type="presOf" srcId="{5A404F8D-E31B-4DB0-93B3-1C6DDA9D4F8C}" destId="{E01A6704-8953-4557-A91A-06A69B5418B0}" srcOrd="0" destOrd="4" presId="urn:microsoft.com/office/officeart/2005/8/layout/vList2"/>
    <dgm:cxn modelId="{B5EC2D88-D8A7-4ABF-8E59-DC7C4BB2B8F6}" type="presOf" srcId="{6AF5674C-1758-4607-8115-6EFFA25A4A5C}" destId="{BDCB1EF7-57E6-4F7E-A3BF-EEF3FBBDD15B}" srcOrd="0" destOrd="0" presId="urn:microsoft.com/office/officeart/2005/8/layout/vList2"/>
    <dgm:cxn modelId="{7AD5E388-8B7C-4F0A-BDC9-78D8BAC39054}" type="presOf" srcId="{F4367203-0595-4944-8692-3CC0D8D5901E}" destId="{75B47E2C-8F62-4280-A7E1-5641EBF0E6BF}" srcOrd="0" destOrd="0" presId="urn:microsoft.com/office/officeart/2005/8/layout/vList2"/>
    <dgm:cxn modelId="{9246C18A-59EC-45BF-9B4F-229DB1E4183C}" srcId="{E67A677E-352F-4D2B-9778-2E11C9BC0912}" destId="{EDD9895C-7C99-41C8-8119-2ECF5A1FB5C5}" srcOrd="1" destOrd="0" parTransId="{CE51FE00-11B3-4089-9536-3F2AA3639B58}" sibTransId="{ABC415F4-5A17-48A5-B2FE-34528E409FDD}"/>
    <dgm:cxn modelId="{3030C48E-EC4B-425A-9029-5DD4FDBB3BCE}" type="presOf" srcId="{2A375942-6FE1-4F08-B9CD-00A074FA81E1}" destId="{66C74BC3-6433-4968-9F0C-50CF996BBDC3}" srcOrd="0" destOrd="3" presId="urn:microsoft.com/office/officeart/2005/8/layout/vList2"/>
    <dgm:cxn modelId="{1F69A49A-716D-4549-8B83-BBE1BF545CEC}" srcId="{EDD9895C-7C99-41C8-8119-2ECF5A1FB5C5}" destId="{8A61215C-4B08-4B7B-BBD2-354C98BD3489}" srcOrd="0" destOrd="0" parTransId="{96200CC3-978C-4479-B1EB-60FC78240385}" sibTransId="{6708A6D7-07CB-4690-AAA6-87ACA2788E7F}"/>
    <dgm:cxn modelId="{6F6CC69A-B4D8-403A-A8B1-7D04326D97C7}" srcId="{E67A677E-352F-4D2B-9778-2E11C9BC0912}" destId="{F4367203-0595-4944-8692-3CC0D8D5901E}" srcOrd="2" destOrd="0" parTransId="{A3648C3B-0477-49C6-8117-F79D3BB5804F}" sibTransId="{13966B9C-EBBF-43E9-827E-6FEC4C4E6634}"/>
    <dgm:cxn modelId="{7C5CD29A-D0E9-4CE1-97B2-22F7BD5BD346}" srcId="{F4367203-0595-4944-8692-3CC0D8D5901E}" destId="{28C607AC-052C-47DF-B261-E390ECD34249}" srcOrd="3" destOrd="0" parTransId="{42378A68-6FBD-49EB-B5C1-6AE5314137CF}" sibTransId="{83801182-0BB2-4961-B63D-03E777C5C347}"/>
    <dgm:cxn modelId="{7C43D39F-83AF-4AEA-ADD5-973B05CCB6DC}" srcId="{508E689A-9172-4C5C-91CB-914AB978787E}" destId="{A31C7C02-838D-4499-8EA5-7DF9D8DFD74D}" srcOrd="0" destOrd="0" parTransId="{6B3A6AFB-FFC4-476D-858A-22CB380F74EA}" sibTransId="{AEE1F2CD-D09A-4328-A5C2-36BA9BAA4B47}"/>
    <dgm:cxn modelId="{970FCFA6-77E0-4DBB-B42A-35E65A1AD54A}" srcId="{EDD9895C-7C99-41C8-8119-2ECF5A1FB5C5}" destId="{29453D07-7BD3-4E04-A566-5B8167B90ECA}" srcOrd="2" destOrd="0" parTransId="{DC66D3D8-71CE-4FAD-8022-311B8000C2CF}" sibTransId="{90FA8333-8CFB-4571-B896-8543388A15C0}"/>
    <dgm:cxn modelId="{0F2C94A7-489E-45CC-B484-E949386853CD}" srcId="{0F37DD9A-CA68-4364-9184-D98DD44A0E6F}" destId="{4AE71DC2-83F6-4D3E-BDFD-CD6BA03D2B16}" srcOrd="6" destOrd="0" parTransId="{BE410CDA-F08C-44B5-8EF2-B2A828D4828E}" sibTransId="{2E105DC4-7681-43AD-8ADE-7659011CBAA9}"/>
    <dgm:cxn modelId="{E74B31B3-A46F-4E2D-AE4D-60B803E13C77}" type="presOf" srcId="{28C607AC-052C-47DF-B261-E390ECD34249}" destId="{BDCB1EF7-57E6-4F7E-A3BF-EEF3FBBDD15B}" srcOrd="0" destOrd="3" presId="urn:microsoft.com/office/officeart/2005/8/layout/vList2"/>
    <dgm:cxn modelId="{C4B7A2B9-CB89-4E62-B168-CEA6DD641823}" type="presOf" srcId="{2D6FC722-4590-48F1-B2AD-259630D1C834}" destId="{BDCB1EF7-57E6-4F7E-A3BF-EEF3FBBDD15B}" srcOrd="0" destOrd="2" presId="urn:microsoft.com/office/officeart/2005/8/layout/vList2"/>
    <dgm:cxn modelId="{DEB7D8BC-1CAE-4B2F-903D-3D74F8287608}" type="presOf" srcId="{B48C1754-D254-4F00-86F8-E149B71612C4}" destId="{E01A6704-8953-4557-A91A-06A69B5418B0}" srcOrd="0" destOrd="2" presId="urn:microsoft.com/office/officeart/2005/8/layout/vList2"/>
    <dgm:cxn modelId="{476CB7C1-B528-46CD-8F09-5897D12FA404}" type="presOf" srcId="{4AE71DC2-83F6-4D3E-BDFD-CD6BA03D2B16}" destId="{E01A6704-8953-4557-A91A-06A69B5418B0}" srcOrd="0" destOrd="6" presId="urn:microsoft.com/office/officeart/2005/8/layout/vList2"/>
    <dgm:cxn modelId="{D917DAC1-8688-4F7E-BC38-C9115D69D8C2}" type="presOf" srcId="{0338933D-EFBC-4C3B-A8D8-FBE300114721}" destId="{E01A6704-8953-4557-A91A-06A69B5418B0}" srcOrd="0" destOrd="7" presId="urn:microsoft.com/office/officeart/2005/8/layout/vList2"/>
    <dgm:cxn modelId="{12D09AC9-4AAE-4F06-BE00-933E9FC036BA}" srcId="{EDD9895C-7C99-41C8-8119-2ECF5A1FB5C5}" destId="{EC9AB196-C9D8-4BFF-B313-D4624F4FEC25}" srcOrd="4" destOrd="0" parTransId="{3DD25FBE-A3AD-494B-8CD7-DD9CE0F55CD9}" sibTransId="{58E255E0-F2C2-4114-B36C-2F2CFFFD9D99}"/>
    <dgm:cxn modelId="{CC2019D1-6D2F-4F93-A93A-B5AD9EFFF4BC}" srcId="{0F37DD9A-CA68-4364-9184-D98DD44A0E6F}" destId="{1D56E55A-9D4F-4941-8AB0-61A5F8A75DFA}" srcOrd="0" destOrd="0" parTransId="{95F05664-7230-4116-A431-2AF7859AE502}" sibTransId="{2AAC23BC-1BEB-48BB-A57D-1E2C942679B9}"/>
    <dgm:cxn modelId="{DC66F1D1-F161-49D6-8F60-EFF7E3ABC551}" type="presOf" srcId="{EC9AB196-C9D8-4BFF-B313-D4624F4FEC25}" destId="{66A03B14-9705-4DB0-B422-B73F6FA1265D}" srcOrd="0" destOrd="4" presId="urn:microsoft.com/office/officeart/2005/8/layout/vList2"/>
    <dgm:cxn modelId="{6545F7D3-9BBE-430D-A785-03D9BA26C282}" srcId="{F4367203-0595-4944-8692-3CC0D8D5901E}" destId="{D2DF41D7-11D9-4074-808B-E6C43B56E317}" srcOrd="1" destOrd="0" parTransId="{E3BA6D9F-C12E-4E80-8AE4-AEC1762B22BB}" sibTransId="{B19C2CB8-EBEE-4793-98C1-A924D9C86083}"/>
    <dgm:cxn modelId="{13C92AD5-8C18-4545-B3DF-BD3416D5305B}" srcId="{0F37DD9A-CA68-4364-9184-D98DD44A0E6F}" destId="{56D97549-6FFA-494D-BFC1-EDD0A92D1814}" srcOrd="1" destOrd="0" parTransId="{D315E617-C427-4B1E-B884-C7E2864C8EBC}" sibTransId="{69F2FE5C-B63C-46E7-BB8C-0AEFD533282D}"/>
    <dgm:cxn modelId="{B03708DB-C0C7-405C-9F57-36860860C7C7}" type="presOf" srcId="{8A61215C-4B08-4B7B-BBD2-354C98BD3489}" destId="{66A03B14-9705-4DB0-B422-B73F6FA1265D}" srcOrd="0" destOrd="0" presId="urn:microsoft.com/office/officeart/2005/8/layout/vList2"/>
    <dgm:cxn modelId="{6E01F8E2-BB2A-4BC6-810A-17054158F739}" srcId="{F4367203-0595-4944-8692-3CC0D8D5901E}" destId="{6AF5674C-1758-4607-8115-6EFFA25A4A5C}" srcOrd="0" destOrd="0" parTransId="{F19B5C61-6D16-4A6D-B95C-7EDACD895851}" sibTransId="{83924725-422C-475D-A2AF-AA3011A85E21}"/>
    <dgm:cxn modelId="{DDFF6EEE-DFD9-4DF6-B705-7FC000C48291}" type="presOf" srcId="{A0B1E6B4-622A-4ABC-87AE-EEE7696C6479}" destId="{66C74BC3-6433-4968-9F0C-50CF996BBDC3}" srcOrd="0" destOrd="1" presId="urn:microsoft.com/office/officeart/2005/8/layout/vList2"/>
    <dgm:cxn modelId="{DACCD5FE-9865-4DCF-B2E4-718F1E6A3641}" type="presOf" srcId="{E67A677E-352F-4D2B-9778-2E11C9BC0912}" destId="{76FB7371-E0F6-443E-92DF-ECF0FF9D7A20}" srcOrd="0" destOrd="0" presId="urn:microsoft.com/office/officeart/2005/8/layout/vList2"/>
    <dgm:cxn modelId="{D9B949FF-EA4E-4570-A1BE-BEE330A28C5B}" type="presOf" srcId="{EDD9895C-7C99-41C8-8119-2ECF5A1FB5C5}" destId="{20DEC4C0-C8E1-402E-A2C2-077E754D5393}" srcOrd="0" destOrd="0" presId="urn:microsoft.com/office/officeart/2005/8/layout/vList2"/>
    <dgm:cxn modelId="{0A61CB49-BB9F-4A42-8D3A-0EC6F5D94062}" type="presParOf" srcId="{76FB7371-E0F6-443E-92DF-ECF0FF9D7A20}" destId="{75B97BB6-FF18-4111-B0A2-D5D39F23E389}" srcOrd="0" destOrd="0" presId="urn:microsoft.com/office/officeart/2005/8/layout/vList2"/>
    <dgm:cxn modelId="{0970A14E-00D1-42E5-8A02-A5AE4057B215}" type="presParOf" srcId="{76FB7371-E0F6-443E-92DF-ECF0FF9D7A20}" destId="{66C74BC3-6433-4968-9F0C-50CF996BBDC3}" srcOrd="1" destOrd="0" presId="urn:microsoft.com/office/officeart/2005/8/layout/vList2"/>
    <dgm:cxn modelId="{4AC0B02B-C39C-4392-BE94-1FB2E520602B}" type="presParOf" srcId="{76FB7371-E0F6-443E-92DF-ECF0FF9D7A20}" destId="{20DEC4C0-C8E1-402E-A2C2-077E754D5393}" srcOrd="2" destOrd="0" presId="urn:microsoft.com/office/officeart/2005/8/layout/vList2"/>
    <dgm:cxn modelId="{296DBBE9-1FD2-4C5E-94F6-D4C0F9E774B4}" type="presParOf" srcId="{76FB7371-E0F6-443E-92DF-ECF0FF9D7A20}" destId="{66A03B14-9705-4DB0-B422-B73F6FA1265D}" srcOrd="3" destOrd="0" presId="urn:microsoft.com/office/officeart/2005/8/layout/vList2"/>
    <dgm:cxn modelId="{A530A755-3172-4B1F-9AE5-84FC03213607}" type="presParOf" srcId="{76FB7371-E0F6-443E-92DF-ECF0FF9D7A20}" destId="{75B47E2C-8F62-4280-A7E1-5641EBF0E6BF}" srcOrd="4" destOrd="0" presId="urn:microsoft.com/office/officeart/2005/8/layout/vList2"/>
    <dgm:cxn modelId="{3128905C-D9C7-47A0-8693-614D5B91C3C7}" type="presParOf" srcId="{76FB7371-E0F6-443E-92DF-ECF0FF9D7A20}" destId="{BDCB1EF7-57E6-4F7E-A3BF-EEF3FBBDD15B}" srcOrd="5" destOrd="0" presId="urn:microsoft.com/office/officeart/2005/8/layout/vList2"/>
    <dgm:cxn modelId="{8461738C-4D80-4B8D-8659-EF4F80AA9F30}" type="presParOf" srcId="{76FB7371-E0F6-443E-92DF-ECF0FF9D7A20}" destId="{B68F23FE-8B2A-4B8F-88F1-62E31A0CF511}" srcOrd="6" destOrd="0" presId="urn:microsoft.com/office/officeart/2005/8/layout/vList2"/>
    <dgm:cxn modelId="{B9D8D560-038C-4C49-A1FD-24F5CCF1BE8E}" type="presParOf" srcId="{76FB7371-E0F6-443E-92DF-ECF0FF9D7A20}" destId="{E01A6704-8953-4557-A91A-06A69B5418B0}" srcOrd="7" destOrd="0" presId="urn:microsoft.com/office/officeart/2005/8/layout/vList2"/>
  </dgm:cxnLst>
  <dgm:bg/>
  <dgm:whole/>
  <dgm:extLst>
    <a:ext uri="http://schemas.microsoft.com/office/drawing/2008/diagram">
      <dsp:dataModelExt xmlns:dsp="http://schemas.microsoft.com/office/drawing/2008/diagram" relId="rId15"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5B97BB6-FF18-4111-B0A2-D5D39F23E389}">
      <dsp:nvSpPr>
        <dsp:cNvPr id="0" name=""/>
        <dsp:cNvSpPr/>
      </dsp:nvSpPr>
      <dsp:spPr>
        <a:xfrm>
          <a:off x="0" y="9507"/>
          <a:ext cx="4939665" cy="39312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b="1" i="0" u="none" kern="1200">
              <a:latin typeface="Times New Roman" panose="02020603050405020304" pitchFamily="18" charset="0"/>
              <a:cs typeface="Times New Roman" panose="02020603050405020304" pitchFamily="18" charset="0"/>
            </a:rPr>
            <a:t>PROFITABILITY RATIOS</a:t>
          </a:r>
          <a:endParaRPr lang="en-US" sz="1200" kern="1200">
            <a:latin typeface="Times New Roman" panose="02020603050405020304" pitchFamily="18" charset="0"/>
            <a:cs typeface="Times New Roman" panose="02020603050405020304" pitchFamily="18" charset="0"/>
          </a:endParaRPr>
        </a:p>
      </dsp:txBody>
      <dsp:txXfrm>
        <a:off x="19191" y="28698"/>
        <a:ext cx="4901283" cy="354738"/>
      </dsp:txXfrm>
    </dsp:sp>
    <dsp:sp modelId="{66C74BC3-6433-4968-9F0C-50CF996BBDC3}">
      <dsp:nvSpPr>
        <dsp:cNvPr id="0" name=""/>
        <dsp:cNvSpPr/>
      </dsp:nvSpPr>
      <dsp:spPr>
        <a:xfrm>
          <a:off x="0" y="473605"/>
          <a:ext cx="4939665" cy="131568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6834" tIns="12700" rIns="71120" bIns="12700" numCol="1" spcCol="1270" anchor="t" anchorCtr="0">
          <a:noAutofit/>
        </a:bodyPr>
        <a:lstStyle/>
        <a:p>
          <a:pPr marL="57150" lvl="1" indent="-57150" algn="just"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Return on Equity= Net Income/ Shareholder's Equity</a:t>
          </a:r>
          <a:endParaRPr lang="en-US" sz="1000" kern="1200">
            <a:latin typeface="Times New Roman" pitchFamily="18" charset="0"/>
            <a:cs typeface="Times New Roman" pitchFamily="18" charset="0"/>
          </a:endParaRPr>
        </a:p>
        <a:p>
          <a:pPr marL="57150" lvl="1" indent="-57150" algn="just"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Net Interest Margin on Average Earning Assets= </a:t>
          </a:r>
          <a:r>
            <a:rPr lang="en-US" sz="1000" b="0" i="0" kern="1200">
              <a:latin typeface="Times New Roman" panose="02020603050405020304" pitchFamily="18" charset="0"/>
              <a:cs typeface="Times New Roman" panose="02020603050405020304" pitchFamily="18" charset="0"/>
            </a:rPr>
            <a:t>( Investment Income – Interest Expenses ) / Average Earning Assets</a:t>
          </a:r>
          <a:endParaRPr lang="en-US" sz="1000" kern="1200">
            <a:latin typeface="Times New Roman" pitchFamily="18" charset="0"/>
            <a:cs typeface="Times New Roman" pitchFamily="18" charset="0"/>
          </a:endParaRPr>
        </a:p>
        <a:p>
          <a:pPr marL="57150" lvl="1" indent="-57150" algn="just"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Cost to Income Ratio= Operating Expenses/ Operating Incomes</a:t>
          </a:r>
          <a:endParaRPr lang="en-US" sz="1000" kern="1200">
            <a:latin typeface="Times New Roman" pitchFamily="18" charset="0"/>
            <a:cs typeface="Times New Roman" pitchFamily="18" charset="0"/>
          </a:endParaRPr>
        </a:p>
        <a:p>
          <a:pPr marL="57150" lvl="1" indent="-57150" algn="just"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Return on Investment= </a:t>
          </a:r>
          <a:r>
            <a:rPr lang="en-US" sz="1000" b="0" i="0" kern="1200">
              <a:latin typeface="Times New Roman" panose="02020603050405020304" pitchFamily="18" charset="0"/>
              <a:cs typeface="Times New Roman" panose="02020603050405020304" pitchFamily="18" charset="0"/>
            </a:rPr>
            <a:t>Net Profit / Total Investment</a:t>
          </a:r>
          <a:endParaRPr lang="en-US" sz="1000" kern="1200">
            <a:latin typeface="Times New Roman" pitchFamily="18" charset="0"/>
            <a:cs typeface="Times New Roman" pitchFamily="18" charset="0"/>
          </a:endParaRPr>
        </a:p>
      </dsp:txBody>
      <dsp:txXfrm>
        <a:off x="0" y="473605"/>
        <a:ext cx="4939665" cy="1315683"/>
      </dsp:txXfrm>
    </dsp:sp>
    <dsp:sp modelId="{20DEC4C0-C8E1-402E-A2C2-077E754D5393}">
      <dsp:nvSpPr>
        <dsp:cNvPr id="0" name=""/>
        <dsp:cNvSpPr/>
      </dsp:nvSpPr>
      <dsp:spPr>
        <a:xfrm>
          <a:off x="0" y="1327194"/>
          <a:ext cx="4939665" cy="39312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b="1" i="0" u="none" kern="1200">
              <a:latin typeface="Times New Roman" panose="02020603050405020304" pitchFamily="18" charset="0"/>
              <a:cs typeface="Times New Roman" panose="02020603050405020304" pitchFamily="18" charset="0"/>
            </a:rPr>
            <a:t>Liquidity Ratios</a:t>
          </a:r>
          <a:endParaRPr lang="en-US" sz="1200" kern="1200">
            <a:latin typeface="Times New Roman" panose="02020603050405020304" pitchFamily="18" charset="0"/>
            <a:cs typeface="Times New Roman" panose="02020603050405020304" pitchFamily="18" charset="0"/>
          </a:endParaRPr>
        </a:p>
      </dsp:txBody>
      <dsp:txXfrm>
        <a:off x="19191" y="1346385"/>
        <a:ext cx="4901283" cy="354738"/>
      </dsp:txXfrm>
    </dsp:sp>
    <dsp:sp modelId="{66A03B14-9705-4DB0-B422-B73F6FA1265D}">
      <dsp:nvSpPr>
        <dsp:cNvPr id="0" name=""/>
        <dsp:cNvSpPr/>
      </dsp:nvSpPr>
      <dsp:spPr>
        <a:xfrm>
          <a:off x="0" y="1782821"/>
          <a:ext cx="4939665" cy="115788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6834" tIns="12700" rIns="71120" bIns="12700" numCol="1" spcCol="1270" anchor="t" anchorCtr="0">
          <a:noAutofit/>
        </a:bodyPr>
        <a:lstStyle/>
        <a:p>
          <a:pPr marL="57150" lvl="1" indent="-57150" algn="l"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Cash Reserve Ratio= </a:t>
          </a:r>
          <a:r>
            <a:rPr lang="en-US" sz="1000" b="0" i="0" kern="1200">
              <a:latin typeface="Times New Roman" panose="02020603050405020304" pitchFamily="18" charset="0"/>
              <a:cs typeface="Times New Roman" panose="02020603050405020304" pitchFamily="18" charset="0"/>
            </a:rPr>
            <a:t>Reserve Requirement *</a:t>
          </a:r>
          <a:r>
            <a:rPr lang="en-US" sz="1000" b="1" i="0" kern="1200">
              <a:latin typeface="Times New Roman" panose="02020603050405020304" pitchFamily="18" charset="0"/>
              <a:cs typeface="Times New Roman" panose="02020603050405020304" pitchFamily="18" charset="0"/>
            </a:rPr>
            <a:t> </a:t>
          </a:r>
          <a:r>
            <a:rPr lang="en-US" sz="1000" b="0" i="0" kern="1200">
              <a:latin typeface="Times New Roman" panose="02020603050405020304" pitchFamily="18" charset="0"/>
              <a:cs typeface="Times New Roman" panose="02020603050405020304" pitchFamily="18" charset="0"/>
            </a:rPr>
            <a:t>Bank Deposits</a:t>
          </a:r>
          <a:endParaRPr lang="en-US" sz="1000" b="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Statutory Liquidity Ratio= </a:t>
          </a:r>
          <a:r>
            <a:rPr lang="en-US" sz="1000" b="0" i="0" kern="1200">
              <a:latin typeface="Times New Roman" panose="02020603050405020304" pitchFamily="18" charset="0"/>
              <a:cs typeface="Times New Roman" panose="02020603050405020304" pitchFamily="18" charset="0"/>
            </a:rPr>
            <a:t>liquid assets / (demand + time liabilities)</a:t>
          </a:r>
          <a:endParaRPr lang="en-US"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Non-Performing Loans to Total Loans and Advances= Total </a:t>
          </a:r>
          <a:r>
            <a:rPr lang="en-US" sz="1000" b="0" i="0" kern="1200">
              <a:latin typeface="Times New Roman" panose="02020603050405020304" pitchFamily="18" charset="0"/>
              <a:cs typeface="Times New Roman" panose="02020603050405020304" pitchFamily="18" charset="0"/>
            </a:rPr>
            <a:t>NPL/ Total amount of outstanding loans</a:t>
          </a:r>
          <a:endParaRPr lang="en-US"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Percentage of Classified Loans against Total Loans and Advances= Classified Loans/ Total Loans and Advances</a:t>
          </a:r>
          <a:endParaRPr lang="en-US"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Credit Deposit Ratio= Loans/ Deposits</a:t>
          </a:r>
          <a:endParaRPr lang="en-US" sz="1000" kern="1200">
            <a:latin typeface="Times New Roman" panose="02020603050405020304" pitchFamily="18" charset="0"/>
            <a:cs typeface="Times New Roman" panose="02020603050405020304" pitchFamily="18" charset="0"/>
          </a:endParaRPr>
        </a:p>
      </dsp:txBody>
      <dsp:txXfrm>
        <a:off x="0" y="1782821"/>
        <a:ext cx="4939665" cy="1157884"/>
      </dsp:txXfrm>
    </dsp:sp>
    <dsp:sp modelId="{75B47E2C-8F62-4280-A7E1-5641EBF0E6BF}">
      <dsp:nvSpPr>
        <dsp:cNvPr id="0" name=""/>
        <dsp:cNvSpPr/>
      </dsp:nvSpPr>
      <dsp:spPr>
        <a:xfrm>
          <a:off x="0" y="2920280"/>
          <a:ext cx="4939665" cy="39312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b="1" i="0" u="none" kern="1200">
              <a:latin typeface="Times New Roman" panose="02020603050405020304" pitchFamily="18" charset="0"/>
              <a:cs typeface="Times New Roman" panose="02020603050405020304" pitchFamily="18" charset="0"/>
            </a:rPr>
            <a:t>SOLVENCY RATIOS</a:t>
          </a:r>
          <a:endParaRPr lang="en-US" sz="1200" kern="1200">
            <a:latin typeface="Times New Roman" panose="02020603050405020304" pitchFamily="18" charset="0"/>
            <a:cs typeface="Times New Roman" panose="02020603050405020304" pitchFamily="18" charset="0"/>
          </a:endParaRPr>
        </a:p>
      </dsp:txBody>
      <dsp:txXfrm>
        <a:off x="19191" y="2939471"/>
        <a:ext cx="4901283" cy="354738"/>
      </dsp:txXfrm>
    </dsp:sp>
    <dsp:sp modelId="{BDCB1EF7-57E6-4F7E-A3BF-EEF3FBBDD15B}">
      <dsp:nvSpPr>
        <dsp:cNvPr id="0" name=""/>
        <dsp:cNvSpPr/>
      </dsp:nvSpPr>
      <dsp:spPr>
        <a:xfrm>
          <a:off x="0" y="3383736"/>
          <a:ext cx="4939665" cy="64118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6834" tIns="12700" rIns="71120" bIns="12700" numCol="1" spcCol="1270" anchor="t" anchorCtr="0">
          <a:noAutofit/>
        </a:bodyPr>
        <a:lstStyle/>
        <a:p>
          <a:pPr marL="57150" lvl="1" indent="-57150" algn="l"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Debt to Equity Ratio= TL/ Shareholders Equity</a:t>
          </a:r>
          <a:endParaRPr lang="en-US"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Equity Multiplier Ratio = TA/ Total Equity</a:t>
          </a:r>
          <a:endParaRPr lang="en-US"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Debt to capital = Debt / Debt + Shareholders equity</a:t>
          </a:r>
          <a:endParaRPr lang="en-US" sz="1000" kern="1200">
            <a:latin typeface="Times New Roman" panose="02020603050405020304" pitchFamily="18" charset="0"/>
            <a:cs typeface="Times New Roman" panose="02020603050405020304" pitchFamily="18" charset="0"/>
          </a:endParaRPr>
        </a:p>
        <a:p>
          <a:pPr marL="57150" lvl="1" indent="-57150" algn="l"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Capital Adequacy Ratio= </a:t>
          </a:r>
          <a:r>
            <a:rPr lang="en-US" sz="1000" b="0" i="0" kern="1200">
              <a:latin typeface="Times New Roman" panose="02020603050405020304" pitchFamily="18" charset="0"/>
              <a:cs typeface="Times New Roman" panose="02020603050405020304" pitchFamily="18" charset="0"/>
            </a:rPr>
            <a:t>(Tier 1 Capital + Tier 2 Capital) / Risk-Weighted Assets</a:t>
          </a:r>
          <a:endParaRPr lang="en-US" sz="1000" b="0" kern="1200">
            <a:latin typeface="Times New Roman" panose="02020603050405020304" pitchFamily="18" charset="0"/>
            <a:cs typeface="Times New Roman" panose="02020603050405020304" pitchFamily="18" charset="0"/>
          </a:endParaRPr>
        </a:p>
      </dsp:txBody>
      <dsp:txXfrm>
        <a:off x="0" y="3383736"/>
        <a:ext cx="4939665" cy="641182"/>
      </dsp:txXfrm>
    </dsp:sp>
    <dsp:sp modelId="{B68F23FE-8B2A-4B8F-88F1-62E31A0CF511}">
      <dsp:nvSpPr>
        <dsp:cNvPr id="0" name=""/>
        <dsp:cNvSpPr/>
      </dsp:nvSpPr>
      <dsp:spPr>
        <a:xfrm>
          <a:off x="0" y="4123043"/>
          <a:ext cx="4939665" cy="393120"/>
        </a:xfrm>
        <a:prstGeom prst="roundRect">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b="1" i="0" u="none" kern="1200">
              <a:latin typeface="Times New Roman" panose="02020603050405020304" pitchFamily="18" charset="0"/>
              <a:cs typeface="Times New Roman" panose="02020603050405020304" pitchFamily="18" charset="0"/>
            </a:rPr>
            <a:t>MARKET PROSPECT RATIOS</a:t>
          </a:r>
          <a:endParaRPr lang="en-US" sz="1200" kern="1200">
            <a:latin typeface="Times New Roman" panose="02020603050405020304" pitchFamily="18" charset="0"/>
            <a:cs typeface="Times New Roman" panose="02020603050405020304" pitchFamily="18" charset="0"/>
          </a:endParaRPr>
        </a:p>
      </dsp:txBody>
      <dsp:txXfrm>
        <a:off x="19191" y="4142234"/>
        <a:ext cx="4901283" cy="354738"/>
      </dsp:txXfrm>
    </dsp:sp>
    <dsp:sp modelId="{E01A6704-8953-4557-A91A-06A69B5418B0}">
      <dsp:nvSpPr>
        <dsp:cNvPr id="0" name=""/>
        <dsp:cNvSpPr/>
      </dsp:nvSpPr>
      <dsp:spPr>
        <a:xfrm>
          <a:off x="0" y="4569209"/>
          <a:ext cx="4939665" cy="17388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56834" tIns="12700" rIns="71120" bIns="12700" numCol="1" spcCol="1270" anchor="t" anchorCtr="0">
          <a:noAutofit/>
        </a:bodyPr>
        <a:lstStyle/>
        <a:p>
          <a:pPr marL="57150" lvl="1" indent="-57150" algn="just"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Market Price per Share= T</a:t>
          </a:r>
          <a:r>
            <a:rPr lang="en-US" sz="1000" b="0" i="0" kern="1200">
              <a:latin typeface="Times New Roman" panose="02020603050405020304" pitchFamily="18" charset="0"/>
              <a:cs typeface="Times New Roman" panose="02020603050405020304" pitchFamily="18" charset="0"/>
            </a:rPr>
            <a:t>otal value of the company/ Total number of shares</a:t>
          </a:r>
          <a:endParaRPr lang="en-US" sz="1000" kern="1200">
            <a:latin typeface="Times New Roman" pitchFamily="18" charset="0"/>
            <a:cs typeface="Times New Roman" pitchFamily="18" charset="0"/>
          </a:endParaRPr>
        </a:p>
        <a:p>
          <a:pPr marL="57150" lvl="1" indent="-57150" algn="just"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Earnings per Share= Total </a:t>
          </a:r>
          <a:r>
            <a:rPr lang="en-US" sz="1000" b="0" i="0" kern="1200">
              <a:latin typeface="Times New Roman" panose="02020603050405020304" pitchFamily="18" charset="0"/>
              <a:cs typeface="Times New Roman" panose="02020603050405020304" pitchFamily="18" charset="0"/>
            </a:rPr>
            <a:t>earnings/ Total number of shares.  </a:t>
          </a:r>
          <a:endParaRPr lang="en-US" sz="1000" kern="1200">
            <a:latin typeface="Times New Roman" pitchFamily="18" charset="0"/>
            <a:cs typeface="Times New Roman" pitchFamily="18" charset="0"/>
          </a:endParaRPr>
        </a:p>
        <a:p>
          <a:pPr marL="57150" lvl="1" indent="-57150" algn="just" defTabSz="444500">
            <a:lnSpc>
              <a:spcPct val="90000"/>
            </a:lnSpc>
            <a:spcBef>
              <a:spcPct val="0"/>
            </a:spcBef>
            <a:spcAft>
              <a:spcPct val="20000"/>
            </a:spcAft>
            <a:buChar char="•"/>
          </a:pPr>
          <a:r>
            <a:rPr lang="en-US" sz="1000" b="0" i="0" u="none" kern="1200">
              <a:latin typeface="Times New Roman" pitchFamily="18" charset="0"/>
              <a:cs typeface="Times New Roman" pitchFamily="18" charset="0"/>
            </a:rPr>
            <a:t>Price to Earnings Ratio = Share price/ Earning per share</a:t>
          </a:r>
          <a:endParaRPr lang="en-US" sz="1000" kern="1200">
            <a:latin typeface="Times New Roman" pitchFamily="18" charset="0"/>
            <a:cs typeface="Times New Roman" pitchFamily="18" charset="0"/>
          </a:endParaRPr>
        </a:p>
        <a:p>
          <a:pPr marL="57150" lvl="1" indent="-57150" algn="just"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Net Assets Value per Share= (Value of assets- Value of liabilities)/ Total shares outstanding</a:t>
          </a:r>
          <a:endParaRPr lang="en-US" sz="1000" kern="1200">
            <a:latin typeface="Times New Roman" pitchFamily="18" charset="0"/>
            <a:cs typeface="Times New Roman" pitchFamily="18" charset="0"/>
          </a:endParaRPr>
        </a:p>
        <a:p>
          <a:pPr marL="57150" lvl="1" indent="-57150" algn="just"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Dividend Coverage Ratio= </a:t>
          </a:r>
          <a:r>
            <a:rPr lang="en-US" sz="1000" b="0" i="0" kern="1200">
              <a:latin typeface="Times New Roman" panose="02020603050405020304" pitchFamily="18" charset="0"/>
              <a:cs typeface="Times New Roman" panose="02020603050405020304" pitchFamily="18" charset="0"/>
            </a:rPr>
            <a:t>Net income / Dividend declared</a:t>
          </a:r>
          <a:endParaRPr lang="en-US" sz="1000" b="0" kern="1200">
            <a:latin typeface="Times New Roman" pitchFamily="18" charset="0"/>
            <a:cs typeface="Times New Roman" pitchFamily="18" charset="0"/>
          </a:endParaRPr>
        </a:p>
        <a:p>
          <a:pPr marL="57150" lvl="1" indent="-57150" algn="just"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Operating Profit per Share= O</a:t>
          </a:r>
          <a:r>
            <a:rPr lang="en-US" sz="1000" b="0" i="0" kern="1200">
              <a:latin typeface="Times New Roman" panose="02020603050405020304" pitchFamily="18" charset="0"/>
              <a:cs typeface="Times New Roman" panose="02020603050405020304" pitchFamily="18" charset="0"/>
            </a:rPr>
            <a:t>perating net income/ Total common shares</a:t>
          </a:r>
          <a:endParaRPr lang="en-US" sz="1000" b="0" kern="1200">
            <a:latin typeface="Times New Roman" pitchFamily="18" charset="0"/>
            <a:cs typeface="Times New Roman" pitchFamily="18" charset="0"/>
          </a:endParaRPr>
        </a:p>
        <a:p>
          <a:pPr marL="57150" lvl="1" indent="-57150" algn="just" defTabSz="444500">
            <a:lnSpc>
              <a:spcPct val="90000"/>
            </a:lnSpc>
            <a:spcBef>
              <a:spcPct val="0"/>
            </a:spcBef>
            <a:spcAft>
              <a:spcPct val="20000"/>
            </a:spcAft>
            <a:buChar char="•"/>
          </a:pPr>
          <a:r>
            <a:rPr lang="en-US" sz="1000" b="0" i="0" u="none" kern="1200">
              <a:latin typeface="Times New Roman" panose="02020603050405020304" pitchFamily="18" charset="0"/>
              <a:cs typeface="Times New Roman" panose="02020603050405020304" pitchFamily="18" charset="0"/>
            </a:rPr>
            <a:t>Net Operating Cash Flow per Share= C</a:t>
          </a:r>
          <a:r>
            <a:rPr lang="en-US" sz="1000" b="0" i="0" kern="1200">
              <a:latin typeface="Times New Roman" panose="02020603050405020304" pitchFamily="18" charset="0"/>
              <a:cs typeface="Times New Roman" panose="02020603050405020304" pitchFamily="18" charset="0"/>
            </a:rPr>
            <a:t>ash flow earned in a given reporting period/ Total number of shares outstanding </a:t>
          </a:r>
          <a:endParaRPr lang="en-US" sz="1000" b="0" kern="1200">
            <a:latin typeface="Times New Roman" pitchFamily="18" charset="0"/>
            <a:cs typeface="Times New Roman" pitchFamily="18" charset="0"/>
          </a:endParaRPr>
        </a:p>
        <a:p>
          <a:pPr marL="57150" lvl="1" indent="-57150" algn="just" defTabSz="444500">
            <a:lnSpc>
              <a:spcPct val="90000"/>
            </a:lnSpc>
            <a:spcBef>
              <a:spcPct val="0"/>
            </a:spcBef>
            <a:spcAft>
              <a:spcPct val="20000"/>
            </a:spcAft>
            <a:buChar char="•"/>
          </a:pPr>
          <a:r>
            <a:rPr lang="en-US" sz="1000" b="0" i="0" u="none" kern="1200">
              <a:latin typeface="Times New Roman" pitchFamily="18" charset="0"/>
              <a:cs typeface="Times New Roman" pitchFamily="18" charset="0"/>
            </a:rPr>
            <a:t>Dividend Yeild Ratio = Dividend per share / price per share</a:t>
          </a:r>
          <a:endParaRPr lang="en-US" sz="1000" b="0" kern="1200">
            <a:latin typeface="Times New Roman" pitchFamily="18" charset="0"/>
            <a:cs typeface="Times New Roman" pitchFamily="18" charset="0"/>
          </a:endParaRPr>
        </a:p>
        <a:p>
          <a:pPr marL="57150" lvl="1" indent="-57150" algn="just" defTabSz="444500">
            <a:lnSpc>
              <a:spcPct val="90000"/>
            </a:lnSpc>
            <a:spcBef>
              <a:spcPct val="0"/>
            </a:spcBef>
            <a:spcAft>
              <a:spcPct val="20000"/>
            </a:spcAft>
            <a:buChar char="•"/>
          </a:pPr>
          <a:r>
            <a:rPr lang="en-US" sz="1000" b="0" i="0" u="none" kern="1200">
              <a:latin typeface="Times New Roman" pitchFamily="18" charset="0"/>
              <a:cs typeface="Times New Roman" pitchFamily="18" charset="0"/>
            </a:rPr>
            <a:t>Dividend Payout Ratio = Dividend / Total Income</a:t>
          </a:r>
          <a:endParaRPr lang="en-US" sz="1000" kern="1200">
            <a:latin typeface="Times New Roman" pitchFamily="18" charset="0"/>
            <a:cs typeface="Times New Roman" pitchFamily="18" charset="0"/>
          </a:endParaRPr>
        </a:p>
      </dsp:txBody>
      <dsp:txXfrm>
        <a:off x="0" y="4569209"/>
        <a:ext cx="4939665" cy="1738800"/>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Ste19</b:Tag>
    <b:SourceType>InternetSite</b:SourceType>
    <b:Guid>{F747DACC-F7AE-4B4D-9F3A-72AE4143F1FE}</b:Guid>
    <b:Author>
      <b:Author>
        <b:NameList>
          <b:Person>
            <b:Last>Bragg</b:Last>
            <b:First>Steven</b:First>
          </b:Person>
        </b:NameList>
      </b:Author>
    </b:Author>
    <b:Title>Financial Analysis</b:Title>
    <b:InternetSiteTitle>AccountingTools</b:InternetSiteTitle>
    <b:Year>2019</b:Year>
    <b:Month>March</b:Month>
    <b:Day>20</b:Day>
    <b:URL>https://www.accountingtools.com/articles/2017/5/14/financial-statement-analysis</b:URL>
    <b:RefOrder>3</b:RefOrder>
  </b:Source>
  <b:Source>
    <b:Tag>CFA</b:Tag>
    <b:SourceType>InternetSite</b:SourceType>
    <b:Guid>{C8B900AE-2E66-47EF-8EB2-1228330BA1FA}</b:Guid>
    <b:Author>
      <b:Author>
        <b:Corporate>CFA Institute</b:Corporate>
      </b:Author>
    </b:Author>
    <b:Title>Introduction to Financial Statement Analysis</b:Title>
    <b:InternetSiteTitle>CFA Institute</b:InternetSiteTitle>
    <b:URL>https://www.cfainstitute.org/en/membership/professional-development/refresher-readings/2020/introduction-financial-statement-analysis</b:URL>
    <b:RefOrder>2</b:RefOrder>
  </b:Source>
  <b:Source>
    <b:Tag>Dub18</b:Tag>
    <b:SourceType>InternetSite</b:SourceType>
    <b:Guid>{3C5909E7-2A87-4E52-B5E3-86A6CB99EC14}</b:Guid>
    <b:Author>
      <b:Author>
        <b:NameList>
          <b:Person>
            <b:Last>Dubos J. Masson</b:Last>
            <b:First>PhD,</b:First>
            <b:Middle>CTP, FP&amp;A</b:Middle>
          </b:Person>
        </b:NameList>
      </b:Author>
    </b:Author>
    <b:Title>6 Steps to an Effective Financial Statement Analysis</b:Title>
    <b:InternetSiteTitle>AFP</b:InternetSiteTitle>
    <b:Year>2018</b:Year>
    <b:Month>September </b:Month>
    <b:Day>3</b:Day>
    <b:URL>https://www.afponline.org/ideas-inspiration/topics/articles/details/6-steps-to-an-effective-financial-statement-analysis</b:URL>
    <b:RefOrder>6</b:RefOrder>
  </b:Source>
  <b:Source>
    <b:Tag>ACC2</b:Tag>
    <b:SourceType>InternetSite</b:SourceType>
    <b:Guid>{563802B0-6BB8-4D1D-999A-967B3459A98B}</b:Guid>
    <b:Author>
      <b:Author>
        <b:Corporate>ACCOUNTING FOR MANAGEMENT.ORG</b:Corporate>
      </b:Author>
    </b:Author>
    <b:Title>Financial statement analysis (explanations)</b:Title>
    <b:InternetSiteTitle>ACCOUNTING FOR MANAGEMENT.ORG</b:InternetSiteTitle>
    <b:URL>https://www.accountingformanagement.org/horizontal-analysis-of-financial-statements/</b:URL>
    <b:RefOrder>7</b:RefOrder>
  </b:Source>
  <b:Source>
    <b:Tag>Ind20</b:Tag>
    <b:SourceType>InternetSite</b:SourceType>
    <b:Guid>{CCAF24EC-4311-41CF-9F32-8EA7736A444E}</b:Guid>
    <b:Author>
      <b:Author>
        <b:Corporate>Indeed</b:Corporate>
      </b:Author>
    </b:Author>
    <b:Title>Vertical Analysis: Definition and Examples</b:Title>
    <b:InternetSiteTitle>Indeed</b:InternetSiteTitle>
    <b:Year>2020</b:Year>
    <b:Month>March</b:Month>
    <b:Day>13</b:Day>
    <b:URL>https://www.indeed.com/career-advice/career-development/vertical-analysis</b:URL>
    <b:RefOrder>8</b:RefOrder>
  </b:Source>
  <b:Source>
    <b:Tag>Vis15</b:Tag>
    <b:SourceType>InternetSite</b:SourceType>
    <b:Guid>{54B2DF4D-CEE0-4FE1-BEEC-37508765BAFF}</b:Guid>
    <b:Author>
      <b:Author>
        <b:NameList>
          <b:Person>
            <b:Last>Vishal</b:Last>
          </b:Person>
        </b:NameList>
      </b:Author>
    </b:Author>
    <b:Title>TOOLS AND TECHNIQUES OF FINANCIAL STATEMENT ANALYSIS</b:Title>
    <b:InternetSiteTitle>TOFLER</b:InternetSiteTitle>
    <b:Year>2015</b:Year>
    <b:Month>OCTOBER</b:Month>
    <b:Day>5</b:Day>
    <b:URL>https://www.tofler.in/blog/indian-company-basics/tools-and-techniques-of-financial-statement-analysis/</b:URL>
    <b:RefOrder>9</b:RefOrder>
  </b:Source>
  <b:Source>
    <b:Tag>Cor</b:Tag>
    <b:SourceType>InternetSite</b:SourceType>
    <b:Guid>{92E00EDC-B098-48E5-A880-619EF1EA5FF8}</b:Guid>
    <b:Author>
      <b:Author>
        <b:Corporate>Corporate Finance Institute</b:Corporate>
      </b:Author>
    </b:Author>
    <b:Title>Ratio Analysis</b:Title>
    <b:InternetSiteTitle>Corporate Finance Institute</b:InternetSiteTitle>
    <b:URL>https://corporatefinanceinstitute.com/resources/knowledge/finance/ratio-analysis/</b:URL>
    <b:RefOrder>10</b:RefOrder>
  </b:Source>
  <b:Source>
    <b:Tag>Pen13</b:Tag>
    <b:SourceType>Book</b:SourceType>
    <b:Guid>{098A9ED5-448B-4C30-ABF4-02C0CD8E52DB}</b:Guid>
    <b:Title>Financial Statement Analysis and Security Valuation</b:Title>
    <b:Year>2013</b:Year>
    <b:Author>
      <b:Author>
        <b:NameList>
          <b:Person>
            <b:Last>Penman</b:Last>
            <b:First>Stephen</b:First>
            <b:Middle>H.</b:Middle>
          </b:Person>
        </b:NameList>
      </b:Author>
    </b:Author>
    <b:City>New York City</b:City>
    <b:Publisher>Mc Graw Hill</b:Publisher>
    <b:Edition>5th Edition</b:Edition>
    <b:RefOrder>1</b:RefOrder>
  </b:Source>
  <b:Source>
    <b:Tag>Placeholder1</b:Tag>
    <b:SourceType>Book</b:SourceType>
    <b:Guid>{40BF88CA-91BC-4841-ABA3-1B1306266106}</b:Guid>
    <b:Author>
      <b:Author>
        <b:NameList>
          <b:Person>
            <b:Last>Jerry J. Weygandt</b:Last>
            <b:First>Paul</b:First>
            <b:Middle>D. Kimmel, Donald E. Kieso</b:Middle>
          </b:Person>
        </b:NameList>
      </b:Author>
    </b:Author>
    <b:Title>Accounting Principles</b:Title>
    <b:Publisher>Wiley</b:Publisher>
    <b:Edition>12th Edition</b:Edition>
    <b:RefOrder>4</b:RefOrder>
  </b:Source>
  <b:Source>
    <b:Tag>Cli</b:Tag>
    <b:SourceType>InternetSite</b:SourceType>
    <b:Guid>{34FB1024-B1A7-4EAA-8C02-1AEF7735CC96}</b:Guid>
    <b:Title>Accounting Principles II</b:Title>
    <b:Author>
      <b:Author>
        <b:Corporate>Cliffs Notes</b:Corporate>
      </b:Author>
    </b:Author>
    <b:InternetSiteTitle>Cliffs Notes</b:InternetSiteTitle>
    <b:URL>https://www.cliffsnotes.com/study-guides/accounting/accounting-principles-ii/financial-statement-analysis/trend-analysis</b:URL>
    <b:RefOrder>12</b:RefOrder>
  </b:Source>
  <b:Source>
    <b:Tag>Ran16</b:Tag>
    <b:SourceType>ArticleInAPeriodical</b:SourceType>
    <b:Guid>{B8340C8F-9E0D-4A8F-8AC4-8D8C505E8859}</b:Guid>
    <b:Title>Here’s how to use cash flow ratios to place your bets</b:Title>
    <b:Year>2016</b:Year>
    <b:Month>September</b:Month>
    <b:Day>16</b:Day>
    <b:PeriodicalTitle>The Economic Times</b:PeriodicalTitle>
    <b:Author>
      <b:Author>
        <b:NameList>
          <b:Person>
            <b:Last>Shinde</b:Last>
            <b:First>Ranjit</b:First>
          </b:Person>
        </b:NameList>
      </b:Author>
    </b:Author>
    <b:RefOrder>11</b:RefOrder>
  </b:Source>
  <b:Source>
    <b:Tag>Fre</b:Tag>
    <b:SourceType>InternetSite</b:SourceType>
    <b:Guid>{E1AA619B-91BF-492C-B54F-75F86DE2177C}</b:Guid>
    <b:Title>How To Forecast Financial Statements: Balance Sheets, Income Statements</b:Title>
    <b:Author>
      <b:Author>
        <b:Corporate>FreshBooks Cloud Accounting</b:Corporate>
      </b:Author>
    </b:Author>
    <b:InternetSiteTitle>FreshBooks Cloud Accounting</b:InternetSiteTitle>
    <b:URL>https://www.freshbooks.com/hub/accounting/how-to-forecast-balance-sheet-and-income-statement#howtoforecastfinancialstatements</b:URL>
    <b:RefOrder>5</b:RefOrder>
  </b:Source>
  <b:Source>
    <b:Tag>Ban20</b:Tag>
    <b:SourceType>InternetSite</b:SourceType>
    <b:Guid>{113C2786-CE5E-4D9A-9DEF-B8404C35182B}</b:Guid>
    <b:Author>
      <b:Author>
        <b:Corporate>Bangladeshi Banker</b:Corporate>
      </b:Author>
    </b:Author>
    <b:Title>Banking History of Bangladesh</b:Title>
    <b:InternetSiteTitle>Bangladeshi Banker</b:InternetSiteTitle>
    <b:Year>2020</b:Year>
    <b:Month>May</b:Month>
    <b:Day>18</b:Day>
    <b:URL>https://www.bangladeshibanker.com/</b:URL>
    <b:RefOrder>13</b:RefOrder>
  </b:Source>
  <b:Source>
    <b:Tag>Wik</b:Tag>
    <b:SourceType>InternetSite</b:SourceType>
    <b:Guid>{8A8E5081-A385-4EE9-9904-DC61189D7393}</b:Guid>
    <b:Author>
      <b:Author>
        <b:Corporate>Wikipedia</b:Corporate>
      </b:Author>
    </b:Author>
    <b:Title>List of banks in Bangladesh</b:Title>
    <b:InternetSiteTitle>Wikipedia</b:InternetSiteTitle>
    <b:URL>https://en.wikipedia.org/wiki/List_of_banks_in_Bangladesh</b:URL>
    <b:YearAccessed>2020</b:YearAccessed>
    <b:MonthAccessed>September </b:MonthAccessed>
    <b:DayAccessed>19</b:DayAccessed>
    <b:RefOrder>14</b:RefOrder>
  </b:Source>
  <b:Source>
    <b:Tag>Dha20</b:Tag>
    <b:SourceType>InternetSite</b:SourceType>
    <b:Guid>{3BB8E433-0818-43B9-AD65-DCAAEBE47352}</b:Guid>
    <b:Author>
      <b:Author>
        <b:Corporate>Dhaka Stock Exchange Ltd.</b:Corporate>
      </b:Author>
    </b:Author>
    <b:Title>List of Companies Selected Industry: Bank</b:Title>
    <b:InternetSiteTitle>Dhaka Stock Exchange Ltd.</b:InternetSiteTitle>
    <b:URL>https://www.dsebd.org/companylistbyindustry.php?industryno=11</b:URL>
    <b:YearAccessed>2020</b:YearAccessed>
    <b:MonthAccessed>September </b:MonthAccessed>
    <b:DayAccessed>19</b:DayAccessed>
    <b:RefOrder>15</b:RefOrder>
  </b:Source>
  <b:Source>
    <b:Tag>Wil20</b:Tag>
    <b:SourceType>InternetSite</b:SourceType>
    <b:Guid>{D0895C40-1173-486E-B334-5ECE377B7265}</b:Guid>
    <b:Author>
      <b:Author>
        <b:NameList>
          <b:Person>
            <b:Last>Kenton</b:Last>
            <b:First>Will</b:First>
          </b:Person>
        </b:NameList>
      </b:Author>
    </b:Author>
    <b:Title>Profitability Ratios</b:Title>
    <b:InternetSiteTitle>Investopedia</b:InternetSiteTitle>
    <b:Year>2020</b:Year>
    <b:Month>July</b:Month>
    <b:Day>28</b:Day>
    <b:URL>https://www.investopedia.com/terms/p/profitabilityratios.asp#:~:text=Profitability%20ratios%20are%20a%20class,a%20specific%20point%20in%20time.</b:URL>
    <b:RefOrder>16</b:RefOrder>
  </b:Source>
  <b:Source>
    <b:Tag>AND</b:Tag>
    <b:SourceType>InternetSite</b:SourceType>
    <b:Guid>{BC13F1D4-E8E2-4008-A71D-763008B24E4F}</b:Guid>
    <b:Author>
      <b:Author>
        <b:NameList>
          <b:Person>
            <b:Last>Bloomenthal</b:Last>
            <b:First>Andrew</b:First>
          </b:Person>
        </b:NameList>
      </b:Author>
    </b:Author>
    <b:Title>Net Interest Margin</b:Title>
    <b:InternetSiteTitle>Investopedia</b:InternetSiteTitle>
    <b:Year>2020</b:Year>
    <b:Month>July</b:Month>
    <b:Day>13</b:Day>
    <b:URL>https://www.investopedia.com/terms/n/netinterestmargin.asp</b:URL>
    <b:RefOrder>17</b:RefOrder>
  </b:Source>
  <b:Source>
    <b:Tag>Mon18</b:Tag>
    <b:SourceType>InternetSite</b:SourceType>
    <b:Guid>{EFFC4777-A750-48A3-818C-67231694D4B3}</b:Guid>
    <b:Title>Cost/income ratio</b:Title>
    <b:InternetSiteTitle>MoneyWeek</b:InternetSiteTitle>
    <b:Year>2018</b:Year>
    <b:Month>May</b:Month>
    <b:Day>28 </b:Day>
    <b:URL>https://moneyweek.com/glossary/cost-to-income-ratio</b:URL>
    <b:Author>
      <b:Author>
        <b:Corporate>MoneyWeek</b:Corporate>
      </b:Author>
    </b:Author>
    <b:RefOrder>18</b:RefOrder>
  </b:Source>
  <b:Source>
    <b:Tag>The</b:Tag>
    <b:SourceType>InternetSite</b:SourceType>
    <b:Guid>{B9B504D2-5FE9-4230-B059-7231557131D0}</b:Guid>
    <b:Title>Cash Reserve Ratio</b:Title>
    <b:InternetSiteTitle>The Economic Times</b:InternetSiteTitle>
    <b:Month>April</b:Month>
    <b:Day>15</b:Day>
    <b:URL>https://economictimes.indiatimes.com/c/cash-reserve-ratio/articleshow/19339693.cms</b:URL>
    <b:Author>
      <b:Author>
        <b:Corporate>The Economic Times</b:Corporate>
      </b:Author>
    </b:Author>
    <b:RefOrder>19</b:RefOrder>
  </b:Source>
  <b:Source>
    <b:Tag>Bus</b:Tag>
    <b:SourceType>InternetSite</b:SourceType>
    <b:Guid>{F14DA5ED-92CD-40AC-9E2E-F0B3791A4836}</b:Guid>
    <b:Author>
      <b:Author>
        <b:Corporate>Business Jargons</b:Corporate>
      </b:Author>
    </b:Author>
    <b:Title>Statutory Liquidity Ratio</b:Title>
    <b:InternetSiteTitle>Business Jargons</b:InternetSiteTitle>
    <b:URL>https://businessjargons.com/statutory-liquidity-ratio.html</b:URL>
    <b:RefOrder>20</b:RefOrder>
  </b:Source>
  <b:Source>
    <b:Tag>IGI</b:Tag>
    <b:SourceType>InternetSite</b:SourceType>
    <b:Guid>{40EEFD57-DE56-4B2F-9167-2F6EDEF90A90}</b:Guid>
    <b:Author>
      <b:Author>
        <b:Corporate>IGI Global</b:Corporate>
      </b:Author>
    </b:Author>
    <b:Title>Analysis of Fluctuations in Credit Deposit Ratio</b:Title>
    <b:InternetSiteTitle>IGI Global</b:InternetSiteTitle>
    <b:URL>https://www.igi-global.com/dictionary/analysis-of-fluctuations-in-credit-deposit-ratio-of-indian-states/68226</b:URL>
    <b:RefOrder>21</b:RefOrder>
  </b:Source>
  <b:Source>
    <b:Tag>The1</b:Tag>
    <b:SourceType>InternetSite</b:SourceType>
    <b:Guid>{BC53B808-ED33-4DF4-B431-38CC0A4052CF}</b:Guid>
    <b:Author>
      <b:Author>
        <b:Corporate>The Economic Times</b:Corporate>
      </b:Author>
    </b:Author>
    <b:Title>Definition of 'Debt Equity Ratio'</b:Title>
    <b:InternetSiteTitle>The Economic Times</b:InternetSiteTitle>
    <b:URL>https://economictimes.indiatimes.com/definition/debt-equity-ratio</b:URL>
    <b:RefOrder>22</b:RefOrder>
  </b:Source>
  <b:Source>
    <b:Tag>MyA1</b:Tag>
    <b:SourceType>InternetSite</b:SourceType>
    <b:Guid>{E3BC07D2-6C1D-482E-ACBD-8A71D56538E7}</b:Guid>
    <b:Author>
      <b:Author>
        <b:Corporate>My Accounting Course </b:Corporate>
      </b:Author>
    </b:Author>
    <b:Title>Equity Multiplier</b:Title>
    <b:InternetSiteTitle>My Accounting Course </b:InternetSiteTitle>
    <b:URL>https://www.myaccountingcourse.com/financial-ratios/equity-multiplier</b:URL>
    <b:RefOrder>23</b:RefOrder>
  </b:Source>
  <b:Source>
    <b:Tag>cap</b:Tag>
    <b:SourceType>InternetSite</b:SourceType>
    <b:Guid>{C2A3C274-5C3D-43C3-88F6-5CB889D34F4E}</b:Guid>
    <b:Author>
      <b:Author>
        <b:Corporate>capital.com</b:Corporate>
      </b:Author>
    </b:Author>
    <b:Title>Debt to Capital Ratio definition</b:Title>
    <b:InternetSiteTitle>capital.com</b:InternetSiteTitle>
    <b:URL>https://capital.com/debt-to-capital-ratio-definition</b:URL>
    <b:RefOrder>24</b:RefOrder>
  </b:Source>
  <b:Source>
    <b:Tag>cap1</b:Tag>
    <b:SourceType>InternetSite</b:SourceType>
    <b:Guid>{8418C56D-4B94-4405-9824-75ABD85B18DF}</b:Guid>
    <b:Author>
      <b:Author>
        <b:Corporate>capital.com</b:Corporate>
      </b:Author>
    </b:Author>
    <b:InternetSiteTitle>capital.com</b:InternetSiteTitle>
    <b:URL>https://capital.com/capital-adequacy-ratio-definition</b:URL>
    <b:RefOrder>25</b:RefOrder>
  </b:Source>
  <b:Source>
    <b:Tag>Acc18</b:Tag>
    <b:SourceType>InternetSite</b:SourceType>
    <b:Guid>{4C70C860-8A5A-4362-B4AE-32FAF2A0C166}</b:Guid>
    <b:Author>
      <b:Author>
        <b:Corporate>Accounting Tools</b:Corporate>
      </b:Author>
    </b:Author>
    <b:InternetSiteTitle>Accounting Tools</b:InternetSiteTitle>
    <b:Year>2018</b:Year>
    <b:Month>May</b:Month>
    <b:Day>06</b:Day>
    <b:URL>https://www.accountingtools.com/articles/dividend-coverage-ratio.html</b:URL>
    <b:RefOrder>26</b:RefOrder>
  </b:Source>
</b:Sources>
</file>

<file path=customXml/itemProps1.xml><?xml version="1.0" encoding="utf-8"?>
<ds:datastoreItem xmlns:ds="http://schemas.openxmlformats.org/officeDocument/2006/customXml" ds:itemID="{CFAC4663-9848-4C54-93E2-9C43ADAD5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9862</Words>
  <Characters>56219</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Project Report on Financial Statement Analysis of Listed Private Conventional Banks of Bangladesh</vt:lpstr>
    </vt:vector>
  </TitlesOfParts>
  <Company>HP</Company>
  <LinksUpToDate>false</LinksUpToDate>
  <CharactersWithSpaces>65950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on Financial Statement Analysis of Listed Private Conventional Banks of Bangladesh</dc:title>
  <dc:subject/>
  <dc:creator>P</dc:creator>
  <cp:keywords/>
  <dc:description/>
  <cp:lastModifiedBy>HP</cp:lastModifiedBy>
  <cp:revision>1062</cp:revision>
  <dcterms:created xsi:type="dcterms:W3CDTF">2020-08-20T16:28:00Z</dcterms:created>
  <dcterms:modified xsi:type="dcterms:W3CDTF">2020-10-16T16:35:00Z</dcterms:modified>
</cp:coreProperties>
</file>