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FF0F1">
      <w:pPr>
        <w:spacing w:before="100" w:beforeAutospacing="1" w:after="100" w:afterAutospacing="1" w:line="240" w:lineRule="auto"/>
        <w:jc w:val="both"/>
        <w:rPr>
          <w:rFonts w:ascii="Times New Roman" w:hAnsi="Times New Roman" w:eastAsia="Times New Roman" w:cs="Times New Roman"/>
          <w:b/>
          <w:bCs/>
          <w:sz w:val="24"/>
          <w:szCs w:val="24"/>
        </w:rPr>
      </w:pPr>
      <w:bookmarkStart w:id="0" w:name="_Toc3496"/>
    </w:p>
    <w:p w14:paraId="0470C5ED">
      <w:pPr>
        <w:spacing w:before="100" w:beforeAutospacing="1" w:after="100" w:afterAutospacing="1" w:line="240" w:lineRule="auto"/>
        <w:jc w:val="left"/>
        <w:rPr>
          <w:rFonts w:hint="default" w:ascii="Times New Roman" w:hAnsi="Times New Roman" w:cs="Times New Roman"/>
          <w:sz w:val="48"/>
          <w:szCs w:val="48"/>
        </w:rPr>
      </w:pPr>
    </w:p>
    <w:p w14:paraId="7325DF88">
      <w:pPr>
        <w:spacing w:before="100" w:beforeAutospacing="1" w:after="100" w:afterAutospacing="1" w:line="240" w:lineRule="auto"/>
        <w:jc w:val="left"/>
        <w:rPr>
          <w:rFonts w:hint="default" w:ascii="Times New Roman" w:hAnsi="Times New Roman" w:cs="Times New Roman"/>
          <w:sz w:val="48"/>
          <w:szCs w:val="48"/>
        </w:rPr>
      </w:pPr>
    </w:p>
    <w:p w14:paraId="2344F8C5">
      <w:pPr>
        <w:spacing w:before="100" w:beforeAutospacing="1" w:after="100" w:afterAutospacing="1" w:line="240" w:lineRule="auto"/>
        <w:jc w:val="left"/>
        <w:rPr>
          <w:rFonts w:hint="default" w:ascii="Times New Roman" w:hAnsi="Times New Roman" w:eastAsia="Times New Roman" w:cs="Times New Roman"/>
          <w:b/>
          <w:bCs/>
          <w:sz w:val="48"/>
          <w:szCs w:val="48"/>
          <w:lang w:val="en-US"/>
        </w:rPr>
      </w:pPr>
      <w:r>
        <w:rPr>
          <w:rFonts w:hint="default" w:ascii="Times New Roman" w:hAnsi="Times New Roman" w:cs="Times New Roman"/>
          <w:sz w:val="48"/>
          <w:szCs w:val="48"/>
        </w:rPr>
        <w:t xml:space="preserve">Exploring the Role of Digital Payment Systems, Technological Innovation, and Financial Inclusion in Supporting SDG 2 and SDG 9: </w:t>
      </w:r>
      <w:r>
        <w:rPr>
          <w:rFonts w:hint="default" w:ascii="Times New Roman" w:hAnsi="Times New Roman" w:cs="Times New Roman"/>
          <w:sz w:val="48"/>
          <w:szCs w:val="48"/>
          <w:lang w:val="en-US"/>
        </w:rPr>
        <w:t>“</w:t>
      </w:r>
      <w:r>
        <w:rPr>
          <w:rFonts w:hint="default" w:ascii="Times New Roman" w:hAnsi="Times New Roman" w:cs="Times New Roman"/>
          <w:sz w:val="48"/>
          <w:szCs w:val="48"/>
        </w:rPr>
        <w:t>Empirical Investigation into Sustainable Development Enablers</w:t>
      </w:r>
      <w:r>
        <w:rPr>
          <w:rFonts w:hint="default" w:ascii="Times New Roman" w:hAnsi="Times New Roman" w:cs="Times New Roman"/>
          <w:sz w:val="48"/>
          <w:szCs w:val="48"/>
          <w:lang w:val="en-US"/>
        </w:rPr>
        <w:t>”</w:t>
      </w:r>
    </w:p>
    <w:p w14:paraId="4B55D0F5">
      <w:pPr>
        <w:spacing w:before="100" w:beforeAutospacing="1" w:after="100" w:afterAutospacing="1" w:line="240" w:lineRule="auto"/>
        <w:jc w:val="both"/>
        <w:rPr>
          <w:rFonts w:ascii="Times New Roman" w:hAnsi="Times New Roman" w:eastAsia="Times New Roman" w:cs="Times New Roman"/>
          <w:b/>
          <w:bCs/>
          <w:sz w:val="24"/>
          <w:szCs w:val="24"/>
        </w:rPr>
      </w:pPr>
    </w:p>
    <w:p w14:paraId="6D5DB861">
      <w:pPr>
        <w:spacing w:before="100" w:beforeAutospacing="1" w:after="100" w:afterAutospacing="1" w:line="240" w:lineRule="auto"/>
        <w:jc w:val="both"/>
        <w:rPr>
          <w:rFonts w:ascii="Times New Roman" w:hAnsi="Times New Roman" w:eastAsia="Times New Roman" w:cs="Times New Roman"/>
          <w:b/>
          <w:bCs/>
          <w:sz w:val="24"/>
          <w:szCs w:val="24"/>
        </w:rPr>
      </w:pPr>
    </w:p>
    <w:p w14:paraId="34ACA4E4">
      <w:pPr>
        <w:spacing w:before="100" w:beforeAutospacing="1" w:after="100" w:afterAutospacing="1" w:line="240" w:lineRule="auto"/>
        <w:jc w:val="both"/>
        <w:rPr>
          <w:rFonts w:ascii="Times New Roman" w:hAnsi="Times New Roman" w:eastAsia="Times New Roman" w:cs="Times New Roman"/>
          <w:b/>
          <w:bCs/>
          <w:sz w:val="24"/>
          <w:szCs w:val="24"/>
        </w:rPr>
      </w:pPr>
    </w:p>
    <w:p w14:paraId="1F535745">
      <w:pPr>
        <w:spacing w:before="100" w:beforeAutospacing="1" w:after="100" w:afterAutospacing="1" w:line="240" w:lineRule="auto"/>
        <w:jc w:val="both"/>
        <w:rPr>
          <w:rFonts w:ascii="Times New Roman" w:hAnsi="Times New Roman" w:eastAsia="Times New Roman" w:cs="Times New Roman"/>
          <w:b/>
          <w:bCs/>
          <w:sz w:val="24"/>
          <w:szCs w:val="24"/>
        </w:rPr>
      </w:pPr>
    </w:p>
    <w:p w14:paraId="79CF6564">
      <w:pPr>
        <w:spacing w:before="100" w:beforeAutospacing="1" w:after="100" w:afterAutospacing="1" w:line="240" w:lineRule="auto"/>
        <w:jc w:val="both"/>
        <w:rPr>
          <w:rFonts w:ascii="Times New Roman" w:hAnsi="Times New Roman" w:eastAsia="Times New Roman" w:cs="Times New Roman"/>
          <w:b/>
          <w:bCs/>
          <w:sz w:val="24"/>
          <w:szCs w:val="24"/>
        </w:rPr>
      </w:pPr>
    </w:p>
    <w:p w14:paraId="500B5DD8">
      <w:pPr>
        <w:spacing w:before="100" w:beforeAutospacing="1" w:after="100" w:afterAutospacing="1" w:line="240" w:lineRule="auto"/>
        <w:jc w:val="both"/>
        <w:rPr>
          <w:rFonts w:ascii="Times New Roman" w:hAnsi="Times New Roman" w:eastAsia="Times New Roman" w:cs="Times New Roman"/>
          <w:b/>
          <w:bCs/>
          <w:sz w:val="24"/>
          <w:szCs w:val="24"/>
        </w:rPr>
      </w:pPr>
    </w:p>
    <w:p w14:paraId="4D40CCA5">
      <w:pPr>
        <w:spacing w:before="100" w:beforeAutospacing="1" w:after="100" w:afterAutospacing="1" w:line="240" w:lineRule="auto"/>
        <w:jc w:val="both"/>
        <w:rPr>
          <w:rFonts w:ascii="Times New Roman" w:hAnsi="Times New Roman" w:eastAsia="Times New Roman" w:cs="Times New Roman"/>
          <w:b/>
          <w:bCs/>
          <w:sz w:val="24"/>
          <w:szCs w:val="24"/>
        </w:rPr>
      </w:pPr>
    </w:p>
    <w:p w14:paraId="61B4DEFA">
      <w:pPr>
        <w:spacing w:before="100" w:beforeAutospacing="1" w:after="100" w:afterAutospacing="1" w:line="240" w:lineRule="auto"/>
        <w:jc w:val="both"/>
        <w:rPr>
          <w:rFonts w:ascii="Times New Roman" w:hAnsi="Times New Roman" w:eastAsia="Times New Roman" w:cs="Times New Roman"/>
          <w:b/>
          <w:bCs/>
          <w:sz w:val="24"/>
          <w:szCs w:val="24"/>
        </w:rPr>
      </w:pPr>
    </w:p>
    <w:p w14:paraId="4F0B41D8">
      <w:pPr>
        <w:spacing w:before="100" w:beforeAutospacing="1" w:after="100" w:afterAutospacing="1" w:line="240" w:lineRule="auto"/>
        <w:jc w:val="both"/>
        <w:rPr>
          <w:rFonts w:ascii="Times New Roman" w:hAnsi="Times New Roman" w:eastAsia="Times New Roman" w:cs="Times New Roman"/>
          <w:b/>
          <w:bCs/>
          <w:sz w:val="24"/>
          <w:szCs w:val="24"/>
        </w:rPr>
      </w:pPr>
    </w:p>
    <w:p w14:paraId="2D480409">
      <w:pPr>
        <w:spacing w:before="100" w:beforeAutospacing="1" w:after="100" w:afterAutospacing="1" w:line="240" w:lineRule="auto"/>
        <w:jc w:val="both"/>
        <w:rPr>
          <w:rFonts w:ascii="Times New Roman" w:hAnsi="Times New Roman" w:eastAsia="Times New Roman" w:cs="Times New Roman"/>
          <w:b/>
          <w:bCs/>
          <w:sz w:val="24"/>
          <w:szCs w:val="24"/>
        </w:rPr>
      </w:pPr>
    </w:p>
    <w:p w14:paraId="10F063D3">
      <w:pPr>
        <w:spacing w:before="100" w:beforeAutospacing="1" w:after="100" w:afterAutospacing="1" w:line="240" w:lineRule="auto"/>
        <w:jc w:val="both"/>
        <w:rPr>
          <w:rFonts w:ascii="Times New Roman" w:hAnsi="Times New Roman" w:eastAsia="Times New Roman" w:cs="Times New Roman"/>
          <w:b/>
          <w:bCs/>
          <w:sz w:val="24"/>
          <w:szCs w:val="24"/>
        </w:rPr>
      </w:pPr>
    </w:p>
    <w:p w14:paraId="5440D7A2">
      <w:pPr>
        <w:spacing w:before="100" w:beforeAutospacing="1" w:after="100" w:afterAutospacing="1" w:line="240" w:lineRule="auto"/>
        <w:jc w:val="both"/>
        <w:rPr>
          <w:rFonts w:ascii="Times New Roman" w:hAnsi="Times New Roman" w:eastAsia="Times New Roman" w:cs="Times New Roman"/>
          <w:b/>
          <w:bCs/>
          <w:sz w:val="24"/>
          <w:szCs w:val="24"/>
        </w:rPr>
      </w:pPr>
    </w:p>
    <w:p w14:paraId="12326941">
      <w:pPr>
        <w:spacing w:before="100" w:beforeAutospacing="1" w:after="100" w:afterAutospacing="1" w:line="240" w:lineRule="auto"/>
        <w:jc w:val="both"/>
        <w:rPr>
          <w:rFonts w:ascii="Times New Roman" w:hAnsi="Times New Roman" w:eastAsia="Times New Roman" w:cs="Times New Roman"/>
          <w:b/>
          <w:bCs/>
          <w:sz w:val="24"/>
          <w:szCs w:val="24"/>
        </w:rPr>
      </w:pPr>
    </w:p>
    <w:p w14:paraId="2934201B">
      <w:pPr>
        <w:spacing w:before="100" w:beforeAutospacing="1" w:after="100" w:afterAutospacing="1" w:line="240" w:lineRule="auto"/>
        <w:jc w:val="both"/>
        <w:rPr>
          <w:rFonts w:ascii="Times New Roman" w:hAnsi="Times New Roman" w:eastAsia="Times New Roman" w:cs="Times New Roman"/>
          <w:b/>
          <w:bCs/>
          <w:sz w:val="24"/>
          <w:szCs w:val="24"/>
        </w:rPr>
      </w:pPr>
    </w:p>
    <w:p w14:paraId="22357FAA">
      <w:pPr>
        <w:spacing w:before="100" w:beforeAutospacing="1" w:after="100" w:afterAutospacing="1" w:line="240" w:lineRule="auto"/>
        <w:jc w:val="both"/>
        <w:rPr>
          <w:rFonts w:ascii="Times New Roman" w:hAnsi="Times New Roman" w:eastAsia="Times New Roman" w:cs="Times New Roman"/>
          <w:b/>
          <w:bCs/>
          <w:sz w:val="24"/>
          <w:szCs w:val="24"/>
        </w:rPr>
      </w:pPr>
    </w:p>
    <w:p w14:paraId="0E52C504">
      <w:pPr>
        <w:spacing w:before="100" w:beforeAutospacing="1" w:after="100" w:afterAutospacing="1" w:line="240" w:lineRule="auto"/>
        <w:jc w:val="both"/>
        <w:rPr>
          <w:rFonts w:ascii="Times New Roman" w:hAnsi="Times New Roman" w:eastAsia="Times New Roman" w:cs="Times New Roman"/>
          <w:b/>
          <w:bCs/>
          <w:sz w:val="24"/>
          <w:szCs w:val="24"/>
        </w:rPr>
      </w:pPr>
    </w:p>
    <w:p w14:paraId="33F3B63B">
      <w:pPr>
        <w:spacing w:before="100" w:beforeAutospacing="1" w:after="100" w:afterAutospacing="1" w:line="240" w:lineRule="auto"/>
        <w:jc w:val="both"/>
        <w:rPr>
          <w:rFonts w:ascii="Times New Roman" w:hAnsi="Times New Roman" w:eastAsia="Times New Roman" w:cs="Times New Roman"/>
          <w:b/>
          <w:bCs/>
          <w:sz w:val="24"/>
          <w:szCs w:val="24"/>
        </w:rPr>
      </w:pPr>
      <w:r>
        <w:drawing>
          <wp:inline distT="0" distB="0" distL="0" distR="0">
            <wp:extent cx="5222875" cy="925830"/>
            <wp:effectExtent l="0" t="0" r="4445" b="3810"/>
            <wp:docPr id="17" name="Picture 17" descr="UIU - Admission Home"/>
            <wp:cNvGraphicFramePr/>
            <a:graphic xmlns:a="http://schemas.openxmlformats.org/drawingml/2006/main">
              <a:graphicData uri="http://schemas.openxmlformats.org/drawingml/2006/picture">
                <pic:pic xmlns:pic="http://schemas.openxmlformats.org/drawingml/2006/picture">
                  <pic:nvPicPr>
                    <pic:cNvPr id="17" name="Picture 17" descr="UIU - Admission Home"/>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22875" cy="925830"/>
                    </a:xfrm>
                    <a:prstGeom prst="rect">
                      <a:avLst/>
                    </a:prstGeom>
                    <a:noFill/>
                    <a:ln>
                      <a:noFill/>
                    </a:ln>
                  </pic:spPr>
                </pic:pic>
              </a:graphicData>
            </a:graphic>
          </wp:inline>
        </w:drawing>
      </w:r>
    </w:p>
    <w:p w14:paraId="63A24522">
      <w:pPr>
        <w:spacing w:before="100" w:beforeAutospacing="1" w:after="100" w:afterAutospacing="1" w:line="240" w:lineRule="auto"/>
        <w:jc w:val="center"/>
        <w:rPr>
          <w:rFonts w:hint="default" w:ascii="Times New Roman" w:hAnsi="Times New Roman" w:cs="Times New Roman"/>
          <w:sz w:val="24"/>
          <w:szCs w:val="24"/>
        </w:rPr>
      </w:pPr>
    </w:p>
    <w:p w14:paraId="018BCA44">
      <w:pPr>
        <w:spacing w:before="100" w:beforeAutospacing="1" w:after="100" w:afterAutospacing="1"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Exploring the Role of Digital Payment Systems, Technological Innovation, and Financial Inclusion in Supporting SDG 2 and SDG 9: </w:t>
      </w:r>
      <w:r>
        <w:rPr>
          <w:rFonts w:hint="default" w:ascii="Times New Roman" w:hAnsi="Times New Roman" w:cs="Times New Roman"/>
          <w:sz w:val="24"/>
          <w:szCs w:val="24"/>
          <w:lang w:val="en-US"/>
        </w:rPr>
        <w:t>“</w:t>
      </w:r>
      <w:r>
        <w:rPr>
          <w:rFonts w:hint="default" w:ascii="Times New Roman" w:hAnsi="Times New Roman" w:cs="Times New Roman"/>
          <w:sz w:val="24"/>
          <w:szCs w:val="24"/>
        </w:rPr>
        <w:t>Empirical Investigation into Sustainable Development Enablers</w:t>
      </w:r>
      <w:r>
        <w:rPr>
          <w:rFonts w:hint="default" w:ascii="Times New Roman" w:hAnsi="Times New Roman" w:cs="Times New Roman"/>
          <w:sz w:val="24"/>
          <w:szCs w:val="24"/>
          <w:lang w:val="en-US"/>
        </w:rPr>
        <w:t>”</w:t>
      </w:r>
    </w:p>
    <w:p w14:paraId="39D76DEF">
      <w:pPr>
        <w:spacing w:before="100" w:beforeAutospacing="1" w:after="100" w:afterAutospacing="1" w:line="240" w:lineRule="auto"/>
        <w:jc w:val="center"/>
        <w:rPr>
          <w:rFonts w:hint="default" w:ascii="Times New Roman" w:hAnsi="Times New Roman" w:cs="Times New Roman"/>
          <w:sz w:val="24"/>
          <w:szCs w:val="24"/>
          <w:lang w:val="en-US"/>
        </w:rPr>
      </w:pPr>
    </w:p>
    <w:p w14:paraId="4C6CFBD5">
      <w:pPr>
        <w:spacing w:before="100" w:beforeAutospacing="1" w:after="100" w:afterAutospacing="1" w:line="240" w:lineRule="auto"/>
        <w:jc w:val="center"/>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Submitted To:</w:t>
      </w:r>
    </w:p>
    <w:p w14:paraId="6EEF862F">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Dr. Md. Qamruzzaman</w:t>
      </w:r>
    </w:p>
    <w:p w14:paraId="43F45900">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Professor, School of Business &amp; Economic(SOBE)</w:t>
      </w:r>
    </w:p>
    <w:p w14:paraId="587E7C63">
      <w:pPr>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United International University</w:t>
      </w:r>
    </w:p>
    <w:p w14:paraId="23920AC8">
      <w:pPr>
        <w:spacing w:line="240" w:lineRule="auto"/>
        <w:jc w:val="center"/>
        <w:rPr>
          <w:rFonts w:hint="default" w:ascii="Times New Roman" w:hAnsi="Times New Roman" w:cs="Times New Roman"/>
          <w:sz w:val="24"/>
          <w:szCs w:val="24"/>
          <w:lang w:val="en-US"/>
        </w:rPr>
      </w:pPr>
    </w:p>
    <w:p w14:paraId="7354E556">
      <w:pPr>
        <w:spacing w:before="100" w:beforeAutospacing="1" w:after="100" w:afterAutospacing="1" w:line="240" w:lineRule="auto"/>
        <w:jc w:val="center"/>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Submitted By:</w:t>
      </w:r>
    </w:p>
    <w:p w14:paraId="412C16FB">
      <w:pPr>
        <w:spacing w:before="100" w:beforeAutospacing="1" w:after="100" w:afterAutospacing="1" w:line="240" w:lineRule="auto"/>
        <w:jc w:val="center"/>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Israt Jahan Sumaiya</w:t>
      </w:r>
    </w:p>
    <w:p w14:paraId="7C9B236F">
      <w:pPr>
        <w:spacing w:before="100" w:beforeAutospacing="1" w:after="100" w:afterAutospacing="1" w:line="240" w:lineRule="auto"/>
        <w:jc w:val="center"/>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ID: 111201084</w:t>
      </w:r>
    </w:p>
    <w:p w14:paraId="1E6EE207">
      <w:pPr>
        <w:spacing w:before="100" w:beforeAutospacing="1" w:after="100" w:afterAutospacing="1" w:line="240" w:lineRule="auto"/>
        <w:jc w:val="center"/>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Major: Finance</w:t>
      </w:r>
    </w:p>
    <w:p w14:paraId="0E2FFC9B">
      <w:pPr>
        <w:spacing w:before="100" w:beforeAutospacing="1" w:after="100" w:afterAutospacing="1" w:line="240" w:lineRule="auto"/>
        <w:jc w:val="center"/>
        <w:rPr>
          <w:rFonts w:hint="default" w:ascii="Times New Roman" w:hAnsi="Times New Roman" w:eastAsia="Times New Roman" w:cs="Times New Roman"/>
          <w:b w:val="0"/>
          <w:bCs w:val="0"/>
          <w:sz w:val="24"/>
          <w:szCs w:val="24"/>
          <w:lang w:val="en-US"/>
        </w:rPr>
      </w:pPr>
    </w:p>
    <w:p w14:paraId="73AFCD1A">
      <w:pPr>
        <w:spacing w:before="100" w:beforeAutospacing="1" w:after="100" w:afterAutospacing="1" w:line="240" w:lineRule="auto"/>
        <w:ind w:firstLine="2640" w:firstLineChars="1100"/>
        <w:jc w:val="both"/>
        <w:rPr>
          <w:rFonts w:hint="default" w:ascii="Times New Roman" w:hAnsi="Times New Roman" w:eastAsia="Times New Roman" w:cs="Times New Roman"/>
          <w:b w:val="0"/>
          <w:bCs w:val="0"/>
          <w:sz w:val="24"/>
          <w:szCs w:val="24"/>
          <w:lang w:val="en-US"/>
        </w:rPr>
      </w:pPr>
      <w:r>
        <w:rPr>
          <w:rFonts w:hint="default" w:ascii="Times New Roman" w:hAnsi="Times New Roman" w:eastAsia="Times New Roman" w:cs="Times New Roman"/>
          <w:b w:val="0"/>
          <w:bCs w:val="0"/>
          <w:sz w:val="24"/>
          <w:szCs w:val="24"/>
          <w:lang w:val="en-US"/>
        </w:rPr>
        <w:t>Date of Submission: 20</w:t>
      </w:r>
      <w:bookmarkStart w:id="250" w:name="_GoBack"/>
      <w:bookmarkEnd w:id="250"/>
      <w:r>
        <w:rPr>
          <w:rFonts w:hint="default" w:ascii="Times New Roman" w:hAnsi="Times New Roman" w:eastAsia="Times New Roman" w:cs="Times New Roman"/>
          <w:b w:val="0"/>
          <w:bCs w:val="0"/>
          <w:sz w:val="24"/>
          <w:szCs w:val="24"/>
          <w:lang w:val="en-US"/>
        </w:rPr>
        <w:t xml:space="preserve"> July 2025</w:t>
      </w:r>
    </w:p>
    <w:p w14:paraId="00F86C89">
      <w:pPr>
        <w:spacing w:before="100" w:beforeAutospacing="1" w:after="100" w:afterAutospacing="1" w:line="240" w:lineRule="auto"/>
        <w:jc w:val="both"/>
        <w:rPr>
          <w:rFonts w:ascii="Times New Roman" w:hAnsi="Times New Roman" w:eastAsia="Times New Roman" w:cs="Times New Roman"/>
          <w:b/>
          <w:bCs/>
          <w:sz w:val="24"/>
          <w:szCs w:val="24"/>
        </w:rPr>
      </w:pPr>
    </w:p>
    <w:p w14:paraId="27A1D749">
      <w:pPr>
        <w:spacing w:before="100" w:beforeAutospacing="1" w:after="100" w:afterAutospacing="1" w:line="240" w:lineRule="auto"/>
        <w:jc w:val="both"/>
        <w:rPr>
          <w:rFonts w:ascii="Times New Roman" w:hAnsi="Times New Roman" w:eastAsia="Times New Roman" w:cs="Times New Roman"/>
          <w:b/>
          <w:bCs/>
          <w:sz w:val="24"/>
          <w:szCs w:val="24"/>
        </w:rPr>
      </w:pPr>
    </w:p>
    <w:p w14:paraId="2AFD2BD7">
      <w:pPr>
        <w:spacing w:before="100" w:beforeAutospacing="1" w:after="100" w:afterAutospacing="1" w:line="240" w:lineRule="auto"/>
        <w:jc w:val="both"/>
        <w:rPr>
          <w:rFonts w:ascii="Times New Roman" w:hAnsi="Times New Roman" w:eastAsia="Times New Roman" w:cs="Times New Roman"/>
          <w:b/>
          <w:bCs/>
          <w:sz w:val="24"/>
          <w:szCs w:val="24"/>
        </w:rPr>
      </w:pPr>
    </w:p>
    <w:p w14:paraId="5772A6EA">
      <w:pPr>
        <w:spacing w:before="100" w:beforeAutospacing="1" w:after="100" w:afterAutospacing="1" w:line="240" w:lineRule="auto"/>
        <w:jc w:val="both"/>
        <w:rPr>
          <w:rFonts w:ascii="Times New Roman" w:hAnsi="Times New Roman" w:eastAsia="Times New Roman" w:cs="Times New Roman"/>
          <w:b/>
          <w:bCs/>
          <w:sz w:val="24"/>
          <w:szCs w:val="24"/>
        </w:rPr>
      </w:pPr>
    </w:p>
    <w:p w14:paraId="4DD86DD8">
      <w:pPr>
        <w:spacing w:before="100" w:beforeAutospacing="1" w:after="100" w:afterAutospacing="1" w:line="240" w:lineRule="auto"/>
        <w:jc w:val="both"/>
        <w:rPr>
          <w:rFonts w:ascii="Times New Roman" w:hAnsi="Times New Roman" w:eastAsia="Times New Roman" w:cs="Times New Roman"/>
          <w:b/>
          <w:bCs/>
          <w:sz w:val="24"/>
          <w:szCs w:val="24"/>
        </w:rPr>
      </w:pPr>
    </w:p>
    <w:p w14:paraId="65606D06">
      <w:pPr>
        <w:spacing w:before="100" w:beforeAutospacing="1" w:after="100" w:afterAutospacing="1" w:line="240" w:lineRule="auto"/>
        <w:jc w:val="both"/>
        <w:rPr>
          <w:rFonts w:ascii="Times New Roman" w:hAnsi="Times New Roman" w:eastAsia="Times New Roman" w:cs="Times New Roman"/>
          <w:b/>
          <w:bCs/>
          <w:sz w:val="24"/>
          <w:szCs w:val="24"/>
        </w:rPr>
      </w:pPr>
    </w:p>
    <w:p w14:paraId="30A772EE">
      <w:pPr>
        <w:spacing w:before="100" w:beforeAutospacing="1" w:after="100" w:afterAutospacing="1" w:line="240" w:lineRule="auto"/>
        <w:jc w:val="both"/>
        <w:rPr>
          <w:rFonts w:ascii="Times New Roman" w:hAnsi="Times New Roman" w:eastAsia="Times New Roman" w:cs="Times New Roman"/>
          <w:b/>
          <w:bCs/>
          <w:sz w:val="24"/>
          <w:szCs w:val="24"/>
        </w:rPr>
      </w:pPr>
    </w:p>
    <w:p w14:paraId="27617446">
      <w:pPr>
        <w:spacing w:before="100" w:beforeAutospacing="1" w:after="100" w:afterAutospacing="1" w:line="240" w:lineRule="auto"/>
        <w:jc w:val="both"/>
        <w:rPr>
          <w:rFonts w:ascii="Times New Roman" w:hAnsi="Times New Roman" w:eastAsia="Times New Roman" w:cs="Times New Roman"/>
          <w:b/>
          <w:bCs/>
          <w:sz w:val="24"/>
          <w:szCs w:val="24"/>
        </w:rPr>
      </w:pPr>
    </w:p>
    <w:p w14:paraId="67E787DA">
      <w:pPr>
        <w:spacing w:before="100" w:beforeAutospacing="1" w:after="100" w:afterAutospacing="1" w:line="240" w:lineRule="auto"/>
        <w:jc w:val="both"/>
        <w:rPr>
          <w:rFonts w:ascii="Times New Roman" w:hAnsi="Times New Roman" w:eastAsia="Times New Roman" w:cs="Times New Roman"/>
          <w:b/>
          <w:bCs/>
          <w:sz w:val="24"/>
          <w:szCs w:val="24"/>
        </w:rPr>
        <w:sectPr>
          <w:footerReference r:id="rId5" w:type="default"/>
          <w:pgSz w:w="11906" w:h="16838"/>
          <w:pgMar w:top="1440" w:right="1800" w:bottom="1440" w:left="1800" w:header="720" w:footer="720" w:gutter="0"/>
          <w:pgNumType w:fmt="decimal" w:start="1"/>
          <w:cols w:space="720" w:num="1"/>
          <w:docGrid w:linePitch="360" w:charSpace="0"/>
        </w:sectPr>
      </w:pPr>
    </w:p>
    <w:p w14:paraId="18869195">
      <w:pPr>
        <w:spacing w:before="100" w:beforeAutospacing="1" w:after="100" w:afterAutospacing="1" w:line="240" w:lineRule="auto"/>
        <w:jc w:val="both"/>
        <w:rPr>
          <w:rFonts w:ascii="Times New Roman" w:hAnsi="Times New Roman" w:eastAsia="Times New Roman" w:cs="Times New Roman"/>
          <w:b/>
          <w:bCs/>
          <w:sz w:val="24"/>
          <w:szCs w:val="24"/>
        </w:rPr>
      </w:pPr>
    </w:p>
    <w:p w14:paraId="2323D8AF">
      <w:pPr>
        <w:pStyle w:val="2"/>
        <w:bidi w:val="0"/>
        <w:jc w:val="center"/>
        <w:rPr>
          <w:rFonts w:hint="default" w:ascii="Times New Roman" w:hAnsi="Times New Roman" w:cs="Times New Roman"/>
          <w:sz w:val="28"/>
          <w:szCs w:val="28"/>
          <w:lang w:val="en-US"/>
        </w:rPr>
      </w:pPr>
      <w:bookmarkStart w:id="1" w:name="_Toc15183"/>
      <w:r>
        <w:rPr>
          <w:rFonts w:hint="default" w:ascii="Times New Roman" w:hAnsi="Times New Roman" w:cs="Times New Roman"/>
          <w:sz w:val="28"/>
          <w:szCs w:val="28"/>
          <w:lang w:val="en-US"/>
        </w:rPr>
        <w:t>Letter of Testimonial</w:t>
      </w:r>
      <w:bookmarkEnd w:id="1"/>
    </w:p>
    <w:p w14:paraId="358BBFF7">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Dr. Md. Qamruzzaman</w:t>
      </w:r>
    </w:p>
    <w:p w14:paraId="7BE79775">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Professor, School of Business &amp; Economic(SOBE)</w:t>
      </w:r>
    </w:p>
    <w:p w14:paraId="5D7DAE1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United International University</w:t>
      </w:r>
    </w:p>
    <w:p w14:paraId="64CBC918">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United City, Madani Avenue, Badda</w:t>
      </w:r>
    </w:p>
    <w:p w14:paraId="778FABF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Dhaka 1212, Bangladesh</w:t>
      </w:r>
    </w:p>
    <w:p w14:paraId="75F01695">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eastAsia="Times New Roman" w:cs="Times New Roman"/>
          <w:b/>
          <w:bCs/>
          <w:sz w:val="24"/>
          <w:szCs w:val="24"/>
        </w:rPr>
        <w:t>Dear Sir,</w:t>
      </w:r>
    </w:p>
    <w:p w14:paraId="0CAFD18B">
      <w:pPr>
        <w:bidi w:val="0"/>
        <w:jc w:val="both"/>
        <w:rPr>
          <w:rFonts w:hint="default" w:ascii="Times New Roman" w:hAnsi="Times New Roman" w:cs="Times New Roman"/>
          <w:sz w:val="24"/>
          <w:szCs w:val="24"/>
        </w:rPr>
      </w:pPr>
      <w:r>
        <w:rPr>
          <w:rFonts w:hint="default" w:ascii="Times New Roman" w:hAnsi="Times New Roman" w:cs="Times New Roman"/>
          <w:sz w:val="24"/>
          <w:szCs w:val="24"/>
        </w:rPr>
        <w:t>I am thrilled, in all the academic pleasure, to present my sovereign thesis paper titled, Exploring the Role of Digital Payment Systems, Technological Innovation, and Financial Inclusion in Supporting SDG 2 and SDG 9: Empirical Investigation into Sustainable Development Enablers as a proud graduate student. The present submission is the product of a profound research process that was conducted under the auspices of the Bachelor of Business Administration in Finance at the United International University.</w:t>
      </w:r>
    </w:p>
    <w:p w14:paraId="0B21AA70">
      <w:pPr>
        <w:bidi w:val="0"/>
        <w:jc w:val="both"/>
        <w:rPr>
          <w:rFonts w:hint="default" w:ascii="Times New Roman" w:hAnsi="Times New Roman" w:cs="Times New Roman"/>
          <w:sz w:val="24"/>
          <w:szCs w:val="24"/>
        </w:rPr>
      </w:pPr>
      <w:r>
        <w:rPr>
          <w:rFonts w:hint="default" w:ascii="Times New Roman" w:hAnsi="Times New Roman" w:cs="Times New Roman"/>
          <w:sz w:val="24"/>
          <w:szCs w:val="24"/>
        </w:rPr>
        <w:t>I would like to convey this most heartfelt thanks, Professor Dr. Md. Qamruzzaman, to your excellent guidance, meaningful comments, and constant support at all levels of your contribution to this piece of work. Your scholastic leadership has been critical in the conceptualization of the study, its analytical foundation as well as its academic vitality. My thanks also go to the United International University that has provided an active academic atmosphere and research facilities and has been of paramount importance generating my intellectual growth.</w:t>
      </w:r>
    </w:p>
    <w:p w14:paraId="02946B67">
      <w:pPr>
        <w:bidi w:val="0"/>
        <w:jc w:val="both"/>
        <w:rPr>
          <w:rFonts w:hint="default" w:ascii="Times New Roman" w:hAnsi="Times New Roman" w:cs="Times New Roman"/>
          <w:sz w:val="24"/>
          <w:szCs w:val="24"/>
        </w:rPr>
      </w:pPr>
      <w:r>
        <w:rPr>
          <w:rFonts w:hint="default" w:ascii="Times New Roman" w:hAnsi="Times New Roman" w:cs="Times New Roman"/>
          <w:sz w:val="24"/>
          <w:szCs w:val="24"/>
        </w:rPr>
        <w:t>Lastly, my family, friends, and peers play a great role in my life, and I would like to say thanks because their encouragement and Emotional power made me strong in this academic activity. I hope that the study will be useful in making research contributions to literature on sustainable development, and I hope that the results can be used by policymakers, development practitioners as well as financial agencies to develop composite and innovative solutions, which enhance inclusive growth.</w:t>
      </w:r>
    </w:p>
    <w:p w14:paraId="6A179E3B">
      <w:pPr>
        <w:bidi w:val="0"/>
        <w:jc w:val="both"/>
        <w:rPr>
          <w:rFonts w:hint="default" w:ascii="Times New Roman" w:hAnsi="Times New Roman" w:cs="Times New Roman"/>
          <w:sz w:val="24"/>
          <w:szCs w:val="24"/>
        </w:rPr>
      </w:pPr>
      <w:r>
        <w:rPr>
          <w:rFonts w:hint="default" w:ascii="Times New Roman" w:hAnsi="Times New Roman" w:cs="Times New Roman"/>
          <w:sz w:val="24"/>
          <w:szCs w:val="24"/>
        </w:rPr>
        <w:t>I</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am grateful to your consideration and desire to review this thesis. I would enjoy academically discussing its findings and conclusions under your presidency.</w:t>
      </w:r>
    </w:p>
    <w:p w14:paraId="5E41D0C8">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Sincerely,</w:t>
      </w:r>
    </w:p>
    <w:p w14:paraId="02BB10B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Israt Jahan Sumaiya</w:t>
      </w:r>
    </w:p>
    <w:p w14:paraId="5021E8AE">
      <w:pPr>
        <w:pStyle w:val="2"/>
        <w:jc w:val="center"/>
        <w:rPr>
          <w:rFonts w:ascii="Times New Roman" w:hAnsi="Times New Roman" w:eastAsia="Times New Roman" w:cs="Times New Roman"/>
          <w:b/>
          <w:bCs/>
          <w:sz w:val="28"/>
          <w:szCs w:val="28"/>
        </w:rPr>
      </w:pPr>
    </w:p>
    <w:p w14:paraId="4BD1EA0E">
      <w:pPr>
        <w:rPr>
          <w:rFonts w:ascii="Times New Roman" w:hAnsi="Times New Roman" w:eastAsia="Times New Roman" w:cs="Times New Roman"/>
          <w:b/>
          <w:bCs/>
          <w:sz w:val="28"/>
          <w:szCs w:val="28"/>
        </w:rPr>
      </w:pPr>
    </w:p>
    <w:p w14:paraId="636BE1AF">
      <w:pPr>
        <w:rPr>
          <w:rFonts w:ascii="Times New Roman" w:hAnsi="Times New Roman" w:eastAsia="Times New Roman" w:cs="Times New Roman"/>
          <w:b/>
          <w:bCs/>
          <w:sz w:val="28"/>
          <w:szCs w:val="28"/>
        </w:rPr>
      </w:pPr>
    </w:p>
    <w:p w14:paraId="3D609B2A">
      <w:pPr>
        <w:pStyle w:val="2"/>
        <w:jc w:val="center"/>
        <w:rPr>
          <w:rFonts w:ascii="Times New Roman" w:hAnsi="Times New Roman" w:eastAsia="Times New Roman" w:cs="Times New Roman"/>
          <w:sz w:val="28"/>
          <w:szCs w:val="28"/>
        </w:rPr>
      </w:pPr>
      <w:bookmarkStart w:id="2" w:name="_Toc4581"/>
      <w:r>
        <w:rPr>
          <w:rFonts w:ascii="Times New Roman" w:hAnsi="Times New Roman" w:cs="Times New Roman"/>
          <w:sz w:val="28"/>
          <w:szCs w:val="28"/>
        </w:rPr>
        <w:t>Acknowledgement</w:t>
      </w:r>
      <w:bookmarkEnd w:id="2"/>
    </w:p>
    <w:p w14:paraId="3A446354">
      <w:pPr>
        <w:rPr>
          <w:rFonts w:hint="default"/>
        </w:rPr>
      </w:pPr>
    </w:p>
    <w:p w14:paraId="2D3830D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To begin with, I want to thank Allah, the Most Gracious and Most Merciful, first of all because He has given me all the strength, wisdom and perseverance to accomplish this research. His blessings and guidance have enlightened my way throughout this trip.</w:t>
      </w:r>
    </w:p>
    <w:p w14:paraId="4D3F504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My primary thanks should go to the research supervisor Professor Dr. Md. </w:t>
      </w:r>
      <w:r>
        <w:rPr>
          <w:rFonts w:hint="default" w:ascii="Times New Roman" w:hAnsi="Times New Roman" w:cs="Times New Roman"/>
          <w:sz w:val="24"/>
          <w:szCs w:val="24"/>
          <w:lang w:val="en-US"/>
        </w:rPr>
        <w:t>Qamruzzaman</w:t>
      </w:r>
      <w:r>
        <w:rPr>
          <w:rFonts w:hint="default" w:ascii="Times New Roman" w:hAnsi="Times New Roman" w:cs="Times New Roman"/>
          <w:sz w:val="24"/>
          <w:szCs w:val="24"/>
        </w:rPr>
        <w:t xml:space="preserve"> whose guidance and timely advice, and support could not have been overestimated during in this work. He has made several contributions to this thesis with his extensive experience and positive comments on how to strengthen this thesis. I am really glad by his efforts to bring the standard of research excellence.</w:t>
      </w:r>
    </w:p>
    <w:p w14:paraId="5494105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I would like to extend my heartfelt gratitude to United International University who has offered me the academic environment, rich resources and research instrument in order to complete this study. The libraries, databases and facilities offered at the university contributed quite a lot to the quality and quantity of my research.</w:t>
      </w:r>
    </w:p>
    <w:p w14:paraId="24F1352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I would also extend my thanks to all the respondents and the agencies that was able to have secondary data that was very important in this research. Their contribution was helpful and made the insights on the topic more fulfilled and significant.</w:t>
      </w:r>
    </w:p>
    <w:p w14:paraId="7706BF7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Family and friends, I want to thank you, because in times of trouble your support, patience, and drive helped me continue the journey. Your faith in me has been a continual piece of inspiration in some form at the most hardest times of this walk.</w:t>
      </w:r>
    </w:p>
    <w:p w14:paraId="1BA4A498">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Lastly, my greatest appreciation goes to all the people and organizations, who contributed in one way or the other towards completion of this research. The given work has been the testimony of the support, direction, and amiability of various people.</w:t>
      </w:r>
    </w:p>
    <w:p w14:paraId="3BB5A5F4">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I would like to appreciate all of you as part of this journey.</w:t>
      </w:r>
    </w:p>
    <w:p w14:paraId="3F6BB991">
      <w:pPr>
        <w:pStyle w:val="2"/>
        <w:jc w:val="center"/>
        <w:rPr>
          <w:rFonts w:hint="default" w:ascii="Times New Roman" w:hAnsi="Times New Roman" w:eastAsia="Times New Roman" w:cs="Times New Roman"/>
          <w:b w:val="0"/>
          <w:bCs w:val="0"/>
          <w:sz w:val="28"/>
          <w:szCs w:val="28"/>
          <w:lang w:val="en-US"/>
        </w:rPr>
      </w:pPr>
      <w:bookmarkStart w:id="3" w:name="_Toc563"/>
      <w:r>
        <w:rPr>
          <w:rFonts w:hint="default" w:ascii="Times New Roman" w:hAnsi="Times New Roman" w:eastAsia="Times New Roman" w:cs="Times New Roman"/>
          <w:b w:val="0"/>
          <w:bCs w:val="0"/>
          <w:sz w:val="28"/>
          <w:szCs w:val="28"/>
          <w:lang w:val="en-US"/>
        </w:rPr>
        <w:t>Certification of Similarity Index</w:t>
      </w:r>
      <w:bookmarkEnd w:id="3"/>
    </w:p>
    <w:p w14:paraId="1A38DC82">
      <w:pPr>
        <w:pStyle w:val="2"/>
        <w:jc w:val="center"/>
        <w:rPr>
          <w:rFonts w:ascii="Times New Roman" w:hAnsi="Times New Roman" w:eastAsia="Times New Roman" w:cs="Times New Roman"/>
          <w:b/>
          <w:bCs/>
          <w:sz w:val="28"/>
          <w:szCs w:val="28"/>
        </w:rPr>
      </w:pPr>
    </w:p>
    <w:p w14:paraId="58EB4E0F">
      <w:pPr>
        <w:pStyle w:val="2"/>
        <w:jc w:val="center"/>
        <w:rPr>
          <w:rFonts w:ascii="Times New Roman" w:hAnsi="Times New Roman" w:eastAsia="Times New Roman" w:cs="Times New Roman"/>
          <w:b/>
          <w:bCs/>
          <w:sz w:val="28"/>
          <w:szCs w:val="28"/>
        </w:rPr>
      </w:pPr>
    </w:p>
    <w:p w14:paraId="7E5E5F47">
      <w:pPr>
        <w:pStyle w:val="2"/>
        <w:jc w:val="center"/>
        <w:rPr>
          <w:rFonts w:ascii="Times New Roman" w:hAnsi="Times New Roman" w:eastAsia="Times New Roman" w:cs="Times New Roman"/>
          <w:b/>
          <w:bCs/>
          <w:sz w:val="28"/>
          <w:szCs w:val="28"/>
        </w:rPr>
      </w:pPr>
    </w:p>
    <w:p w14:paraId="09ACE692">
      <w:pPr>
        <w:pStyle w:val="2"/>
        <w:jc w:val="center"/>
        <w:rPr>
          <w:rFonts w:ascii="Times New Roman" w:hAnsi="Times New Roman" w:eastAsia="Times New Roman" w:cs="Times New Roman"/>
          <w:b/>
          <w:bCs/>
          <w:sz w:val="28"/>
          <w:szCs w:val="28"/>
        </w:rPr>
      </w:pPr>
    </w:p>
    <w:p w14:paraId="37063789">
      <w:pPr>
        <w:pStyle w:val="2"/>
        <w:jc w:val="center"/>
        <w:rPr>
          <w:rFonts w:ascii="Times New Roman" w:hAnsi="Times New Roman" w:eastAsia="Times New Roman" w:cs="Times New Roman"/>
          <w:b/>
          <w:bCs/>
          <w:sz w:val="28"/>
          <w:szCs w:val="28"/>
        </w:rPr>
      </w:pPr>
    </w:p>
    <w:p w14:paraId="47AA9374">
      <w:pPr>
        <w:pStyle w:val="2"/>
        <w:jc w:val="center"/>
        <w:rPr>
          <w:rFonts w:ascii="Times New Roman" w:hAnsi="Times New Roman" w:eastAsia="Times New Roman" w:cs="Times New Roman"/>
          <w:b/>
          <w:bCs/>
          <w:sz w:val="28"/>
          <w:szCs w:val="28"/>
        </w:rPr>
      </w:pPr>
    </w:p>
    <w:p w14:paraId="64B6E709">
      <w:pPr>
        <w:pStyle w:val="2"/>
        <w:jc w:val="center"/>
        <w:rPr>
          <w:rFonts w:ascii="Times New Roman" w:hAnsi="Times New Roman" w:eastAsia="Times New Roman" w:cs="Times New Roman"/>
          <w:b/>
          <w:bCs/>
          <w:sz w:val="28"/>
          <w:szCs w:val="28"/>
        </w:rPr>
      </w:pPr>
    </w:p>
    <w:p w14:paraId="0B551158">
      <w:pPr>
        <w:pStyle w:val="2"/>
        <w:jc w:val="center"/>
        <w:rPr>
          <w:rFonts w:ascii="Times New Roman" w:hAnsi="Times New Roman" w:eastAsia="Times New Roman" w:cs="Times New Roman"/>
          <w:b/>
          <w:bCs/>
          <w:sz w:val="28"/>
          <w:szCs w:val="28"/>
        </w:rPr>
      </w:pPr>
    </w:p>
    <w:p w14:paraId="1ECBD757">
      <w:pPr>
        <w:pStyle w:val="2"/>
        <w:jc w:val="center"/>
        <w:rPr>
          <w:rFonts w:ascii="Times New Roman" w:hAnsi="Times New Roman" w:eastAsia="Times New Roman" w:cs="Times New Roman"/>
          <w:b/>
          <w:bCs/>
          <w:sz w:val="28"/>
          <w:szCs w:val="28"/>
        </w:rPr>
      </w:pPr>
    </w:p>
    <w:p w14:paraId="463E3D77">
      <w:pPr>
        <w:pStyle w:val="2"/>
        <w:jc w:val="center"/>
        <w:rPr>
          <w:rFonts w:ascii="Times New Roman" w:hAnsi="Times New Roman" w:eastAsia="Times New Roman" w:cs="Times New Roman"/>
          <w:b/>
          <w:bCs/>
          <w:sz w:val="28"/>
          <w:szCs w:val="28"/>
        </w:rPr>
      </w:pPr>
    </w:p>
    <w:p w14:paraId="136B9B0A">
      <w:pPr>
        <w:pStyle w:val="2"/>
        <w:jc w:val="center"/>
        <w:rPr>
          <w:rFonts w:ascii="Times New Roman" w:hAnsi="Times New Roman" w:eastAsia="Times New Roman" w:cs="Times New Roman"/>
          <w:b/>
          <w:bCs/>
          <w:sz w:val="28"/>
          <w:szCs w:val="28"/>
        </w:rPr>
      </w:pPr>
    </w:p>
    <w:p w14:paraId="62C60B4B">
      <w:pPr>
        <w:pStyle w:val="2"/>
        <w:jc w:val="center"/>
        <w:rPr>
          <w:rFonts w:ascii="Times New Roman" w:hAnsi="Times New Roman" w:eastAsia="Times New Roman" w:cs="Times New Roman"/>
          <w:b/>
          <w:bCs/>
          <w:sz w:val="28"/>
          <w:szCs w:val="28"/>
        </w:rPr>
      </w:pPr>
    </w:p>
    <w:p w14:paraId="208716D6">
      <w:pPr>
        <w:pStyle w:val="2"/>
        <w:jc w:val="center"/>
        <w:rPr>
          <w:rFonts w:ascii="Times New Roman" w:hAnsi="Times New Roman" w:eastAsia="Times New Roman" w:cs="Times New Roman"/>
          <w:b/>
          <w:bCs/>
          <w:sz w:val="28"/>
          <w:szCs w:val="28"/>
        </w:rPr>
      </w:pPr>
    </w:p>
    <w:p w14:paraId="5269ACD0">
      <w:pPr>
        <w:pStyle w:val="2"/>
        <w:jc w:val="center"/>
        <w:rPr>
          <w:rFonts w:ascii="Times New Roman" w:hAnsi="Times New Roman" w:eastAsia="Times New Roman" w:cs="Times New Roman"/>
          <w:b/>
          <w:bCs/>
          <w:sz w:val="28"/>
          <w:szCs w:val="28"/>
        </w:rPr>
      </w:pPr>
    </w:p>
    <w:p w14:paraId="37B1F59D">
      <w:pPr>
        <w:pStyle w:val="2"/>
        <w:jc w:val="center"/>
        <w:rPr>
          <w:rFonts w:ascii="Times New Roman" w:hAnsi="Times New Roman" w:eastAsia="Times New Roman" w:cs="Times New Roman"/>
          <w:b/>
          <w:bCs/>
          <w:sz w:val="28"/>
          <w:szCs w:val="28"/>
        </w:rPr>
      </w:pPr>
    </w:p>
    <w:p w14:paraId="2ED26385">
      <w:pPr>
        <w:pStyle w:val="2"/>
        <w:jc w:val="center"/>
        <w:rPr>
          <w:rFonts w:ascii="Times New Roman" w:hAnsi="Times New Roman" w:eastAsia="Times New Roman" w:cs="Times New Roman"/>
          <w:b/>
          <w:bCs/>
          <w:sz w:val="28"/>
          <w:szCs w:val="28"/>
        </w:rPr>
      </w:pPr>
    </w:p>
    <w:p w14:paraId="6C195D2C">
      <w:pPr>
        <w:pStyle w:val="2"/>
        <w:jc w:val="center"/>
        <w:rPr>
          <w:rFonts w:ascii="Times New Roman" w:hAnsi="Times New Roman" w:eastAsia="Times New Roman" w:cs="Times New Roman"/>
          <w:b/>
          <w:bCs/>
          <w:sz w:val="28"/>
          <w:szCs w:val="28"/>
        </w:rPr>
      </w:pPr>
    </w:p>
    <w:p w14:paraId="018ED264">
      <w:pPr>
        <w:pStyle w:val="2"/>
        <w:jc w:val="center"/>
        <w:rPr>
          <w:rFonts w:ascii="Times New Roman" w:hAnsi="Times New Roman" w:eastAsia="Times New Roman" w:cs="Times New Roman"/>
          <w:b/>
          <w:bCs/>
          <w:sz w:val="28"/>
          <w:szCs w:val="28"/>
        </w:rPr>
      </w:pPr>
    </w:p>
    <w:p w14:paraId="0CBB787A">
      <w:pPr>
        <w:pStyle w:val="2"/>
        <w:jc w:val="center"/>
        <w:rPr>
          <w:rFonts w:ascii="Times New Roman" w:hAnsi="Times New Roman" w:eastAsia="Times New Roman" w:cs="Times New Roman"/>
          <w:b/>
          <w:bCs/>
          <w:sz w:val="28"/>
          <w:szCs w:val="28"/>
        </w:rPr>
      </w:pPr>
    </w:p>
    <w:p w14:paraId="5D2BCEB2">
      <w:pPr>
        <w:pStyle w:val="2"/>
        <w:jc w:val="center"/>
        <w:rPr>
          <w:rFonts w:ascii="Times New Roman" w:hAnsi="Times New Roman" w:eastAsia="Times New Roman" w:cs="Times New Roman"/>
          <w:b/>
          <w:bCs/>
          <w:sz w:val="28"/>
          <w:szCs w:val="28"/>
        </w:rPr>
      </w:pPr>
    </w:p>
    <w:p w14:paraId="50B793D2">
      <w:pPr>
        <w:pStyle w:val="2"/>
        <w:jc w:val="both"/>
        <w:rPr>
          <w:rFonts w:ascii="Times New Roman" w:hAnsi="Times New Roman" w:eastAsia="Times New Roman" w:cs="Times New Roman"/>
          <w:b/>
          <w:bCs/>
          <w:sz w:val="28"/>
          <w:szCs w:val="28"/>
        </w:rPr>
      </w:pPr>
    </w:p>
    <w:p w14:paraId="5A90A941">
      <w:pPr>
        <w:rPr>
          <w:rFonts w:ascii="Times New Roman" w:hAnsi="Times New Roman" w:eastAsia="Times New Roman" w:cs="Times New Roman"/>
          <w:b/>
          <w:bCs/>
          <w:sz w:val="28"/>
          <w:szCs w:val="28"/>
        </w:rPr>
      </w:pPr>
    </w:p>
    <w:p w14:paraId="49FC7161">
      <w:pPr>
        <w:rPr>
          <w:rFonts w:ascii="Times New Roman" w:hAnsi="Times New Roman" w:eastAsia="Times New Roman" w:cs="Times New Roman"/>
          <w:b/>
          <w:bCs/>
          <w:sz w:val="28"/>
          <w:szCs w:val="28"/>
        </w:rPr>
      </w:pPr>
    </w:p>
    <w:p w14:paraId="04EC3A54">
      <w:pPr>
        <w:pStyle w:val="2"/>
        <w:bidi w:val="0"/>
        <w:jc w:val="center"/>
        <w:rPr>
          <w:rFonts w:hint="default" w:ascii="Times New Roman" w:hAnsi="Times New Roman" w:cs="Times New Roman"/>
          <w:sz w:val="28"/>
          <w:szCs w:val="28"/>
          <w:lang w:val="en-US"/>
        </w:rPr>
      </w:pPr>
      <w:bookmarkStart w:id="4" w:name="_Toc28165"/>
      <w:r>
        <w:rPr>
          <w:rFonts w:hint="default" w:ascii="Times New Roman" w:hAnsi="Times New Roman" w:cs="Times New Roman"/>
          <w:sz w:val="28"/>
          <w:szCs w:val="28"/>
          <w:lang w:val="en-US"/>
        </w:rPr>
        <w:t>Declaration of The Student</w:t>
      </w:r>
      <w:bookmarkEnd w:id="4"/>
    </w:p>
    <w:p w14:paraId="0CE62862">
      <w:pPr>
        <w:rPr>
          <w:rFonts w:ascii="Times New Roman" w:hAnsi="Times New Roman" w:eastAsia="Times New Roman" w:cs="Times New Roman"/>
          <w:b/>
          <w:bCs/>
          <w:sz w:val="28"/>
          <w:szCs w:val="28"/>
        </w:rPr>
      </w:pPr>
    </w:p>
    <w:p w14:paraId="5685BEE6">
      <w:pPr>
        <w:rPr>
          <w:rFonts w:ascii="Times New Roman" w:hAnsi="Times New Roman" w:eastAsia="Times New Roman" w:cs="Times New Roman"/>
          <w:b/>
          <w:bCs/>
          <w:sz w:val="28"/>
          <w:szCs w:val="28"/>
        </w:rPr>
      </w:pPr>
    </w:p>
    <w:p w14:paraId="2062830C">
      <w:pPr>
        <w:rPr>
          <w:rFonts w:ascii="Times New Roman" w:hAnsi="Times New Roman" w:eastAsia="Times New Roman" w:cs="Times New Roman"/>
          <w:b/>
          <w:bCs/>
          <w:sz w:val="28"/>
          <w:szCs w:val="28"/>
        </w:rPr>
      </w:pPr>
    </w:p>
    <w:p w14:paraId="48C5D775">
      <w:pPr>
        <w:rPr>
          <w:rFonts w:ascii="Times New Roman" w:hAnsi="Times New Roman" w:eastAsia="Times New Roman" w:cs="Times New Roman"/>
          <w:b/>
          <w:bCs/>
          <w:sz w:val="28"/>
          <w:szCs w:val="28"/>
        </w:rPr>
      </w:pPr>
    </w:p>
    <w:p w14:paraId="78079894">
      <w:pPr>
        <w:rPr>
          <w:rFonts w:ascii="Times New Roman" w:hAnsi="Times New Roman" w:eastAsia="Times New Roman" w:cs="Times New Roman"/>
          <w:b/>
          <w:bCs/>
          <w:sz w:val="28"/>
          <w:szCs w:val="28"/>
        </w:rPr>
      </w:pPr>
    </w:p>
    <w:p w14:paraId="06768477">
      <w:pPr>
        <w:rPr>
          <w:rFonts w:ascii="Times New Roman" w:hAnsi="Times New Roman" w:eastAsia="Times New Roman" w:cs="Times New Roman"/>
          <w:b/>
          <w:bCs/>
          <w:sz w:val="28"/>
          <w:szCs w:val="28"/>
        </w:rPr>
      </w:pPr>
    </w:p>
    <w:p w14:paraId="085DBA38">
      <w:pPr>
        <w:rPr>
          <w:rFonts w:ascii="Times New Roman" w:hAnsi="Times New Roman" w:eastAsia="Times New Roman" w:cs="Times New Roman"/>
          <w:b/>
          <w:bCs/>
          <w:sz w:val="28"/>
          <w:szCs w:val="28"/>
        </w:rPr>
      </w:pPr>
    </w:p>
    <w:p w14:paraId="5BB482FB">
      <w:pPr>
        <w:rPr>
          <w:rFonts w:ascii="Times New Roman" w:hAnsi="Times New Roman" w:eastAsia="Times New Roman" w:cs="Times New Roman"/>
          <w:b/>
          <w:bCs/>
          <w:sz w:val="28"/>
          <w:szCs w:val="28"/>
        </w:rPr>
      </w:pPr>
    </w:p>
    <w:p w14:paraId="74EDAEAC">
      <w:pPr>
        <w:rPr>
          <w:rFonts w:ascii="Times New Roman" w:hAnsi="Times New Roman" w:eastAsia="Times New Roman" w:cs="Times New Roman"/>
          <w:b/>
          <w:bCs/>
          <w:sz w:val="28"/>
          <w:szCs w:val="28"/>
        </w:rPr>
      </w:pPr>
    </w:p>
    <w:p w14:paraId="4CFD67F6">
      <w:pPr>
        <w:rPr>
          <w:rFonts w:ascii="Times New Roman" w:hAnsi="Times New Roman" w:eastAsia="Times New Roman" w:cs="Times New Roman"/>
          <w:b/>
          <w:bCs/>
          <w:sz w:val="28"/>
          <w:szCs w:val="28"/>
        </w:rPr>
      </w:pPr>
    </w:p>
    <w:p w14:paraId="79B6784A">
      <w:pPr>
        <w:rPr>
          <w:rFonts w:ascii="Times New Roman" w:hAnsi="Times New Roman" w:eastAsia="Times New Roman" w:cs="Times New Roman"/>
          <w:b/>
          <w:bCs/>
          <w:sz w:val="28"/>
          <w:szCs w:val="28"/>
        </w:rPr>
      </w:pPr>
    </w:p>
    <w:p w14:paraId="05514EA5">
      <w:pPr>
        <w:rPr>
          <w:rFonts w:ascii="Times New Roman" w:hAnsi="Times New Roman" w:eastAsia="Times New Roman" w:cs="Times New Roman"/>
          <w:b/>
          <w:bCs/>
          <w:sz w:val="28"/>
          <w:szCs w:val="28"/>
        </w:rPr>
      </w:pPr>
    </w:p>
    <w:p w14:paraId="28BCEA22">
      <w:pPr>
        <w:rPr>
          <w:rFonts w:ascii="Times New Roman" w:hAnsi="Times New Roman" w:eastAsia="Times New Roman" w:cs="Times New Roman"/>
          <w:b/>
          <w:bCs/>
          <w:sz w:val="28"/>
          <w:szCs w:val="28"/>
        </w:rPr>
      </w:pPr>
    </w:p>
    <w:p w14:paraId="76E59E4B">
      <w:pPr>
        <w:rPr>
          <w:rFonts w:ascii="Times New Roman" w:hAnsi="Times New Roman" w:eastAsia="Times New Roman" w:cs="Times New Roman"/>
          <w:b/>
          <w:bCs/>
          <w:sz w:val="28"/>
          <w:szCs w:val="28"/>
        </w:rPr>
      </w:pPr>
    </w:p>
    <w:p w14:paraId="64C56ACA">
      <w:pPr>
        <w:rPr>
          <w:rFonts w:ascii="Times New Roman" w:hAnsi="Times New Roman" w:eastAsia="Times New Roman" w:cs="Times New Roman"/>
          <w:b/>
          <w:bCs/>
          <w:sz w:val="28"/>
          <w:szCs w:val="28"/>
        </w:rPr>
      </w:pPr>
    </w:p>
    <w:p w14:paraId="3B075E7B">
      <w:pPr>
        <w:rPr>
          <w:rFonts w:ascii="Times New Roman" w:hAnsi="Times New Roman" w:eastAsia="Times New Roman" w:cs="Times New Roman"/>
          <w:b/>
          <w:bCs/>
          <w:sz w:val="28"/>
          <w:szCs w:val="28"/>
        </w:rPr>
      </w:pPr>
    </w:p>
    <w:p w14:paraId="0BA13C92">
      <w:pPr>
        <w:rPr>
          <w:rFonts w:ascii="Times New Roman" w:hAnsi="Times New Roman" w:eastAsia="Times New Roman" w:cs="Times New Roman"/>
          <w:b/>
          <w:bCs/>
          <w:sz w:val="28"/>
          <w:szCs w:val="28"/>
        </w:rPr>
      </w:pPr>
    </w:p>
    <w:p w14:paraId="45534ABB">
      <w:pPr>
        <w:rPr>
          <w:rFonts w:ascii="Times New Roman" w:hAnsi="Times New Roman" w:eastAsia="Times New Roman" w:cs="Times New Roman"/>
          <w:b/>
          <w:bCs/>
          <w:sz w:val="28"/>
          <w:szCs w:val="28"/>
        </w:rPr>
      </w:pPr>
    </w:p>
    <w:p w14:paraId="16702F14">
      <w:pPr>
        <w:rPr>
          <w:rFonts w:ascii="Times New Roman" w:hAnsi="Times New Roman" w:eastAsia="Times New Roman" w:cs="Times New Roman"/>
          <w:b/>
          <w:bCs/>
          <w:sz w:val="28"/>
          <w:szCs w:val="28"/>
        </w:rPr>
      </w:pPr>
    </w:p>
    <w:p w14:paraId="1BD3CF6A">
      <w:pPr>
        <w:rPr>
          <w:rFonts w:ascii="Times New Roman" w:hAnsi="Times New Roman" w:eastAsia="Times New Roman" w:cs="Times New Roman"/>
          <w:b/>
          <w:bCs/>
          <w:sz w:val="28"/>
          <w:szCs w:val="28"/>
        </w:rPr>
      </w:pPr>
    </w:p>
    <w:p w14:paraId="3BE559B2">
      <w:pPr>
        <w:rPr>
          <w:rFonts w:ascii="Times New Roman" w:hAnsi="Times New Roman" w:eastAsia="Times New Roman" w:cs="Times New Roman"/>
          <w:b/>
          <w:bCs/>
          <w:sz w:val="28"/>
          <w:szCs w:val="28"/>
        </w:rPr>
      </w:pPr>
    </w:p>
    <w:p w14:paraId="6903C2AC">
      <w:pPr>
        <w:rPr>
          <w:rFonts w:ascii="Times New Roman" w:hAnsi="Times New Roman" w:eastAsia="Times New Roman" w:cs="Times New Roman"/>
          <w:b/>
          <w:bCs/>
          <w:sz w:val="28"/>
          <w:szCs w:val="28"/>
        </w:rPr>
      </w:pPr>
    </w:p>
    <w:p w14:paraId="48ECC9F9">
      <w:pPr>
        <w:rPr>
          <w:rFonts w:ascii="Times New Roman" w:hAnsi="Times New Roman" w:eastAsia="Times New Roman" w:cs="Times New Roman"/>
          <w:b/>
          <w:bCs/>
          <w:sz w:val="28"/>
          <w:szCs w:val="28"/>
        </w:rPr>
      </w:pPr>
    </w:p>
    <w:p w14:paraId="6307D2E9">
      <w:pPr>
        <w:rPr>
          <w:rFonts w:ascii="Times New Roman" w:hAnsi="Times New Roman" w:eastAsia="Times New Roman" w:cs="Times New Roman"/>
          <w:b/>
          <w:bCs/>
          <w:sz w:val="28"/>
          <w:szCs w:val="28"/>
        </w:rPr>
      </w:pPr>
    </w:p>
    <w:p w14:paraId="06D081CD">
      <w:pPr>
        <w:rPr>
          <w:rFonts w:ascii="Times New Roman" w:hAnsi="Times New Roman" w:eastAsia="Times New Roman" w:cs="Times New Roman"/>
          <w:b/>
          <w:bCs/>
          <w:sz w:val="28"/>
          <w:szCs w:val="28"/>
        </w:rPr>
      </w:pPr>
    </w:p>
    <w:p w14:paraId="4A026501">
      <w:pPr>
        <w:rPr>
          <w:rFonts w:ascii="Times New Roman" w:hAnsi="Times New Roman" w:eastAsia="Times New Roman" w:cs="Times New Roman"/>
          <w:b/>
          <w:bCs/>
          <w:sz w:val="28"/>
          <w:szCs w:val="28"/>
        </w:rPr>
      </w:pPr>
    </w:p>
    <w:p w14:paraId="1CAF56C0">
      <w:pPr>
        <w:rPr>
          <w:rFonts w:ascii="Times New Roman" w:hAnsi="Times New Roman" w:eastAsia="Times New Roman" w:cs="Times New Roman"/>
          <w:b/>
          <w:bCs/>
          <w:sz w:val="28"/>
          <w:szCs w:val="28"/>
        </w:rPr>
      </w:pPr>
    </w:p>
    <w:p w14:paraId="52C79719">
      <w:pPr>
        <w:pStyle w:val="2"/>
        <w:bidi w:val="0"/>
        <w:jc w:val="center"/>
        <w:rPr>
          <w:rFonts w:hint="default" w:ascii="Times New Roman" w:hAnsi="Times New Roman" w:cs="Times New Roman"/>
          <w:sz w:val="28"/>
          <w:szCs w:val="28"/>
          <w:lang w:val="en-US"/>
        </w:rPr>
      </w:pPr>
      <w:bookmarkStart w:id="5" w:name="_Toc27022"/>
      <w:r>
        <w:rPr>
          <w:rFonts w:hint="default" w:ascii="Times New Roman" w:hAnsi="Times New Roman" w:cs="Times New Roman"/>
          <w:sz w:val="28"/>
          <w:szCs w:val="28"/>
          <w:lang w:val="en-US"/>
        </w:rPr>
        <w:t>Abstract</w:t>
      </w:r>
      <w:bookmarkEnd w:id="5"/>
    </w:p>
    <w:p w14:paraId="555F830F"/>
    <w:p w14:paraId="3C7B6667">
      <w:pPr>
        <w:bidi w:val="0"/>
        <w:ind w:firstLine="600" w:firstLineChars="25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thesis will examine the extent to which payment systems and technological access to payment enable financial inclusion to support implementation of Sustainable Development Goals-namely, SDG 2 (Zero Hunger) and SDG 9 (Industry, Innovation, and Infrastructure). The study uses panel data collected in the developing countries, and uses </w:t>
      </w:r>
      <w:r>
        <w:rPr>
          <w:rFonts w:hint="default" w:ascii="Times New Roman" w:hAnsi="Times New Roman" w:cs="Times New Roman"/>
          <w:sz w:val="24"/>
          <w:szCs w:val="24"/>
          <w:lang w:val="en-US"/>
        </w:rPr>
        <w:t>Cross-Selectional</w:t>
      </w:r>
      <w:r>
        <w:rPr>
          <w:rFonts w:hint="default" w:ascii="Times New Roman" w:hAnsi="Times New Roman" w:cs="Times New Roman"/>
          <w:sz w:val="24"/>
          <w:szCs w:val="24"/>
        </w:rPr>
        <w:t xml:space="preserve"> Augmented </w:t>
      </w:r>
      <w:r>
        <w:rPr>
          <w:rFonts w:hint="default" w:ascii="Times New Roman" w:hAnsi="Times New Roman" w:cs="Times New Roman"/>
          <w:sz w:val="24"/>
          <w:szCs w:val="24"/>
          <w:lang w:val="en-US"/>
        </w:rPr>
        <w:t>Auto regressive</w:t>
      </w:r>
      <w:r>
        <w:rPr>
          <w:rFonts w:hint="default" w:ascii="Times New Roman" w:hAnsi="Times New Roman" w:cs="Times New Roman"/>
          <w:sz w:val="24"/>
          <w:szCs w:val="24"/>
        </w:rPr>
        <w:t xml:space="preserve"> Distributed Lag (CS-ARDL) in examination of the short-term and long-term relationships. Evidence generated by the empirical study shows that the digital payment systems are important in enhancing food security and industrial development to a greater extent by making more financial resources available, minimizing the cost of transaction and enhancing the transparency of agricultural and industrial resources allocation. The influence of technological innovation, expressed in the concept of precise farming, artificial intelligence integration, and intelligent infrastructure, is a positive effect on the productivity of agriculture and industrial efficiency. Financial interventions are also important as it offers financial assistance to smallholder farmers and micro-enterprises through access to credit, insurance and savings instruments so as to increase their involvement in the agricultural and industrial sector. Stable long-term equilibrium relations are confirmed by existence of cointegration between variables, and cross-sectional dependency tests point to the need of models, which incorporate those dependencies among countries. Along with that, the tests of diagnostics prove the validity of calculations without any indications of the </w:t>
      </w:r>
      <w:r>
        <w:rPr>
          <w:rFonts w:hint="default" w:ascii="Times New Roman" w:hAnsi="Times New Roman" w:cs="Times New Roman"/>
          <w:sz w:val="24"/>
          <w:szCs w:val="24"/>
          <w:lang w:val="en-US"/>
        </w:rPr>
        <w:t>auto correlation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specification</w:t>
      </w:r>
      <w:r>
        <w:rPr>
          <w:rFonts w:hint="default" w:ascii="Times New Roman" w:hAnsi="Times New Roman" w:cs="Times New Roman"/>
          <w:sz w:val="24"/>
          <w:szCs w:val="24"/>
        </w:rPr>
        <w:t>, and non-normality. In the study, digital illiteracy, infrastructural set back, and policy inconsistency are considered major obstacles to maximize the rewards of such digital tools. Altogether, the study can provide meaningful guidance to policymakers as well as to development stakeholders regarding the integrated digital and financial approaches that might achieve inclusive growth and sustainable development, which correspond to SDG 2 and SDG 9.</w:t>
      </w:r>
    </w:p>
    <w:p w14:paraId="647D06E1">
      <w:pPr>
        <w:rPr>
          <w:rFonts w:ascii="Times New Roman" w:hAnsi="Times New Roman" w:eastAsia="Times New Roman" w:cs="Times New Roman"/>
          <w:b/>
          <w:bCs/>
          <w:sz w:val="28"/>
          <w:szCs w:val="28"/>
        </w:rPr>
      </w:pPr>
    </w:p>
    <w:p w14:paraId="48907C18">
      <w:pPr>
        <w:rPr>
          <w:rFonts w:ascii="Times New Roman" w:hAnsi="Times New Roman" w:eastAsia="Times New Roman" w:cs="Times New Roman"/>
          <w:b/>
          <w:bCs/>
          <w:sz w:val="28"/>
          <w:szCs w:val="28"/>
        </w:rPr>
      </w:pPr>
    </w:p>
    <w:p w14:paraId="6E52B653">
      <w:pPr>
        <w:rPr>
          <w:rFonts w:ascii="Times New Roman" w:hAnsi="Times New Roman" w:eastAsia="Times New Roman" w:cs="Times New Roman"/>
          <w:b/>
          <w:bCs/>
          <w:sz w:val="28"/>
          <w:szCs w:val="28"/>
        </w:rPr>
      </w:pPr>
    </w:p>
    <w:p w14:paraId="2D4F327B">
      <w:pPr>
        <w:rPr>
          <w:rFonts w:ascii="Times New Roman" w:hAnsi="Times New Roman" w:eastAsia="Times New Roman" w:cs="Times New Roman"/>
          <w:b/>
          <w:bCs/>
          <w:sz w:val="28"/>
          <w:szCs w:val="28"/>
        </w:rPr>
      </w:pPr>
    </w:p>
    <w:p w14:paraId="675EB44B">
      <w:pPr>
        <w:rPr>
          <w:rFonts w:ascii="Times New Roman" w:hAnsi="Times New Roman" w:eastAsia="Times New Roman" w:cs="Times New Roman"/>
          <w:b/>
          <w:bCs/>
          <w:sz w:val="28"/>
          <w:szCs w:val="28"/>
        </w:rPr>
      </w:pPr>
    </w:p>
    <w:p w14:paraId="018D53A8">
      <w:pPr>
        <w:rPr>
          <w:rFonts w:ascii="Times New Roman" w:hAnsi="Times New Roman" w:eastAsia="Times New Roman" w:cs="Times New Roman"/>
          <w:b/>
          <w:bCs/>
          <w:sz w:val="28"/>
          <w:szCs w:val="28"/>
        </w:rPr>
      </w:pPr>
    </w:p>
    <w:p w14:paraId="3FDC43DB">
      <w:pPr>
        <w:rPr>
          <w:rFonts w:ascii="Times New Roman" w:hAnsi="Times New Roman" w:eastAsia="Times New Roman" w:cs="Times New Roman"/>
          <w:b/>
          <w:bCs/>
          <w:sz w:val="28"/>
          <w:szCs w:val="28"/>
        </w:rPr>
      </w:pPr>
    </w:p>
    <w:p w14:paraId="1A55B918">
      <w:pPr>
        <w:rPr>
          <w:rFonts w:ascii="Times New Roman" w:hAnsi="Times New Roman" w:eastAsia="Times New Roman" w:cs="Times New Roman"/>
          <w:b/>
          <w:bCs/>
          <w:sz w:val="28"/>
          <w:szCs w:val="28"/>
        </w:rPr>
      </w:pPr>
    </w:p>
    <w:p w14:paraId="701F7B34">
      <w:pPr>
        <w:rPr>
          <w:rFonts w:ascii="Times New Roman" w:hAnsi="Times New Roman" w:eastAsia="Times New Roman" w:cs="Times New Roman"/>
          <w:b/>
          <w:bCs/>
          <w:sz w:val="28"/>
          <w:szCs w:val="28"/>
        </w:rPr>
      </w:pPr>
    </w:p>
    <w:p w14:paraId="755B36A8">
      <w:pPr>
        <w:rPr>
          <w:rFonts w:ascii="Times New Roman" w:hAnsi="Times New Roman" w:eastAsia="Times New Roman" w:cs="Times New Roman"/>
          <w:b/>
          <w:bCs/>
          <w:sz w:val="28"/>
          <w:szCs w:val="28"/>
        </w:rPr>
      </w:pPr>
    </w:p>
    <w:p w14:paraId="6AE1AE9E">
      <w:pPr>
        <w:rPr>
          <w:rFonts w:ascii="Times New Roman" w:hAnsi="Times New Roman" w:eastAsia="Times New Roman" w:cs="Times New Roman"/>
          <w:b/>
          <w:bCs/>
          <w:sz w:val="28"/>
          <w:szCs w:val="28"/>
        </w:rPr>
      </w:pPr>
    </w:p>
    <w:p w14:paraId="02642453">
      <w:pPr>
        <w:rPr>
          <w:rFonts w:hint="default" w:ascii="Times New Roman" w:hAnsi="Times New Roman" w:eastAsia="Times New Roman" w:cs="Times New Roman"/>
          <w:b/>
          <w:bCs/>
          <w:color w:val="2E75B6" w:themeColor="accent1" w:themeShade="BF"/>
          <w:sz w:val="28"/>
          <w:szCs w:val="28"/>
          <w:lang w:val="en-US"/>
        </w:rPr>
      </w:pPr>
      <w:r>
        <w:rPr>
          <w:rFonts w:hint="default" w:ascii="Times New Roman" w:hAnsi="Times New Roman" w:eastAsia="Times New Roman" w:cs="Times New Roman"/>
          <w:b/>
          <w:bCs/>
          <w:color w:val="2E75B6" w:themeColor="accent1" w:themeShade="BF"/>
          <w:sz w:val="28"/>
          <w:szCs w:val="28"/>
          <w:lang w:val="en-US"/>
        </w:rPr>
        <w:t>Table of Content</w:t>
      </w:r>
    </w:p>
    <w:p w14:paraId="2B4765C2">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
          <w:bCs/>
          <w:sz w:val="24"/>
          <w:szCs w:val="24"/>
        </w:rPr>
        <w:fldChar w:fldCharType="begin"/>
      </w:r>
      <w:r>
        <w:rPr>
          <w:rFonts w:hint="default" w:ascii="Times New Roman" w:hAnsi="Times New Roman" w:eastAsia="Times New Roman" w:cs="Times New Roman"/>
          <w:b/>
          <w:bCs/>
          <w:sz w:val="24"/>
          <w:szCs w:val="24"/>
        </w:rPr>
        <w:instrText xml:space="preserve">TOC \o "1-3" \h \u </w:instrText>
      </w:r>
      <w:r>
        <w:rPr>
          <w:rFonts w:hint="default" w:ascii="Times New Roman" w:hAnsi="Times New Roman" w:eastAsia="Times New Roman" w:cs="Times New Roman"/>
          <w:b/>
          <w:bCs/>
          <w:sz w:val="24"/>
          <w:szCs w:val="24"/>
        </w:rPr>
        <w:fldChar w:fldCharType="separate"/>
      </w: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_Toc15183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Letter of Testimonial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_Toc15183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2690F0EF">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_Toc4581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Acknowledgement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_Toc4581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II</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7C13F1E3">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_Toc563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bCs w:val="0"/>
          <w:sz w:val="24"/>
          <w:szCs w:val="24"/>
          <w:lang w:val="en-US"/>
        </w:rPr>
        <w:t>Certification of Similarity Index</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_Toc563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III</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3E517AC2">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_Toc28165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Declaration of The Student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_Toc28165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IV</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2D36DD82">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_Toc27022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Abstract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_Toc27022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V</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6970A01A">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_Toc6763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Chapter-1: Introduction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_Toc6763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42647364">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_Toc15387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1.1 Background of study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_Toc15387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30D899F">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_Toc7716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1.2 Research Gaps in the Impact of Digital Innovation on SDG 2 and SDG 9</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_Toc7716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3DE1BDFE">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_Toc14066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pacing w:val="0"/>
          <w:w w:val="98"/>
          <w:sz w:val="24"/>
          <w:szCs w:val="24"/>
        </w:rPr>
        <w:t xml:space="preserve">1.2.1 </w:t>
      </w:r>
      <w:r>
        <w:rPr>
          <w:rFonts w:hint="default" w:ascii="Times New Roman" w:hAnsi="Times New Roman" w:cs="Times New Roman"/>
          <w:sz w:val="24"/>
          <w:szCs w:val="24"/>
        </w:rPr>
        <w:t>Digital Payment Influence on SDG 2 (Zero Hunger)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_Toc14066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5B002E86">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_Toc13112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pacing w:val="0"/>
          <w:w w:val="98"/>
          <w:sz w:val="24"/>
          <w:szCs w:val="24"/>
        </w:rPr>
        <w:t xml:space="preserve">1.2.2 </w:t>
      </w:r>
      <w:r>
        <w:rPr>
          <w:rFonts w:hint="default" w:ascii="Times New Roman" w:hAnsi="Times New Roman" w:cs="Times New Roman"/>
          <w:sz w:val="24"/>
          <w:szCs w:val="24"/>
        </w:rPr>
        <w:t>The impact of the digital payment on SDG 9( Industry, innovation and infrastructure)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_Toc13112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2BAE06E8">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_Toc8195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1.3 Statement of the Research Problem</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_Toc8195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765852C0">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_Toc21441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1.4 Research Purpose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_Toc21441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554F558">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_Toc11610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1.5 Research Objectives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_Toc11610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37C47109">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_Toc22662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1.6 Structure of the Report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_Toc22662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5BFCF083">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_Toc11210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 xml:space="preserve">Chapter-2: </w:t>
      </w:r>
      <w:r>
        <w:rPr>
          <w:rFonts w:hint="default" w:ascii="Times New Roman" w:hAnsi="Times New Roman" w:cs="Times New Roman"/>
          <w:sz w:val="24"/>
          <w:szCs w:val="24"/>
        </w:rPr>
        <w:t>Literature Review</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_Toc11210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6C894883">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_Toc32147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2.1 Digital payment Effect on SDG 2&amp;9</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_Toc32147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1363AB66">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_Toc1968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2.2 Technological innovation Effect SDG 2 &amp; 9:</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_Toc1968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75E1C7C0">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_Toc1122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2.3 Financial inclusion effect on SDG 2 &amp; 9:</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_Toc1122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22</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55F6D06D">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_Toc12512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 xml:space="preserve">2.4 </w:t>
      </w:r>
      <w:r>
        <w:rPr>
          <w:rFonts w:hint="default" w:ascii="Times New Roman" w:hAnsi="Times New Roman" w:cs="Times New Roman"/>
          <w:sz w:val="24"/>
          <w:szCs w:val="24"/>
        </w:rPr>
        <w:t>Theoretical Development in Digital Payment, Technological Innovation, and Financial Inclusion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_Toc12512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48D12A5F">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_Toc10393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2.4.1 Innovation Diffusion Theory (IDT)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_Toc10393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6D07712E">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_Toc23301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 xml:space="preserve">2.4.2 Financial </w:t>
      </w:r>
      <w:r>
        <w:rPr>
          <w:rFonts w:hint="default" w:ascii="Times New Roman" w:hAnsi="Times New Roman" w:eastAsia="Times New Roman" w:cs="Times New Roman"/>
          <w:sz w:val="24"/>
          <w:szCs w:val="24"/>
          <w:lang w:val="en-US"/>
        </w:rPr>
        <w:t>Intermediate</w:t>
      </w:r>
      <w:r>
        <w:rPr>
          <w:rFonts w:hint="default" w:ascii="Times New Roman" w:hAnsi="Times New Roman" w:eastAsia="Times New Roman" w:cs="Times New Roman"/>
          <w:sz w:val="24"/>
          <w:szCs w:val="24"/>
        </w:rPr>
        <w:t xml:space="preserve"> Theory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_Toc23301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31</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278C183">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_Toc872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2.4.3 Resource-Based View (RBV) of Competitive Advantage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32</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6157D0CA">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_Toc26107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Chapter -3: Data &amp; methodology of the study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_Toc26107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40A4CA96">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_Toc6913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3.1 Variable measurement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_Toc6913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61C2FDCA">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_Toc21987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color w:val="000000" w:themeColor="text1"/>
          <w:sz w:val="24"/>
          <w:szCs w:val="24"/>
          <w14:textFill>
            <w14:solidFill>
              <w14:schemeClr w14:val="tx1"/>
            </w14:solidFill>
          </w14:textFill>
        </w:rPr>
        <w:t>3.1.1 Digital Payment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_Toc21987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7BCB46B">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_Toc1742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3.1.2 Technological Innovation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89DEA9F">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_Toc16651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3.1.3 Financial inclusion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_Toc16651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37346354">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_Toc5705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3.2 Dependent Variables for SDG 2 &amp; SDG 9:</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_Toc5705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28386FAD">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_Toc2526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3.2.1 SDG2: Zero Hunger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_Toc2526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791A3F6D">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_Toc6052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等线" w:cs="Times New Roman"/>
          <w:sz w:val="24"/>
          <w:szCs w:val="24"/>
        </w:rPr>
        <w:t xml:space="preserve">3.2.2 </w:t>
      </w:r>
      <w:r>
        <w:rPr>
          <w:rFonts w:hint="default" w:ascii="Times New Roman" w:hAnsi="Times New Roman" w:cs="Times New Roman"/>
          <w:sz w:val="24"/>
          <w:szCs w:val="24"/>
        </w:rPr>
        <w:t>SDG 9: Industry, Innovation and Infrastructure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_Toc6052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4EECB7D9">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_Toc11633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 Estimation strategy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_Toc11633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60825A3">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_Toc1188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3.3.1 Phase 1: Cross-Sectional Dependence (CD) Test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_Toc1188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17E107FB">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_Toc29549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3.3.2 Phase 2: Slope of Heterogeneity (SH) Test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_Toc29549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C06CAC0">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_Toc20313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3.3.3 Phase 3: Panel Unit Root Test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_Toc20313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4B6B01C3">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_Toc5535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3.3.4 Phase 4: Cointegration Test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_Toc5535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75FE2812">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_Toc13304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3.3.5 Phase 5: Cross-Sectional ARDL (CS-ARDL)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_Toc13304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48</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6F5A010C">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_Toc20222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3.3.6 Phase 6: Nonlinear ARDL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_Toc20222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50</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7CE93748">
      <w:pPr>
        <w:pStyle w:val="17"/>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_Toc5289 </w:instrText>
      </w:r>
      <w:r>
        <w:rPr>
          <w:rFonts w:hint="default" w:ascii="Times New Roman" w:hAnsi="Times New Roman" w:eastAsia="Times New Roman" w:cs="Times New Roman"/>
          <w:bCs/>
          <w:sz w:val="24"/>
          <w:szCs w:val="24"/>
        </w:rPr>
        <w:fldChar w:fldCharType="separate"/>
      </w:r>
      <w:r>
        <w:rPr>
          <w:rFonts w:hint="default" w:ascii="Times New Roman" w:hAnsi="Times New Roman" w:eastAsia="Times New Roman" w:cs="Times New Roman"/>
          <w:sz w:val="24"/>
          <w:szCs w:val="24"/>
        </w:rPr>
        <w:t>3.3.7 Phase 7: DH Causality Test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_Toc5289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2F1FDB12">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_Toc22910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Chapter</w:t>
      </w:r>
      <w:r>
        <w:rPr>
          <w:rFonts w:hint="default" w:ascii="Times New Roman" w:hAnsi="Times New Roman" w:cs="Times New Roman"/>
          <w:sz w:val="24"/>
          <w:szCs w:val="24"/>
          <w:lang w:val="en-US"/>
        </w:rPr>
        <w:t>-</w:t>
      </w:r>
      <w:r>
        <w:rPr>
          <w:rFonts w:hint="default" w:ascii="Times New Roman" w:hAnsi="Times New Roman" w:cs="Times New Roman"/>
          <w:sz w:val="24"/>
          <w:szCs w:val="24"/>
        </w:rPr>
        <w:t>4: Estimation and interpretation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_Toc22910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55</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B78559B">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_Toc15919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Chapter-5: Discussion Of The Findings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_Toc15919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60</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03EDF31A">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_Toc22655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Chapter-6: Conclusion and Policy Suggestions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_Toc22655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6FDBD833">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_Toc19100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6.1 Conclusion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_Toc19100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783414D0">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_Toc8845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rPr>
        <w:t>6.2 Policy Suggestions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_Toc8845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66</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21A81E4D">
      <w:pPr>
        <w:pStyle w:val="16"/>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24"/>
        </w:rPr>
        <w:fldChar w:fldCharType="begin"/>
      </w:r>
      <w:r>
        <w:rPr>
          <w:rFonts w:hint="default" w:ascii="Times New Roman" w:hAnsi="Times New Roman" w:eastAsia="Times New Roman" w:cs="Times New Roman"/>
          <w:bCs/>
          <w:sz w:val="24"/>
          <w:szCs w:val="24"/>
        </w:rPr>
        <w:instrText xml:space="preserve"> HYPERLINK \l _Toc29259 </w:instrText>
      </w:r>
      <w:r>
        <w:rPr>
          <w:rFonts w:hint="default" w:ascii="Times New Roman" w:hAnsi="Times New Roman" w:eastAsia="Times New Roman" w:cs="Times New Roman"/>
          <w:bCs/>
          <w:sz w:val="24"/>
          <w:szCs w:val="24"/>
        </w:rPr>
        <w:fldChar w:fldCharType="separate"/>
      </w:r>
      <w:r>
        <w:rPr>
          <w:rFonts w:hint="default" w:ascii="Times New Roman" w:hAnsi="Times New Roman" w:cs="Times New Roman"/>
          <w:sz w:val="24"/>
          <w:szCs w:val="24"/>
          <w:lang w:val="en-US"/>
        </w:rPr>
        <w:t>Reference: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_Toc29259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71</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24"/>
        </w:rPr>
        <w:fldChar w:fldCharType="end"/>
      </w:r>
    </w:p>
    <w:p w14:paraId="4800637D">
      <w:pPr>
        <w:rPr>
          <w:rFonts w:ascii="Times New Roman" w:hAnsi="Times New Roman" w:eastAsia="Times New Roman" w:cs="Times New Roman"/>
          <w:bCs/>
          <w:szCs w:val="28"/>
        </w:rPr>
      </w:pPr>
      <w:r>
        <w:rPr>
          <w:rFonts w:hint="default" w:ascii="Times New Roman" w:hAnsi="Times New Roman" w:eastAsia="Times New Roman" w:cs="Times New Roman"/>
          <w:bCs/>
          <w:sz w:val="24"/>
          <w:szCs w:val="24"/>
        </w:rPr>
        <w:fldChar w:fldCharType="end"/>
      </w:r>
    </w:p>
    <w:p w14:paraId="686D7ED5">
      <w:pPr>
        <w:rPr>
          <w:rFonts w:hint="default" w:ascii="Times New Roman" w:hAnsi="Times New Roman" w:eastAsia="Times New Roman" w:cs="Times New Roman"/>
          <w:b/>
          <w:bCs w:val="0"/>
          <w:color w:val="2E75B6" w:themeColor="accent1" w:themeShade="BF"/>
          <w:sz w:val="28"/>
          <w:szCs w:val="36"/>
          <w:lang w:val="en-US"/>
        </w:rPr>
      </w:pPr>
      <w:r>
        <w:rPr>
          <w:rFonts w:hint="default" w:ascii="Times New Roman" w:hAnsi="Times New Roman" w:eastAsia="Times New Roman" w:cs="Times New Roman"/>
          <w:b/>
          <w:bCs w:val="0"/>
          <w:color w:val="2E75B6" w:themeColor="accent1" w:themeShade="BF"/>
          <w:sz w:val="28"/>
          <w:szCs w:val="36"/>
          <w:lang w:val="en-US"/>
        </w:rPr>
        <w:t>List of tables</w:t>
      </w:r>
    </w:p>
    <w:p w14:paraId="58F74A6F">
      <w:pPr>
        <w:pStyle w:val="15"/>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32"/>
          <w:lang w:val="en-US"/>
        </w:rPr>
        <w:fldChar w:fldCharType="begin"/>
      </w:r>
      <w:r>
        <w:rPr>
          <w:rFonts w:hint="default" w:ascii="Times New Roman" w:hAnsi="Times New Roman" w:eastAsia="Times New Roman" w:cs="Times New Roman"/>
          <w:bCs/>
          <w:sz w:val="24"/>
          <w:szCs w:val="32"/>
          <w:lang w:val="en-US"/>
        </w:rPr>
        <w:instrText xml:space="preserve">TOC \h \c "Table"</w:instrText>
      </w:r>
      <w:r>
        <w:rPr>
          <w:rFonts w:hint="default" w:ascii="Times New Roman" w:hAnsi="Times New Roman" w:eastAsia="Times New Roman" w:cs="Times New Roman"/>
          <w:bCs/>
          <w:sz w:val="24"/>
          <w:szCs w:val="32"/>
          <w:lang w:val="en-US"/>
        </w:rPr>
        <w:fldChar w:fldCharType="separate"/>
      </w: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_Toc24397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 xml:space="preserve">Table 1 </w:t>
      </w:r>
      <w:r>
        <w:rPr>
          <w:rFonts w:hint="default" w:ascii="Times New Roman" w:hAnsi="Times New Roman" w:cs="Times New Roman"/>
          <w:sz w:val="24"/>
          <w:szCs w:val="24"/>
          <w:lang w:val="en-US"/>
        </w:rPr>
        <w:t xml:space="preserve"> : </w:t>
      </w:r>
      <w:r>
        <w:rPr>
          <w:rFonts w:hint="default" w:ascii="Times New Roman" w:hAnsi="Times New Roman" w:cs="Times New Roman"/>
          <w:sz w:val="24"/>
          <w:szCs w:val="24"/>
        </w:rPr>
        <w:t>Literature Review on Digital Payment effect on SDG 2 &amp; 9</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_Toc24397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15</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62B8E693">
      <w:pPr>
        <w:pStyle w:val="15"/>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_Toc6085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Table 2 : Literature Review on Technological innovation SDG 2 &amp; 9:</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_Toc6085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535E1700">
      <w:pPr>
        <w:pStyle w:val="15"/>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_Toc20150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 xml:space="preserve">Table 3 : Literature Review on Financial Inclusion SDG 2 &amp; 9: </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_Toc20150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4BB4E429">
      <w:pPr>
        <w:pStyle w:val="15"/>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_Toc27682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 xml:space="preserve">Table 4 </w:t>
      </w:r>
      <w:r>
        <w:rPr>
          <w:rFonts w:hint="default" w:ascii="Times New Roman" w:hAnsi="Times New Roman" w:cs="Times New Roman"/>
          <w:sz w:val="24"/>
          <w:szCs w:val="24"/>
          <w:lang w:val="en-US"/>
        </w:rPr>
        <w:t>: Variable ,Definition with proxy and Literature review :</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_Toc27682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030DD441">
      <w:pPr>
        <w:pStyle w:val="15"/>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_Toc11735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 xml:space="preserve">Table 5 : Cross sectional dependency test </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_Toc11735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52</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3E3038F6">
      <w:pPr>
        <w:pStyle w:val="15"/>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_Toc9217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 xml:space="preserve">Table 6 </w:t>
      </w:r>
      <w:r>
        <w:rPr>
          <w:rFonts w:hint="default" w:ascii="Times New Roman" w:hAnsi="Times New Roman" w:cs="Times New Roman"/>
          <w:sz w:val="24"/>
          <w:szCs w:val="24"/>
          <w:lang w:val="en-US"/>
        </w:rPr>
        <w:t>: Panel Unit Root Test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_Toc9217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53</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29814795">
      <w:pPr>
        <w:pStyle w:val="15"/>
        <w:tabs>
          <w:tab w:val="right" w:leader="dot" w:pos="8306"/>
        </w:tabs>
        <w:rPr>
          <w:rFonts w:hint="default" w:ascii="Times New Roman" w:hAnsi="Times New Roman" w:cs="Times New Roman"/>
          <w:sz w:val="24"/>
          <w:szCs w:val="24"/>
        </w:rPr>
      </w:pP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_Toc811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 xml:space="preserve">Table 7 : Panel cointegration test </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_Toc811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54</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4FA3FB02">
      <w:pPr>
        <w:pStyle w:val="15"/>
        <w:tabs>
          <w:tab w:val="right" w:leader="dot" w:pos="8306"/>
        </w:tabs>
      </w:pP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_Toc32610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Table 8 : Coefficient estimation: CS-ARDL</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_Toc32610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55</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41C92B6F">
      <w:pPr>
        <w:rPr>
          <w:rFonts w:hint="default" w:ascii="Times New Roman" w:hAnsi="Times New Roman" w:eastAsia="Times New Roman" w:cs="Times New Roman"/>
          <w:b/>
          <w:bCs w:val="0"/>
          <w:color w:val="2E75B6" w:themeColor="accent1" w:themeShade="BF"/>
          <w:sz w:val="28"/>
          <w:szCs w:val="40"/>
          <w:lang w:val="en-US"/>
        </w:rPr>
      </w:pPr>
      <w:r>
        <w:rPr>
          <w:rFonts w:hint="default" w:ascii="Times New Roman" w:hAnsi="Times New Roman" w:eastAsia="Times New Roman" w:cs="Times New Roman"/>
          <w:bCs/>
          <w:szCs w:val="32"/>
          <w:lang w:val="en-US"/>
        </w:rPr>
        <w:fldChar w:fldCharType="end"/>
      </w:r>
      <w:r>
        <w:rPr>
          <w:rFonts w:hint="default" w:ascii="Times New Roman" w:hAnsi="Times New Roman" w:eastAsia="Times New Roman" w:cs="Times New Roman"/>
          <w:b/>
          <w:bCs w:val="0"/>
          <w:color w:val="2E75B6" w:themeColor="accent1" w:themeShade="BF"/>
          <w:sz w:val="28"/>
          <w:szCs w:val="40"/>
          <w:lang w:val="en-US"/>
        </w:rPr>
        <w:t>Figure</w:t>
      </w:r>
    </w:p>
    <w:p w14:paraId="4083FE5D">
      <w:pPr>
        <w:pStyle w:val="15"/>
        <w:tabs>
          <w:tab w:val="right" w:leader="dot" w:pos="8306"/>
        </w:tabs>
        <w:spacing w:line="240" w:lineRule="auto"/>
        <w:ind w:left="0" w:leftChars="0" w:firstLine="0" w:firstLineChars="0"/>
        <w:jc w:val="distribute"/>
        <w:rPr>
          <w:rFonts w:hint="default" w:ascii="Arial" w:hAnsi="Arial" w:cs="Arial"/>
          <w:sz w:val="21"/>
          <w:szCs w:val="21"/>
        </w:rPr>
      </w:pPr>
      <w:r>
        <w:rPr>
          <w:rFonts w:hint="default" w:ascii="Arial" w:hAnsi="Arial" w:eastAsia="Times New Roman" w:cs="Arial"/>
          <w:bCs/>
          <w:sz w:val="21"/>
          <w:szCs w:val="28"/>
          <w:lang w:val="en-US"/>
        </w:rPr>
        <w:fldChar w:fldCharType="begin"/>
      </w:r>
      <w:r>
        <w:rPr>
          <w:rFonts w:hint="default" w:ascii="Arial" w:hAnsi="Arial" w:eastAsia="Times New Roman" w:cs="Arial"/>
          <w:bCs/>
          <w:sz w:val="21"/>
          <w:szCs w:val="28"/>
          <w:lang w:val="en-US"/>
        </w:rPr>
        <w:instrText xml:space="preserve">TOC \h \c "Figure"</w:instrText>
      </w:r>
      <w:r>
        <w:rPr>
          <w:rFonts w:hint="default" w:ascii="Arial" w:hAnsi="Arial" w:eastAsia="Times New Roman" w:cs="Arial"/>
          <w:bCs/>
          <w:sz w:val="21"/>
          <w:szCs w:val="28"/>
          <w:lang w:val="en-US"/>
        </w:rPr>
        <w:fldChar w:fldCharType="separate"/>
      </w:r>
      <w:r>
        <w:rPr>
          <w:rFonts w:hint="default" w:ascii="Times New Roman" w:hAnsi="Times New Roman" w:eastAsia="Times New Roman" w:cs="Times New Roman"/>
          <w:bCs/>
          <w:sz w:val="24"/>
          <w:szCs w:val="36"/>
          <w:lang w:val="en-US"/>
        </w:rPr>
        <w:fldChar w:fldCharType="begin"/>
      </w:r>
      <w:r>
        <w:rPr>
          <w:rFonts w:hint="default" w:ascii="Times New Roman" w:hAnsi="Times New Roman" w:eastAsia="Times New Roman" w:cs="Times New Roman"/>
          <w:bCs/>
          <w:sz w:val="24"/>
          <w:szCs w:val="36"/>
          <w:lang w:val="en-US"/>
        </w:rPr>
        <w:instrText xml:space="preserve"> HYPERLINK \l _Toc11166 </w:instrText>
      </w:r>
      <w:r>
        <w:rPr>
          <w:rFonts w:hint="default" w:ascii="Times New Roman" w:hAnsi="Times New Roman" w:eastAsia="Times New Roman" w:cs="Times New Roman"/>
          <w:bCs/>
          <w:sz w:val="24"/>
          <w:szCs w:val="36"/>
          <w:lang w:val="en-US"/>
        </w:rPr>
        <w:fldChar w:fldCharType="separate"/>
      </w:r>
      <w:r>
        <w:rPr>
          <w:rFonts w:hint="default" w:ascii="Times New Roman" w:hAnsi="Times New Roman" w:cs="Times New Roman"/>
          <w:sz w:val="24"/>
          <w:szCs w:val="24"/>
        </w:rPr>
        <w:t xml:space="preserve">Figure 1 </w:t>
      </w:r>
      <w:r>
        <w:rPr>
          <w:rFonts w:hint="default" w:ascii="Times New Roman" w:hAnsi="Times New Roman" w:cs="Times New Roman"/>
          <w:sz w:val="24"/>
          <w:szCs w:val="24"/>
          <w:lang w:val="en-US"/>
        </w:rPr>
        <w:t xml:space="preserve">: </w:t>
      </w:r>
      <w:r>
        <w:rPr>
          <w:rFonts w:hint="default" w:ascii="Times New Roman" w:hAnsi="Times New Roman" w:eastAsia="Times New Roman" w:cs="Times New Roman"/>
          <w:sz w:val="24"/>
          <w:szCs w:val="24"/>
        </w:rPr>
        <w:t xml:space="preserve"> Phases and Important Econometric Techniques and Reference authors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_Toc11166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40</w:t>
      </w:r>
      <w:r>
        <w:rPr>
          <w:rFonts w:hint="default" w:ascii="Times New Roman" w:hAnsi="Times New Roman" w:cs="Times New Roman"/>
          <w:sz w:val="24"/>
          <w:szCs w:val="24"/>
        </w:rPr>
        <w:fldChar w:fldCharType="end"/>
      </w:r>
      <w:r>
        <w:rPr>
          <w:rFonts w:hint="default" w:ascii="Times New Roman" w:hAnsi="Times New Roman" w:eastAsia="Times New Roman" w:cs="Times New Roman"/>
          <w:bCs/>
          <w:sz w:val="24"/>
          <w:szCs w:val="36"/>
          <w:lang w:val="en-US"/>
        </w:rPr>
        <w:fldChar w:fldCharType="end"/>
      </w:r>
    </w:p>
    <w:p w14:paraId="6848C312">
      <w:pPr>
        <w:rPr>
          <w:rFonts w:ascii="Times New Roman" w:hAnsi="Times New Roman" w:eastAsia="Times New Roman" w:cs="Times New Roman"/>
          <w:bCs/>
          <w:szCs w:val="28"/>
        </w:rPr>
      </w:pPr>
      <w:r>
        <w:rPr>
          <w:rFonts w:hint="default" w:ascii="Arial" w:hAnsi="Arial" w:eastAsia="Times New Roman" w:cs="Arial"/>
          <w:bCs/>
          <w:sz w:val="21"/>
          <w:szCs w:val="28"/>
          <w:lang w:val="en-US"/>
        </w:rPr>
        <w:fldChar w:fldCharType="end"/>
      </w:r>
    </w:p>
    <w:p w14:paraId="65CED5B1">
      <w:pPr>
        <w:pStyle w:val="2"/>
        <w:bidi w:val="0"/>
        <w:jc w:val="center"/>
        <w:rPr>
          <w:rFonts w:hint="default" w:ascii="Times New Roman" w:hAnsi="Times New Roman" w:cs="Times New Roman"/>
          <w:sz w:val="28"/>
          <w:szCs w:val="28"/>
          <w:u w:val="single"/>
          <w:lang w:val="en-US"/>
        </w:rPr>
        <w:sectPr>
          <w:footerReference r:id="rId6" w:type="default"/>
          <w:pgSz w:w="11906" w:h="16838"/>
          <w:pgMar w:top="1440" w:right="1800" w:bottom="1440" w:left="1800" w:header="720" w:footer="720" w:gutter="0"/>
          <w:pgNumType w:fmt="upperRoman" w:start="1"/>
          <w:cols w:space="720" w:num="1"/>
          <w:docGrid w:linePitch="360" w:charSpace="0"/>
        </w:sectPr>
      </w:pPr>
      <w:bookmarkStart w:id="6" w:name="_Toc6763"/>
    </w:p>
    <w:p w14:paraId="03F8BFB6">
      <w:pPr>
        <w:pStyle w:val="2"/>
        <w:bidi w:val="0"/>
        <w:jc w:val="center"/>
        <w:rPr>
          <w:rFonts w:hint="default" w:ascii="Times New Roman" w:hAnsi="Times New Roman" w:cs="Times New Roman"/>
          <w:sz w:val="28"/>
          <w:szCs w:val="28"/>
          <w:u w:val="single"/>
        </w:rPr>
      </w:pPr>
      <w:r>
        <w:rPr>
          <w:rFonts w:hint="default" w:ascii="Times New Roman" w:hAnsi="Times New Roman" w:cs="Times New Roman"/>
          <w:sz w:val="28"/>
          <w:szCs w:val="28"/>
          <w:u w:val="single"/>
          <w:lang w:val="en-US"/>
        </w:rPr>
        <w:t>C</w:t>
      </w:r>
      <w:r>
        <w:rPr>
          <w:rFonts w:hint="default" w:ascii="Times New Roman" w:hAnsi="Times New Roman" w:cs="Times New Roman"/>
          <w:sz w:val="28"/>
          <w:szCs w:val="28"/>
          <w:u w:val="single"/>
        </w:rPr>
        <w:t>hapter-1: Introduction</w:t>
      </w:r>
      <w:bookmarkEnd w:id="0"/>
      <w:bookmarkEnd w:id="6"/>
    </w:p>
    <w:p w14:paraId="27A891AE">
      <w:pPr>
        <w:pStyle w:val="2"/>
        <w:numPr>
          <w:ilvl w:val="0"/>
          <w:numId w:val="1"/>
        </w:numPr>
        <w:bidi w:val="0"/>
        <w:rPr>
          <w:rFonts w:hint="default" w:ascii="Times New Roman" w:hAnsi="Times New Roman" w:cs="Times New Roman"/>
          <w:sz w:val="28"/>
          <w:szCs w:val="28"/>
        </w:rPr>
      </w:pPr>
      <w:bookmarkStart w:id="7" w:name="_Toc9057"/>
      <w:r>
        <w:rPr>
          <w:rFonts w:hint="default" w:ascii="Times New Roman" w:hAnsi="Times New Roman" w:cs="Times New Roman"/>
          <w:sz w:val="28"/>
          <w:szCs w:val="28"/>
          <w:lang w:val="en-US"/>
        </w:rPr>
        <w:t xml:space="preserve">  </w:t>
      </w:r>
      <w:bookmarkStart w:id="8" w:name="_Toc15387"/>
      <w:r>
        <w:rPr>
          <w:rFonts w:hint="default" w:ascii="Times New Roman" w:hAnsi="Times New Roman" w:cs="Times New Roman"/>
          <w:sz w:val="28"/>
          <w:szCs w:val="28"/>
        </w:rPr>
        <w:t>Background of study</w:t>
      </w:r>
      <w:bookmarkEnd w:id="7"/>
      <w:bookmarkEnd w:id="8"/>
    </w:p>
    <w:p w14:paraId="4168E8B2"/>
    <w:p w14:paraId="2F7D80CE">
      <w:pPr>
        <w:keepNext w:val="0"/>
        <w:keepLines w:val="0"/>
        <w:widowControl/>
        <w:suppressLineNumbers w:val="0"/>
        <w:ind w:firstLine="600" w:firstLineChars="250"/>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The aspect of resolution of digital payment systems coupled with technological innovation and </w:t>
      </w:r>
      <w:r>
        <w:rPr>
          <w:rFonts w:hint="default" w:ascii="Times New Roman" w:hAnsi="Times New Roman" w:eastAsia="Times New Roman"/>
          <w:b w:val="0"/>
          <w:bCs w:val="0"/>
          <w:sz w:val="24"/>
          <w:szCs w:val="24"/>
        </w:rPr>
        <w:t>financial inclusion has turned out to be</w:t>
      </w:r>
      <w:r>
        <w:rPr>
          <w:rFonts w:hint="default" w:ascii="Times New Roman" w:hAnsi="Times New Roman" w:eastAsia="Times New Roman"/>
          <w:b/>
          <w:bCs/>
          <w:sz w:val="24"/>
          <w:szCs w:val="24"/>
        </w:rPr>
        <w:t xml:space="preserve"> </w:t>
      </w:r>
      <w:r>
        <w:rPr>
          <w:rFonts w:hint="default" w:ascii="Times New Roman" w:hAnsi="Times New Roman" w:eastAsia="Times New Roman"/>
          <w:b w:val="0"/>
          <w:bCs w:val="0"/>
          <w:sz w:val="24"/>
          <w:szCs w:val="24"/>
        </w:rPr>
        <w:t>a</w:t>
      </w:r>
      <w:r>
        <w:rPr>
          <w:rFonts w:hint="default" w:ascii="Times New Roman" w:hAnsi="Times New Roman" w:eastAsia="Times New Roman"/>
          <w:b w:val="0"/>
          <w:bCs w:val="0"/>
          <w:sz w:val="24"/>
          <w:szCs w:val="24"/>
          <w:lang w:val="en-US"/>
        </w:rPr>
        <w:t xml:space="preserve"> </w:t>
      </w:r>
      <w:r>
        <w:rPr>
          <w:rFonts w:hint="default" w:ascii="Times New Roman" w:hAnsi="Times New Roman" w:eastAsia="Times New Roman"/>
          <w:sz w:val="24"/>
          <w:szCs w:val="24"/>
        </w:rPr>
        <w:t xml:space="preserve">dynamic factor towards </w:t>
      </w:r>
      <w:r>
        <w:rPr>
          <w:rFonts w:hint="default" w:ascii="Times New Roman" w:hAnsi="Times New Roman" w:eastAsia="Times New Roman"/>
          <w:b w:val="0"/>
          <w:bCs w:val="0"/>
          <w:sz w:val="24"/>
          <w:szCs w:val="24"/>
        </w:rPr>
        <w:t>sustainable development promotion</w:t>
      </w:r>
      <w:r>
        <w:rPr>
          <w:rFonts w:hint="default" w:ascii="Times New Roman" w:hAnsi="Times New Roman" w:eastAsia="Times New Roman"/>
          <w:sz w:val="24"/>
          <w:szCs w:val="24"/>
        </w:rPr>
        <w:t>. Such factors are emerging as key facilitators in combating worldwide issues as stipulated in the Sustainable Development Goals (SDGs). Namely, SDG 2 (Zero Hunger) and SDG 9 (Industry, Innovation, and Infrastructure) can be directly associated with the promotion of financial technologies and the inclusive economic system. The research problem in this study will be to examine the empiric evidence of the role of these digital and financial tools in contributing to increase in agricultural productivity and cutback in the food insecurity issue and contribute to industries progression as these services can support sustainability goals through long-term achievement in the developing areas.</w:t>
      </w:r>
    </w:p>
    <w:p w14:paraId="2DC8402F">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It is stated that the technological innovation and digital payment systems create a new global economy, quicken the pace of financial inclusion, </w:t>
      </w:r>
      <w:r>
        <w:rPr>
          <w:rFonts w:hint="default" w:ascii="Times New Roman" w:hAnsi="Times New Roman" w:eastAsia="Times New Roman"/>
          <w:b w:val="0"/>
          <w:bCs w:val="0"/>
          <w:sz w:val="24"/>
          <w:szCs w:val="24"/>
        </w:rPr>
        <w:t>and ensure sustainable development</w:t>
      </w:r>
      <w:r>
        <w:rPr>
          <w:rFonts w:hint="default" w:ascii="Times New Roman" w:hAnsi="Times New Roman" w:eastAsia="Times New Roman"/>
          <w:sz w:val="24"/>
          <w:szCs w:val="24"/>
        </w:rPr>
        <w:t xml:space="preserve"> </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AuthorYear="1"&gt;&lt;Author&gt;Vinuesa&lt;/Author&gt;&lt;Year&gt;2020&lt;/Year&gt;&lt;RecNum&gt;1&lt;/RecNum&gt;&lt;DisplayText&gt;Vinuesa, Azizpour et al. (2020)&lt;/DisplayText&gt;&lt;record&gt;&lt;rec-number&gt;1&lt;/rec-number&gt;&lt;foreign-keys&gt;&lt;key app="EN" db-id="2t52ftddjzwsxoerapx5vrxm2fdzpaza5sva" timestamp="1751960918"&gt;1&lt;/key&gt;&lt;/foreign-keys&gt;&lt;ref-type name="Journal Article"&gt;17&lt;/ref-type&gt;&lt;contributors&gt;&lt;authors&gt;&lt;author&gt;Vinuesa, Ricardo&lt;/author&gt;&lt;author&gt;Azizpour, Hossein&lt;/author&gt;&lt;author&gt;Leite, Iolanda&lt;/author&gt;&lt;author&gt;Balaam, Madeline&lt;/author&gt;&lt;author&gt;Dignum, Virginia&lt;/author&gt;&lt;author&gt;Domisch, Sami&lt;/author&gt;&lt;author&gt;Felländer, Anna&lt;/author&gt;&lt;author&gt;Langhans, Simone Daniela&lt;/author&gt;&lt;author&gt;Tegmark, Max&lt;/author&gt;&lt;author&gt;Fuso Nerini, Francesco&lt;/author&gt;&lt;/authors&gt;&lt;/contributors&gt;&lt;titles&gt;&lt;title&gt;The role of artificial intelligence in achieving the Sustainable Development Goals&lt;/title&gt;&lt;secondary-title&gt;Nature Communications&lt;/secondary-title&gt;&lt;/titles&gt;&lt;periodical&gt;&lt;full-title&gt;Nature Communications&lt;/full-title&gt;&lt;/periodical&gt;&lt;pages&gt;233&lt;/pages&gt;&lt;volume&gt;11&lt;/volume&gt;&lt;number&gt;1&lt;/number&gt;&lt;dates&gt;&lt;year&gt;2020&lt;/year&gt;&lt;pub-dates&gt;&lt;date&gt;2020/01/13&lt;/date&gt;&lt;/pub-dates&gt;&lt;/dates&gt;&lt;isbn&gt;2041-1723&lt;/isbn&gt;&lt;urls&gt;&lt;related-urls&gt;&lt;url&gt;https://doi.org/10.1038/s41467-019-14108-y&lt;/url&gt;&lt;/related-urls&gt;&lt;/urls&gt;&lt;electronic-resource-num&gt;10.1038/s41467-019-14108-y&lt;/electronic-resource-num&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Vinuesa, Azizpour et al. (2020)</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 In the last ten years, digital financial transactions have grown by 70 percent with the major drivers being the growth of smartphone penetration, mobile banking, and Fin Tech. </w:t>
      </w:r>
      <w:r>
        <w:rPr>
          <w:rFonts w:hint="default" w:ascii="Times New Roman" w:hAnsi="Times New Roman" w:eastAsia="Times New Roman"/>
          <w:b/>
          <w:bCs/>
          <w:sz w:val="24"/>
          <w:szCs w:val="24"/>
        </w:rPr>
        <w:t>I</w:t>
      </w:r>
      <w:r>
        <w:rPr>
          <w:rFonts w:hint="default" w:ascii="Times New Roman" w:hAnsi="Times New Roman" w:eastAsia="Times New Roman"/>
          <w:b w:val="0"/>
          <w:bCs w:val="0"/>
          <w:sz w:val="24"/>
          <w:szCs w:val="24"/>
        </w:rPr>
        <w:t>t is playing an important role of these technologies</w:t>
      </w:r>
      <w:r>
        <w:rPr>
          <w:rFonts w:hint="default" w:ascii="Times New Roman" w:hAnsi="Times New Roman" w:eastAsia="Times New Roman"/>
          <w:sz w:val="24"/>
          <w:szCs w:val="24"/>
        </w:rPr>
        <w:t xml:space="preserve"> in allaying the financial disparity among populations who were </w:t>
      </w:r>
      <w:r>
        <w:rPr>
          <w:rFonts w:hint="default" w:ascii="Times New Roman" w:hAnsi="Times New Roman" w:eastAsia="Times New Roman"/>
          <w:sz w:val="24"/>
          <w:szCs w:val="24"/>
          <w:lang w:val="en-US"/>
        </w:rPr>
        <w:t>reached</w:t>
      </w:r>
      <w:r>
        <w:rPr>
          <w:rFonts w:hint="default" w:ascii="Times New Roman" w:hAnsi="Times New Roman" w:eastAsia="Times New Roman"/>
          <w:sz w:val="24"/>
          <w:szCs w:val="24"/>
        </w:rPr>
        <w:t xml:space="preserve"> since all of them can transfer money easily, minimize dependence on cash-driven economies, and improve the economy. Nevertheless, their larger role in the attainment of Sustainable Development Goals (SDGs) agendas primarily their SDG 2 (Zero Hunger) and SDG 9 (Industry, Innovation and Infrastructure) is still not well investigated. Other intertwined pillars which occur in the contemporary economy development include digital payment, financial inclusion, and technological innovation. </w:t>
      </w:r>
      <w:r>
        <w:rPr>
          <w:rFonts w:hint="default" w:ascii="Times New Roman" w:hAnsi="Times New Roman" w:eastAsia="Times New Roman"/>
          <w:sz w:val="24"/>
          <w:szCs w:val="24"/>
          <w:lang w:val="en-US"/>
        </w:rPr>
        <w:t>Runaway</w:t>
      </w:r>
      <w:r>
        <w:rPr>
          <w:rFonts w:hint="default" w:ascii="Times New Roman" w:hAnsi="Times New Roman" w:eastAsia="Times New Roman"/>
          <w:sz w:val="24"/>
          <w:szCs w:val="24"/>
        </w:rPr>
        <w:t xml:space="preserve"> Digital payment options, </w:t>
      </w:r>
      <w:r>
        <w:rPr>
          <w:rFonts w:hint="default" w:ascii="Times New Roman" w:hAnsi="Times New Roman" w:eastAsia="Times New Roman"/>
          <w:b w:val="0"/>
          <w:bCs w:val="0"/>
          <w:sz w:val="24"/>
          <w:szCs w:val="24"/>
        </w:rPr>
        <w:t>like mobile banking, e-wallet, etc.</w:t>
      </w:r>
      <w:r>
        <w:rPr>
          <w:rFonts w:hint="default" w:ascii="Times New Roman" w:hAnsi="Times New Roman" w:eastAsia="Times New Roman"/>
          <w:sz w:val="24"/>
          <w:szCs w:val="24"/>
        </w:rPr>
        <w:t xml:space="preserve"> block-chain-based transactions, allow a safe and effective way to handle financial transactions. Financial inclusion contributes to the fair economic access of the population, as marginalized populations are able to receive financial services. In the meantime, the use of technological solutions, namely, artificial intelligence, big data analytic, and digital identity verification, keep expanding access to financial solutions and operational efficiency.</w:t>
      </w:r>
    </w:p>
    <w:p w14:paraId="20503211">
      <w:pPr>
        <w:keepNext w:val="0"/>
        <w:keepLines w:val="0"/>
        <w:widowControl/>
        <w:suppressLineNumbers w:val="0"/>
        <w:jc w:val="both"/>
        <w:rPr>
          <w:rFonts w:hint="default" w:ascii="Times New Roman" w:hAnsi="Times New Roman" w:eastAsia="SimSun"/>
          <w:kern w:val="0"/>
          <w:sz w:val="24"/>
          <w:szCs w:val="24"/>
          <w:lang w:val="en-US" w:eastAsia="zh-CN"/>
        </w:rPr>
      </w:pPr>
      <w:r>
        <w:rPr>
          <w:rFonts w:hint="default" w:ascii="Times New Roman" w:hAnsi="Times New Roman" w:eastAsia="SimSun"/>
          <w:b w:val="0"/>
          <w:bCs w:val="0"/>
          <w:kern w:val="0"/>
          <w:sz w:val="24"/>
          <w:szCs w:val="24"/>
          <w:lang w:val="en-US" w:eastAsia="zh-CN"/>
        </w:rPr>
        <w:t xml:space="preserve">The SDG 2 targets ending hunger </w:t>
      </w:r>
      <w:r>
        <w:rPr>
          <w:rFonts w:hint="default" w:ascii="Times New Roman" w:hAnsi="Times New Roman" w:eastAsia="SimSun"/>
          <w:kern w:val="0"/>
          <w:sz w:val="24"/>
          <w:szCs w:val="24"/>
          <w:lang w:val="en-US" w:eastAsia="zh-CN"/>
        </w:rPr>
        <w:t>and ensuring</w:t>
      </w:r>
      <w:r>
        <w:rPr>
          <w:rFonts w:hint="default" w:ascii="Times New Roman" w:hAnsi="Times New Roman" w:eastAsia="SimSun"/>
          <w:b/>
          <w:bCs/>
          <w:kern w:val="0"/>
          <w:sz w:val="24"/>
          <w:szCs w:val="24"/>
          <w:lang w:val="en-US" w:eastAsia="zh-CN"/>
        </w:rPr>
        <w:t xml:space="preserve"> </w:t>
      </w:r>
      <w:r>
        <w:rPr>
          <w:rFonts w:hint="default" w:ascii="Times New Roman" w:hAnsi="Times New Roman" w:eastAsia="SimSun"/>
          <w:b w:val="0"/>
          <w:bCs w:val="0"/>
          <w:kern w:val="0"/>
          <w:sz w:val="24"/>
          <w:szCs w:val="24"/>
          <w:lang w:val="en-US" w:eastAsia="zh-CN"/>
        </w:rPr>
        <w:t xml:space="preserve">food security and </w:t>
      </w:r>
      <w:r>
        <w:rPr>
          <w:rFonts w:hint="default" w:ascii="Times New Roman" w:hAnsi="Times New Roman" w:eastAsia="SimSun"/>
          <w:kern w:val="0"/>
          <w:sz w:val="24"/>
          <w:szCs w:val="24"/>
          <w:lang w:val="en-US" w:eastAsia="zh-CN"/>
        </w:rPr>
        <w:t xml:space="preserve">Mother or Fatherhood, </w:t>
      </w:r>
      <w:r>
        <w:rPr>
          <w:rFonts w:hint="default" w:ascii="Times New Roman" w:hAnsi="Times New Roman" w:eastAsia="SimSun"/>
          <w:b w:val="0"/>
          <w:bCs w:val="0"/>
          <w:kern w:val="0"/>
          <w:sz w:val="24"/>
          <w:szCs w:val="24"/>
          <w:lang w:val="en-US" w:eastAsia="zh-CN"/>
        </w:rPr>
        <w:t>better food and farming, and sustainable food</w:t>
      </w:r>
      <w:r>
        <w:rPr>
          <w:rFonts w:hint="default" w:ascii="Times New Roman" w:hAnsi="Times New Roman" w:eastAsia="SimSun"/>
          <w:kern w:val="0"/>
          <w:sz w:val="24"/>
          <w:szCs w:val="24"/>
          <w:lang w:val="en-US" w:eastAsia="zh-CN"/>
        </w:rPr>
        <w:t xml:space="preserve">. According to a study done by  </w:t>
      </w:r>
      <w:r>
        <w:rPr>
          <w:rFonts w:hint="default" w:ascii="Times New Roman" w:hAnsi="Times New Roman" w:eastAsia="SimSun"/>
          <w:kern w:val="0"/>
          <w:sz w:val="24"/>
          <w:szCs w:val="24"/>
          <w:lang w:val="en-US" w:eastAsia="zh-CN"/>
        </w:rPr>
        <w:fldChar w:fldCharType="begin"/>
      </w:r>
      <w:r>
        <w:rPr>
          <w:rFonts w:hint="default" w:ascii="Times New Roman" w:hAnsi="Times New Roman" w:eastAsia="SimSun"/>
          <w:kern w:val="0"/>
          <w:sz w:val="24"/>
          <w:szCs w:val="24"/>
          <w:lang w:val="en-US" w:eastAsia="zh-CN"/>
        </w:rPr>
        <w:instrText xml:space="preserve"> ADDIN EN.CITE &lt;EndNote&gt;&lt;Cite AuthorYear="1"&gt;&lt;Author&gt;Kamilaris&lt;/Author&gt;&lt;Year&gt;2019&lt;/Year&gt;&lt;RecNum&gt;6&lt;/RecNum&gt;&lt;DisplayText&gt;Kamilaris, Fonts et al. (2019)&lt;/DisplayText&gt;&lt;record&gt;&lt;rec-number&gt;6&lt;/rec-number&gt;&lt;foreign-keys&gt;&lt;key app="EN" db-id="2t52ftddjzwsxoerapx5vrxm2fdzpaza5sva" timestamp="1752325287"&gt;6&lt;/key&gt;&lt;/foreign-keys&gt;&lt;ref-type name="Journal Article"&gt;17&lt;/ref-type&gt;&lt;contributors&gt;&lt;authors&gt;&lt;author&gt;Kamilaris, A&lt;/author&gt;&lt;author&gt;Fonts, A&lt;/author&gt;&lt;author&gt;Prenafeta-Boldú, FX&lt;/author&gt;&lt;/authors&gt;&lt;/contributors&gt;&lt;titles&gt;&lt;title&gt;Blockchain technology for the improvement of food supply chain management: A review&lt;/title&gt;&lt;secondary-title&gt;Food Control&lt;/secondary-title&gt;&lt;/titles&gt;&lt;periodical&gt;&lt;full-title&gt;Food Control&lt;/full-title&gt;&lt;/periodical&gt;&lt;pages&gt;124-134&lt;/pages&gt;&lt;volume&gt;105&lt;/volume&gt;&lt;dates&gt;&lt;year&gt;2019&lt;/year&gt;&lt;/dates&gt;&lt;urls&gt;&lt;/urls&gt;&lt;/record&gt;&lt;/Cite&gt;&lt;/EndNote&gt;</w:instrText>
      </w:r>
      <w:r>
        <w:rPr>
          <w:rFonts w:hint="default" w:ascii="Times New Roman" w:hAnsi="Times New Roman" w:eastAsia="SimSun"/>
          <w:kern w:val="0"/>
          <w:sz w:val="24"/>
          <w:szCs w:val="24"/>
          <w:lang w:val="en-US" w:eastAsia="zh-CN"/>
        </w:rPr>
        <w:fldChar w:fldCharType="separate"/>
      </w:r>
      <w:r>
        <w:rPr>
          <w:rFonts w:hint="default" w:ascii="Times New Roman" w:hAnsi="Times New Roman" w:eastAsia="SimSun" w:cstheme="minorBidi"/>
          <w:kern w:val="0"/>
          <w:sz w:val="24"/>
          <w:szCs w:val="24"/>
          <w:lang w:val="en-US" w:eastAsia="zh-CN" w:bidi="ar-SA"/>
        </w:rPr>
        <w:t>Kamilaris, Fonts et al. (2019)</w:t>
      </w:r>
      <w:r>
        <w:rPr>
          <w:rFonts w:hint="default" w:ascii="Times New Roman" w:hAnsi="Times New Roman" w:eastAsia="SimSun"/>
          <w:kern w:val="0"/>
          <w:sz w:val="24"/>
          <w:szCs w:val="24"/>
          <w:lang w:val="en-US" w:eastAsia="zh-CN"/>
        </w:rPr>
        <w:fldChar w:fldCharType="end"/>
      </w:r>
      <w:r>
        <w:rPr>
          <w:rFonts w:hint="default" w:ascii="Times New Roman" w:hAnsi="Times New Roman" w:eastAsia="SimSun"/>
          <w:kern w:val="0"/>
          <w:sz w:val="24"/>
          <w:szCs w:val="24"/>
          <w:lang w:val="en-US" w:eastAsia="zh-CN"/>
        </w:rPr>
        <w:t xml:space="preserve"> , Food is a fundamental human right, and still millions of human beings are subject to hunger and malnutrition across the globe. Economic and social disparities have ensured that many people do not have access to healthy and adequate nourishment in spite of the propensity in food production. To guarantee global food security, SDG 2 aims to have five central targets, which include ending hunger and Malnutrition in all of its forms, doubling food production and income of small-scale farmers, increasing genetic diversity in varieties of seeds, plants, and domesticated species and establishing sustainable food production systems.To end hunger, it is important to address some of the following issues, including political uncertainty, economic inequality, climate change, and environmental degradation. The climate change affects the farming of food as there is an increase in the temperature, erratic rain periods, extreme weather conditions and so on. Millions of people are driven out of their countries cut off from the reliable food sources because of political strict. The economic inequality implies that food is affordable to lower-income people even in the cases when there is food. Moreover, the practices of agriculture use up the natural resources, thus causing soil erosion and water shortage.</w:t>
      </w:r>
    </w:p>
    <w:p w14:paraId="0D02C992">
      <w:pPr>
        <w:keepNext w:val="0"/>
        <w:keepLines w:val="0"/>
        <w:widowControl/>
        <w:suppressLineNumbers w:val="0"/>
        <w:jc w:val="both"/>
        <w:rPr>
          <w:rFonts w:hint="default" w:ascii="Times New Roman" w:hAnsi="Times New Roman" w:eastAsia="Times New Roman" w:cs="Times New Roman"/>
          <w:color w:val="auto"/>
          <w:sz w:val="24"/>
          <w:szCs w:val="24"/>
        </w:rPr>
      </w:pPr>
      <w:r>
        <w:rPr>
          <w:rFonts w:hint="default" w:ascii="Times New Roman" w:hAnsi="Times New Roman" w:eastAsia="Times New Roman"/>
          <w:sz w:val="24"/>
          <w:szCs w:val="24"/>
        </w:rPr>
        <w:t>Innovation and technology are therefore important to ensure success in attaining SDG 2 to counter the challenges. The application of data analytic and artificial intelligence improves precision farming, the use of which optimizes crop production and reduces any negative impact on the environment. Transgenic crops enhance the resistance to pests and bad weather conditions, which causes diminution of food wastage. Modern forms of irrigation such as irrigation through drip and rain water harvesting enhances water productivity, which guarantees sustainable agriculture. In addition, better management of food supply chain lowers wastage and increases supply of food to those who need them; hence nutritious food can reach the needy.</w:t>
      </w:r>
    </w:p>
    <w:p w14:paraId="10FC2200">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Whereas SDG 2 aims at achieving food security, SDG 9 is meant to promote fair and sustainable industrialization, stimulating innovation, as well as the build-up of facilities that are resilient. Human well-being relies upon both economic growth and infrastructure, including and not limited to roads, energy lines, water supply services, and digital networks. In particular, the article of</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AuthorYear="1"&gt;&lt;Author&gt;Hasan&lt;/Author&gt;&lt;Year&gt;2022&lt;/Year&gt;&lt;RecNum&gt;13&lt;/RecNum&gt;&lt;DisplayText&gt;Hasan, Islam et al. (2022)&lt;/DisplayText&gt;&lt;record&gt;&lt;rec-number&gt;13&lt;/rec-number&gt;&lt;foreign-keys&gt;&lt;key app="EN" db-id="2t52ftddjzwsxoerapx5vrxm2fdzpaza5sva" timestamp="1752327131"&gt;13&lt;/key&gt;&lt;/foreign-keys&gt;&lt;ref-type name="Journal Article"&gt;17&lt;/ref-type&gt;&lt;contributors&gt;&lt;authors&gt;&lt;author&gt;Hasan, Md Mahadi&lt;/author&gt;&lt;author&gt;Islam, Muhammad Usama&lt;/author&gt;&lt;author&gt;Sadeq, Muhammad Jafar&lt;/author&gt;&lt;/authors&gt;&lt;/contributors&gt;&lt;titles&gt;&lt;title&gt;Towards technological adaptation of advanced farming through AI, IoT, and Robotics: A Comprehensive overview&lt;/title&gt;&lt;secondary-title&gt;arXiv preprint arXiv:2202.10459&lt;/secondary-title&gt;&lt;/titles&gt;&lt;periodical&gt;&lt;full-title&gt;arXiv preprint arXiv:2202.10459&lt;/full-title&gt;&lt;/periodical&gt;&lt;dates&gt;&lt;year&gt;2022&lt;/year&gt;&lt;/dates&gt;&lt;urls&gt;&lt;/urls&gt;&lt;/record&gt;&lt;/Cite&gt;&lt;/EndNote&gt;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Hasan, Islam et al. (2022)</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  Industrialization generates employment, economic stability and increases affordability of basic goods and services. Efficiency, sustainability, and resilience are products of innovation in the industries leading to a long term growth. Major goals of the SDG 9 are to develop quality and sustainable infrastructure, the promotion of inclusive </w:t>
      </w:r>
      <w:r>
        <w:rPr>
          <w:rFonts w:hint="default" w:ascii="Times New Roman" w:hAnsi="Times New Roman" w:eastAsia="Times New Roman"/>
          <w:sz w:val="24"/>
          <w:szCs w:val="24"/>
          <w:lang w:val="en-US"/>
        </w:rPr>
        <w:t>industrialization</w:t>
      </w:r>
      <w:r>
        <w:rPr>
          <w:rFonts w:hint="default" w:ascii="Times New Roman" w:hAnsi="Times New Roman" w:eastAsia="Times New Roman"/>
          <w:sz w:val="24"/>
          <w:szCs w:val="24"/>
        </w:rPr>
        <w:t>, increased access to financial services of small enterprises, advancement of research and technological innovation and enhancement of infrastructure sustainability. Most developing nations are experiencing a terrible shortage in infrastructure thereby restricting the capacity to back industrial production and economic growth..</w:t>
      </w:r>
    </w:p>
    <w:p w14:paraId="3395BF7D">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Green and sustainable industries also need to be adopted because industrial activities could be a source of pollution, deforestation and exhaustion of resources. There are numerous obstacles that work against the SDG 9. Neglecting investment in the development of the infrastructure deprives a significant number of regions of a stable transportation, energy, and communication infrastructure. Developed and developing countries possess technological gaps, which has caused industrial differences. Moreover, issues, e.g., pollution and over-exploitation of resources, are environmental-related, which jeopardize long-term sustainability. In addition, exposure to modern infrastructure inequality increases economic imbalances, seeking to leave the rural and marginalized groups behind. SDG 9 is directed towards innovation. The eco-friendly renewable energy sources namely wind, and solar energy can substitute petroleum and coal to reduce the carbon footprints in industries. Artificial intelligence and automation makes industry efficient and that too willing to improve productivity and waste minimum. More sustainable urban development is guaranteed by implementation of smart infrastructure solutions, i.e., climate-resilient planning of cities, intelligent transportation systems. Investment in research and development (R&amp;D) will help countries to foster industrial innovation by achieving more inclusive and environmentally sustainable growth by investing in research and industrial revolution.</w:t>
      </w:r>
    </w:p>
    <w:p w14:paraId="10D85BFD">
      <w:pPr>
        <w:keepNext w:val="0"/>
        <w:keepLines w:val="0"/>
        <w:widowControl/>
        <w:suppressLineNumbers w:val="0"/>
        <w:jc w:val="both"/>
        <w:rPr>
          <w:rFonts w:hint="default" w:ascii="Times New Roman" w:hAnsi="Times New Roman" w:eastAsia="Times New Roman" w:cs="Times New Roman"/>
          <w:color w:val="0000FF"/>
          <w:sz w:val="24"/>
          <w:szCs w:val="24"/>
        </w:rPr>
      </w:pPr>
      <w:r>
        <w:rPr>
          <w:rFonts w:hint="default" w:ascii="Times New Roman" w:hAnsi="Times New Roman" w:eastAsia="Times New Roman"/>
          <w:sz w:val="24"/>
          <w:szCs w:val="24"/>
        </w:rPr>
        <w:t>SDG 2 and SDG 9 are the necessary factors on the way to sustainable development. Whereas the SDG 2 is concerned with ensuring that people have access to adequate calories and nutrition, SDG 9 offers the required industrial and infrastructural development towards economic growth and innovation. The correlation results in the tight interdependence of those goals requiring well-coordinated activities, investments in research and technology and policies which foster sustainability. That coupling of agricultural innovation with industrial advance and hard infrastructure will bring the world one step closer to a time when people will enjoy a hang-free world, a world of sustainable industries, and one where societies will enjoy inclusive economic development. Meeting the SDG 2 and SDG 9 demands that call on universal efforts through monetary investment and innovations in technologies. These objectives will not only see the reduction into a hunger-free world, but also the strengthening of economies, the use of industrial creative thinking, and long term growth and development, future-opening up to a more fulfilling and equitable fair future.</w:t>
      </w:r>
    </w:p>
    <w:p w14:paraId="44A93676">
      <w:pPr>
        <w:spacing w:before="100" w:beforeAutospacing="1" w:after="100" w:afterAutospacing="1" w:line="240" w:lineRule="auto"/>
        <w:jc w:val="both"/>
        <w:rPr>
          <w:rFonts w:hint="default" w:ascii="Times New Roman" w:hAnsi="Times New Roman" w:eastAsia="Times New Roman" w:cs="Times New Roman"/>
          <w:sz w:val="24"/>
          <w:szCs w:val="24"/>
        </w:rPr>
      </w:pPr>
    </w:p>
    <w:p w14:paraId="574DA8CA">
      <w:pPr>
        <w:pStyle w:val="2"/>
        <w:numPr>
          <w:ilvl w:val="0"/>
          <w:numId w:val="2"/>
        </w:numPr>
        <w:bidi w:val="0"/>
        <w:rPr>
          <w:rFonts w:hint="default" w:ascii="Times New Roman" w:hAnsi="Times New Roman" w:cs="Times New Roman"/>
          <w:sz w:val="28"/>
          <w:szCs w:val="28"/>
        </w:rPr>
      </w:pPr>
      <w:bookmarkStart w:id="9" w:name="_Toc24902"/>
      <w:r>
        <w:rPr>
          <w:rFonts w:hint="default" w:ascii="Times New Roman" w:hAnsi="Times New Roman" w:cs="Times New Roman"/>
          <w:sz w:val="28"/>
          <w:szCs w:val="28"/>
          <w:lang w:val="en-US"/>
        </w:rPr>
        <w:t xml:space="preserve"> </w:t>
      </w:r>
      <w:bookmarkStart w:id="10" w:name="_Toc7716"/>
      <w:r>
        <w:rPr>
          <w:rFonts w:hint="default" w:ascii="Times New Roman" w:hAnsi="Times New Roman" w:cs="Times New Roman"/>
          <w:sz w:val="28"/>
          <w:szCs w:val="28"/>
        </w:rPr>
        <w:t>Research Gaps in the Impact of Digital Innovation on SDG 2 and SDG 9</w:t>
      </w:r>
      <w:bookmarkEnd w:id="9"/>
      <w:bookmarkEnd w:id="10"/>
    </w:p>
    <w:p w14:paraId="0F7A2F7E">
      <w:pPr>
        <w:numPr>
          <w:ilvl w:val="0"/>
          <w:numId w:val="0"/>
        </w:numPr>
        <w:spacing w:before="100" w:beforeAutospacing="1" w:after="100" w:afterAutospacing="1" w:line="240" w:lineRule="auto"/>
        <w:ind w:firstLine="360" w:firstLineChars="150"/>
        <w:jc w:val="both"/>
        <w:rPr>
          <w:rFonts w:hint="default" w:ascii="Times New Roman" w:hAnsi="Times New Roman" w:eastAsia="Times New Roman"/>
          <w:sz w:val="24"/>
          <w:szCs w:val="24"/>
        </w:rPr>
      </w:pPr>
      <w:r>
        <w:rPr>
          <w:rFonts w:hint="default" w:ascii="Times New Roman" w:hAnsi="Times New Roman" w:eastAsia="Times New Roman"/>
          <w:sz w:val="24"/>
          <w:szCs w:val="24"/>
        </w:rPr>
        <w:t>Although digital payment systems and technology developments changed the financial horizon in several countries to a great extent, the actual influence they have on Sustainable Development Goals (SDG 2: Zero Hunger and SDG 9: Industry, Innovation, and Infrastructure) has not been broadly examined yet. The available literature is interested mainly in financial inclusion, economic participation, and transactions on the web yet with little detailed investigation of how these developments are related to;</w:t>
      </w:r>
    </w:p>
    <w:p w14:paraId="19BF22DB">
      <w:pPr>
        <w:numPr>
          <w:ilvl w:val="0"/>
          <w:numId w:val="3"/>
        </w:numPr>
        <w:spacing w:before="100" w:beforeAutospacing="1" w:after="100" w:afterAutospacing="1" w:line="240" w:lineRule="auto"/>
        <w:ind w:left="420" w:leftChars="0" w:hanging="420" w:firstLineChars="0"/>
        <w:jc w:val="both"/>
        <w:rPr>
          <w:rFonts w:hint="default" w:ascii="Times New Roman" w:hAnsi="Times New Roman" w:eastAsia="Times New Roman" w:cs="Times New Roman"/>
          <w:sz w:val="24"/>
          <w:szCs w:val="24"/>
        </w:rPr>
      </w:pPr>
      <w:r>
        <w:rPr>
          <w:rFonts w:hint="default" w:ascii="Times New Roman" w:hAnsi="Times New Roman" w:eastAsia="Times New Roman"/>
          <w:sz w:val="24"/>
          <w:szCs w:val="24"/>
        </w:rPr>
        <w:t>Food Security and Agricultural Productivity (SDG 2): Although easy availability of credit, savings and insurance paid off with financial inclusion to smallholder farmers, there is a lack of empirical evidence to show how and/or whether to digital finance devices directly raise food security, resilience in the agricultural sector, and the level of hunger among vulnerable populations.</w:t>
      </w:r>
    </w:p>
    <w:p w14:paraId="621C511F">
      <w:pPr>
        <w:numPr>
          <w:ilvl w:val="0"/>
          <w:numId w:val="4"/>
        </w:numPr>
        <w:spacing w:before="100" w:beforeAutospacing="1" w:after="100" w:afterAutospacing="1" w:line="240" w:lineRule="auto"/>
        <w:ind w:left="420" w:leftChars="0" w:hanging="420" w:firstLineChars="0"/>
        <w:jc w:val="both"/>
        <w:rPr>
          <w:rFonts w:hint="default" w:ascii="Times New Roman" w:hAnsi="Times New Roman"/>
          <w:sz w:val="24"/>
          <w:szCs w:val="24"/>
        </w:rPr>
      </w:pPr>
      <w:r>
        <w:rPr>
          <w:rFonts w:hint="default" w:ascii="Times New Roman" w:hAnsi="Times New Roman"/>
          <w:sz w:val="24"/>
          <w:szCs w:val="24"/>
        </w:rPr>
        <w:t>SDG 9 Sustainable Industrial Growth and Infrastructure Development: There have been researches on the importance of digital payment on helping MSMEs to integrate but little has been done on the importance of technological innovation (block-chain, AI and mobile banking) on sustainable industrialization/infrastructure development especially in emerging economies.</w:t>
      </w:r>
    </w:p>
    <w:p w14:paraId="75FAB525">
      <w:pPr>
        <w:numPr>
          <w:ilvl w:val="0"/>
          <w:numId w:val="4"/>
        </w:numPr>
        <w:spacing w:before="100" w:beforeAutospacing="1" w:after="100" w:afterAutospacing="1" w:line="240" w:lineRule="auto"/>
        <w:ind w:left="420" w:leftChars="0" w:hanging="420" w:firstLineChars="0"/>
        <w:jc w:val="both"/>
        <w:rPr>
          <w:rFonts w:hint="default" w:ascii="Times New Roman" w:hAnsi="Times New Roman" w:eastAsia="Times New Roman" w:cs="Times New Roman"/>
          <w:sz w:val="24"/>
          <w:szCs w:val="24"/>
        </w:rPr>
      </w:pPr>
      <w:r>
        <w:rPr>
          <w:rFonts w:hint="default" w:ascii="Times New Roman" w:hAnsi="Times New Roman"/>
          <w:sz w:val="24"/>
          <w:szCs w:val="24"/>
        </w:rPr>
        <w:t>Digital Adoption: One of the challenges is that digital payments adoption significantly differs regionally because various factors suppress it, including digital literacy, regulatory compliance, and risks to cyber security, as well as the availability of technological infrastructure. Nevertheless, the combinations of these challenges and how they affect SDGs 2 and 9 have been rarely discussed.</w:t>
      </w:r>
    </w:p>
    <w:p w14:paraId="75173208">
      <w:pPr>
        <w:pStyle w:val="3"/>
        <w:numPr>
          <w:ilvl w:val="0"/>
          <w:numId w:val="5"/>
        </w:numPr>
        <w:ind w:left="360" w:leftChars="0" w:firstLineChars="0"/>
        <w:jc w:val="both"/>
        <w:rPr>
          <w:rFonts w:hint="default" w:ascii="Times New Roman" w:hAnsi="Times New Roman" w:cs="Times New Roman"/>
          <w:sz w:val="24"/>
          <w:szCs w:val="24"/>
        </w:rPr>
      </w:pPr>
      <w:bookmarkStart w:id="11" w:name="_Toc3803"/>
      <w:bookmarkStart w:id="12" w:name="_Toc14066"/>
      <w:r>
        <w:rPr>
          <w:rFonts w:hint="default" w:ascii="Times New Roman" w:hAnsi="Times New Roman" w:cs="Times New Roman"/>
          <w:sz w:val="24"/>
          <w:szCs w:val="24"/>
        </w:rPr>
        <w:t>Digital Payment Influence on SDG 2 (Zero Hunger)</w:t>
      </w:r>
      <w:bookmarkEnd w:id="11"/>
      <w:bookmarkEnd w:id="12"/>
    </w:p>
    <w:p w14:paraId="4C90625A">
      <w:pPr>
        <w:rPr>
          <w:rFonts w:hint="default"/>
        </w:rPr>
      </w:pPr>
    </w:p>
    <w:p w14:paraId="41FE3282">
      <w:pPr>
        <w:keepNext w:val="0"/>
        <w:keepLines w:val="0"/>
        <w:widowControl/>
        <w:suppressLineNumbers w:val="0"/>
        <w:ind w:firstLine="840" w:firstLineChars="350"/>
        <w:jc w:val="both"/>
        <w:rPr>
          <w:rFonts w:hint="default" w:ascii="Times New Roman" w:hAnsi="Times New Roman" w:eastAsia="Times New Roman"/>
          <w:sz w:val="24"/>
          <w:szCs w:val="24"/>
        </w:rPr>
      </w:pPr>
      <w:r>
        <w:rPr>
          <w:rFonts w:hint="default" w:ascii="Times New Roman" w:hAnsi="Times New Roman" w:eastAsia="Times New Roman"/>
          <w:sz w:val="24"/>
          <w:szCs w:val="24"/>
        </w:rPr>
        <w:t>Digital payments also have one of the key to SDG 2 by enhancing financial inclusion, enhancing resource allocation, and carrying out efficient agricultural transactions. Financial inclusion has the power to open the door to the banking services, credit and digital markets to farmers and food suppliers and possibly create economic growth food security. The study by</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AuthorYear="1"&gt;&lt;Author&gt;Maherali&lt;/Author&gt;&lt;Year&gt;2020&lt;/Year&gt;&lt;RecNum&gt;18&lt;/RecNum&gt;&lt;DisplayText&gt;Maherali (2020)&lt;/DisplayText&gt;&lt;record&gt;&lt;rec-number&gt;18&lt;/rec-number&gt;&lt;foreign-keys&gt;&lt;key app="EN" db-id="2t52ftddjzwsxoerapx5vrxm2fdzpaza5sva" timestamp="1752328446"&gt;18&lt;/key&gt;&lt;/foreign-keys&gt;&lt;ref-type name="Journal Article"&gt;17&lt;/ref-type&gt;&lt;contributors&gt;&lt;authors&gt;&lt;author&gt;Maherali, Hafiz&lt;/author&gt;&lt;/authors&gt;&lt;/contributors&gt;&lt;titles&gt;&lt;title&gt;Mutualism as a plant functional trait: Linking variation in the mycorrhizal symbiosis to climatic tolerance, geographic range, and population dynamics&lt;/title&gt;&lt;secondary-title&gt;International Journal of Plant Sciences&lt;/secondary-title&gt;&lt;/titles&gt;&lt;periodical&gt;&lt;full-title&gt;International Journal of Plant Sciences&lt;/full-title&gt;&lt;/periodical&gt;&lt;pages&gt;9-19&lt;/pages&gt;&lt;volume&gt;181&lt;/volume&gt;&lt;number&gt;1&lt;/number&gt;&lt;dates&gt;&lt;year&gt;2020&lt;/year&gt;&lt;/dates&gt;&lt;isbn&gt;1058-5893&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Maherali (2020)</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 revealed that digital transactions promote financial inclusion that leads to alleviation of poverty and economic growth that in turn contributes to the improvement of food availability. By the same token, (Kumar, Dikshit et al. 2021) emphasized the role of financial schemes such as PMJDY and PM-JAY in the inclusion of marginalized groups in the financial sector, an intervention that boosts purchasing power and food security of the affected communities. (Tay, Tai et al. 2022) complemented this observation by proving that digital financial inclusion reduces poverty and uplifts gender gaps, which are linked to food security.</w:t>
      </w:r>
    </w:p>
    <w:p w14:paraId="5D20B148">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But the issue of lack of digital knowledge and poor infrastructure hinders the effectiveness of digital payments in the undeveloped regions. The analysis on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AuthorYear="1"&gt;&lt;Author&gt;Mpofu&lt;/Author&gt;&lt;Year&gt;2022&lt;/Year&gt;&lt;RecNum&gt;21&lt;/RecNum&gt;&lt;DisplayText&gt;Mpofu and Mhlanga (2022)&lt;/DisplayText&gt;&lt;record&gt;&lt;rec-number&gt;21&lt;/rec-number&gt;&lt;foreign-keys&gt;&lt;key app="EN" db-id="2t52ftddjzwsxoerapx5vrxm2fdzpaza5sva" timestamp="1752328731"&gt;21&lt;/key&gt;&lt;/foreign-keys&gt;&lt;ref-type name="Journal Article"&gt;17&lt;/ref-type&gt;&lt;contributors&gt;&lt;authors&gt;&lt;author&gt;Mpofu, Favourate Y&lt;/author&gt;&lt;author&gt;Mhlanga, David&lt;/author&gt;&lt;/authors&gt;&lt;/contributors&gt;&lt;titles&gt;&lt;title&gt;Digital financial inclusion, digital financial services tax and financial inclusion in the fourth industrial revolution era in Africa&lt;/title&gt;&lt;secondary-title&gt;Economies&lt;/secondary-title&gt;&lt;/titles&gt;&lt;periodical&gt;&lt;full-title&gt;Economies&lt;/full-title&gt;&lt;/periodical&gt;&lt;pages&gt;184&lt;/pages&gt;&lt;volume&gt;10&lt;/volume&gt;&lt;number&gt;8&lt;/number&gt;&lt;dates&gt;&lt;year&gt;2022&lt;/year&gt;&lt;/dates&gt;&lt;isbn&gt;2227-7099&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Mpofu and Mhlanga (2022)</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 investigated mobile money taxes in Africa and concluded that although the taxes lead to generating government revenues, they limit financial inclusion to poor people, thus hampering the achievement of SDG 2.Digital payment integration in agriculture holds paramount importance in advancing food security. The role of fin tech solutions in equipping farmers with finance so that they can utilize it in acquiring better technology and enhancing the efficiency of the supply chain was highlighted </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Danladi, Prasad et al. (2023)</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The use of digital transactions can make direct payments to farmers without having to rely on other people leading to a just price of agriculture products. The Nigeria and Indian case studies indicate the accessibility of mobile banking and digital credit which resulted in higher crop production and food distribution channels. Moreover, online payments boost accountability in terms of agricultural subsidies and provision of financial aids.</w:t>
      </w:r>
    </w:p>
    <w:p w14:paraId="70888498">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Governments and organizations can use block-chain and mobile payment technologies to deliver funds to its intended beneficiary without corruption or misappropriation. This direct and transparent system of allocation is highly useful to the smallholder farmers who happen to be isolated in the normal banking system. Moreover, availability of digital microfinance enables farmers to access seeds, fertilizers and agricultural implements on credit thereby enhancing their productivity and the level of their income. Regardless of these benefits, digitization of payments in the rural and agricultural sectors is a problem because of inadequate connectivity, financial illiteracy, and poorly developed payment settlements. Governments have to focus on the broadening of digital literacy </w:t>
      </w:r>
      <w:r>
        <w:rPr>
          <w:rFonts w:hint="default" w:ascii="Times New Roman" w:hAnsi="Times New Roman" w:eastAsia="Times New Roman"/>
          <w:sz w:val="24"/>
          <w:szCs w:val="24"/>
          <w:lang w:val="en-US"/>
        </w:rPr>
        <w:t>programme</w:t>
      </w:r>
      <w:r>
        <w:rPr>
          <w:rFonts w:hint="default" w:ascii="Times New Roman" w:hAnsi="Times New Roman" w:eastAsia="Times New Roman"/>
          <w:sz w:val="24"/>
          <w:szCs w:val="24"/>
        </w:rPr>
        <w:t xml:space="preserve"> as well as the investing in mobile banking services so that the full impact</w:t>
      </w:r>
      <w:r>
        <w:rPr>
          <w:rFonts w:hint="default" w:ascii="Times New Roman" w:hAnsi="Times New Roman" w:eastAsia="Times New Roman"/>
          <w:sz w:val="24"/>
          <w:szCs w:val="24"/>
          <w:lang w:val="en-US"/>
        </w:rPr>
        <w:t xml:space="preserve"> d</w:t>
      </w:r>
      <w:r>
        <w:rPr>
          <w:rFonts w:hint="default" w:ascii="Times New Roman" w:hAnsi="Times New Roman" w:eastAsia="Times New Roman"/>
          <w:sz w:val="24"/>
          <w:szCs w:val="24"/>
        </w:rPr>
        <w:t>igital financial inclusion of taken advantage of by the farmers as well as the low income societies. Besides, the reduced the cost of transactions and the improvement of financial security should be the element of the regulatory policy to promote the broader use of it.</w:t>
      </w:r>
    </w:p>
    <w:p w14:paraId="426A2DB9">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The implementation of digital payments can be further changed and increased by the collaboration of fin-tech companies with agribusiness, therefore, enhancing food security and reaching SDG 2. The SDG 2 is to grow sustainable agriculture, improve nutrition, eliminate hunger, and secure food supply. Digital payment, financial innovation, and technologies help to achieve these goals by enhancing financial inclusion of farmers, enhancing agricultural productivity, and by performing enhanced food distribution systems. The use of digital payment systems allows effective financial transactions in the agricultural sector that enhances improved access to resources by smallholder producers. The literature indicates that on the one hand, food security is enhanced by digital financial inclusion enabled by mobile payments and adaptation of fin-tech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Danladi, Prasad et al. (2023)</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Digital finance is also used to increase access to farm inputs, credit and subsidies, which eventually results in higher agricultural productivity</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Danladi, Prasad et al. (2023)</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(Tay, Tai et al. 2022).</w:t>
      </w:r>
    </w:p>
    <w:p w14:paraId="214E7DE4">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Through the mobile banking system, farmers will get payments on the spot and this will help them to be independent of the middlemen and, as a result, they will increase their profitability. Nevertheless, there are also impediments that include lack of infrastructure, cyber security threats as well as gaps in digital literacy</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AuthorYear="1"&gt;&lt;Author&gt;Maherali&lt;/Author&gt;&lt;Year&gt;2017&lt;/Year&gt;&lt;RecNum&gt;23&lt;/RecNum&gt;&lt;DisplayText&gt;Maherali (2017)&lt;/DisplayText&gt;&lt;record&gt;&lt;rec-number&gt;23&lt;/rec-number&gt;&lt;foreign-keys&gt;&lt;key app="EN" db-id="2t52ftddjzwsxoerapx5vrxm2fdzpaza5sva" timestamp="1752329280"&gt;23&lt;/key&gt;&lt;/foreign-keys&gt;&lt;ref-type name="Thesis"&gt;32&lt;/ref-type&gt;&lt;contributors&gt;&lt;authors&gt;&lt;author&gt;Maherali, Alim&lt;/author&gt;&lt;/authors&gt;&lt;/contributors&gt;&lt;titles&gt;&lt;title&gt;Financial inclusion, digital payments and their impact on income and tax revenue around the world&lt;/title&gt;&lt;/titles&gt;&lt;dates&gt;&lt;year&gt;2017&lt;/year&gt;&lt;/dates&gt;&lt;publisher&gt;Harvard University&lt;/publisher&gt;&lt;urls&gt;&lt;/urls&gt;&lt;/record&gt;&lt;/Cite&gt;&lt;/EndNote&gt;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Maherali (2017)</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.Finally, digital payment solutions are also involved in financial resilience by enabling farmers with access to credit and microfinance and consequently sustain agricultural production even during crises. Literature points out that the use of digital financial services could enhance market efficiency, lower transaction cost, boost productivity through connecting small-scale farmers with formal financial systems</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AuthorYear="1"&gt;&lt;Author&gt;Siddik&lt;/Author&gt;&lt;Year&gt;2020&lt;/Year&gt;&lt;RecNum&gt;24&lt;/RecNum&gt;&lt;DisplayText&gt;Siddik (2020)&lt;/DisplayText&gt;&lt;record&gt;&lt;rec-number&gt;24&lt;/rec-number&gt;&lt;foreign-keys&gt;&lt;key app="EN" db-id="2t52ftddjzwsxoerapx5vrxm2fdzpaza5sva" timestamp="1752329453"&gt;24&lt;/key&gt;&lt;/foreign-keys&gt;&lt;ref-type name="Journal Article"&gt;17&lt;/ref-type&gt;&lt;contributors&gt;&lt;authors&gt;&lt;author&gt;Siddik, Md Nur Alam&lt;/author&gt;&lt;/authors&gt;&lt;/contributors&gt;&lt;titles&gt;&lt;title&gt;Economic stimulus for COVID-19 pandemic and its determinants: evidence from cross-country analysis&lt;/title&gt;&lt;secondary-title&gt;Heliyon&lt;/secondary-title&gt;&lt;/titles&gt;&lt;periodical&gt;&lt;full-title&gt;Heliyon&lt;/full-title&gt;&lt;/periodical&gt;&lt;volume&gt;6&lt;/volume&gt;&lt;number&gt;12&lt;/number&gt;&lt;dates&gt;&lt;year&gt;2020&lt;/year&gt;&lt;/dates&gt;&lt;isbn&gt;2405-8440&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Siddik (2020)</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.Financial inclusion can improve access to credit, insurance, payment system among other benefits such as poverty reduction and food security of small holder farmers. According to studies, the efficiency of grain security and distribution increases within mobile banking</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AuthorYear="1"&gt;&lt;Author&gt;Jia&lt;/Author&gt;&lt;Year&gt;2021&lt;/Year&gt;&lt;RecNum&gt;25&lt;/RecNum&gt;&lt;DisplayText&gt;Jia, Wen et al. (2021)&lt;/DisplayText&gt;&lt;record&gt;&lt;rec-number&gt;25&lt;/rec-number&gt;&lt;foreign-keys&gt;&lt;key app="EN" db-id="2t52ftddjzwsxoerapx5vrxm2fdzpaza5sva" timestamp="1752329597"&gt;25&lt;/key&gt;&lt;/foreign-keys&gt;&lt;ref-type name="Journal Article"&gt;17&lt;/ref-type&gt;&lt;contributors&gt;&lt;authors&gt;&lt;author&gt;Jia, Zhijie&lt;/author&gt;&lt;author&gt;Wen, Shiyan&lt;/author&gt;&lt;author&gt;Lin, Boqiang&lt;/author&gt;&lt;/authors&gt;&lt;/contributors&gt;&lt;titles&gt;&lt;title&gt;The effects and reacts of COVID-19 pandemic and international oil price on energy, economy, and environment in China&lt;/title&gt;&lt;secondary-title&gt;Applied Energy&lt;/secondary-title&gt;&lt;/titles&gt;&lt;periodical&gt;&lt;full-title&gt;Applied Energy&lt;/full-title&gt;&lt;/periodical&gt;&lt;pages&gt;117612&lt;/pages&gt;&lt;volume&gt;302&lt;/volume&gt;&lt;dates&gt;&lt;year&gt;2021&lt;/year&gt;&lt;/dates&gt;&lt;isbn&gt;0306-2619&lt;/isbn&gt;&lt;urls&gt;&lt;/urls&gt;&lt;/record&gt;&lt;/Cite&gt;&lt;/EndNote&gt;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Jia, Wen et al. (2021)</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 Moreover, the Islamic financial tools, including zakat and waqf, facilitate sustainability financing in agriculture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lang w:val="en-US"/>
        </w:rPr>
        <w:instrText xml:space="preserve"> ADDIN EN.CITE &lt;EndNote&gt;&lt;Cite AuthorYear="1"&gt;&lt;Author&gt;Abduh&lt;/Author&gt;&lt;Year&gt;2019&lt;/Year&gt;&lt;RecNum&gt;27&lt;/RecNum&gt;&lt;DisplayText&gt;Abduh (2019)&lt;/DisplayText&gt;&lt;record&gt;&lt;rec-number&gt;27&lt;/rec-number&gt;&lt;foreign-keys&gt;&lt;key app="EN" db-id="2t52ftddjzwsxoerapx5vrxm2fdzpaza5sva" timestamp="1752330293"&gt;27&lt;/key&gt;&lt;/foreign-keys&gt;&lt;ref-type name="Journal Article"&gt;17&lt;/ref-type&gt;&lt;contributors&gt;&lt;authors&gt;&lt;author&gt;Abduh, Muhamad&lt;/author&gt;&lt;/authors&gt;&lt;/contributors&gt;&lt;titles&gt;&lt;title&gt;The role of Islamic social finance in achieving SDG number 2: end hunger, achieve food security and improved nutrition and promote sustainable agriculture&lt;/title&gt;&lt;secondary-title&gt;Al-Shajarah: Journal of the International Institute of Islamic Thought and Civilisation (ISTAC)&lt;/secondary-title&gt;&lt;/titles&gt;&lt;periodical&gt;&lt;full-title&gt;Al-Shajarah: Journal of the International Institute of Islamic Thought and Civilisation (ISTAC)&lt;/full-title&gt;&lt;/periodical&gt;&lt;dates&gt;&lt;year&gt;2019&lt;/year&gt;&lt;/dates&gt;&lt;isbn&gt;2735-1866&lt;/isbn&gt;&lt;urls&gt;&lt;/urls&gt;&lt;/record&gt;&lt;/Cite&gt;&lt;/EndNote&gt;</w:instrText>
      </w:r>
      <w:r>
        <w:rPr>
          <w:rFonts w:hint="default" w:ascii="Times New Roman" w:hAnsi="Times New Roman" w:eastAsia="Times New Roman"/>
          <w:sz w:val="24"/>
          <w:szCs w:val="24"/>
        </w:rPr>
        <w:fldChar w:fldCharType="separate"/>
      </w:r>
      <w:r>
        <w:rPr>
          <w:rFonts w:hint="default" w:ascii="Times New Roman" w:hAnsi="Times New Roman" w:eastAsia="Times New Roman" w:cstheme="minorBidi"/>
          <w:sz w:val="24"/>
          <w:szCs w:val="24"/>
          <w:lang w:val="en-US" w:eastAsia="en-US" w:bidi="ar-SA"/>
        </w:rPr>
        <w:t>Abduh (2019)</w:t>
      </w:r>
      <w:r>
        <w:rPr>
          <w:rFonts w:hint="default" w:ascii="Times New Roman" w:hAnsi="Times New Roman" w:eastAsia="Times New Roman"/>
          <w:sz w:val="24"/>
          <w:szCs w:val="24"/>
        </w:rPr>
        <w:fldChar w:fldCharType="end"/>
      </w:r>
      <w:r>
        <w:rPr>
          <w:rFonts w:hint="default" w:ascii="Times New Roman" w:hAnsi="Times New Roman" w:eastAsia="Times New Roman"/>
          <w:sz w:val="24"/>
          <w:szCs w:val="24"/>
        </w:rPr>
        <w:t>.</w:t>
      </w:r>
    </w:p>
    <w:p w14:paraId="6230A693">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The inability to find affordable credit is one of the reasons of agricultural productivity is not easily achieved. Financial inclusion works in such a way that smallholder farmers are able to access loans to acquire a better equipment, high-quality seeds, and sound farming practices faculty. Besides, financial literacy can be enhanced through financial education programs, and farmers are going to confidently make decisions related to financing and investments</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AuthorYear="1"&gt;&lt;Author&gt;Mpofu&lt;/Author&gt;&lt;Year&gt;2023&lt;/Year&gt;&lt;RecNum&gt;28&lt;/RecNum&gt;&lt;DisplayText&gt;Mpofu (2023)&lt;/DisplayText&gt;&lt;record&gt;&lt;rec-number&gt;28&lt;/rec-number&gt;&lt;foreign-keys&gt;&lt;key app="EN" db-id="2t52ftddjzwsxoerapx5vrxm2fdzpaza5sva" timestamp="1752330490"&gt;28&lt;/key&gt;&lt;/foreign-keys&gt;&lt;ref-type name="Journal Article"&gt;17&lt;/ref-type&gt;&lt;contributors&gt;&lt;authors&gt;&lt;author&gt;Mpofu, Favourate Y&lt;/author&gt;&lt;/authors&gt;&lt;/contributors&gt;&lt;titles&gt;&lt;title&gt;Digital entrepreneurship, taxation of the digital economy, digital transformation, and sustainable development in Africa&lt;/title&gt;&lt;secondary-title&gt;The Fourth Industrial Revolution in Africa: Exploring the Development Implications of Smart Technologies in Africa&lt;/secondary-title&gt;&lt;/titles&gt;&lt;periodical&gt;&lt;full-title&gt;The Fourth Industrial Revolution in Africa: Exploring the Development Implications of Smart Technologies in Africa&lt;/full-title&gt;&lt;/periodical&gt;&lt;pages&gt;193-219&lt;/pages&gt;&lt;dates&gt;&lt;year&gt;2023&lt;/year&gt;&lt;/dates&gt;&lt;urls&gt;&lt;/urls&gt;&lt;/record&gt;&lt;/Cite&gt;&lt;/EndNote&gt;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Mpofu (2023)</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.Financial literacy can be enhanced through financial education programs, and farmers will confidently make decisions related to financing and investments </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AuthorYear="1"&gt;&lt;Author&gt;Mpofu&lt;/Author&gt;&lt;Year&gt;2023&lt;/Year&gt;&lt;RecNum&gt;28&lt;/RecNum&gt;&lt;DisplayText&gt;Mpofu (2023)&lt;/DisplayText&gt;&lt;record&gt;&lt;rec-number&gt;28&lt;/rec-number&gt;&lt;foreign-keys&gt;&lt;key app="EN" db-id="2t52ftddjzwsxoerapx5vrxm2fdzpaza5sva" timestamp="1752330490"&gt;28&lt;/key&gt;&lt;/foreign-keys&gt;&lt;ref-type name="Journal Article"&gt;17&lt;/ref-type&gt;&lt;contributors&gt;&lt;authors&gt;&lt;author&gt;Mpofu, Favourate Y&lt;/author&gt;&lt;/authors&gt;&lt;/contributors&gt;&lt;titles&gt;&lt;title&gt;Digital entrepreneurship, taxation of the digital economy, digital transformation, and sustainable development in Africa&lt;/title&gt;&lt;secondary-title&gt;The Fourth Industrial Revolution in Africa: Exploring the Development Implications of Smart Technologies in Africa&lt;/secondary-title&gt;&lt;/titles&gt;&lt;periodical&gt;&lt;full-title&gt;The Fourth Industrial Revolution in Africa: Exploring the Development Implications of Smart Technologies in Africa&lt;/full-title&gt;&lt;/periodical&gt;&lt;pages&gt;193-219&lt;/pages&gt;&lt;dates&gt;&lt;year&gt;2023&lt;/year&gt;&lt;/dates&gt;&lt;urls&gt;&lt;/urls&gt;&lt;/record&gt;&lt;/Cite&gt;&lt;/EndNote&gt;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Mpofu (2023)</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Literature shows that productivity can be increased through agricultural breeding and technology-based extension services</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AuthorYear="1"&gt;&lt;Author&gt;Bagheri&lt;/Author&gt;&lt;Year&gt;2019&lt;/Year&gt;&lt;RecNum&gt;29&lt;/RecNum&gt;&lt;DisplayText&gt;Bagheri, Emami et al. (2019)&lt;/DisplayText&gt;&lt;record&gt;&lt;rec-number&gt;29&lt;/rec-number&gt;&lt;foreign-keys&gt;&lt;key app="EN" db-id="2t52ftddjzwsxoerapx5vrxm2fdzpaza5sva" timestamp="1752330630"&gt;29&lt;/key&gt;&lt;/foreign-keys&gt;&lt;ref-type name="Journal Article"&gt;17&lt;/ref-type&gt;&lt;contributors&gt;&lt;authors&gt;&lt;author&gt;Bagheri, Asghar&lt;/author&gt;&lt;author&gt;Emami, Naier&lt;/author&gt;&lt;author&gt;Damalas, Christos A&lt;/author&gt;&lt;author&gt;Allahyari, Mohammad Sadegh&lt;/author&gt;&lt;/authors&gt;&lt;/contributors&gt;&lt;titles&gt;&lt;title&gt;Farmers’ knowledge, attitudes, and perceptions of pesticide use in apple farms of northern Iran: impact on safety behavior&lt;/title&gt;&lt;secondary-title&gt;Environmental Science and Pollution Research&lt;/secondary-title&gt;&lt;/titles&gt;&lt;periodical&gt;&lt;full-title&gt;Environmental Science and Pollution Research&lt;/full-title&gt;&lt;/periodical&gt;&lt;pages&gt;9343-9351&lt;/pages&gt;&lt;volume&gt;26&lt;/volume&gt;&lt;number&gt;9&lt;/number&gt;&lt;dates&gt;&lt;year&gt;2019&lt;/year&gt;&lt;/dates&gt;&lt;isbn&gt;0944-1344&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Bagheri, Emami et al. (2019)</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;(Avana-Tientcheu, Sime et al. 2019). The emergence of innovations like the AI-powered precision farming, climate-resistant crops as well as automated irrigation systems have greatly acted to improve agricultural productivity.</w:t>
      </w:r>
    </w:p>
    <w:p w14:paraId="0B317D92">
      <w:pPr>
        <w:keepNext w:val="0"/>
        <w:keepLines w:val="0"/>
        <w:widowControl/>
        <w:suppressLineNumbers w:val="0"/>
        <w:jc w:val="both"/>
        <w:rPr>
          <w:rFonts w:hint="default" w:ascii="Times New Roman" w:hAnsi="Times New Roman" w:eastAsia="Times New Roman" w:cs="Times New Roman"/>
          <w:sz w:val="24"/>
          <w:szCs w:val="24"/>
        </w:rPr>
      </w:pPr>
      <w:r>
        <w:rPr>
          <w:rFonts w:hint="default" w:ascii="Times New Roman" w:hAnsi="Times New Roman" w:eastAsia="Times New Roman"/>
          <w:color w:val="auto"/>
          <w:sz w:val="24"/>
          <w:szCs w:val="24"/>
        </w:rPr>
        <w:t>Advances in digital technology has added to the conventional methods of farming leading to increased efficiency of resource distribution, and less destructive to the environment. Nevertheless, access to such technologies is not equal, and policies do not support them</w:t>
      </w:r>
      <w:r>
        <w:rPr>
          <w:rFonts w:hint="default" w:ascii="Times New Roman" w:hAnsi="Times New Roman" w:eastAsia="Times New Roman"/>
          <w:color w:val="auto"/>
          <w:sz w:val="24"/>
          <w:szCs w:val="24"/>
          <w:lang w:val="en-US"/>
        </w:rPr>
        <w:t xml:space="preserve">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AuthorYear="1"&gt;&lt;Author&gt;Von Grebmer&lt;/Author&gt;&lt;Year&gt;2016&lt;/Year&gt;&lt;RecNum&gt;31&lt;/RecNum&gt;&lt;DisplayText&gt;Von Grebmer, Bernstein et al. (2016)&lt;/DisplayText&gt;&lt;record&gt;&lt;rec-number&gt;31&lt;/rec-number&gt;&lt;foreign-keys&gt;&lt;key app="EN" db-id="2t52ftddjzwsxoerapx5vrxm2fdzpaza5sva" timestamp="1752330932"&gt;31&lt;/key&gt;&lt;/foreign-keys&gt;&lt;ref-type name="Book"&gt;6&lt;/ref-type&gt;&lt;contributors&gt;&lt;authors&gt;&lt;author&gt;Von Grebmer, Klaus&lt;/author&gt;&lt;author&gt;Bernstein, Jill&lt;/author&gt;&lt;author&gt;Nabarro, David&lt;/author&gt;&lt;author&gt;Prasai, Nilam&lt;/author&gt;&lt;author&gt;Amin, Shazia&lt;/author&gt;&lt;author&gt;Yohannes, Yisehac&lt;/author&gt;&lt;author&gt;Sonntag, Andrea&lt;/author&gt;&lt;author&gt;Patterson, Fraser&lt;/author&gt;&lt;author&gt;Towey, Olive&lt;/author&gt;&lt;author&gt;Thompson, Jennifer&lt;/author&gt;&lt;/authors&gt;&lt;/contributors&gt;&lt;titles&gt;&lt;title&gt;2016 Global hunger index: Getting to zero hunger&lt;/title&gt;&lt;/titles&gt;&lt;dates&gt;&lt;year&gt;2016&lt;/year&gt;&lt;/dates&gt;&lt;publisher&gt;Intl Food Policy Res Inst&lt;/publisher&gt;&lt;isbn&gt;0896292266&lt;/isbn&gt;&lt;urls&gt;&lt;/urls&gt;&lt;/record&gt;&lt;/Cite&gt;&lt;/EndNote&gt;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Von Grebmer, Bernstein et al. (2016)</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 xml:space="preserve">. The block-chain technology is also under consideration to guarantee transparency of the agricultural supply chain and limit frauds and enhance trust amid stakeholders. Digital markets where farmers are connected to markets directly can rid it of intermediaries to uplift the profit margins of producers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AuthorYear="1"&gt;&lt;Author&gt;Wongnaa&lt;/Author&gt;&lt;Year&gt;2018&lt;/Year&gt;&lt;RecNum&gt;32&lt;/RecNum&gt;&lt;DisplayText&gt;Wongnaa and Awunyo-Vitor (2018)&lt;/DisplayText&gt;&lt;record&gt;&lt;rec-number&gt;32&lt;/rec-number&gt;&lt;foreign-keys&gt;&lt;key app="EN" db-id="2t52ftddjzwsxoerapx5vrxm2fdzpaza5sva" timestamp="1752331077"&gt;32&lt;/key&gt;&lt;/foreign-keys&gt;&lt;ref-type name="Journal Article"&gt;17&lt;/ref-type&gt;&lt;contributors&gt;&lt;authors&gt;&lt;author&gt;Wongnaa, Camillus Abawiera&lt;/author&gt;&lt;author&gt;Awunyo-Vitor, Dadson&lt;/author&gt;&lt;/authors&gt;&lt;/contributors&gt;&lt;titles&gt;&lt;title&gt;Achieving sustainable development goals on no poverty and zero hunger: Does technical efficiency of Ghana’s maize farmers matter?&lt;/title&gt;&lt;secondary-title&gt;Agriculture &amp;amp; Food Security&lt;/secondary-title&gt;&lt;/titles&gt;&lt;periodical&gt;&lt;full-title&gt;Agriculture &amp;amp; Food Security&lt;/full-title&gt;&lt;/periodical&gt;&lt;pages&gt;71&lt;/pages&gt;&lt;volume&gt;7&lt;/volume&gt;&lt;number&gt;1&lt;/number&gt;&lt;dates&gt;&lt;year&gt;2018&lt;/year&gt;&lt;/dates&gt;&lt;isbn&gt;2048-7010&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Wongnaa and Awunyo-Vitor (2018)</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 xml:space="preserve">.The literature is reviewed to stress the </w:t>
      </w:r>
      <w:r>
        <w:rPr>
          <w:rFonts w:hint="default" w:ascii="Times New Roman" w:hAnsi="Times New Roman" w:eastAsia="Times New Roman"/>
          <w:color w:val="auto"/>
          <w:sz w:val="24"/>
          <w:szCs w:val="24"/>
          <w:lang w:val="en-US"/>
        </w:rPr>
        <w:t>transformer</w:t>
      </w:r>
      <w:r>
        <w:rPr>
          <w:rFonts w:hint="default" w:ascii="Times New Roman" w:hAnsi="Times New Roman" w:eastAsia="Times New Roman"/>
          <w:color w:val="auto"/>
          <w:sz w:val="24"/>
          <w:szCs w:val="24"/>
        </w:rPr>
        <w:t xml:space="preserve"> capabilities of the digital payments and financial innovation, and digital technology into realizing SDG 2 and SDG 9. The development of digital financial service increases the coverage of banks, improves the resiliency of the economy, and promotes agricultural activities, thus facilitating increases in industry and food security. Nevertheless, their potential must be realized through dealing with such challenges like regulatory limitations, deficiency in digital literacy rates, and poor infrastructure.</w:t>
      </w:r>
    </w:p>
    <w:p w14:paraId="5AF7FA1A">
      <w:pPr>
        <w:pStyle w:val="3"/>
        <w:numPr>
          <w:ilvl w:val="0"/>
          <w:numId w:val="5"/>
        </w:numPr>
        <w:bidi w:val="0"/>
        <w:ind w:left="360" w:leftChars="0" w:hanging="360" w:firstLineChars="0"/>
        <w:rPr>
          <w:rFonts w:hint="default" w:ascii="Times New Roman" w:hAnsi="Times New Roman" w:cs="Times New Roman"/>
          <w:sz w:val="24"/>
          <w:szCs w:val="24"/>
        </w:rPr>
      </w:pPr>
      <w:bookmarkStart w:id="13" w:name="_Toc13112"/>
      <w:r>
        <w:rPr>
          <w:rFonts w:hint="default" w:ascii="Times New Roman" w:hAnsi="Times New Roman" w:cs="Times New Roman"/>
          <w:sz w:val="24"/>
          <w:szCs w:val="24"/>
        </w:rPr>
        <w:t>The impact of the digital payment on SDG 9( Industry, innovation and infrastructure)</w:t>
      </w:r>
      <w:bookmarkEnd w:id="13"/>
    </w:p>
    <w:p w14:paraId="46DCD677">
      <w:pPr>
        <w:spacing w:before="100" w:beforeAutospacing="1" w:after="100" w:afterAutospacing="1" w:line="240" w:lineRule="auto"/>
        <w:ind w:firstLine="840" w:firstLineChars="350"/>
        <w:jc w:val="both"/>
        <w:rPr>
          <w:rFonts w:hint="default" w:ascii="Times New Roman" w:hAnsi="Times New Roman" w:eastAsia="Times New Roman" w:cs="Times New Roman"/>
          <w:color w:val="auto"/>
          <w:sz w:val="24"/>
          <w:szCs w:val="24"/>
        </w:rPr>
      </w:pPr>
      <w:r>
        <w:rPr>
          <w:rFonts w:hint="default" w:ascii="Times New Roman" w:hAnsi="Times New Roman"/>
          <w:sz w:val="24"/>
          <w:szCs w:val="24"/>
        </w:rPr>
        <w:t>Digital payments are also a topic of interest insofar as contributing to SDG 9 by enhancing technological improvement, financial inclusions, and boosting industrialization.</w:t>
      </w:r>
      <w:r>
        <w:rPr>
          <w:rFonts w:hint="default" w:ascii="Times New Roman" w:hAnsi="Times New Roman" w:eastAsia="Times New Roman"/>
          <w:sz w:val="24"/>
          <w:szCs w:val="24"/>
        </w:rPr>
        <w:t xml:space="preserve"> Digital payment systems stimulate innovation and economic activity by making payments without cash. In another study </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AuthorYear="1"&gt;&lt;Author&gt;Ghosh&lt;/Author&gt;&lt;Year&gt;2022&lt;/Year&gt;&lt;RecNum&gt;33&lt;/RecNum&gt;&lt;DisplayText&gt;Ghosh (2022)&lt;/DisplayText&gt;&lt;record&gt;&lt;rec-number&gt;33&lt;/rec-number&gt;&lt;foreign-keys&gt;&lt;key app="EN" db-id="2t52ftddjzwsxoerapx5vrxm2fdzpaza5sva" timestamp="1752331365"&gt;33&lt;/key&gt;&lt;/foreign-keys&gt;&lt;ref-type name="Journal Article"&gt;17&lt;/ref-type&gt;&lt;contributors&gt;&lt;authors&gt;&lt;author&gt;Ghosh, Saibal&lt;/author&gt;&lt;/authors&gt;&lt;/contributors&gt;&lt;titles&gt;&lt;title&gt;Gender and financial inclusion: does technology make a difference?&lt;/title&gt;&lt;secondary-title&gt;Gender, Technology and Development&lt;/secondary-title&gt;&lt;/titles&gt;&lt;periodical&gt;&lt;full-title&gt;Gender, Technology and Development&lt;/full-title&gt;&lt;/periodical&gt;&lt;pages&gt;195-213&lt;/pages&gt;&lt;volume&gt;26&lt;/volume&gt;&lt;number&gt;2&lt;/number&gt;&lt;dates&gt;&lt;year&gt;2022&lt;/year&gt;&lt;/dates&gt;&lt;isbn&gt;0971-8524&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Ghosh (2022)</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it was discovered that digital transactions help to make saving, investing, and conducting business operations easier by subsequently breaking down financial barriers to access money both by the business and the individual. Nevertheless,</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AuthorYear="1"&gt;&lt;Author&gt;Ghosh&lt;/Author&gt;&lt;Year&gt;2022&lt;/Year&gt;&lt;RecNum&gt;33&lt;/RecNum&gt;&lt;DisplayText&gt;Ghosh (2022)&lt;/DisplayText&gt;&lt;record&gt;&lt;rec-number&gt;33&lt;/rec-number&gt;&lt;foreign-keys&gt;&lt;key app="EN" db-id="2t52ftddjzwsxoerapx5vrxm2fdzpaza5sva" timestamp="1752331365"&gt;33&lt;/key&gt;&lt;/foreign-keys&gt;&lt;ref-type name="Journal Article"&gt;17&lt;/ref-type&gt;&lt;contributors&gt;&lt;authors&gt;&lt;author&gt;Ghosh, Saibal&lt;/author&gt;&lt;/authors&gt;&lt;/contributors&gt;&lt;titles&gt;&lt;title&gt;Gender and financial inclusion: does technology make a difference?&lt;/title&gt;&lt;secondary-title&gt;Gender, Technology and Development&lt;/secondary-title&gt;&lt;/titles&gt;&lt;periodical&gt;&lt;full-title&gt;Gender, Technology and Development&lt;/full-title&gt;&lt;/periodical&gt;&lt;pages&gt;195-213&lt;/pages&gt;&lt;volume&gt;26&lt;/volume&gt;&lt;number&gt;2&lt;/number&gt;&lt;dates&gt;&lt;year&gt;2022&lt;/year&gt;&lt;/dates&gt;&lt;isbn&gt;0971-8524&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Ghosh (2022)</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 also mentioned the danger of spending too much and becoming unstable when there is no education on how to manage digital finance. Geographical boundaries are no more with digital transactions and small businesses have access to markets further. The same was observed by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AuthorYear="1"&gt;&lt;Author&gt;Suyanto&lt;/Author&gt;&lt;Year&gt;2023&lt;/Year&gt;&lt;RecNum&gt;36&lt;/RecNum&gt;&lt;DisplayText&gt;Suyanto and Prasilowati (2023)&lt;/DisplayText&gt;&lt;record&gt;&lt;rec-number&gt;36&lt;/rec-number&gt;&lt;foreign-keys&gt;&lt;key app="EN" db-id="2t52ftddjzwsxoerapx5vrxm2fdzpaza5sva" timestamp="1752332275"&gt;36&lt;/key&gt;&lt;/foreign-keys&gt;&lt;ref-type name="Journal Article"&gt;17&lt;/ref-type&gt;&lt;contributors&gt;&lt;authors&gt;&lt;author&gt;Suyanto, Suyanto&lt;/author&gt;&lt;author&gt;Prasilowati, Sri Lestari&lt;/author&gt;&lt;/authors&gt;&lt;/contributors&gt;&lt;titles&gt;&lt;title&gt;The platform factors affecting digital payment advocacy&lt;/title&gt;&lt;secondary-title&gt;Journal of Law and Sustainable Development&lt;/secondary-title&gt;&lt;/titles&gt;&lt;periodical&gt;&lt;full-title&gt;Journal of Law and Sustainable Development&lt;/full-title&gt;&lt;/periodical&gt;&lt;pages&gt;e1700-e1700&lt;/pages&gt;&lt;volume&gt;11&lt;/volume&gt;&lt;number&gt;11&lt;/number&gt;&lt;dates&gt;&lt;year&gt;2023&lt;/year&gt;&lt;/dates&gt;&lt;isbn&gt;2764-4170&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Suyanto and Prasilowati (2023)</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xml:space="preserve"> who stressed that niceness, friendly customer service, and safe payment channels are main reasons why digital financial services continue to take hold, which contributes heavily to the digital economy.</w:t>
      </w:r>
      <w:r>
        <w:rPr>
          <w:rFonts w:hint="default" w:ascii="Times New Roman" w:hAnsi="Times New Roman" w:eastAsia="Times New Roman" w:cs="Times New Roman"/>
          <w:color w:val="auto"/>
          <w:sz w:val="24"/>
          <w:szCs w:val="24"/>
        </w:rPr>
        <w:t xml:space="preserve"> </w:t>
      </w:r>
    </w:p>
    <w:p w14:paraId="177B2970">
      <w:pPr>
        <w:spacing w:before="100" w:beforeAutospacing="1" w:after="100" w:afterAutospacing="1" w:line="240" w:lineRule="auto"/>
        <w:jc w:val="both"/>
        <w:rPr>
          <w:rFonts w:hint="default" w:ascii="Times New Roman" w:hAnsi="Times New Roman" w:eastAsia="Times New Roman" w:cs="Times New Roman"/>
          <w:color w:val="auto"/>
          <w:sz w:val="24"/>
          <w:szCs w:val="24"/>
          <w:lang w:val="en-US"/>
        </w:rPr>
      </w:pPr>
      <w:r>
        <w:rPr>
          <w:rFonts w:hint="default" w:ascii="Times New Roman" w:hAnsi="Times New Roman" w:eastAsia="Times New Roman"/>
          <w:color w:val="auto"/>
          <w:sz w:val="24"/>
          <w:szCs w:val="24"/>
        </w:rPr>
        <w:t>Moreover,</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Beirne and Fernandez (2023)</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 xml:space="preserve"> pointed out that digital finance increases the productivity of businesses and expands their markets yet emphasized that there should be effective regulatory policies to counter the risks of financial losses. The infrastructure is another issue that is predominant in the scaling of digital payments to industrialization. </w:t>
      </w:r>
      <w:r>
        <w:rPr>
          <w:rFonts w:hint="default" w:ascii="Times New Roman" w:hAnsi="Times New Roman" w:eastAsia="Times New Roman"/>
          <w:color w:val="auto"/>
          <w:sz w:val="24"/>
          <w:szCs w:val="24"/>
        </w:rPr>
        <w:fldChar w:fldCharType="begin"/>
      </w:r>
      <w:r>
        <w:rPr>
          <w:rFonts w:hint="default" w:ascii="Times New Roman" w:hAnsi="Times New Roman" w:eastAsia="Times New Roman"/>
          <w:color w:val="auto"/>
          <w:sz w:val="24"/>
          <w:szCs w:val="24"/>
          <w:lang w:val="en-US"/>
        </w:rPr>
        <w:instrText xml:space="preserve"> ADDIN EN.CITE &lt;EndNote&gt;&lt;Cite AuthorYear="1"&gt;&lt;Author&gt;Bhavsar&lt;/Author&gt;&lt;Year&gt;2022&lt;/Year&gt;&lt;RecNum&gt;38&lt;/RecNum&gt;&lt;DisplayText&gt;Bhavsar and Samanta (2022)&lt;/DisplayText&gt;&lt;record&gt;&lt;rec-number&gt;38&lt;/rec-number&gt;&lt;foreign-keys&gt;&lt;key app="EN" db-id="2t52ftddjzwsxoerapx5vrxm2fdzpaza5sva" timestamp="1752332633"&gt;38&lt;/key&gt;&lt;/foreign-keys&gt;&lt;ref-type name="Conference Proceedings"&gt;10&lt;/ref-type&gt;&lt;contributors&gt;&lt;authors&gt;&lt;author&gt;Bhavsar, Vandana&lt;/author&gt;&lt;author&gt;Samanta, Pradeepta Kumar&lt;/author&gt;&lt;/authors&gt;&lt;/contributors&gt;&lt;titles&gt;&lt;title&gt;Sustainability of digital payments: Empirical evidence from India&lt;/title&gt;&lt;secondary-title&gt;2nd International Conference on Sustainability and Equity (ICSE-2021)&lt;/secondary-title&gt;&lt;/titles&gt;&lt;pages&gt;70-78&lt;/pages&gt;&lt;dates&gt;&lt;year&gt;2022&lt;/year&gt;&lt;/dates&gt;&lt;publisher&gt;Atlantis Press&lt;/publisher&gt;&lt;isbn&gt;9462395152&lt;/isbn&gt;&lt;urls&gt;&lt;/urls&gt;&lt;/record&gt;&lt;/Cite&gt;&lt;/EndNote&gt;</w:instrText>
      </w:r>
      <w:r>
        <w:rPr>
          <w:rFonts w:hint="default" w:ascii="Times New Roman" w:hAnsi="Times New Roman" w:eastAsia="Times New Roman"/>
          <w:color w:val="auto"/>
          <w:sz w:val="24"/>
          <w:szCs w:val="24"/>
        </w:rPr>
        <w:fldChar w:fldCharType="separate"/>
      </w:r>
      <w:r>
        <w:rPr>
          <w:rFonts w:hint="default" w:ascii="Times New Roman" w:hAnsi="Times New Roman" w:eastAsia="Times New Roman" w:cstheme="minorBidi"/>
          <w:color w:val="auto"/>
          <w:sz w:val="24"/>
          <w:szCs w:val="24"/>
          <w:lang w:val="en-US" w:eastAsia="en-US" w:bidi="ar-SA"/>
        </w:rPr>
        <w:t>Bhavsar and Samanta (2022)</w:t>
      </w:r>
      <w:r>
        <w:rPr>
          <w:rFonts w:hint="default" w:ascii="Times New Roman" w:hAnsi="Times New Roman" w:eastAsia="Times New Roman"/>
          <w:color w:val="auto"/>
          <w:sz w:val="24"/>
          <w:szCs w:val="24"/>
        </w:rPr>
        <w:fldChar w:fldCharType="end"/>
      </w:r>
      <w:r>
        <w:rPr>
          <w:rFonts w:hint="default" w:ascii="Times New Roman" w:hAnsi="Times New Roman" w:eastAsia="Times New Roman"/>
          <w:color w:val="auto"/>
          <w:sz w:val="24"/>
          <w:szCs w:val="24"/>
          <w:lang w:val="en-US"/>
        </w:rPr>
        <w:t xml:space="preserve"> </w:t>
      </w:r>
      <w:r>
        <w:rPr>
          <w:rFonts w:hint="default" w:ascii="Times New Roman" w:hAnsi="Times New Roman" w:eastAsia="Times New Roman"/>
          <w:color w:val="auto"/>
          <w:sz w:val="24"/>
          <w:szCs w:val="24"/>
        </w:rPr>
        <w:t>compared the transition towards the process of digital payment adoption in India because of major economic incidents like demonetization and COVID-19 pandemic. Nonetheless, this paper has identified that these brief short-rate rises were not guaranteed to be followed by long-term adoption, thus fueling the importance of long-term financial education and increases to infrastructure</w:t>
      </w:r>
      <w:r>
        <w:rPr>
          <w:rFonts w:hint="default" w:ascii="Times New Roman" w:hAnsi="Times New Roman" w:eastAsia="Times New Roman" w:cs="Times New Roman"/>
          <w:color w:val="auto"/>
          <w:sz w:val="24"/>
          <w:szCs w:val="24"/>
        </w:rPr>
        <w:t xml:space="preserve"> </w:t>
      </w:r>
      <w:r>
        <w:rPr>
          <w:rFonts w:hint="default" w:ascii="Times New Roman" w:hAnsi="Times New Roman" w:eastAsia="Times New Roman" w:cs="Times New Roman"/>
          <w:color w:val="auto"/>
          <w:sz w:val="24"/>
          <w:szCs w:val="24"/>
          <w:lang w:val="en-US"/>
        </w:rPr>
        <w:t>.</w:t>
      </w:r>
    </w:p>
    <w:p w14:paraId="0CAEC9B2">
      <w:pPr>
        <w:keepNext w:val="0"/>
        <w:keepLines w:val="0"/>
        <w:widowControl/>
        <w:suppressLineNumbers w:val="0"/>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xml:space="preserve">It is also important how the digital policies contribute to financial inclusion. </w:t>
      </w:r>
      <w:r>
        <w:rPr>
          <w:rFonts w:hint="default" w:ascii="Times New Roman" w:hAnsi="Times New Roman" w:eastAsia="Times New Roman"/>
          <w:color w:val="auto"/>
          <w:sz w:val="24"/>
          <w:szCs w:val="24"/>
          <w:lang w:val="en-US"/>
        </w:rPr>
        <w:t xml:space="preserve">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AuthorYear="1"&gt;&lt;Author&gt;Bhavsar&lt;/Author&gt;&lt;Year&gt;2021&lt;/Year&gt;&lt;RecNum&gt;39&lt;/RecNum&gt;&lt;DisplayText&gt;Bhavsar and Samanta (2021)&lt;/DisplayText&gt;&lt;record&gt;&lt;rec-number&gt;39&lt;/rec-number&gt;&lt;foreign-keys&gt;&lt;key app="EN" db-id="2t52ftddjzwsxoerapx5vrxm2fdzpaza5sva" timestamp="1752332755"&gt;39&lt;/key&gt;&lt;/foreign-keys&gt;&lt;ref-type name="Journal Article"&gt;17&lt;/ref-type&gt;&lt;contributors&gt;&lt;authors&gt;&lt;author&gt;Bhavsar, Vandana&lt;/author&gt;&lt;author&gt;Samanta, Pradeepta Kumar&lt;/author&gt;&lt;/authors&gt;&lt;/contributors&gt;&lt;titles&gt;&lt;title&gt;Investigating the sustainability of digital payments in India&lt;/title&gt;&lt;secondary-title&gt;Orissa Journal of Commerce&lt;/secondary-title&gt;&lt;/titles&gt;&lt;periodical&gt;&lt;full-title&gt;Orissa Journal of Commerce&lt;/full-title&gt;&lt;/periodical&gt;&lt;pages&gt;95-108&lt;/pages&gt;&lt;volume&gt;42&lt;/volume&gt;&lt;number&gt;2&lt;/number&gt;&lt;dates&gt;&lt;year&gt;2021&lt;/year&gt;&lt;/dates&gt;&lt;urls&gt;&lt;/urls&gt;&lt;/record&gt;&lt;/Cite&gt;&lt;/EndNote&gt;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Bhavsar and Samanta (2021)</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 xml:space="preserve">  revealed that the use of digital payments is sensitive to the income statuses and economic state domestically and globally but not necessarily the technological competencies. This result indicates that monetary policies must aim at promoting stability, inclusion, and affordability instead of enlarging technological infrastructure. Governments should introduce financial educational initiatives, regulatory sandboxes, and bonuses to motivate its businesses to adopt digital payment strategies. In order to achieve the SDG 9 in full, stakeholders should pay attention to the development of digital infrastructure, the creation of regulatory stability, and the maintenance of the cyber security. Fin tech led by governments and government-private partnerships can speed up the usage of digital payments and support large-scale industrial ecosystems.</w:t>
      </w:r>
    </w:p>
    <w:p w14:paraId="6F09565B">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The policies going forward ought to focus on digital inclusion models, investment in technology in terms of financial security as well as proliferation of mobile banking to the </w:t>
      </w:r>
      <w:r>
        <w:rPr>
          <w:rFonts w:hint="default" w:ascii="Times New Roman" w:hAnsi="Times New Roman" w:eastAsia="Times New Roman"/>
          <w:sz w:val="24"/>
          <w:szCs w:val="24"/>
          <w:lang w:val="en-US"/>
        </w:rPr>
        <w:t>unreserved</w:t>
      </w:r>
      <w:r>
        <w:rPr>
          <w:rFonts w:hint="default" w:ascii="Times New Roman" w:hAnsi="Times New Roman" w:eastAsia="Times New Roman"/>
          <w:sz w:val="24"/>
          <w:szCs w:val="24"/>
        </w:rPr>
        <w:t xml:space="preserve"> people. With these steps, digital payments will further support industrial innovations and economic stimulation as well as sustainable infrastructure development to make a remarkable commitment to SDG 9. Also, through the use of artificial intelligence (AI) and </w:t>
      </w:r>
      <w:r>
        <w:rPr>
          <w:rFonts w:hint="default" w:ascii="Times New Roman" w:hAnsi="Times New Roman" w:eastAsia="Times New Roman"/>
          <w:sz w:val="24"/>
          <w:szCs w:val="24"/>
          <w:lang w:val="en-US"/>
        </w:rPr>
        <w:t>block chain</w:t>
      </w:r>
      <w:r>
        <w:rPr>
          <w:rFonts w:hint="default" w:ascii="Times New Roman" w:hAnsi="Times New Roman" w:eastAsia="Times New Roman"/>
          <w:sz w:val="24"/>
          <w:szCs w:val="24"/>
        </w:rPr>
        <w:t xml:space="preserve"> in digital transactions, the possibility of security boosting, elimination of fraud, and speeding up of payments would be achieved. Block chain may provide financial data which is easy to view and not tampered with and AI-based financial tools can assist in cash flow management. With these technological innovations, businesses particularly the SMEs will be able to find their confidence to make use of the digital financial solutions thus facilitating economic growth and industrial sustainability.</w:t>
      </w:r>
    </w:p>
    <w:p w14:paraId="7D79FD03">
      <w:pPr>
        <w:keepNext w:val="0"/>
        <w:keepLines w:val="0"/>
        <w:widowControl/>
        <w:suppressLineNumbers w:val="0"/>
        <w:jc w:val="both"/>
        <w:rPr>
          <w:rFonts w:hint="default" w:ascii="Times New Roman" w:hAnsi="Times New Roman" w:eastAsia="Times New Roman"/>
          <w:sz w:val="24"/>
          <w:szCs w:val="24"/>
          <w:lang w:val="en-US"/>
        </w:rPr>
      </w:pPr>
      <w:r>
        <w:rPr>
          <w:rFonts w:hint="default" w:ascii="Times New Roman" w:hAnsi="Times New Roman" w:eastAsia="Times New Roman"/>
          <w:sz w:val="24"/>
          <w:szCs w:val="24"/>
        </w:rPr>
        <w:t>Furthermore, the prospects of enhancing the availability of high-speed internet and affordable financial technology in the developing parts of the world will further enhance financial inclusion, as digital payments can remain a useful addition to SDG 9. SDG 9 will help promote fair and level-sustainable industrialization and foster innovation and develop robust infrastructures. These goals are attained with the help of Digital payments, financial innovation, and technological progress and increase access to financial services, efficiency, and economic development. It is of great importance to note that digital payments enhance access to financial resources and efficiency in industrial development. In India, the problem of digital payments increased because of demonetization and the promotion by the government, but infrastructure and security issues stand as a barrier</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&lt;EndNote&gt;&lt;Cite&gt;&lt;Author&gt;Kumar&lt;/Author&gt;&lt;Year&gt;2021&lt;/Year&gt;&lt;RecNum&gt;19&lt;/RecNum&gt;&lt;DisplayText&gt;(Kumar, Dikshit et al. 2021)&lt;/DisplayText&gt;&lt;record&gt;&lt;rec-number&gt;19&lt;/rec-number&gt;&lt;foreign-keys&gt;&lt;key app="EN" db-id="2t52ftddjzwsxoerapx5vrxm2fdzpaza5sva" timestamp="1752328513"&gt;19&lt;/key&gt;&lt;/foreign-keys&gt;&lt;ref-type name="Journal Article"&gt;17&lt;/ref-type&gt;&lt;contributors&gt;&lt;authors&gt;&lt;author&gt;Kumar, Akshi&lt;/author&gt;&lt;author&gt;Dikshit, Shubham&lt;/author&gt;&lt;author&gt;Albuquerque, Victor Hugo C&lt;/author&gt;&lt;/authors&gt;&lt;/contributors&gt;&lt;titles&gt;&lt;title&gt;Explainable artificial intelligence for sarcasm detection in dialogues&lt;/title&gt;&lt;secondary-title&gt;Wireless Communications and Mobile Computing&lt;/secondary-title&gt;&lt;/titles&gt;&lt;periodical&gt;&lt;full-title&gt;Wireless Communications and Mobile Computing&lt;/full-title&gt;&lt;/periodical&gt;&lt;pages&gt;2939334&lt;/pages&gt;&lt;volume&gt;2021&lt;/volume&gt;&lt;number&gt;1&lt;/number&gt;&lt;dates&gt;&lt;year&gt;2021&lt;/year&gt;&lt;/dates&gt;&lt;isbn&gt;1530-8677&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(Kumar, Dikshit et al. 2021)</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w:t>
      </w:r>
      <w:r>
        <w:rPr>
          <w:rFonts w:hint="default" w:ascii="Times New Roman" w:hAnsi="Times New Roman" w:eastAsia="Times New Roman"/>
          <w:sz w:val="24"/>
          <w:szCs w:val="24"/>
          <w:lang w:val="en-US"/>
        </w:rPr>
        <w:t xml:space="preserve"> </w:t>
      </w:r>
    </w:p>
    <w:p w14:paraId="513CCBD2">
      <w:pPr>
        <w:keepNext w:val="0"/>
        <w:keepLines w:val="0"/>
        <w:widowControl/>
        <w:suppressLineNumbers w:val="0"/>
        <w:jc w:val="both"/>
        <w:rPr>
          <w:rFonts w:hint="default" w:ascii="Times New Roman" w:hAnsi="Times New Roman" w:eastAsia="Times New Roman"/>
          <w:color w:val="auto"/>
          <w:sz w:val="24"/>
          <w:szCs w:val="24"/>
        </w:rPr>
      </w:pPr>
      <w:r>
        <w:rPr>
          <w:rFonts w:hint="default" w:ascii="Times New Roman" w:hAnsi="Times New Roman" w:eastAsia="Times New Roman"/>
          <w:color w:val="auto"/>
          <w:sz w:val="24"/>
          <w:szCs w:val="24"/>
        </w:rPr>
        <w:t xml:space="preserve">Electronic payment systems support the growth of small and medium enterprises (SMEs) due to increased access to business loans, less use of the cash payment technique, and simplified issues of trade across countries. Also, digital payments facilitate e-commerce and the innovation of fin tech, which are necessary to industrialize and expand any economy </w:t>
      </w:r>
      <w:r>
        <w:rPr>
          <w:rFonts w:hint="default" w:ascii="Times New Roman" w:hAnsi="Times New Roman" w:eastAsia="Times New Roman"/>
          <w:color w:val="auto"/>
          <w:sz w:val="24"/>
          <w:szCs w:val="24"/>
          <w:lang w:val="en-US"/>
        </w:rPr>
        <w:t xml:space="preserve">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AuthorYear="1"&gt;&lt;Author&gt;Kaur&lt;/Author&gt;&lt;Year&gt;2023&lt;/Year&gt;&lt;RecNum&gt;35&lt;/RecNum&gt;&lt;DisplayText&gt;Kaur, Sodhi et al. (2023)&lt;/DisplayText&gt;&lt;record&gt;&lt;rec-number&gt;35&lt;/rec-number&gt;&lt;foreign-keys&gt;&lt;key app="EN" db-id="2t52ftddjzwsxoerapx5vrxm2fdzpaza5sva" timestamp="1752331626"&gt;35&lt;/key&gt;&lt;/foreign-keys&gt;&lt;ref-type name="Book Section"&gt;5&lt;/ref-type&gt;&lt;contributors&gt;&lt;authors&gt;&lt;author&gt;Kaur, Harreet&lt;/author&gt;&lt;author&gt;Sodhi, Deepali&lt;/author&gt;&lt;author&gt;Aggarwal, Rashmi&lt;/author&gt;&lt;author&gt;Yadav, Uma Shankar&lt;/author&gt;&lt;/authors&gt;&lt;/contributors&gt;&lt;titles&gt;&lt;title&gt;Managing human resources in digital marketing&lt;/title&gt;&lt;secondary-title&gt;Digital transformation, strategic resilience, cyber security and risk management&lt;/secondary-title&gt;&lt;/titles&gt;&lt;pages&gt;155-162&lt;/pages&gt;&lt;dates&gt;&lt;year&gt;2023&lt;/year&gt;&lt;/dates&gt;&lt;publisher&gt;Emerald Publishing Limited&lt;/publisher&gt;&lt;isbn&gt;1569-3759&lt;/isbn&gt;&lt;urls&gt;&lt;/urls&gt;&lt;/record&gt;&lt;/Cite&gt;&lt;/EndNote&gt;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Kaur, Sodhi et al. (2023)</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 Countries such as Indonesia and Nigeria have experienced an increase in online payments and, as a result, their economy has grown due to improving the transparency level and corruption rate</w:t>
      </w:r>
      <w:r>
        <w:rPr>
          <w:rFonts w:hint="default" w:ascii="Times New Roman" w:hAnsi="Times New Roman" w:eastAsia="Times New Roman"/>
          <w:color w:val="auto"/>
          <w:sz w:val="24"/>
          <w:szCs w:val="24"/>
          <w:lang w:val="en-US"/>
        </w:rPr>
        <w:t xml:space="preserve">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AuthorYear="1"&gt;&lt;Author&gt;Kurniawan&lt;/Author&gt;&lt;Year&gt;2019&lt;/Year&gt;&lt;RecNum&gt;41&lt;/RecNum&gt;&lt;DisplayText&gt;Kurniawan, Vamplew et al. (2019)&lt;/DisplayText&gt;&lt;record&gt;&lt;rec-number&gt;41&lt;/rec-number&gt;&lt;foreign-keys&gt;&lt;key app="EN" db-id="2t52ftddjzwsxoerapx5vrxm2fdzpaza5sva" timestamp="1752333369"&gt;41&lt;/key&gt;&lt;/foreign-keys&gt;&lt;ref-type name="Conference Proceedings"&gt;10&lt;/ref-type&gt;&lt;contributors&gt;&lt;authors&gt;&lt;author&gt;Kurniawan, Budi&lt;/author&gt;&lt;author&gt;Vamplew, Peter&lt;/author&gt;&lt;author&gt;Papasimeon, Michael&lt;/author&gt;&lt;author&gt;Dazeley, Richard&lt;/author&gt;&lt;author&gt;Foale, Cameron&lt;/author&gt;&lt;/authors&gt;&lt;/contributors&gt;&lt;titles&gt;&lt;title&gt;An empirical study of reward structures for actor-critic reinforcement learning in air combat manoeuvring simulation&lt;/title&gt;&lt;secondary-title&gt;Australasian Joint Conference on Artificial Intelligence&lt;/secondary-title&gt;&lt;/titles&gt;&lt;pages&gt;54-65&lt;/pages&gt;&lt;dates&gt;&lt;year&gt;2019&lt;/year&gt;&lt;/dates&gt;&lt;publisher&gt;Springer&lt;/publisher&gt;&lt;urls&gt;&lt;/urls&gt;&lt;/record&gt;&lt;/Cite&gt;&lt;/EndNote&gt;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Kurniawan, Vamplew et al. (2019)</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w:t>
      </w:r>
    </w:p>
    <w:p w14:paraId="537EE287">
      <w:pPr>
        <w:keepNext w:val="0"/>
        <w:keepLines w:val="0"/>
        <w:widowControl/>
        <w:suppressLineNumbers w:val="0"/>
        <w:jc w:val="both"/>
        <w:rPr>
          <w:rFonts w:hint="default" w:ascii="Times New Roman" w:hAnsi="Times New Roman" w:eastAsia="Times New Roman"/>
          <w:sz w:val="24"/>
          <w:szCs w:val="24"/>
        </w:rPr>
      </w:pPr>
      <w:r>
        <w:rPr>
          <w:rFonts w:hint="default" w:ascii="Times New Roman" w:hAnsi="Times New Roman" w:eastAsia="Times New Roman"/>
          <w:sz w:val="24"/>
          <w:szCs w:val="24"/>
        </w:rPr>
        <w:t xml:space="preserve">These data support the significance of the competitive digital payment infrastructure as the means to support the economy and industrial growth. Industrialization is encouraged with financial inclusion due to enhanced access to capital among business owners and small companies. Studies indicate that fin-tech innovations are of great value in promoting financial inclusion and sustainable development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AuthorYear="1"&gt;&lt;Author&gt;Hoang&lt;/Author&gt;&lt;Year&gt;2022&lt;/Year&gt;&lt;RecNum&gt;42&lt;/RecNum&gt;&lt;DisplayText&gt;Hoang, Nguyen et al. (2022)&lt;/DisplayText&gt;&lt;record&gt;&lt;rec-number&gt;42&lt;/rec-number&gt;&lt;foreign-keys&gt;&lt;key app="EN" db-id="2t52ftddjzwsxoerapx5vrxm2fdzpaza5sva" timestamp="1752333576"&gt;42&lt;/key&gt;&lt;/foreign-keys&gt;&lt;ref-type name="Book Section"&gt;5&lt;/ref-type&gt;&lt;contributors&gt;&lt;authors&gt;&lt;author&gt;Hoang, Thinh Gia&lt;/author&gt;&lt;author&gt;Nguyen, Giang Ngo Tinh&lt;/author&gt;&lt;author&gt;Le, Dat Anh&lt;/author&gt;&lt;/authors&gt;&lt;/contributors&gt;&lt;titles&gt;&lt;title&gt;Developments in financial technologies for achieving the sustainable development goals (SDGs): FinTech and SDGs&lt;/title&gt;&lt;secondary-title&gt;Disruptive technologies and eco-innovation for sustainable development&lt;/secondary-title&gt;&lt;/titles&gt;&lt;pages&gt;1-19&lt;/pages&gt;&lt;dates&gt;&lt;year&gt;2022&lt;/year&gt;&lt;/dates&gt;&lt;publisher&gt;IGI Global&lt;/publisher&gt;&lt;urls&gt;&lt;/urls&gt;&lt;/record&gt;&lt;/Cite&gt;&lt;/EndNote&gt;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Hoang, Nguyen et al. (2022)</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(Pandey, Kiran et al. 2022). Banks are a part of cooperative networks in the development of economies, especially those of the countryside</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AuthorYear="1"&gt;&lt;Author&gt;Arora&lt;/Author&gt;&lt;Year&gt;2022&lt;/Year&gt;&lt;RecNum&gt;44&lt;/RecNum&gt;&lt;DisplayText&gt;Arora, Bindra et al. (2022)&lt;/DisplayText&gt;&lt;record&gt;&lt;rec-number&gt;44&lt;/rec-number&gt;&lt;foreign-keys&gt;&lt;key app="EN" db-id="2t52ftddjzwsxoerapx5vrxm2fdzpaza5sva" timestamp="1752334656"&gt;44&lt;/key&gt;&lt;/foreign-keys&gt;&lt;ref-type name="Journal Article"&gt;17&lt;/ref-type&gt;&lt;contributors&gt;&lt;authors&gt;&lt;author&gt;Arora, Saurabh&lt;/author&gt;&lt;author&gt;Bindra, Sushant&lt;/author&gt;&lt;author&gt;Singh, Survesh&lt;/author&gt;&lt;author&gt;Nassa, Vinay Kumar&lt;/author&gt;&lt;/authors&gt;&lt;/contributors&gt;&lt;titles&gt;&lt;title&gt;Prediction of credit card defaults through data analysis and machine learning techniques&lt;/title&gt;&lt;secondary-title&gt;Materials Today: Proceedings&lt;/secondary-title&gt;&lt;/titles&gt;&lt;periodical&gt;&lt;full-title&gt;Materials Today: Proceedings&lt;/full-title&gt;&lt;/periodical&gt;&lt;pages&gt;110-117&lt;/pages&gt;&lt;volume&gt;51&lt;/volume&gt;&lt;dates&gt;&lt;year&gt;2022&lt;/year&gt;&lt;/dates&gt;&lt;isbn&gt;2214-7853&lt;/isbn&gt;&lt;urls&gt;&lt;/urls&gt;&lt;/record&gt;&lt;/Cite&gt;&lt;/EndNote&gt;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Arora, Bindra et al. (2022)</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 Financial inclusion enhances entrepreneurship since businesses are able to access credit and saving programs through this model. Businesses in the areas where there is low financial literacy commonly cannot find funds to meet their needs. Research shows that an inclusive financial institution supports economic diversification, which enhances industries and facilitates the creation of infrastructures</w:t>
      </w:r>
      <w:r>
        <w:rPr>
          <w:rFonts w:hint="default" w:ascii="Times New Roman" w:hAnsi="Times New Roman" w:eastAsia="Times New Roman"/>
          <w:sz w:val="24"/>
          <w:szCs w:val="24"/>
          <w:lang w:val="en-US"/>
        </w:rPr>
        <w:t xml:space="preserve"> </w:t>
      </w:r>
      <w:r>
        <w:rPr>
          <w:rFonts w:hint="default" w:ascii="Times New Roman" w:hAnsi="Times New Roman" w:eastAsia="Times New Roman"/>
          <w:sz w:val="24"/>
          <w:szCs w:val="24"/>
          <w:lang w:val="en-US"/>
        </w:rPr>
        <w:fldChar w:fldCharType="begin"/>
      </w:r>
      <w:r>
        <w:rPr>
          <w:rFonts w:hint="default" w:ascii="Times New Roman" w:hAnsi="Times New Roman" w:eastAsia="Times New Roman"/>
          <w:sz w:val="24"/>
          <w:szCs w:val="24"/>
          <w:lang w:val="en-US"/>
        </w:rPr>
        <w:instrText xml:space="preserve"> ADDIN EN.CITE &lt;EndNote&gt;&lt;Cite AuthorYear="1"&gt;&lt;Author&gt;Soyemi&lt;/Author&gt;&lt;Year&gt;2020&lt;/Year&gt;&lt;RecNum&gt;45&lt;/RecNum&gt;&lt;DisplayText&gt;Soyemi, Olowofela et al. (2020)&lt;/DisplayText&gt;&lt;record&gt;&lt;rec-number&gt;45&lt;/rec-number&gt;&lt;foreign-keys&gt;&lt;key app="EN" db-id="2t52ftddjzwsxoerapx5vrxm2fdzpaza5sva" timestamp="1752334807"&gt;45&lt;/key&gt;&lt;/foreign-keys&gt;&lt;ref-type name="Journal Article"&gt;17&lt;/ref-type&gt;&lt;contributors&gt;&lt;authors&gt;&lt;author&gt;Soyemi, Kenny Ade’&lt;/author&gt;&lt;author&gt;Olowofela, Olusola Enitan&lt;/author&gt;&lt;author&gt;Yunusa, Lateef Adewale&lt;/author&gt;&lt;/authors&gt;&lt;/contributors&gt;&lt;titles&gt;&lt;title&gt;Financial inclusion and sustainable development in Nigeria&lt;/title&gt;&lt;secondary-title&gt;Journal of Economics and Management&lt;/secondary-title&gt;&lt;/titles&gt;&lt;periodical&gt;&lt;full-title&gt;Journal of Economics and Management&lt;/full-title&gt;&lt;/periodical&gt;&lt;pages&gt;105-131&lt;/pages&gt;&lt;number&gt;39&lt;/number&gt;&lt;dates&gt;&lt;year&gt;2020&lt;/year&gt;&lt;/dates&gt;&lt;isbn&gt;1732-1948&lt;/isbn&gt;&lt;urls&gt;&lt;/urls&gt;&lt;/record&gt;&lt;/Cite&gt;&lt;/EndNote&gt;</w:instrText>
      </w:r>
      <w:r>
        <w:rPr>
          <w:rFonts w:hint="default" w:ascii="Times New Roman" w:hAnsi="Times New Roman" w:eastAsia="Times New Roman"/>
          <w:sz w:val="24"/>
          <w:szCs w:val="24"/>
          <w:lang w:val="en-US"/>
        </w:rPr>
        <w:fldChar w:fldCharType="separate"/>
      </w:r>
      <w:r>
        <w:rPr>
          <w:rFonts w:hint="default" w:ascii="Times New Roman" w:hAnsi="Times New Roman" w:eastAsia="Times New Roman" w:cstheme="minorBidi"/>
          <w:sz w:val="24"/>
          <w:szCs w:val="24"/>
          <w:lang w:val="en-US" w:eastAsia="en-US" w:bidi="ar-SA"/>
        </w:rPr>
        <w:t>Soyemi, Olowofela et al. (2020)</w:t>
      </w:r>
      <w:r>
        <w:rPr>
          <w:rFonts w:hint="default" w:ascii="Times New Roman" w:hAnsi="Times New Roman" w:eastAsia="Times New Roman"/>
          <w:sz w:val="24"/>
          <w:szCs w:val="24"/>
          <w:lang w:val="en-US"/>
        </w:rPr>
        <w:fldChar w:fldCharType="end"/>
      </w:r>
      <w:r>
        <w:rPr>
          <w:rFonts w:hint="default" w:ascii="Times New Roman" w:hAnsi="Times New Roman" w:eastAsia="Times New Roman"/>
          <w:sz w:val="24"/>
          <w:szCs w:val="24"/>
        </w:rPr>
        <w:t>.Nevertheless, discrepancies still exist, including the problem of digital exclusion caused by the inaccessibility of smartphones or a connection to the Internet (in rural regions).</w:t>
      </w:r>
    </w:p>
    <w:p w14:paraId="4CF3E769">
      <w:pPr>
        <w:keepNext w:val="0"/>
        <w:keepLines w:val="0"/>
        <w:widowControl/>
        <w:suppressLineNumbers w:val="0"/>
        <w:jc w:val="both"/>
        <w:rPr>
          <w:rFonts w:hint="default" w:ascii="Times New Roman" w:hAnsi="Times New Roman" w:eastAsia="Times New Roman"/>
          <w:color w:val="auto"/>
          <w:sz w:val="24"/>
          <w:szCs w:val="24"/>
          <w:lang w:val="en-US"/>
        </w:rPr>
      </w:pPr>
      <w:r>
        <w:rPr>
          <w:rFonts w:hint="default" w:ascii="Times New Roman" w:hAnsi="Times New Roman" w:eastAsia="Times New Roman"/>
          <w:color w:val="auto"/>
          <w:sz w:val="24"/>
          <w:szCs w:val="24"/>
        </w:rPr>
        <w:t>By adopting policy intervention and financial literacy interventions, these challenges must be resolved to inflate the results of financial inclusion</w:t>
      </w:r>
      <w:r>
        <w:rPr>
          <w:rFonts w:hint="default" w:ascii="Times New Roman" w:hAnsi="Times New Roman" w:eastAsia="Times New Roman"/>
          <w:color w:val="auto"/>
          <w:sz w:val="24"/>
          <w:szCs w:val="24"/>
          <w:lang w:val="en-US"/>
        </w:rPr>
        <w:t xml:space="preserve">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AuthorYear="1"&gt;&lt;Author&gt;Mpofu&lt;/Author&gt;&lt;Year&gt;2022&lt;/Year&gt;&lt;RecNum&gt;21&lt;/RecNum&gt;&lt;DisplayText&gt;Mpofu and Mhlanga (2022)&lt;/DisplayText&gt;&lt;record&gt;&lt;rec-number&gt;21&lt;/rec-number&gt;&lt;foreign-keys&gt;&lt;key app="EN" db-id="2t52ftddjzwsxoerapx5vrxm2fdzpaza5sva" timestamp="1752328731"&gt;21&lt;/key&gt;&lt;/foreign-keys&gt;&lt;ref-type name="Journal Article"&gt;17&lt;/ref-type&gt;&lt;contributors&gt;&lt;authors&gt;&lt;author&gt;Mpofu, Favourate Y&lt;/author&gt;&lt;author&gt;Mhlanga, David&lt;/author&gt;&lt;/authors&gt;&lt;/contributors&gt;&lt;titles&gt;&lt;title&gt;Digital financial inclusion, digital financial services tax and financial inclusion in the fourth industrial revolution era in Africa&lt;/title&gt;&lt;secondary-title&gt;Economies&lt;/secondary-title&gt;&lt;/titles&gt;&lt;periodical&gt;&lt;full-title&gt;Economies&lt;/full-title&gt;&lt;/periodical&gt;&lt;pages&gt;184&lt;/pages&gt;&lt;volume&gt;10&lt;/volume&gt;&lt;number&gt;8&lt;/number&gt;&lt;dates&gt;&lt;year&gt;2022&lt;/year&gt;&lt;/dates&gt;&lt;isbn&gt;2227-7099&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Mpofu and Mhlanga (2022)</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 xml:space="preserve">. Industrialization is supported by technological advances, which help to increase the effectiveness of energy and stimulate sustainable infrastructure. It has been learned that economy development, governance, and industry are being supported by digitization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AuthorYear="1"&gt;&lt;Author&gt;Kaur&lt;/Author&gt;&lt;Year&gt;2018&lt;/Year&gt;&lt;RecNum&gt;46&lt;/RecNum&gt;&lt;DisplayText&gt;Kaur, Sidhu et al. (2018)&lt;/DisplayText&gt;&lt;record&gt;&lt;rec-number&gt;46&lt;/rec-number&gt;&lt;foreign-keys&gt;&lt;key app="EN" db-id="2t52ftddjzwsxoerapx5vrxm2fdzpaza5sva" timestamp="1752344680"&gt;46&lt;/key&gt;&lt;/foreign-keys&gt;&lt;ref-type name="Journal Article"&gt;17&lt;/ref-type&gt;&lt;contributors&gt;&lt;authors&gt;&lt;author&gt;Kaur, Jasneet&lt;/author&gt;&lt;author&gt;Sidhu, Ramneet&lt;/author&gt;&lt;author&gt;Awasthi, Anjali&lt;/author&gt;&lt;author&gt;Chauhan, Satyaveer&lt;/author&gt;&lt;author&gt;Goyal, Suresh&lt;/author&gt;&lt;/authors&gt;&lt;/contributors&gt;&lt;titles&gt;&lt;title&gt;A DEMATEL based approach for investigating barriers in green supply chain management in Canadian manufacturing firms&lt;/title&gt;&lt;secondary-title&gt;International journal of production research&lt;/secondary-title&gt;&lt;/titles&gt;&lt;periodical&gt;&lt;full-title&gt;International journal of production research&lt;/full-title&gt;&lt;/periodical&gt;&lt;pages&gt;312-332&lt;/pages&gt;&lt;volume&gt;56&lt;/volume&gt;&lt;number&gt;1-2&lt;/number&gt;&lt;dates&gt;&lt;year&gt;2018&lt;/year&gt;&lt;/dates&gt;&lt;isbn&gt;0020-7543&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Kaur, Sidhu et al. (2018)</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rPr>
        <w:t>. Industry 4.0 concepts are being adopted like AI, robotics, and Internet of Things (IoT), which are bringing about changes in the manufacturing industry by promoting productivity and minimizing waste. The fourth industrial revolution is also playing a great role in sustainability</w:t>
      </w:r>
      <w:r>
        <w:rPr>
          <w:rFonts w:hint="default" w:ascii="Times New Roman" w:hAnsi="Times New Roman" w:eastAsia="Times New Roman"/>
          <w:color w:val="auto"/>
          <w:sz w:val="24"/>
          <w:szCs w:val="24"/>
          <w:lang w:val="en-US"/>
        </w:rPr>
        <w:t>.</w:t>
      </w:r>
    </w:p>
    <w:p w14:paraId="39FCB698">
      <w:pPr>
        <w:spacing w:before="100" w:beforeAutospacing="1" w:after="100" w:afterAutospacing="1" w:line="240" w:lineRule="auto"/>
        <w:jc w:val="both"/>
        <w:rPr>
          <w:rFonts w:hint="default" w:ascii="Times New Roman" w:hAnsi="Times New Roman" w:eastAsia="Times New Roman"/>
          <w:color w:val="auto"/>
          <w:sz w:val="24"/>
          <w:szCs w:val="24"/>
          <w:lang w:val="en-US"/>
        </w:rPr>
      </w:pPr>
      <w:r>
        <w:rPr>
          <w:rFonts w:hint="default" w:ascii="Times New Roman" w:hAnsi="Times New Roman" w:eastAsia="Times New Roman"/>
          <w:color w:val="auto"/>
          <w:sz w:val="24"/>
          <w:szCs w:val="24"/>
          <w:lang w:val="en-US"/>
        </w:rPr>
        <w:t xml:space="preserve">By implementing modern technologies and introducing industrialization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AuthorYear="1"&gt;&lt;Author&gt;Lekan&lt;/Author&gt;&lt;Year&gt;2022&lt;/Year&gt;&lt;RecNum&gt;47&lt;/RecNum&gt;&lt;DisplayText&gt;Lekan, Aigbavboa et al. (2022)&lt;/DisplayText&gt;&lt;record&gt;&lt;rec-number&gt;47&lt;/rec-number&gt;&lt;foreign-keys&gt;&lt;key app="EN" db-id="2t52ftddjzwsxoerapx5vrxm2fdzpaza5sva" timestamp="1752344956"&gt;47&lt;/key&gt;&lt;/foreign-keys&gt;&lt;ref-type name="Journal Article"&gt;17&lt;/ref-type&gt;&lt;contributors&gt;&lt;authors&gt;&lt;author&gt;Lekan, Amusan&lt;/author&gt;&lt;author&gt;Aigbavboa, Clinton&lt;/author&gt;&lt;author&gt;Babatunde, Ogunbayo&lt;/author&gt;&lt;author&gt;Olabosipo, Fagbenle&lt;/author&gt;&lt;author&gt;Christiana, Adediran&lt;/author&gt;&lt;/authors&gt;&lt;/contributors&gt;&lt;titles&gt;&lt;title&gt;Disruptive technological innovations in construction field and fourth industrial revolution intervention in the achievement of the sustainable development goal 9&lt;/title&gt;&lt;secondary-title&gt;International Journal of Construction Management&lt;/secondary-title&gt;&lt;/titles&gt;&lt;periodical&gt;&lt;full-title&gt;International Journal of Construction Management&lt;/full-title&gt;&lt;/periodical&gt;&lt;pages&gt;2647-2658&lt;/pages&gt;&lt;volume&gt;22&lt;/volume&gt;&lt;number&gt;14&lt;/number&gt;&lt;dates&gt;&lt;year&gt;2022&lt;/year&gt;&lt;/dates&gt;&lt;isbn&gt;1562-3599&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Lekan, Aigbavboa et al. (2022)</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lang w:val="en-US"/>
        </w:rPr>
        <w:t xml:space="preserve">.Those countries that invest in digital infrastructure achieve impressive results wit industrial output. The digitization approach adopted by the European Union has contributed to the industrial productivity and ease in cross-border trade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AuthorYear="1"&gt;&lt;Author&gt;Grifﬁn&lt;/Author&gt;&lt;Year&gt;2014&lt;/Year&gt;&lt;RecNum&gt;49&lt;/RecNum&gt;&lt;DisplayText&gt;Grifﬁn, Michalek et al. (2014)&lt;/DisplayText&gt;&lt;record&gt;&lt;rec-number&gt;49&lt;/rec-number&gt;&lt;foreign-keys&gt;&lt;key app="EN" db-id="2t52ftddjzwsxoerapx5vrxm2fdzpaza5sva" timestamp="1752345267"&gt;49&lt;/key&gt;&lt;/foreign-keys&gt;&lt;ref-type name="Journal Article"&gt;17&lt;/ref-type&gt;&lt;contributors&gt;&lt;authors&gt;&lt;author&gt;Grifﬁn, W Michael&lt;/author&gt;&lt;author&gt;Michalek, Jeremy&lt;/author&gt;&lt;author&gt;Matthews, H Scott&lt;/author&gt;&lt;author&gt;Hassan, Mohd Nor Azman&lt;/author&gt;&lt;/authors&gt;&lt;/contributors&gt;&lt;titles&gt;&lt;title&gt;Availability of biomass residues for co-firing in Peninsular Malaysia: Implications for cost and GHG emissions in the electricity sector&lt;/title&gt;&lt;secondary-title&gt;Energies&lt;/secondary-title&gt;&lt;/titles&gt;&lt;periodical&gt;&lt;full-title&gt;Energies&lt;/full-title&gt;&lt;/periodical&gt;&lt;pages&gt;804-823&lt;/pages&gt;&lt;volume&gt;7&lt;/volume&gt;&lt;number&gt;2&lt;/number&gt;&lt;dates&gt;&lt;year&gt;2014&lt;/year&gt;&lt;/dates&gt;&lt;isbn&gt;1996-1073&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Grifﬁn, Michalek et al. (2014)</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lang w:val="en-US"/>
        </w:rPr>
        <w:t xml:space="preserve">. In the context of developing economies, however, the implementation of financial solutions based on the use of mobile technologies has also stimulated the growth of financial inclusion and industrialization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AuthorYear="1"&gt;&lt;Author&gt;Chen&lt;/Author&gt;&lt;Year&gt;2021&lt;/Year&gt;&lt;RecNum&gt;50&lt;/RecNum&gt;&lt;DisplayText&gt;Chen, Sinha et al. (2021)&lt;/DisplayText&gt;&lt;record&gt;&lt;rec-number&gt;50&lt;/rec-number&gt;&lt;foreign-keys&gt;&lt;key app="EN" db-id="2t52ftddjzwsxoerapx5vrxm2fdzpaza5sva" timestamp="1752345909"&gt;50&lt;/key&gt;&lt;/foreign-keys&gt;&lt;ref-type name="Journal Article"&gt;17&lt;/ref-type&gt;&lt;contributors&gt;&lt;authors&gt;&lt;author&gt;Chen, Maozhi&lt;/author&gt;&lt;author&gt;Sinha, Avik&lt;/author&gt;&lt;author&gt;Hu, Kexiang&lt;/author&gt;&lt;author&gt;Shah, Muhammad Ibrahim&lt;/author&gt;&lt;/authors&gt;&lt;/contributors&gt;&lt;titles&gt;&lt;title&gt;Impact of technological innovation on energy efficiency in industry 4.0 era: Moderation of shadow economy in sustainable development&lt;/title&gt;&lt;secondary-title&gt;Technological Forecasting and Social Change&lt;/secondary-title&gt;&lt;/titles&gt;&lt;periodical&gt;&lt;full-title&gt;Technological Forecasting and Social Change&lt;/full-title&gt;&lt;/periodical&gt;&lt;pages&gt;120521&lt;/pages&gt;&lt;volume&gt;164&lt;/volume&gt;&lt;dates&gt;&lt;year&gt;2021&lt;/year&gt;&lt;/dates&gt;&lt;isbn&gt;0040-1625&lt;/isbn&gt;&lt;urls&gt;&lt;/urls&gt;&lt;/record&gt;&lt;/Cite&gt;&lt;/EndNote&gt;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Chen, Sinha et al. (2021)</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lang w:val="en-US"/>
        </w:rPr>
        <w:t xml:space="preserve">.Nevertheless, the problems related to environmental trade-offs, automation-driven job loss, and loopholes in regulations, are to be overcome </w:t>
      </w:r>
      <w:r>
        <w:rPr>
          <w:rFonts w:hint="default" w:ascii="Times New Roman" w:hAnsi="Times New Roman" w:eastAsia="Times New Roman"/>
          <w:color w:val="auto"/>
          <w:sz w:val="24"/>
          <w:szCs w:val="24"/>
          <w:lang w:val="en-US"/>
        </w:rPr>
        <w:fldChar w:fldCharType="begin"/>
      </w:r>
      <w:r>
        <w:rPr>
          <w:rFonts w:hint="default" w:ascii="Times New Roman" w:hAnsi="Times New Roman" w:eastAsia="Times New Roman"/>
          <w:color w:val="auto"/>
          <w:sz w:val="24"/>
          <w:szCs w:val="24"/>
          <w:lang w:val="en-US"/>
        </w:rPr>
        <w:instrText xml:space="preserve"> ADDIN EN.CITE &lt;EndNote&gt;&lt;Cite AuthorYear="1"&gt;&lt;Author&gt;Zeraibi&lt;/Author&gt;&lt;Year&gt;2024&lt;/Year&gt;&lt;RecNum&gt;51&lt;/RecNum&gt;&lt;DisplayText&gt;Zeraibi, Jahanger et al. (2024)&lt;/DisplayText&gt;&lt;record&gt;&lt;rec-number&gt;51&lt;/rec-number&gt;&lt;foreign-keys&gt;&lt;key app="EN" db-id="2t52ftddjzwsxoerapx5vrxm2fdzpaza5sva" timestamp="1752346500"&gt;51&lt;/key&gt;&lt;/foreign-keys&gt;&lt;ref-type name="Journal Article"&gt;17&lt;/ref-type&gt;&lt;contributors&gt;&lt;authors&gt;&lt;author&gt;Zeraibi, Ayoub&lt;/author&gt;&lt;author&gt;Jahanger, Atif&lt;/author&gt;&lt;author&gt;Usman, Muhammad&lt;/author&gt;&lt;author&gt;Balsalobre-Lorente, Daniel&lt;/author&gt;&lt;author&gt;Adebayo, Tomiwa Sunday&lt;/author&gt;&lt;author&gt;Kamal, Mustafa&lt;/author&gt;&lt;/authors&gt;&lt;/contributors&gt;&lt;titles&gt;&lt;title&gt;The role of fiscal decentralization and technological innovations in curbing sulfur dioxide emissions: formulating SDGs policies for China&lt;/title&gt;&lt;secondary-title&gt;Environment, Development and Sustainability&lt;/secondary-title&gt;&lt;/titles&gt;&lt;periodical&gt;&lt;full-title&gt;Environment, Development and Sustainability&lt;/full-title&gt;&lt;/periodical&gt;&lt;pages&gt;19659-19684&lt;/pages&gt;&lt;volume&gt;26&lt;/volume&gt;&lt;number&gt;8&lt;/number&gt;&lt;dates&gt;&lt;year&gt;2024&lt;/year&gt;&lt;/dates&gt;&lt;isbn&gt;1573-2975&lt;/isbn&gt;&lt;urls&gt;&lt;/urls&gt;&lt;/record&gt;&lt;/Cite&gt;&lt;/EndNote&gt;</w:instrText>
      </w:r>
      <w:r>
        <w:rPr>
          <w:rFonts w:hint="default" w:ascii="Times New Roman" w:hAnsi="Times New Roman" w:eastAsia="Times New Roman"/>
          <w:color w:val="auto"/>
          <w:sz w:val="24"/>
          <w:szCs w:val="24"/>
          <w:lang w:val="en-US"/>
        </w:rPr>
        <w:fldChar w:fldCharType="separate"/>
      </w:r>
      <w:r>
        <w:rPr>
          <w:rFonts w:hint="default" w:ascii="Times New Roman" w:hAnsi="Times New Roman" w:eastAsia="Times New Roman" w:cstheme="minorBidi"/>
          <w:color w:val="auto"/>
          <w:sz w:val="24"/>
          <w:szCs w:val="24"/>
          <w:lang w:val="en-US" w:eastAsia="en-US" w:bidi="ar-SA"/>
        </w:rPr>
        <w:t>Zeraibi, Jahanger et al. (2024)</w:t>
      </w:r>
      <w:r>
        <w:rPr>
          <w:rFonts w:hint="default" w:ascii="Times New Roman" w:hAnsi="Times New Roman" w:eastAsia="Times New Roman"/>
          <w:color w:val="auto"/>
          <w:sz w:val="24"/>
          <w:szCs w:val="24"/>
          <w:lang w:val="en-US"/>
        </w:rPr>
        <w:fldChar w:fldCharType="end"/>
      </w:r>
      <w:r>
        <w:rPr>
          <w:rFonts w:hint="default" w:ascii="Times New Roman" w:hAnsi="Times New Roman" w:eastAsia="Times New Roman"/>
          <w:color w:val="auto"/>
          <w:sz w:val="24"/>
          <w:szCs w:val="24"/>
          <w:lang w:val="en-US"/>
        </w:rPr>
        <w:t>.</w:t>
      </w:r>
    </w:p>
    <w:p w14:paraId="3305062F">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sz w:val="24"/>
          <w:szCs w:val="24"/>
        </w:rPr>
        <w:t xml:space="preserve">In SDG 9, this is achieved through digital payments, financial innovations that lead to industrialization, resilient economies as well as sustainable growth. Appropriate policy structures and regulatory management will be required to bring in financial stability as well as promote innovation. In SDG 2, financial inclusion and improvement in agriculture technologies help to improve food security, empower smallholder farmers and eliminate poverty. The </w:t>
      </w:r>
      <w:r>
        <w:rPr>
          <w:rFonts w:hint="default" w:ascii="Times New Roman" w:hAnsi="Times New Roman" w:eastAsia="Times New Roman"/>
          <w:sz w:val="24"/>
          <w:szCs w:val="24"/>
          <w:lang w:val="en-US"/>
        </w:rPr>
        <w:t>digitization</w:t>
      </w:r>
      <w:r>
        <w:rPr>
          <w:rFonts w:hint="default" w:ascii="Times New Roman" w:hAnsi="Times New Roman" w:eastAsia="Times New Roman"/>
          <w:sz w:val="24"/>
          <w:szCs w:val="24"/>
        </w:rPr>
        <w:t xml:space="preserve"> of financial services and the sustainable farming provide the food systems with resiliency and inclusion in the food systems.</w:t>
      </w:r>
    </w:p>
    <w:p w14:paraId="4C16D5E8">
      <w:pPr>
        <w:spacing w:before="100" w:beforeAutospacing="1" w:after="100" w:afterAutospacing="1" w:line="240" w:lineRule="auto"/>
        <w:jc w:val="both"/>
        <w:rPr>
          <w:rFonts w:hint="default" w:ascii="Times New Roman" w:hAnsi="Times New Roman" w:eastAsia="Times New Roman" w:cs="Times New Roman"/>
          <w:sz w:val="24"/>
          <w:szCs w:val="24"/>
        </w:rPr>
      </w:pPr>
    </w:p>
    <w:p w14:paraId="6132E95B">
      <w:pPr>
        <w:pStyle w:val="2"/>
        <w:numPr>
          <w:ilvl w:val="0"/>
          <w:numId w:val="6"/>
        </w:numPr>
        <w:ind w:left="360" w:leftChars="0" w:firstLineChars="0"/>
        <w:jc w:val="both"/>
        <w:rPr>
          <w:rFonts w:hint="default" w:ascii="Times New Roman" w:hAnsi="Times New Roman" w:eastAsia="Times New Roman" w:cs="Times New Roman"/>
          <w:sz w:val="28"/>
          <w:szCs w:val="28"/>
        </w:rPr>
      </w:pPr>
      <w:bookmarkStart w:id="14" w:name="_Toc22499"/>
      <w:r>
        <w:rPr>
          <w:rFonts w:hint="default" w:ascii="Times New Roman" w:hAnsi="Times New Roman" w:eastAsia="Times New Roman" w:cs="Times New Roman"/>
          <w:sz w:val="28"/>
          <w:szCs w:val="28"/>
          <w:lang w:val="en-US"/>
        </w:rPr>
        <w:t xml:space="preserve">  </w:t>
      </w:r>
      <w:bookmarkStart w:id="15" w:name="_Toc8195"/>
      <w:r>
        <w:rPr>
          <w:rFonts w:hint="default" w:ascii="Times New Roman" w:hAnsi="Times New Roman" w:eastAsia="Times New Roman" w:cs="Times New Roman"/>
          <w:sz w:val="28"/>
          <w:szCs w:val="28"/>
        </w:rPr>
        <w:t>Statement of the Research Problem</w:t>
      </w:r>
      <w:bookmarkEnd w:id="14"/>
      <w:bookmarkEnd w:id="15"/>
    </w:p>
    <w:p w14:paraId="4DA83155">
      <w:pPr>
        <w:rPr>
          <w:rFonts w:hint="default"/>
        </w:rPr>
      </w:pPr>
    </w:p>
    <w:p w14:paraId="0812ABD3">
      <w:pPr>
        <w:bidi w:val="0"/>
        <w:ind w:firstLine="600" w:firstLineChars="250"/>
        <w:jc w:val="both"/>
        <w:rPr>
          <w:rFonts w:hint="default" w:ascii="Times New Roman" w:hAnsi="Times New Roman" w:cs="Times New Roman"/>
          <w:sz w:val="24"/>
          <w:szCs w:val="24"/>
        </w:rPr>
      </w:pPr>
      <w:bookmarkStart w:id="16" w:name="_Toc19839"/>
      <w:r>
        <w:rPr>
          <w:rFonts w:hint="default" w:ascii="Times New Roman" w:hAnsi="Times New Roman" w:cs="Times New Roman"/>
          <w:sz w:val="24"/>
          <w:szCs w:val="24"/>
        </w:rPr>
        <w:t xml:space="preserve">Although the Democratic payment systems and digital technology have been fast expanding, it remains uncertain what role they are playing in solving food safety challenges, propelling sustainable industrialization, and poverty reduction. Policymakers, financial institutions and development agencies need data driven evidence on </w:t>
      </w:r>
      <w:r>
        <w:rPr>
          <w:rFonts w:hint="default" w:ascii="Times New Roman" w:hAnsi="Times New Roman"/>
          <w:sz w:val="24"/>
          <w:szCs w:val="24"/>
        </w:rPr>
        <w:t>how digital finance solutions can be</w:t>
      </w:r>
      <w:r>
        <w:rPr>
          <w:rFonts w:hint="default" w:ascii="Times New Roman" w:hAnsi="Times New Roman" w:cs="Times New Roman"/>
          <w:sz w:val="24"/>
          <w:szCs w:val="24"/>
        </w:rPr>
        <w:t xml:space="preserve"> aligned to deliver on the vision of inclusive economic growth. </w:t>
      </w:r>
      <w:r>
        <w:rPr>
          <w:rFonts w:hint="default" w:ascii="Times New Roman" w:hAnsi="Times New Roman"/>
          <w:sz w:val="24"/>
          <w:szCs w:val="24"/>
        </w:rPr>
        <w:t>The last aim of the research is to fill the gap</w:t>
      </w:r>
      <w:r>
        <w:rPr>
          <w:rFonts w:hint="default" w:ascii="Times New Roman" w:hAnsi="Times New Roman"/>
          <w:sz w:val="24"/>
          <w:szCs w:val="24"/>
          <w:lang w:val="en-US"/>
        </w:rPr>
        <w:t xml:space="preserve"> </w:t>
      </w:r>
      <w:r>
        <w:rPr>
          <w:rFonts w:hint="default" w:ascii="Times New Roman" w:hAnsi="Times New Roman" w:cs="Times New Roman"/>
          <w:sz w:val="24"/>
          <w:szCs w:val="24"/>
        </w:rPr>
        <w:t>in: Areas of measurement research are gauging the positive effect of digital financial inclusion on SDG 2 (Zero Hunger), particularly its influence on the enhancement of Food safety, agricultural financing, and financial availability to the rural market. Exploration of the significance of the technological innovation on furthering SDG 9 (Industry, Innovation, and Infrastructure) and how this sector is related to digital payment systems in fueling industry, the sustainability of MSMEs and building industry infrastructure that is resilient. To outline the main factors impacting the development of digital payments and recommending the strategic policy steps to be undertaken to increase their contribution to the attainment of sustainable development.</w:t>
      </w:r>
    </w:p>
    <w:p w14:paraId="1B60E01A">
      <w:pPr>
        <w:pStyle w:val="2"/>
        <w:numPr>
          <w:ilvl w:val="0"/>
          <w:numId w:val="7"/>
        </w:numPr>
        <w:ind w:left="360" w:leftChars="0" w:firstLineChars="0"/>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bookmarkStart w:id="17" w:name="_Toc21441"/>
      <w:r>
        <w:rPr>
          <w:rFonts w:hint="default" w:ascii="Times New Roman" w:hAnsi="Times New Roman" w:eastAsia="Times New Roman" w:cs="Times New Roman"/>
          <w:sz w:val="28"/>
          <w:szCs w:val="28"/>
        </w:rPr>
        <w:t>Research Purpose</w:t>
      </w:r>
      <w:bookmarkEnd w:id="16"/>
      <w:bookmarkEnd w:id="17"/>
    </w:p>
    <w:p w14:paraId="23079DF3">
      <w:pPr>
        <w:rPr>
          <w:rFonts w:hint="default"/>
        </w:rPr>
      </w:pPr>
    </w:p>
    <w:p w14:paraId="338C7172">
      <w:pPr>
        <w:bidi w:val="0"/>
        <w:spacing w:line="24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With the world getting more digital in nature, financial activities, business and industrial development are all changing courtesy of the improvement in technology. Digital payment systems, financial inclusion and technological innovation are becoming important instruments to stimulate sustainable development and economic resiliency. Digital payment services like mobile wallets, online banking, and block chain-related transactions are bringing financial services closer </w:t>
      </w:r>
      <w:r>
        <w:rPr>
          <w:rFonts w:hint="default" w:ascii="Times New Roman" w:hAnsi="Times New Roman"/>
          <w:sz w:val="24"/>
          <w:szCs w:val="24"/>
        </w:rPr>
        <w:t>as a saving grace to millions of people the world over</w:t>
      </w:r>
      <w:r>
        <w:rPr>
          <w:rFonts w:hint="default" w:ascii="Times New Roman" w:hAnsi="Times New Roman" w:cs="Times New Roman"/>
          <w:sz w:val="24"/>
          <w:szCs w:val="24"/>
        </w:rPr>
        <w:t xml:space="preserve"> especially members of undeserved communities. In the meantime, financial inclusion initiatives are providing those who have never been on the market with an opportunity to enter the formal financial sector; such people typically reside in rural regions. This allows them to invest in businesses, take credits, and make their Lifestyle better. In the meantime, financial services are fast becoming efficient with new emerging technologies such artificial intelligent technology (AI), big data, and financial technology (Fin-tech) solutions. Nevertheless, notwithstanding of these transformation processes, there has been a gap in terms of the direct effect of the digital payment systems, financial inclusion, and technological innovation on Sustainable Development Goals (SDGs), especially SDG 2 (Zero Hunger) and SDG 9 (Industry, Innovation, and Infrastructure).</w:t>
      </w:r>
    </w:p>
    <w:p w14:paraId="5DA8523B">
      <w:pPr>
        <w:bidi w:val="0"/>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Though several studies on financial inclusion in economic participation and poverty alleviation have been investigated; not many studies have been provided on how financial inclusion has specifically influenced agricultural productivity, food security and sustainable industrial development. On the same note, digital payment systems are known to enable convenient transactions but their role in enhancing agricultural supply chains, empowering smallholder farmers, boosting financial resilience in food markets are not well publicized. Also, how technological innovation can boost development of sustainable infrastructure, modernization of industries, and the digital economy requires further research to be able to determine the ways it can catalyze achievement of these SDGs.This research paper aims at removing this gap in knowledge by examining how digital payment systems, financial inclusion and technological innovation can increase achievement of SDG 2 and SDG 9. This study will also give important insights on how financial technologies can be used and applied to alleviate hunger, increase agricultural productivity, and achieve sustainable industrialization by studying the interrelationship between digital finance, economic participation and technological innovations. Additionally, the paper also will discuss the obstacles that curtail the adoption of digital payment systems and financial services in the developing economies and recommend strategic policy approaches that can make financial innovations have significant impact on the global development.</w:t>
      </w:r>
    </w:p>
    <w:p w14:paraId="67E0DEA9">
      <w:pPr>
        <w:bidi w:val="0"/>
        <w:spacing w:line="240" w:lineRule="auto"/>
        <w:jc w:val="both"/>
        <w:rPr>
          <w:rFonts w:hint="default" w:ascii="Times New Roman" w:hAnsi="Times New Roman" w:cs="Times New Roman"/>
          <w:sz w:val="24"/>
          <w:szCs w:val="24"/>
        </w:rPr>
      </w:pPr>
    </w:p>
    <w:p w14:paraId="3945CE6B">
      <w:pPr>
        <w:pStyle w:val="2"/>
        <w:numPr>
          <w:ilvl w:val="0"/>
          <w:numId w:val="8"/>
        </w:numPr>
        <w:spacing w:line="240" w:lineRule="auto"/>
        <w:jc w:val="both"/>
        <w:rPr>
          <w:rFonts w:hint="default" w:ascii="Times New Roman" w:hAnsi="Times New Roman" w:eastAsia="Times New Roman" w:cs="Times New Roman"/>
          <w:sz w:val="28"/>
          <w:szCs w:val="28"/>
        </w:rPr>
      </w:pPr>
      <w:bookmarkStart w:id="18" w:name="_Toc14137"/>
      <w:bookmarkStart w:id="19" w:name="_Toc11610"/>
      <w:r>
        <w:rPr>
          <w:rFonts w:hint="default" w:ascii="Times New Roman" w:hAnsi="Times New Roman" w:eastAsia="Times New Roman" w:cs="Times New Roman"/>
          <w:sz w:val="28"/>
          <w:szCs w:val="28"/>
        </w:rPr>
        <w:t>Research Objectives</w:t>
      </w:r>
      <w:bookmarkEnd w:id="18"/>
      <w:bookmarkEnd w:id="19"/>
    </w:p>
    <w:p w14:paraId="02A9FE52">
      <w:pPr>
        <w:pStyle w:val="12"/>
        <w:keepNext w:val="0"/>
        <w:keepLines w:val="0"/>
        <w:widowControl/>
        <w:numPr>
          <w:ilvl w:val="0"/>
          <w:numId w:val="9"/>
        </w:numPr>
        <w:suppressLineNumbers w:val="0"/>
        <w:spacing w:line="240" w:lineRule="auto"/>
        <w:ind w:left="425" w:leftChars="0" w:hanging="425" w:firstLineChars="0"/>
        <w:jc w:val="both"/>
        <w:rPr>
          <w:sz w:val="24"/>
          <w:szCs w:val="24"/>
        </w:rPr>
      </w:pPr>
      <w:r>
        <w:rPr>
          <w:b/>
          <w:bCs/>
          <w:sz w:val="24"/>
          <w:szCs w:val="24"/>
        </w:rPr>
        <w:t>Digital Payment Systems And The Quest For Inclusive Growth And Financial Inclusion</w:t>
      </w:r>
      <w:r>
        <w:rPr>
          <w:rFonts w:hint="default"/>
          <w:b/>
          <w:bCs/>
          <w:sz w:val="24"/>
          <w:szCs w:val="24"/>
          <w:lang w:val="en-US"/>
        </w:rPr>
        <w:t xml:space="preserve"> </w:t>
      </w:r>
    </w:p>
    <w:p w14:paraId="1BF61ED9">
      <w:pPr>
        <w:pStyle w:val="12"/>
        <w:keepNext w:val="0"/>
        <w:keepLines w:val="0"/>
        <w:widowControl/>
        <w:numPr>
          <w:ilvl w:val="0"/>
          <w:numId w:val="0"/>
        </w:numPr>
        <w:suppressLineNumbers w:val="0"/>
        <w:spacing w:line="240" w:lineRule="auto"/>
        <w:ind w:leftChars="0" w:right="0" w:rightChars="0"/>
        <w:jc w:val="both"/>
        <w:rPr>
          <w:rFonts w:hint="default" w:ascii="Times New Roman" w:hAnsi="Times New Roman" w:cs="Times New Roman" w:eastAsiaTheme="majorEastAsia"/>
          <w:i/>
          <w:iCs/>
          <w:color w:val="2E75B6" w:themeColor="accent1" w:themeShade="BF"/>
          <w:sz w:val="24"/>
          <w:szCs w:val="24"/>
        </w:rPr>
      </w:pPr>
      <w:r>
        <w:rPr>
          <w:sz w:val="24"/>
          <w:szCs w:val="24"/>
        </w:rPr>
        <w:t xml:space="preserve">By </w:t>
      </w:r>
      <w:r>
        <w:rPr>
          <w:sz w:val="24"/>
          <w:szCs w:val="24"/>
          <w:lang w:val="en-US"/>
        </w:rPr>
        <w:t>disinter mediating</w:t>
      </w:r>
      <w:r>
        <w:rPr>
          <w:sz w:val="24"/>
          <w:szCs w:val="24"/>
        </w:rPr>
        <w:t xml:space="preserve">, and adding transparency, and fair pricing to the small holder farmer, digital payments (mobile banking, digital wallets and </w:t>
      </w:r>
      <w:r>
        <w:rPr>
          <w:sz w:val="24"/>
          <w:szCs w:val="24"/>
          <w:lang w:val="en-US"/>
        </w:rPr>
        <w:t>block chain</w:t>
      </w:r>
      <w:r>
        <w:rPr>
          <w:sz w:val="24"/>
          <w:szCs w:val="24"/>
        </w:rPr>
        <w:t xml:space="preserve">) make money more accessible for farmers to use and for farmers to earn. They also facilitate financial inclusion, promote cross-border trade, and help MSMEs. Adoption is constrained by problems like legal barriers, cyber security risks and variations in digital literacy. Policies should focus on the integration of </w:t>
      </w:r>
      <w:r>
        <w:rPr>
          <w:sz w:val="24"/>
          <w:szCs w:val="24"/>
          <w:lang w:val="en-US"/>
        </w:rPr>
        <w:t>block chain</w:t>
      </w:r>
      <w:r>
        <w:rPr>
          <w:sz w:val="24"/>
          <w:szCs w:val="24"/>
        </w:rPr>
        <w:t>, reducing transactions costs, and expanding digital infrastructure for better security and access.</w:t>
      </w:r>
    </w:p>
    <w:p w14:paraId="03850657">
      <w:pPr>
        <w:pStyle w:val="12"/>
        <w:keepNext w:val="0"/>
        <w:keepLines w:val="0"/>
        <w:widowControl/>
        <w:numPr>
          <w:ilvl w:val="0"/>
          <w:numId w:val="9"/>
        </w:numPr>
        <w:suppressLineNumbers w:val="0"/>
        <w:spacing w:line="240" w:lineRule="auto"/>
        <w:ind w:left="425" w:leftChars="0" w:hanging="425" w:firstLineChars="0"/>
        <w:jc w:val="both"/>
        <w:rPr>
          <w:b/>
          <w:bCs/>
          <w:sz w:val="24"/>
          <w:szCs w:val="24"/>
        </w:rPr>
      </w:pPr>
      <w:r>
        <w:rPr>
          <w:b/>
          <w:bCs/>
          <w:sz w:val="24"/>
          <w:szCs w:val="24"/>
        </w:rPr>
        <w:t>Innovati</w:t>
      </w:r>
      <w:r>
        <w:rPr>
          <w:rFonts w:hint="default"/>
          <w:b/>
          <w:bCs/>
          <w:sz w:val="24"/>
          <w:szCs w:val="24"/>
          <w:lang w:val="en-US"/>
        </w:rPr>
        <w:t xml:space="preserve">on </w:t>
      </w:r>
      <w:r>
        <w:rPr>
          <w:b/>
          <w:bCs/>
          <w:sz w:val="24"/>
          <w:szCs w:val="24"/>
        </w:rPr>
        <w:t>of technology: Encouraging infrastructure investment, industrial efficiency, and financial effectiveness</w:t>
      </w:r>
      <w:r>
        <w:rPr>
          <w:rFonts w:hint="default"/>
          <w:b/>
          <w:bCs/>
          <w:sz w:val="24"/>
          <w:szCs w:val="24"/>
          <w:lang w:val="en-US"/>
        </w:rPr>
        <w:t>.</w:t>
      </w:r>
    </w:p>
    <w:p w14:paraId="3EDA0499">
      <w:pPr>
        <w:pStyle w:val="12"/>
        <w:keepNext w:val="0"/>
        <w:keepLines w:val="0"/>
        <w:widowControl/>
        <w:suppressLineNumbers w:val="0"/>
        <w:spacing w:line="240" w:lineRule="auto"/>
        <w:jc w:val="both"/>
        <w:rPr>
          <w:rFonts w:hint="default" w:ascii="Times New Roman" w:hAnsi="Times New Roman" w:cs="Times New Roman" w:eastAsiaTheme="majorEastAsia"/>
          <w:i/>
          <w:iCs/>
          <w:color w:val="2E75B6" w:themeColor="accent1" w:themeShade="BF"/>
          <w:sz w:val="24"/>
          <w:szCs w:val="24"/>
        </w:rPr>
      </w:pPr>
      <w:r>
        <w:rPr>
          <w:sz w:val="24"/>
          <w:szCs w:val="24"/>
        </w:rPr>
        <w:t>Funds efficient, risk assessment and financial anti-fraud detection will be improved thanks to AI, big data and financial automation. These technologies support industrialization (SDG 9), food security (SDG 2) and agricultural supply chain. Innovations such as AI-based finance planning, block chain contracts and fin-tech platforms are improving the financial governance and operational simplification. Barriers include regulatory risks and limited digital infrastructure which can be addressed through cyber security, digital access and complementary legal frameworks.</w:t>
      </w:r>
    </w:p>
    <w:p w14:paraId="1C7005F2">
      <w:pPr>
        <w:pStyle w:val="19"/>
        <w:keepNext/>
        <w:keepLines/>
        <w:numPr>
          <w:ilvl w:val="0"/>
          <w:numId w:val="9"/>
        </w:numPr>
        <w:spacing w:before="40" w:after="0" w:line="240" w:lineRule="auto"/>
        <w:ind w:left="425" w:leftChars="0" w:hanging="425" w:firstLineChars="0"/>
        <w:jc w:val="both"/>
        <w:outlineLvl w:val="3"/>
        <w:rPr>
          <w:rStyle w:val="21"/>
          <w:rFonts w:hint="default" w:ascii="Times New Roman" w:hAnsi="Times New Roman" w:cs="Times New Roman"/>
          <w:b/>
          <w:bCs/>
          <w:sz w:val="24"/>
          <w:szCs w:val="24"/>
        </w:rPr>
      </w:pPr>
      <w:r>
        <w:rPr>
          <w:rStyle w:val="21"/>
          <w:rFonts w:hint="default" w:ascii="Times New Roman" w:hAnsi="Times New Roman" w:cs="Times New Roman"/>
          <w:b/>
          <w:bCs/>
          <w:sz w:val="24"/>
          <w:szCs w:val="24"/>
        </w:rPr>
        <w:t>Financial Inclusion Increasingly, financial inclusion has been used as a way of promoting economic development and empowerment of small holder farmers.</w:t>
      </w:r>
    </w:p>
    <w:p w14:paraId="48D5CA92">
      <w:pPr>
        <w:pStyle w:val="19"/>
        <w:keepNext/>
        <w:keepLines/>
        <w:numPr>
          <w:ilvl w:val="0"/>
          <w:numId w:val="0"/>
        </w:numPr>
        <w:spacing w:before="40" w:after="0" w:line="240" w:lineRule="auto"/>
        <w:ind w:leftChars="0"/>
        <w:jc w:val="both"/>
        <w:outlineLvl w:val="3"/>
        <w:rPr>
          <w:rStyle w:val="21"/>
          <w:rFonts w:hint="default" w:ascii="Times New Roman" w:hAnsi="Times New Roman" w:cs="Times New Roman"/>
          <w:b/>
          <w:bCs/>
          <w:sz w:val="24"/>
          <w:szCs w:val="24"/>
        </w:rPr>
      </w:pPr>
    </w:p>
    <w:p w14:paraId="1273BCA4">
      <w:pPr>
        <w:pStyle w:val="19"/>
        <w:keepNext/>
        <w:keepLines/>
        <w:numPr>
          <w:ilvl w:val="0"/>
          <w:numId w:val="0"/>
        </w:numPr>
        <w:spacing w:before="40" w:after="0" w:line="240" w:lineRule="auto"/>
        <w:ind w:leftChars="0"/>
        <w:jc w:val="both"/>
        <w:outlineLvl w:val="3"/>
        <w:rPr>
          <w:rStyle w:val="21"/>
          <w:rFonts w:hint="default" w:ascii="Times New Roman" w:hAnsi="Times New Roman" w:cs="Times New Roman"/>
          <w:sz w:val="24"/>
          <w:szCs w:val="24"/>
        </w:rPr>
      </w:pPr>
      <w:r>
        <w:rPr>
          <w:rStyle w:val="21"/>
          <w:rFonts w:hint="default" w:ascii="Times New Roman" w:hAnsi="Times New Roman" w:cs="Times New Roman"/>
          <w:sz w:val="24"/>
          <w:szCs w:val="24"/>
        </w:rPr>
        <w:t xml:space="preserve"> Financial inclusion empowers the MSMEs and smallholder farmers by providing them with access to digital financial services, insurance, as well as financing. This helps in acquiring agricultural materials, more production, and also economic development of the rural regions. The barriers to participation include an extremely high cost of transactions, the digital illiteracy, and lack of accessibility to banks. In order to encourage fair economic expansion and food security, top policies such as increasing fin tech solutions, increasing financial literacy, reducing costs, and supporting digital lending platforms (SDG 2 &amp; SDG 9) should be made.</w:t>
      </w:r>
    </w:p>
    <w:p w14:paraId="397A8C0A">
      <w:pPr>
        <w:spacing w:line="240" w:lineRule="auto"/>
        <w:jc w:val="both"/>
        <w:rPr>
          <w:rFonts w:hint="default" w:ascii="Times New Roman" w:hAnsi="Times New Roman" w:cs="Times New Roman"/>
          <w:sz w:val="24"/>
          <w:szCs w:val="24"/>
        </w:rPr>
      </w:pPr>
    </w:p>
    <w:p w14:paraId="3F8B7E3C">
      <w:pPr>
        <w:pStyle w:val="2"/>
        <w:numPr>
          <w:ilvl w:val="0"/>
          <w:numId w:val="10"/>
        </w:numPr>
        <w:bidi w:val="0"/>
        <w:spacing w:line="240" w:lineRule="auto"/>
        <w:jc w:val="both"/>
        <w:rPr>
          <w:rFonts w:hint="default" w:ascii="Times New Roman" w:hAnsi="Times New Roman" w:cs="Times New Roman"/>
          <w:sz w:val="24"/>
          <w:szCs w:val="24"/>
        </w:rPr>
      </w:pPr>
      <w:r>
        <w:rPr>
          <w:rStyle w:val="20"/>
          <w:rFonts w:hint="default" w:ascii="Times New Roman" w:hAnsi="Times New Roman" w:cs="Times New Roman"/>
          <w:sz w:val="24"/>
          <w:szCs w:val="24"/>
          <w:lang w:val="en-US"/>
        </w:rPr>
        <w:t xml:space="preserve">  </w:t>
      </w:r>
      <w:bookmarkStart w:id="20" w:name="_Toc22662"/>
      <w:r>
        <w:rPr>
          <w:rStyle w:val="20"/>
          <w:rFonts w:hint="default" w:ascii="Times New Roman" w:hAnsi="Times New Roman" w:cs="Times New Roman"/>
          <w:sz w:val="28"/>
          <w:szCs w:val="28"/>
        </w:rPr>
        <w:t>Structure of the Report</w:t>
      </w:r>
      <w:bookmarkEnd w:id="20"/>
    </w:p>
    <w:p w14:paraId="3B328302">
      <w:pPr>
        <w:rPr>
          <w:rFonts w:hint="default"/>
        </w:rPr>
      </w:pPr>
    </w:p>
    <w:p w14:paraId="5E9C8D04">
      <w:pPr>
        <w:keepNext w:val="0"/>
        <w:keepLines w:val="0"/>
        <w:widowControl/>
        <w:suppressLineNumbers w:val="0"/>
        <w:spacing w:line="240" w:lineRule="auto"/>
        <w:ind w:firstLine="360" w:firstLineChars="150"/>
        <w:jc w:val="both"/>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The study is organized methodically into six in-depth chapters, each of which adds to a complete knowledge of how technological innovation, digital payment systems, and </w:t>
      </w:r>
      <w:r>
        <w:rPr>
          <w:rFonts w:hint="default" w:ascii="Times New Roman" w:hAnsi="Times New Roman" w:eastAsia="SimSun"/>
          <w:kern w:val="0"/>
          <w:sz w:val="24"/>
          <w:szCs w:val="24"/>
          <w:lang w:val="en-US" w:eastAsia="zh-CN"/>
        </w:rPr>
        <w:t>financial inclusion influence goals 2 and 9 of Sustainable Development Goals (SDGs). It begins with Chapter 1: Introduction which gives the background of the study, any gap in the research and the description of the research</w:t>
      </w:r>
      <w:r>
        <w:rPr>
          <w:rFonts w:hint="default" w:ascii="Times New Roman" w:hAnsi="Times New Roman" w:eastAsia="SimSun" w:cs="Times New Roman"/>
          <w:kern w:val="0"/>
          <w:sz w:val="24"/>
          <w:szCs w:val="24"/>
          <w:lang w:val="en-US" w:eastAsia="zh-CN" w:bidi="ar"/>
        </w:rPr>
        <w:t xml:space="preserve"> investigation's goals, problem, and importance.</w:t>
      </w:r>
    </w:p>
    <w:p w14:paraId="599CD09A">
      <w:pPr>
        <w:keepNext w:val="0"/>
        <w:keepLines w:val="0"/>
        <w:widowControl/>
        <w:suppressLineNumbers w:val="0"/>
        <w:spacing w:line="240" w:lineRule="auto"/>
        <w:jc w:val="both"/>
        <w:rPr>
          <w:rFonts w:hint="default" w:ascii="Times New Roman" w:hAnsi="Times New Roman" w:cs="Times New Roman"/>
          <w:b w:val="0"/>
          <w:bCs w:val="0"/>
          <w:sz w:val="24"/>
          <w:szCs w:val="24"/>
        </w:rPr>
      </w:pPr>
      <w:r>
        <w:rPr>
          <w:rFonts w:hint="default" w:ascii="Times New Roman" w:hAnsi="Times New Roman" w:eastAsia="SimSun" w:cs="Times New Roman"/>
          <w:kern w:val="0"/>
          <w:sz w:val="24"/>
          <w:szCs w:val="24"/>
          <w:lang w:val="en-US" w:eastAsia="zh-CN" w:bidi="ar"/>
        </w:rPr>
        <w:t xml:space="preserve">By highlighting the significance of financial technology in combating hunger and advancing industrial growth, this chapter lays the groundwork. In the framework of SDGs 2 and 9, Chapter 2: Literature Review summarises earlier research on digital payments, financial inclusion, and innovation. In order to clarify the conceptual foundations of the research, it also examines important theoretical frameworks, such as the Resource-Based View, Financial Intermediate Theory, and Innovation Diffusion Theory. The research design, variable definitions, secondary data sources, and empirical procedures used—including panel data analysis techniques like CS-ARDL and co-integration tests—are all covered in depth in Chapter 3: </w:t>
      </w:r>
      <w:r>
        <w:rPr>
          <w:rFonts w:hint="default" w:ascii="Times New Roman" w:hAnsi="Times New Roman" w:eastAsia="SimSun"/>
          <w:kern w:val="0"/>
          <w:sz w:val="24"/>
          <w:szCs w:val="24"/>
          <w:lang w:val="en-US" w:eastAsia="zh-CN"/>
        </w:rPr>
        <w:t>Information and technique. The results of the statistical effects of digital finance and innovation factors on the are given and presented empirically</w:t>
      </w:r>
      <w:r>
        <w:rPr>
          <w:rFonts w:hint="default" w:ascii="Times New Roman" w:hAnsi="Times New Roman" w:eastAsia="SimSun" w:cs="Times New Roman"/>
          <w:kern w:val="0"/>
          <w:sz w:val="24"/>
          <w:szCs w:val="24"/>
          <w:lang w:val="en-US" w:eastAsia="zh-CN" w:bidi="ar"/>
        </w:rPr>
        <w:t xml:space="preserve"> targeted SDGs are interpreted in Chapter 4: Estimation and Interpretation.</w:t>
      </w:r>
      <w:r>
        <w:rPr>
          <w:rFonts w:hint="default" w:ascii="Times New Roman" w:hAnsi="Times New Roman" w:cs="Times New Roman"/>
          <w:b w:val="0"/>
          <w:bCs w:val="0"/>
          <w:sz w:val="24"/>
          <w:szCs w:val="24"/>
        </w:rPr>
        <w:t xml:space="preserve"> </w:t>
      </w:r>
    </w:p>
    <w:p w14:paraId="37A1CF04">
      <w:pPr>
        <w:keepNext w:val="0"/>
        <w:keepLines w:val="0"/>
        <w:widowControl/>
        <w:suppressLineNumbers w:val="0"/>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To determine whether or not conclusions are valid, Chapter 5: Discussion provides a thorough interpretation of the results by comparing them to previous research and theoretical predictions. Finally, Chapter 6: Conclusion and Policy Suggestions, </w:t>
      </w:r>
      <w:r>
        <w:rPr>
          <w:rFonts w:hint="default" w:ascii="Times New Roman" w:hAnsi="Times New Roman" w:cs="Times New Roman"/>
          <w:sz w:val="24"/>
          <w:szCs w:val="24"/>
          <w:lang w:val="en-US"/>
        </w:rPr>
        <w:t>summarizes</w:t>
      </w:r>
      <w:r>
        <w:rPr>
          <w:rFonts w:hint="default" w:ascii="Times New Roman" w:hAnsi="Times New Roman" w:cs="Times New Roman"/>
          <w:sz w:val="24"/>
          <w:szCs w:val="24"/>
        </w:rPr>
        <w:t xml:space="preserve"> the key conclusions and makes some realistic, evidence based policy suggestions for achieving sustainability via technological and financial developments. The abstract, declaration, acknowledgment, letter of transmittal and references are also included in the report.</w:t>
      </w:r>
    </w:p>
    <w:p w14:paraId="7CB19D54">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7DB4AE8C">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3AD7B4C8">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01222C8B">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3DA562EF">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412D46FB">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510D99CC">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740BE673">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39D9DBEE">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1B82C853">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435B8B01">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02DB04B5">
      <w:pPr>
        <w:pStyle w:val="12"/>
        <w:keepNext w:val="0"/>
        <w:keepLines w:val="0"/>
        <w:widowControl/>
        <w:suppressLineNumbers w:val="0"/>
        <w:spacing w:line="240" w:lineRule="auto"/>
        <w:jc w:val="both"/>
        <w:rPr>
          <w:rFonts w:hint="default" w:ascii="Times New Roman" w:hAnsi="Times New Roman" w:cs="Times New Roman"/>
          <w:b w:val="0"/>
          <w:bCs w:val="0"/>
          <w:sz w:val="24"/>
          <w:szCs w:val="24"/>
        </w:rPr>
      </w:pPr>
    </w:p>
    <w:p w14:paraId="72E209A8">
      <w:pPr>
        <w:pStyle w:val="2"/>
        <w:jc w:val="center"/>
        <w:rPr>
          <w:rFonts w:eastAsia="Times New Roman"/>
        </w:rPr>
      </w:pPr>
      <w:bookmarkStart w:id="21" w:name="_Toc1038"/>
      <w:bookmarkStart w:id="22" w:name="_Toc11210"/>
      <w:r>
        <w:rPr>
          <w:rFonts w:hint="default" w:ascii="Times New Roman" w:hAnsi="Times New Roman" w:eastAsia="Times New Roman" w:cs="Times New Roman"/>
          <w:u w:val="single"/>
        </w:rPr>
        <w:t xml:space="preserve">Chapter-2: </w:t>
      </w:r>
      <w:r>
        <w:rPr>
          <w:rFonts w:hint="default" w:ascii="Times New Roman" w:hAnsi="Times New Roman" w:cs="Times New Roman"/>
          <w:sz w:val="28"/>
          <w:szCs w:val="28"/>
          <w:u w:val="single"/>
        </w:rPr>
        <w:t>Literature Review</w:t>
      </w:r>
      <w:bookmarkEnd w:id="21"/>
      <w:bookmarkEnd w:id="22"/>
    </w:p>
    <w:p w14:paraId="6B181DCF">
      <w:pPr>
        <w:pStyle w:val="2"/>
        <w:numPr>
          <w:ilvl w:val="0"/>
          <w:numId w:val="11"/>
        </w:numPr>
        <w:ind w:left="360" w:leftChars="0" w:firstLineChars="0"/>
        <w:rPr>
          <w:rFonts w:hint="default" w:ascii="Times New Roman" w:hAnsi="Times New Roman" w:eastAsia="Times New Roman" w:cs="Times New Roman"/>
          <w:sz w:val="28"/>
          <w:szCs w:val="28"/>
        </w:rPr>
      </w:pPr>
      <w:bookmarkStart w:id="23" w:name="_Toc32147"/>
      <w:bookmarkStart w:id="24" w:name="_Toc627"/>
      <w:r>
        <w:rPr>
          <w:rFonts w:hint="default" w:ascii="Times New Roman" w:hAnsi="Times New Roman" w:eastAsia="Times New Roman" w:cs="Times New Roman"/>
          <w:sz w:val="28"/>
          <w:szCs w:val="28"/>
        </w:rPr>
        <w:t>Digital payment Effect on SDG 2&amp;9</w:t>
      </w:r>
      <w:bookmarkEnd w:id="23"/>
      <w:bookmarkEnd w:id="24"/>
    </w:p>
    <w:p w14:paraId="4B508BE9">
      <w:pPr>
        <w:jc w:val="both"/>
        <w:rPr>
          <w:rFonts w:hint="default" w:ascii="Times New Roman" w:hAnsi="Times New Roman" w:cs="Times New Roman"/>
          <w:sz w:val="24"/>
          <w:szCs w:val="24"/>
        </w:rPr>
      </w:pPr>
    </w:p>
    <w:p w14:paraId="6CD0E26C">
      <w:pPr>
        <w:ind w:firstLine="480" w:firstLineChars="200"/>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The goal of SDG 2 is to enhance agricultural sustainability, discrimination of humanity, and ensure food security. The digital payment also takes part in achieving these objectives by providing financial services to marginalized farmers, upgrading agricultural exchanges and introducing economic steadiness in the countryside economy. Online payments bring additional powers to the unbaked farmers with the availability of such financial opportunities like the credit, insurance, or kept capital. The studies examining how smallholder farmers can access loans and acquire the required agricultural inputs with the help of mobile banking and fin-technology solutions without the restrictions implied by traditional banking institutions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Danladi, Prasad et al. (2023)</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Prasad et al. (2023); Kumar, Dikshit et al. (2021). In addition, the introduction of mobile wallets and financing services on the Internet also means that the farmers, who are existing in remote areas, will also fulfill their financial activities in a productive and secure fashion. Due to this transformation, their agricultural productivity will be enhanced besides being less economically vulnerable in terms that they will receive instant and traceable systems of payments. Safe online transactions do away with the taste of mishandling of the cash and misuse of the money where the financial resources are at hand of the targeted parties. Besides the direct access to financing, the digital payments can be used to allow farmers to participate in the community based savings and credit operations, a practice that encourages durable access to finance within a friendly community.</w:t>
      </w:r>
    </w:p>
    <w:p w14:paraId="2A150D2D">
      <w:pPr>
        <w:jc w:val="both"/>
        <w:rPr>
          <w:rFonts w:hint="default" w:ascii="Times New Roman" w:hAnsi="Times New Roman"/>
          <w:sz w:val="24"/>
          <w:szCs w:val="24"/>
          <w:lang w:val="en-US"/>
        </w:rPr>
      </w:pPr>
      <w:r>
        <w:rPr>
          <w:rFonts w:hint="default" w:ascii="Times New Roman" w:hAnsi="Times New Roman"/>
          <w:sz w:val="24"/>
          <w:szCs w:val="24"/>
          <w:lang w:val="en-US"/>
        </w:rPr>
        <w:t xml:space="preserve">Through this the smallholder farmers can bargain prices lower on acquiring the agricultural inputs which results in cutting of costs and enhancing productivity. Research has indicated that cooperatives that implemented digital payment have contributed a lot in raising food production and sustainability in different developing countries. Online payment systems streamline business of agriculture through the removal of middle men and facilitation of direct payments. This has increased efficiency and farmers are now quick to collect their income which in turn helps their cash flow and they can now afford to invest in higher quality of seeds, fertilizer and irrigation systems.Empirical studies also show that mobile payment systems have tremendously increased food security, by allowing a smooth financial flow within the agricultural chain of supply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AuthorYear="1"&gt;&lt;Author&gt;Tay&lt;/Author&gt;&lt;Year&gt;2022&lt;/Year&gt;&lt;RecNum&gt;20&lt;/RecNum&gt;&lt;DisplayText&gt;Tay, Tai et al. (2022)&lt;/DisplayText&gt;&lt;record&gt;&lt;rec-number&gt;20&lt;/rec-number&gt;&lt;foreign-keys&gt;&lt;key app="EN" db-id="2t52ftddjzwsxoerapx5vrxm2fdzpaza5sva" timestamp="1752328617"&gt;20&lt;/key&gt;&lt;/foreign-keys&gt;&lt;ref-type name="Journal Article"&gt;17&lt;/ref-type&gt;&lt;contributors&gt;&lt;authors&gt;&lt;author&gt;Tay, Lee-Ying&lt;/author&gt;&lt;author&gt;Tai, Hen-Toong&lt;/author&gt;&lt;author&gt;Tan, Gek-Siang&lt;/author&gt;&lt;/authors&gt;&lt;/contributors&gt;&lt;titles&gt;&lt;title&gt;Digital financial inclusion: A gateway to sustainable development&lt;/title&gt;&lt;secondary-title&gt;Heliyon&lt;/secondary-title&gt;&lt;/titles&gt;&lt;periodical&gt;&lt;full-title&gt;Heliyon&lt;/full-title&gt;&lt;/periodical&gt;&lt;volume&gt;8&lt;/volume&gt;&lt;number&gt;6&lt;/number&gt;&lt;dates&gt;&lt;year&gt;2022&lt;/year&gt;&lt;/dates&gt;&lt;isbn&gt;2405-8440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Tay, Tai et al. (2022)</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 Maherali (2017). In addition, block chain supported digital payments will add an extra protection and transparency to the agricultural market. Block-chain technology eliminates fraud, price manipulation, delayed payments, and other uncertainties, to improve trust between farmers, suppliers and buyers because they know that an immutable record of transactions is available.</w:t>
      </w:r>
    </w:p>
    <w:p w14:paraId="07745517">
      <w:pPr>
        <w:jc w:val="both"/>
        <w:rPr>
          <w:rFonts w:hint="default" w:ascii="Times New Roman" w:hAnsi="Times New Roman"/>
          <w:sz w:val="24"/>
          <w:szCs w:val="24"/>
          <w:lang w:val="en-US"/>
        </w:rPr>
      </w:pPr>
      <w:r>
        <w:rPr>
          <w:rFonts w:hint="default" w:ascii="Times New Roman" w:hAnsi="Times New Roman"/>
          <w:sz w:val="24"/>
          <w:szCs w:val="24"/>
          <w:lang w:val="en-US"/>
        </w:rPr>
        <w:t xml:space="preserve">Digital payments are also used in e-commerce platforms whereby farmers obtain wider markets without the logistical challenges. In digital transactions, smallholder farmers will be able to sell to consumers or retailers with higher profit margins and add on the urban circle with more access to fresh food. Such a change improves the food supply chains both locally and globally minimizing the wastage and inefficiencies. Cash-based exchanges in the conventional agricultural sectors could possibly result in hidden charges, slowness, and logistic difficulties. As compared to their physical counterparts, digital payments provide a cheaper option since the funds can be transferred in no time securely. The use of digital platforms has allowed governments in different nations to deliver subsidies, loans, and other financial aid to farmers, eradicating the factor of inefficiency and corruption that existed in the bureaucracy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AuthorYear="1"&gt;&lt;Author&gt;Mpofu&lt;/Author&gt;&lt;Year&gt;2022&lt;/Year&gt;&lt;RecNum&gt;21&lt;/RecNum&gt;&lt;DisplayText&gt;Mpofu and Mhlanga (2022)&lt;/DisplayText&gt;&lt;record&gt;&lt;rec-number&gt;21&lt;/rec-number&gt;&lt;foreign-keys&gt;&lt;key app="EN" db-id="2t52ftddjzwsxoerapx5vrxm2fdzpaza5sva" timestamp="1752328731"&gt;21&lt;/key&gt;&lt;/foreign-keys&gt;&lt;ref-type name="Journal Article"&gt;17&lt;/ref-type&gt;&lt;contributors&gt;&lt;authors&gt;&lt;author&gt;Mpofu, Favourate Y&lt;/author&gt;&lt;author&gt;Mhlanga, David&lt;/author&gt;&lt;/authors&gt;&lt;/contributors&gt;&lt;titles&gt;&lt;title&gt;Digital financial inclusion, digital financial services tax and financial inclusion in the fourth industrial revolution era in Africa&lt;/title&gt;&lt;secondary-title&gt;Economies&lt;/secondary-title&gt;&lt;/titles&gt;&lt;periodical&gt;&lt;full-title&gt;Economies&lt;/full-title&gt;&lt;/periodical&gt;&lt;pages&gt;184&lt;/pages&gt;&lt;volume&gt;10&lt;/volume&gt;&lt;number&gt;8&lt;/number&gt;&lt;dates&gt;&lt;year&gt;2022&lt;/year&gt;&lt;/dates&gt;&lt;isbn&gt;2227-7099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Mpofu and Mhlanga (2022)</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More so, since farmers and agribusinesses will not be as dependent on the physical banking infrastructure, there will be a huge decrease in operational expenses. This economy means farmers will get more of their profits which they are able to use to increase their agricultural businesses. Reduced costs of transactions also stimulate higher involvement in finance which ends up boosting rural economies. It is observed that many governments are using platforms of digital payment to roll-out social welfare programs that focus on enhancing food security. By using Direct Benefit Transfers (DBT) and mobile money transfers, the transfer of financial aid to low-income families becomes easier and sooner, leaving the families less exposed to food insecurity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AuthorYear="1"&gt;&lt;Author&gt;Suyanto&lt;/Author&gt;&lt;Year&gt;2023&lt;/Year&gt;&lt;RecNum&gt;36&lt;/RecNum&gt;&lt;DisplayText&gt;Suyanto and Prasilowati (2023)&lt;/DisplayText&gt;&lt;record&gt;&lt;rec-number&gt;36&lt;/rec-number&gt;&lt;foreign-keys&gt;&lt;key app="EN" db-id="2t52ftddjzwsxoerapx5vrxm2fdzpaza5sva" timestamp="1752332275"&gt;36&lt;/key&gt;&lt;/foreign-keys&gt;&lt;ref-type name="Journal Article"&gt;17&lt;/ref-type&gt;&lt;contributors&gt;&lt;authors&gt;&lt;author&gt;Suyanto, Suyanto&lt;/author&gt;&lt;author&gt;Prasilowati, Sri Lestari&lt;/author&gt;&lt;/authors&gt;&lt;/contributors&gt;&lt;titles&gt;&lt;title&gt;The platform factors affecting digital payment advocacy&lt;/title&gt;&lt;secondary-title&gt;Journal of Law and Sustainable Development&lt;/secondary-title&gt;&lt;/titles&gt;&lt;periodical&gt;&lt;full-title&gt;Journal of Law and Sustainable Development&lt;/full-title&gt;&lt;/periodical&gt;&lt;pages&gt;e1700-e1700&lt;/pages&gt;&lt;volume&gt;11&lt;/volume&gt;&lt;number&gt;11&lt;/number&gt;&lt;dates&gt;&lt;year&gt;2023&lt;/year&gt;&lt;/dates&gt;&lt;isbn&gt;2764-4170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Suyanto and Prasilowati (2023)</w:t>
      </w:r>
      <w:r>
        <w:rPr>
          <w:rFonts w:hint="default" w:ascii="Times New Roman" w:hAnsi="Times New Roman"/>
          <w:sz w:val="24"/>
          <w:szCs w:val="24"/>
          <w:lang w:val="en-US"/>
        </w:rPr>
        <w:fldChar w:fldCharType="end"/>
      </w:r>
      <w:r>
        <w:rPr>
          <w:rFonts w:hint="default" w:ascii="Times New Roman" w:hAnsi="Times New Roman"/>
          <w:sz w:val="24"/>
          <w:szCs w:val="24"/>
          <w:lang w:val="en-US"/>
        </w:rPr>
        <w:t>. Compared to the systems of traditional food assistance (which could be fraught with logistic inefficiency), the support systems based on digital payments enable recipients to give resources in proportion to their particular nutritional needs. Moreover, such digital payments could be connected with the programs related to subsidizing the cost of basic food products so that the underprivileged groups will receive affordable and open access to food resources. The social protection has also been enhanced by the incorporation of artificial intelligence on the digital payment systems. Financial tools based on Artificial Intelligence can review spending habits to offer special support such that available financial support is used to acquire necessities including food. This approach promotes efficiency, eliminates abuse of finances, and empowers food security systems on the international scale.</w:t>
      </w:r>
    </w:p>
    <w:p w14:paraId="17ABDC96">
      <w:pPr>
        <w:jc w:val="both"/>
        <w:rPr>
          <w:rFonts w:hint="default" w:ascii="Times New Roman" w:hAnsi="Times New Roman"/>
          <w:sz w:val="24"/>
          <w:szCs w:val="24"/>
          <w:lang w:val="en-US"/>
        </w:rPr>
      </w:pPr>
    </w:p>
    <w:p w14:paraId="70641F8F">
      <w:pPr>
        <w:jc w:val="both"/>
        <w:rPr>
          <w:rFonts w:hint="default" w:ascii="Times New Roman" w:hAnsi="Times New Roman"/>
          <w:sz w:val="24"/>
          <w:szCs w:val="24"/>
          <w:lang w:val="en-US"/>
        </w:rPr>
      </w:pPr>
      <w:r>
        <w:rPr>
          <w:rFonts w:hint="default" w:ascii="Times New Roman" w:hAnsi="Times New Roman"/>
          <w:sz w:val="24"/>
          <w:szCs w:val="24"/>
          <w:lang w:val="en-US"/>
        </w:rPr>
        <w:t xml:space="preserve">SDG 9 aims at developing strong infrastructure, inclusive industrialization and technological innovation. Online payments help to achieve these goals as they provide easy methods of economic transactions, sustain small business, and encourage financial technology. The digital payment systems become a growth driver of the SMEs since it is easy to access viable financial services. Analysis indicates that fin tech services allow small companies to increase their operations, join international supply chains, and control financial transfers more effectively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AuthorYear="1"&gt;&lt;Author&gt;Kaur&lt;/Author&gt;&lt;Year&gt;2023&lt;/Year&gt;&lt;RecNum&gt;35&lt;/RecNum&gt;&lt;DisplayText&gt;Kaur, Sodhi et al. (2023)&lt;/DisplayText&gt;&lt;record&gt;&lt;rec-number&gt;35&lt;/rec-number&gt;&lt;foreign-keys&gt;&lt;key app="EN" db-id="2t52ftddjzwsxoerapx5vrxm2fdzpaza5sva" timestamp="1752331626"&gt;35&lt;/key&gt;&lt;/foreign-keys&gt;&lt;ref-type name="Book Section"&gt;5&lt;/ref-type&gt;&lt;contributors&gt;&lt;authors&gt;&lt;author&gt;Kaur, Harreet&lt;/author&gt;&lt;author&gt;Sodhi, Deepali&lt;/author&gt;&lt;author&gt;Aggarwal, Rashmi&lt;/author&gt;&lt;author&gt;Yadav, Uma Shankar&lt;/author&gt;&lt;/authors&gt;&lt;/contributors&gt;&lt;titles&gt;&lt;title&gt;Managing human resources in digital marketing&lt;/title&gt;&lt;secondary-title&gt;Digital transformation, strategic resilience, cyber security and risk management&lt;/secondary-title&gt;&lt;/titles&gt;&lt;pages&gt;155-162&lt;/pages&gt;&lt;dates&gt;&lt;year&gt;2023&lt;/year&gt;&lt;/dates&gt;&lt;publisher&gt;Emerald Publishing Limited&lt;/publisher&gt;&lt;isbn&gt;1569-3759&lt;/isbn&gt;&lt;urls&gt;&lt;/urls&gt;&lt;/record&gt;&lt;/Cite&gt;&lt;/EndNote&gt;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Kaur, Sodhi et al. (2023)</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(Ghosh 2022). Digital payments give the SMEs a financial credibility which helps them get an access to credit lines and find investors. This financial inclusion leads to expansion of business enterprises, creation of jobs and diversification of the economy. Moreover, the cashless transactions can also be transparent, which minimizes financial risks connected with cash-handling and operations mismanagement. Mobile payment technology, as well as digital lending services, has also strengthened the operations of micro-businesses and informal enterprises who had always had a problem obtaining financial sources. Using mobile-based credit mechanisms, SMEs will access micro loans to suit their demand and this will enhance the survival of the business and develop nearby business through the local economy. Low access to financial services is an important issue towards industrial development. Digital payment systems can fill this gap because it allows undeserved populations to be part of the economies and thereby takes part in inclusive industrialization. The introduction of fin tech like fin wallets, peer-to-peer lending and artificial intelligence-enabled credit scoring technology has evened out financial equality. When applied, the people and industries can be as engaged in the formal financial systems, increasing the flows of capital and investing in the industrial sectors. Digital payments are seen to be very useful in development of infrastructure since large-scale projects of infrastructure require secure and efficient financial transactions. Through the capabilities of the electronic payment solutions, governments and enterprises can finance and operate infrastructural projects without much corruption and with much more transparency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Beirne and Fernandez (2023)</w:t>
      </w:r>
      <w:r>
        <w:rPr>
          <w:rFonts w:hint="default" w:ascii="Times New Roman" w:hAnsi="Times New Roman"/>
          <w:sz w:val="24"/>
          <w:szCs w:val="24"/>
          <w:lang w:val="en-US"/>
        </w:rPr>
        <w:fldChar w:fldCharType="end"/>
      </w:r>
      <w:r>
        <w:rPr>
          <w:rFonts w:hint="default" w:ascii="Times New Roman" w:hAnsi="Times New Roman"/>
          <w:sz w:val="24"/>
          <w:szCs w:val="24"/>
          <w:lang w:val="en-US"/>
        </w:rPr>
        <w:t>.</w:t>
      </w:r>
    </w:p>
    <w:p w14:paraId="7578D9B6">
      <w:pPr>
        <w:jc w:val="both"/>
        <w:rPr>
          <w:rFonts w:hint="default" w:ascii="Times New Roman" w:hAnsi="Times New Roman"/>
          <w:sz w:val="24"/>
          <w:szCs w:val="24"/>
          <w:lang w:val="en-US"/>
        </w:rPr>
      </w:pPr>
      <w:r>
        <w:rPr>
          <w:rFonts w:hint="default" w:ascii="Times New Roman" w:hAnsi="Times New Roman"/>
          <w:sz w:val="24"/>
          <w:szCs w:val="24"/>
          <w:lang w:val="en-US"/>
        </w:rPr>
        <w:t xml:space="preserve">As an example, digital payments enable partnership between the government, which conducts infrastructure projects on the one hand, and the business, on the other hand, as it makes it possible to properly oversee the money spent on the projects and efficiently distribute it. Also, inclusion of block-chain in electronic payments increases the financial responsibility with financial misappropriation and any anomaly being limited. Automation of the payment process in the developments of the infrastructure has resulted in minimization of administrative expenditures, acceleration of speed in project performance as well as more accountability. Digital money transfers ensure monies are properly distributed fast tracking construction projects and provision of services to the people. The growth of the number of digital payments has stimulated accelerated innovation in financial services. Developments in Fin tech, such as artificial intelligence, block-chain, and real-time interaction processing have made the banking, e-commerce, and industrial sector much more efficient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AuthorYear="1"&gt;&lt;Author&gt;Bhavsar&lt;/Author&gt;&lt;Year&gt;2022&lt;/Year&gt;&lt;RecNum&gt;38&lt;/RecNum&gt;&lt;DisplayText&gt;Bhavsar and Samanta (2022)&lt;/DisplayText&gt;&lt;record&gt;&lt;rec-number&gt;38&lt;/rec-number&gt;&lt;foreign-keys&gt;&lt;key app="EN" db-id="2t52ftddjzwsxoerapx5vrxm2fdzpaza5sva" timestamp="1752332633"&gt;38&lt;/key&gt;&lt;/foreign-keys&gt;&lt;ref-type name="Conference Proceedings"&gt;10&lt;/ref-type&gt;&lt;contributors&gt;&lt;authors&gt;&lt;author&gt;Bhavsar, Vandana&lt;/author&gt;&lt;author&gt;Samanta, Pradeepta Kumar&lt;/author&gt;&lt;/authors&gt;&lt;/contributors&gt;&lt;titles&gt;&lt;title&gt;Sustainability of digital payments: Empirical evidence from India&lt;/title&gt;&lt;secondary-title&gt;2nd International Conference on Sustainability and Equity (ICSE-2021)&lt;/secondary-title&gt;&lt;/titles&gt;&lt;pages&gt;70-78&lt;/pages&gt;&lt;dates&gt;&lt;year&gt;2022&lt;/year&gt;&lt;/dates&gt;&lt;publisher&gt;Atlantis Press&lt;/publisher&gt;&lt;isbn&gt;9462395152&lt;/isbn&gt;&lt;urls&gt;&lt;/urls&gt;&lt;/record&gt;&lt;/Cite&gt;&lt;/EndNote&gt;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Bhavsar and Samanta (2022)</w:t>
      </w:r>
      <w:r>
        <w:rPr>
          <w:rFonts w:hint="default" w:ascii="Times New Roman" w:hAnsi="Times New Roman"/>
          <w:sz w:val="24"/>
          <w:szCs w:val="24"/>
          <w:lang w:val="en-US"/>
        </w:rPr>
        <w:fldChar w:fldCharType="end"/>
      </w:r>
      <w:r>
        <w:rPr>
          <w:rFonts w:hint="default" w:ascii="Times New Roman" w:hAnsi="Times New Roman"/>
          <w:sz w:val="24"/>
          <w:szCs w:val="24"/>
          <w:lang w:val="en-US"/>
        </w:rPr>
        <w:t>.Moreover, convenience in executing digital transactions promotes entrepreneur and digital startups, a phenomenon that forms a vibrant and competitive economy. The integration of digital payment systems has further fast-tracked the evolution of decentralized funding (DeFi) that presents alternative financial instruments that do not have to go through limitations of traditional institutions. Such breakthroughs in technology auger well in sustainable industrialization, improving economic dexterity and innovation. The increase in the number of digital payments by implementing the 5G technology, and IoT-based and driven financial solution is helping build greater efficiencies in the economy and strong connectivity among businesses, corporations, and consumers. This financial interdependent ecosystem is crucial in contributing to long term industrial and economic sustainability.</w:t>
      </w:r>
    </w:p>
    <w:p w14:paraId="55C04DE6">
      <w:pPr>
        <w:rPr>
          <w:rFonts w:hint="default" w:ascii="Times New Roman" w:hAnsi="Times New Roman"/>
          <w:sz w:val="24"/>
          <w:szCs w:val="24"/>
          <w:lang w:val="en-US"/>
        </w:rPr>
      </w:pPr>
    </w:p>
    <w:p w14:paraId="72E900AF">
      <w:pPr>
        <w:rPr>
          <w:rFonts w:hint="default" w:ascii="Times New Roman" w:hAnsi="Times New Roman"/>
          <w:sz w:val="24"/>
          <w:szCs w:val="24"/>
          <w:lang w:val="en-US"/>
        </w:rPr>
      </w:pPr>
      <w:r>
        <w:rPr>
          <w:rFonts w:hint="default" w:ascii="Times New Roman" w:hAnsi="Times New Roman"/>
          <w:sz w:val="24"/>
          <w:szCs w:val="24"/>
          <w:lang w:val="en-US"/>
        </w:rPr>
        <w:br w:type="page"/>
      </w:r>
    </w:p>
    <w:p w14:paraId="21CB69AC">
      <w:pPr>
        <w:pStyle w:val="7"/>
        <w:bidi w:val="0"/>
        <w:rPr>
          <w:rFonts w:hint="default"/>
        </w:rPr>
      </w:pPr>
      <w:bookmarkStart w:id="25" w:name="_Hlk201829126"/>
      <w:bookmarkStart w:id="26" w:name="_Toc4039"/>
      <w:r>
        <w:t xml:space="preserve">Table </w:t>
      </w:r>
      <w:r>
        <w:fldChar w:fldCharType="begin"/>
      </w:r>
      <w:r>
        <w:instrText xml:space="preserve"> SEQ Table \* ARABIC </w:instrText>
      </w:r>
      <w:r>
        <w:fldChar w:fldCharType="separate"/>
      </w:r>
      <w:r>
        <w:t>1</w:t>
      </w:r>
      <w:r>
        <w:fldChar w:fldCharType="end"/>
      </w:r>
      <w:bookmarkStart w:id="27" w:name="_Toc24397"/>
      <w:r>
        <w:rPr>
          <w:rFonts w:hint="default"/>
          <w:lang w:val="en-US"/>
        </w:rPr>
        <w:t xml:space="preserve"> : </w:t>
      </w:r>
      <w:r>
        <w:rPr>
          <w:rFonts w:hint="default"/>
        </w:rPr>
        <w:t xml:space="preserve">Literature Review </w:t>
      </w:r>
      <w:bookmarkEnd w:id="25"/>
      <w:r>
        <w:rPr>
          <w:rFonts w:hint="default"/>
        </w:rPr>
        <w:t xml:space="preserve">on Digital Payment </w:t>
      </w:r>
      <w:bookmarkStart w:id="28" w:name="_Hlk191321638"/>
      <w:r>
        <w:rPr>
          <w:rFonts w:hint="default"/>
        </w:rPr>
        <w:t>effect on SDG 2 &amp; 9</w:t>
      </w:r>
      <w:bookmarkEnd w:id="26"/>
      <w:bookmarkEnd w:id="27"/>
    </w:p>
    <w:bookmarkEnd w:id="28"/>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936"/>
        <w:gridCol w:w="906"/>
        <w:gridCol w:w="2576"/>
        <w:gridCol w:w="2729"/>
      </w:tblGrid>
      <w:tr w14:paraId="47B6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065" w:type="dxa"/>
            <w:noWrap/>
          </w:tcPr>
          <w:p w14:paraId="2D3D6161">
            <w:pPr>
              <w:spacing w:before="100" w:beforeAutospacing="1" w:after="100" w:afterAutospacing="1"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Author</w:t>
            </w:r>
          </w:p>
        </w:tc>
        <w:tc>
          <w:tcPr>
            <w:tcW w:w="1364" w:type="dxa"/>
            <w:noWrap/>
          </w:tcPr>
          <w:p w14:paraId="26CD9F8E">
            <w:pPr>
              <w:spacing w:before="100" w:beforeAutospacing="1" w:after="100" w:afterAutospacing="1"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Countries</w:t>
            </w:r>
          </w:p>
        </w:tc>
        <w:tc>
          <w:tcPr>
            <w:tcW w:w="1316" w:type="dxa"/>
            <w:noWrap/>
          </w:tcPr>
          <w:p w14:paraId="396ED1D8">
            <w:pPr>
              <w:spacing w:before="100" w:beforeAutospacing="1" w:after="100" w:afterAutospacing="1"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SDG</w:t>
            </w:r>
          </w:p>
        </w:tc>
        <w:tc>
          <w:tcPr>
            <w:tcW w:w="3980" w:type="dxa"/>
            <w:noWrap/>
          </w:tcPr>
          <w:p w14:paraId="6B751B57">
            <w:pPr>
              <w:spacing w:before="100" w:beforeAutospacing="1" w:after="100" w:afterAutospacing="1"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Methodology</w:t>
            </w:r>
          </w:p>
        </w:tc>
        <w:tc>
          <w:tcPr>
            <w:tcW w:w="4225" w:type="dxa"/>
            <w:noWrap/>
          </w:tcPr>
          <w:p w14:paraId="06A6CA93">
            <w:pPr>
              <w:spacing w:before="100" w:beforeAutospacing="1" w:after="100" w:afterAutospacing="1"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Findings</w:t>
            </w:r>
          </w:p>
        </w:tc>
      </w:tr>
      <w:tr w14:paraId="367A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2065" w:type="dxa"/>
            <w:noWrap/>
          </w:tcPr>
          <w:p w14:paraId="3216E30C">
            <w:pPr>
              <w:spacing w:before="100" w:beforeAutospacing="1" w:after="100" w:afterAutospacing="1" w:line="240" w:lineRule="auto"/>
              <w:jc w:val="both"/>
              <w:rPr>
                <w:rFonts w:ascii="Times New Roman" w:hAnsi="Times New Roman" w:eastAsia="Times New Roman" w:cs="Times New Roman"/>
                <w:sz w:val="24"/>
                <w:szCs w:val="24"/>
                <w:u w:val="single"/>
              </w:rPr>
            </w:pPr>
            <w:bookmarkStart w:id="29" w:name="_Hlk191462722"/>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Danladi, Prasad et al. (2023)</w:t>
            </w:r>
            <w:r>
              <w:rPr>
                <w:rFonts w:ascii="Times New Roman" w:hAnsi="Times New Roman" w:eastAsia="Times New Roman" w:cs="Times New Roman"/>
                <w:color w:val="auto"/>
                <w:sz w:val="24"/>
                <w:szCs w:val="24"/>
                <w:u w:val="none"/>
                <w:lang w:val="en-US"/>
              </w:rPr>
              <w:fldChar w:fldCharType="end"/>
            </w:r>
            <w:bookmarkEnd w:id="29"/>
          </w:p>
        </w:tc>
        <w:tc>
          <w:tcPr>
            <w:tcW w:w="1364" w:type="dxa"/>
            <w:noWrap/>
          </w:tcPr>
          <w:p w14:paraId="33111302">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Nigeria</w:t>
            </w:r>
          </w:p>
        </w:tc>
        <w:tc>
          <w:tcPr>
            <w:tcW w:w="1316" w:type="dxa"/>
            <w:noWrap/>
          </w:tcPr>
          <w:p w14:paraId="311310CA">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SDG2</w:t>
            </w:r>
          </w:p>
        </w:tc>
        <w:tc>
          <w:tcPr>
            <w:tcW w:w="3980" w:type="dxa"/>
          </w:tcPr>
          <w:p w14:paraId="4377DFC9">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Multi-stakeholder framework analysis</w:t>
            </w:r>
          </w:p>
        </w:tc>
        <w:tc>
          <w:tcPr>
            <w:tcW w:w="4225" w:type="dxa"/>
          </w:tcPr>
          <w:p w14:paraId="68D10A05">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Collaborative efforts are needed for </w:t>
            </w:r>
            <w:r>
              <w:rPr>
                <w:rFonts w:ascii="Times New Roman" w:hAnsi="Times New Roman" w:eastAsia="Times New Roman" w:cs="Times New Roman"/>
                <w:sz w:val="24"/>
                <w:szCs w:val="24"/>
                <w:lang w:val="en-US"/>
              </w:rPr>
              <w:t>fin tech</w:t>
            </w:r>
            <w:r>
              <w:rPr>
                <w:rFonts w:ascii="Times New Roman" w:hAnsi="Times New Roman" w:eastAsia="Times New Roman" w:cs="Times New Roman"/>
                <w:sz w:val="24"/>
                <w:szCs w:val="24"/>
              </w:rPr>
              <w:t xml:space="preserve"> growth in Africa to expand banking access and support SDGs</w:t>
            </w:r>
          </w:p>
        </w:tc>
      </w:tr>
      <w:tr w14:paraId="0560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065" w:type="dxa"/>
          </w:tcPr>
          <w:p w14:paraId="0AFBE5F2">
            <w:pPr>
              <w:spacing w:before="100" w:beforeAutospacing="1" w:after="100" w:afterAutospacing="1" w:line="240" w:lineRule="auto"/>
              <w:jc w:val="both"/>
              <w:rPr>
                <w:rFonts w:ascii="Times New Roman" w:hAnsi="Times New Roman" w:eastAsia="Times New Roman" w:cs="Times New Roman"/>
                <w:sz w:val="24"/>
                <w:szCs w:val="24"/>
                <w:u w:val="single"/>
              </w:rPr>
            </w:pPr>
            <w:bookmarkStart w:id="30" w:name="_Hlk191459817"/>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AuthorYear="1"&gt;&lt;Author&gt;Kumar&lt;/Author&gt;&lt;Year&gt;2021&lt;/Year&gt;&lt;RecNum&gt;19&lt;/RecNum&gt;&lt;DisplayText&gt;Kumar, Dikshit et al. (2021)&lt;/DisplayText&gt;&lt;record&gt;&lt;rec-number&gt;19&lt;/rec-number&gt;&lt;foreign-keys&gt;&lt;key app="EN" db-id="2t52ftddjzwsxoerapx5vrxm2fdzpaza5sva" timestamp="1752328513"&gt;19&lt;/key&gt;&lt;/foreign-keys&gt;&lt;ref-type name="Journal Article"&gt;17&lt;/ref-type&gt;&lt;contributors&gt;&lt;authors&gt;&lt;author&gt;Kumar, Akshi&lt;/author&gt;&lt;author&gt;Dikshit, Shubham&lt;/author&gt;&lt;author&gt;Albuquerque, Victor Hugo C&lt;/author&gt;&lt;/authors&gt;&lt;/contributors&gt;&lt;titles&gt;&lt;title&gt;Explainable artificial intelligence for sarcasm detection in dialogues&lt;/title&gt;&lt;secondary-title&gt;Wireless Communications and Mobile Computing&lt;/secondary-title&gt;&lt;/titles&gt;&lt;periodical&gt;&lt;full-title&gt;Wireless Communications and Mobile Computing&lt;/full-title&gt;&lt;/periodical&gt;&lt;pages&gt;2939334&lt;/pages&gt;&lt;volume&gt;2021&lt;/volume&gt;&lt;number&gt;1&lt;/number&gt;&lt;dates&gt;&lt;year&gt;2021&lt;/year&gt;&lt;/dates&gt;&lt;isbn&gt;1530-8677&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Kumar, Dikshit et al. (2021)</w:t>
            </w:r>
            <w:r>
              <w:rPr>
                <w:rFonts w:ascii="Times New Roman" w:hAnsi="Times New Roman" w:eastAsia="Times New Roman" w:cs="Times New Roman"/>
                <w:color w:val="auto"/>
                <w:sz w:val="24"/>
                <w:szCs w:val="24"/>
                <w:u w:val="none"/>
                <w:lang w:val="en-US"/>
              </w:rPr>
              <w:fldChar w:fldCharType="end"/>
            </w:r>
            <w:bookmarkEnd w:id="30"/>
          </w:p>
        </w:tc>
        <w:tc>
          <w:tcPr>
            <w:tcW w:w="1364" w:type="dxa"/>
          </w:tcPr>
          <w:p w14:paraId="7CB13D37">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India</w:t>
            </w:r>
          </w:p>
        </w:tc>
        <w:tc>
          <w:tcPr>
            <w:tcW w:w="1316" w:type="dxa"/>
          </w:tcPr>
          <w:p w14:paraId="3686720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SDG 2 </w:t>
            </w:r>
          </w:p>
        </w:tc>
        <w:tc>
          <w:tcPr>
            <w:tcW w:w="3980" w:type="dxa"/>
          </w:tcPr>
          <w:p w14:paraId="5ED214FE">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Descriptive, secondary data, case studies, regression, inclusion index, spatial, literature review.</w:t>
            </w:r>
          </w:p>
        </w:tc>
        <w:tc>
          <w:tcPr>
            <w:tcW w:w="4225" w:type="dxa"/>
          </w:tcPr>
          <w:p w14:paraId="3C7C3DE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Financial inclusion supports SDGs through programs like PMJDY and PM-JAY, helping reduce poverty and improve access to services.</w:t>
            </w:r>
          </w:p>
        </w:tc>
      </w:tr>
      <w:tr w14:paraId="33C9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2065" w:type="dxa"/>
            <w:noWrap/>
          </w:tcPr>
          <w:p w14:paraId="5E0C7192">
            <w:pPr>
              <w:spacing w:before="100" w:beforeAutospacing="1" w:after="100" w:afterAutospacing="1" w:line="240" w:lineRule="auto"/>
              <w:jc w:val="both"/>
              <w:rPr>
                <w:rFonts w:ascii="Times New Roman" w:hAnsi="Times New Roman" w:eastAsia="Times New Roman" w:cs="Times New Roman"/>
                <w:sz w:val="24"/>
                <w:szCs w:val="24"/>
                <w:u w:val="single"/>
              </w:rPr>
            </w:pPr>
            <w:bookmarkStart w:id="31" w:name="_Hlk191459883"/>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AuthorYear="1"&gt;&lt;Author&gt;Tay&lt;/Author&gt;&lt;Year&gt;2022&lt;/Year&gt;&lt;RecNum&gt;20&lt;/RecNum&gt;&lt;DisplayText&gt;Tay, Tai et al. (2022)&lt;/DisplayText&gt;&lt;record&gt;&lt;rec-number&gt;20&lt;/rec-number&gt;&lt;foreign-keys&gt;&lt;key app="EN" db-id="2t52ftddjzwsxoerapx5vrxm2fdzpaza5sva" timestamp="1752328617"&gt;20&lt;/key&gt;&lt;/foreign-keys&gt;&lt;ref-type name="Journal Article"&gt;17&lt;/ref-type&gt;&lt;contributors&gt;&lt;authors&gt;&lt;author&gt;Tay, Lee-Ying&lt;/author&gt;&lt;author&gt;Tai, Hen-Toong&lt;/author&gt;&lt;author&gt;Tan, Gek-Siang&lt;/author&gt;&lt;/authors&gt;&lt;/contributors&gt;&lt;titles&gt;&lt;title&gt;Digital financial inclusion: A gateway to sustainable development&lt;/title&gt;&lt;secondary-title&gt;Heliyon&lt;/secondary-title&gt;&lt;/titles&gt;&lt;periodical&gt;&lt;full-title&gt;Heliyon&lt;/full-title&gt;&lt;/periodical&gt;&lt;volume&gt;8&lt;/volume&gt;&lt;number&gt;6&lt;/number&gt;&lt;dates&gt;&lt;year&gt;2022&lt;/year&gt;&lt;/dates&gt;&lt;isbn&gt;2405-8440&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Tay, Tai et al. (2022)</w:t>
            </w:r>
            <w:r>
              <w:rPr>
                <w:rFonts w:ascii="Times New Roman" w:hAnsi="Times New Roman" w:eastAsia="Times New Roman" w:cs="Times New Roman"/>
                <w:color w:val="auto"/>
                <w:sz w:val="24"/>
                <w:szCs w:val="24"/>
                <w:u w:val="none"/>
                <w:lang w:val="en-US"/>
              </w:rPr>
              <w:fldChar w:fldCharType="end"/>
            </w:r>
            <w:bookmarkEnd w:id="31"/>
          </w:p>
        </w:tc>
        <w:tc>
          <w:tcPr>
            <w:tcW w:w="1364" w:type="dxa"/>
          </w:tcPr>
          <w:p w14:paraId="1E6DE4F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Various</w:t>
            </w:r>
          </w:p>
        </w:tc>
        <w:tc>
          <w:tcPr>
            <w:tcW w:w="1316" w:type="dxa"/>
          </w:tcPr>
          <w:p w14:paraId="78F5223B">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SDG 2</w:t>
            </w:r>
          </w:p>
        </w:tc>
        <w:tc>
          <w:tcPr>
            <w:tcW w:w="3980" w:type="dxa"/>
          </w:tcPr>
          <w:p w14:paraId="6F2F171C">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Systematic literature review      </w:t>
            </w:r>
          </w:p>
        </w:tc>
        <w:tc>
          <w:tcPr>
            <w:tcW w:w="4225" w:type="dxa"/>
          </w:tcPr>
          <w:p w14:paraId="7C9679BD">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Digital finance helps achieve SDGs by reducing poverty and gender gaps, but digital skill gaps and weak infrastructure remain challenges.</w:t>
            </w:r>
          </w:p>
        </w:tc>
      </w:tr>
      <w:tr w14:paraId="77A3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2065" w:type="dxa"/>
          </w:tcPr>
          <w:p w14:paraId="4CFBEDD7">
            <w:pPr>
              <w:spacing w:before="100" w:beforeAutospacing="1" w:after="100" w:afterAutospacing="1" w:line="240" w:lineRule="auto"/>
              <w:jc w:val="both"/>
              <w:rPr>
                <w:rFonts w:ascii="Times New Roman" w:hAnsi="Times New Roman" w:eastAsia="Times New Roman" w:cs="Times New Roman"/>
                <w:sz w:val="24"/>
                <w:szCs w:val="24"/>
                <w:u w:val="single"/>
              </w:rPr>
            </w:pPr>
            <w:bookmarkStart w:id="32" w:name="_Hlk191462699"/>
            <w:r>
              <w:rPr>
                <w:rFonts w:ascii="Times New Roman" w:hAnsi="Times New Roman" w:eastAsia="Times New Roman" w:cs="Times New Roman"/>
                <w:color w:val="auto"/>
                <w:sz w:val="24"/>
                <w:szCs w:val="24"/>
                <w:u w:val="none"/>
              </w:rPr>
              <w:t xml:space="preserve"> </w:t>
            </w:r>
            <w:bookmarkStart w:id="33" w:name="_Hlk191462497"/>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AuthorYear="1"&gt;&lt;Author&gt;Maherali&lt;/Author&gt;&lt;Year&gt;2017&lt;/Year&gt;&lt;RecNum&gt;23&lt;/RecNum&gt;&lt;DisplayText&gt;Maherali (2017)&lt;/DisplayText&gt;&lt;record&gt;&lt;rec-number&gt;23&lt;/rec-number&gt;&lt;foreign-keys&gt;&lt;key app="EN" db-id="2t52ftddjzwsxoerapx5vrxm2fdzpaza5sva" timestamp="1752329280"&gt;23&lt;/key&gt;&lt;/foreign-keys&gt;&lt;ref-type name="Thesis"&gt;32&lt;/ref-type&gt;&lt;contributors&gt;&lt;authors&gt;&lt;author&gt;Maherali, Alim&lt;/author&gt;&lt;/authors&gt;&lt;/contributors&gt;&lt;titles&gt;&lt;title&gt;Financial inclusion, digital payments and their impact on income and tax revenue around the world&lt;/title&gt;&lt;/titles&gt;&lt;dates&gt;&lt;year&gt;2017&lt;/year&gt;&lt;/dates&gt;&lt;publisher&gt;Harvard University&lt;/publisher&gt;&lt;urls&gt;&lt;/urls&gt;&lt;/record&gt;&lt;/Cite&gt;&lt;/EndNote&gt;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Maherali (2017)</w:t>
            </w:r>
            <w:r>
              <w:rPr>
                <w:rFonts w:ascii="Times New Roman" w:hAnsi="Times New Roman" w:eastAsia="Times New Roman" w:cs="Times New Roman"/>
                <w:color w:val="auto"/>
                <w:sz w:val="24"/>
                <w:szCs w:val="24"/>
                <w:u w:val="none"/>
                <w:lang w:val="en-US"/>
              </w:rPr>
              <w:fldChar w:fldCharType="end"/>
            </w:r>
            <w:bookmarkEnd w:id="32"/>
            <w:bookmarkEnd w:id="33"/>
          </w:p>
        </w:tc>
        <w:tc>
          <w:tcPr>
            <w:tcW w:w="1364" w:type="dxa"/>
          </w:tcPr>
          <w:p w14:paraId="77E0331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India</w:t>
            </w:r>
          </w:p>
        </w:tc>
        <w:tc>
          <w:tcPr>
            <w:tcW w:w="1316" w:type="dxa"/>
          </w:tcPr>
          <w:p w14:paraId="6F15A97D">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SDG 2</w:t>
            </w:r>
          </w:p>
        </w:tc>
        <w:tc>
          <w:tcPr>
            <w:tcW w:w="3980" w:type="dxa"/>
          </w:tcPr>
          <w:p w14:paraId="2D14050A">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Empirical analysis, economic modeling, forecasting</w:t>
            </w:r>
          </w:p>
        </w:tc>
        <w:tc>
          <w:tcPr>
            <w:tcW w:w="4225" w:type="dxa"/>
          </w:tcPr>
          <w:p w14:paraId="7412285F">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Financial inclusion lowers poverty, boosts the economy, and increases tax income.</w:t>
            </w:r>
          </w:p>
        </w:tc>
      </w:tr>
      <w:tr w14:paraId="79BF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2065" w:type="dxa"/>
          </w:tcPr>
          <w:p w14:paraId="5F06A616">
            <w:pPr>
              <w:spacing w:before="100" w:beforeAutospacing="1" w:after="100" w:afterAutospacing="1" w:line="240" w:lineRule="auto"/>
              <w:jc w:val="both"/>
              <w:rPr>
                <w:rFonts w:ascii="Times New Roman" w:hAnsi="Times New Roman" w:eastAsia="Times New Roman" w:cs="Times New Roman"/>
                <w:sz w:val="24"/>
                <w:szCs w:val="24"/>
                <w:u w:val="single"/>
              </w:rPr>
            </w:pPr>
            <w:bookmarkStart w:id="34" w:name="_Hlk191459850"/>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AuthorYear="1"&gt;&lt;Author&gt;Mpofu&lt;/Author&gt;&lt;Year&gt;2022&lt;/Year&gt;&lt;RecNum&gt;21&lt;/RecNum&gt;&lt;DisplayText&gt;Mpofu and Mhlanga (2022)&lt;/DisplayText&gt;&lt;record&gt;&lt;rec-number&gt;21&lt;/rec-number&gt;&lt;foreign-keys&gt;&lt;key app="EN" db-id="2t52ftddjzwsxoerapx5vrxm2fdzpaza5sva" timestamp="1752328731"&gt;21&lt;/key&gt;&lt;/foreign-keys&gt;&lt;ref-type name="Journal Article"&gt;17&lt;/ref-type&gt;&lt;contributors&gt;&lt;authors&gt;&lt;author&gt;Mpofu, Favourate Y&lt;/author&gt;&lt;author&gt;Mhlanga, David&lt;/author&gt;&lt;/authors&gt;&lt;/contributors&gt;&lt;titles&gt;&lt;title&gt;Digital financial inclusion, digital financial services tax and financial inclusion in the fourth industrial revolution era in Africa&lt;/title&gt;&lt;secondary-title&gt;Economies&lt;/secondary-title&gt;&lt;/titles&gt;&lt;periodical&gt;&lt;full-title&gt;Economies&lt;/full-title&gt;&lt;/periodical&gt;&lt;pages&gt;184&lt;/pages&gt;&lt;volume&gt;10&lt;/volume&gt;&lt;number&gt;8&lt;/number&gt;&lt;dates&gt;&lt;year&gt;2022&lt;/year&gt;&lt;/dates&gt;&lt;isbn&gt;2227-7099&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Mpofu and Mhlanga (2022)</w:t>
            </w:r>
            <w:r>
              <w:rPr>
                <w:rFonts w:ascii="Times New Roman" w:hAnsi="Times New Roman" w:eastAsia="Times New Roman" w:cs="Times New Roman"/>
                <w:color w:val="auto"/>
                <w:sz w:val="24"/>
                <w:szCs w:val="24"/>
                <w:u w:val="none"/>
                <w:lang w:val="en-US"/>
              </w:rPr>
              <w:fldChar w:fldCharType="end"/>
            </w:r>
            <w:bookmarkEnd w:id="34"/>
          </w:p>
        </w:tc>
        <w:tc>
          <w:tcPr>
            <w:tcW w:w="1364" w:type="dxa"/>
          </w:tcPr>
          <w:p w14:paraId="1D1E921B">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Africa</w:t>
            </w:r>
          </w:p>
        </w:tc>
        <w:tc>
          <w:tcPr>
            <w:tcW w:w="1316" w:type="dxa"/>
          </w:tcPr>
          <w:p w14:paraId="38D7CFCE">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SDG 2</w:t>
            </w:r>
          </w:p>
        </w:tc>
        <w:tc>
          <w:tcPr>
            <w:tcW w:w="3980" w:type="dxa"/>
          </w:tcPr>
          <w:p w14:paraId="4A4BDBF1">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Critical Literature Review</w:t>
            </w:r>
          </w:p>
        </w:tc>
        <w:tc>
          <w:tcPr>
            <w:tcW w:w="4225" w:type="dxa"/>
          </w:tcPr>
          <w:p w14:paraId="5B4178AD">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Mobile money taxes raise government revenue but may limit banking access and slow SDG progress.</w:t>
            </w:r>
          </w:p>
        </w:tc>
      </w:tr>
      <w:tr w14:paraId="29D6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2065" w:type="dxa"/>
          </w:tcPr>
          <w:p w14:paraId="40C53366">
            <w:pPr>
              <w:spacing w:before="100" w:beforeAutospacing="1" w:after="100" w:afterAutospacing="1"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&lt;EndNote&gt;&lt;Cite&gt;&lt;Author&gt;Ghosh&lt;/Author&gt;&lt;Year&gt;2022&lt;/Year&gt;&lt;RecNum&gt;33&lt;/RecNum&gt;&lt;DisplayText&gt;(Ghosh 2022)&lt;/DisplayText&gt;&lt;record&gt;&lt;rec-number&gt;33&lt;/rec-number&gt;&lt;foreign-keys&gt;&lt;key app="EN" db-id="2t52ftddjzwsxoerapx5vrxm2fdzpaza5sva" timestamp="1752331365"&gt;33&lt;/key&gt;&lt;/foreign-keys&gt;&lt;ref-type name="Journal Article"&gt;17&lt;/ref-type&gt;&lt;contributors&gt;&lt;authors&gt;&lt;author&gt;Ghosh, Saibal&lt;/author&gt;&lt;/authors&gt;&lt;/contributors&gt;&lt;titles&gt;&lt;title&gt;Gender and financial inclusion: does technology make a difference?&lt;/title&gt;&lt;secondary-title&gt;Gender, Technology and Development&lt;/secondary-title&gt;&lt;/titles&gt;&lt;periodical&gt;&lt;full-title&gt;Gender, Technology and Development&lt;/full-title&gt;&lt;/periodical&gt;&lt;pages&gt;195-213&lt;/pages&gt;&lt;volume&gt;26&lt;/volume&gt;&lt;number&gt;2&lt;/number&gt;&lt;dates&gt;&lt;year&gt;2022&lt;/year&gt;&lt;/dates&gt;&lt;isbn&gt;0971-8524&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(Ghosh 2022)</w:t>
            </w:r>
            <w:r>
              <w:rPr>
                <w:rFonts w:ascii="Times New Roman" w:hAnsi="Times New Roman" w:eastAsia="Times New Roman" w:cs="Times New Roman"/>
                <w:color w:val="auto"/>
                <w:sz w:val="24"/>
                <w:szCs w:val="24"/>
                <w:u w:val="none"/>
                <w:lang w:val="en-US"/>
              </w:rPr>
              <w:fldChar w:fldCharType="end"/>
            </w:r>
          </w:p>
        </w:tc>
        <w:tc>
          <w:tcPr>
            <w:tcW w:w="1364" w:type="dxa"/>
          </w:tcPr>
          <w:p w14:paraId="6851A698">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India</w:t>
            </w:r>
          </w:p>
        </w:tc>
        <w:tc>
          <w:tcPr>
            <w:tcW w:w="1316" w:type="dxa"/>
          </w:tcPr>
          <w:p w14:paraId="1F710D8E">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noWrap/>
          </w:tcPr>
          <w:p w14:paraId="4F21CF7C">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Mixed-method, SPSS, surveys, RBI reports, research.</w:t>
            </w:r>
          </w:p>
        </w:tc>
        <w:tc>
          <w:tcPr>
            <w:tcW w:w="4225" w:type="dxa"/>
          </w:tcPr>
          <w:p w14:paraId="5F21AC26">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Digital transactions ease banking, boost economy, but risk overspending, instability.</w:t>
            </w:r>
          </w:p>
        </w:tc>
      </w:tr>
      <w:tr w14:paraId="008B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065" w:type="dxa"/>
            <w:noWrap/>
          </w:tcPr>
          <w:p w14:paraId="16CCEA21">
            <w:pPr>
              <w:spacing w:before="100" w:beforeAutospacing="1" w:after="100" w:afterAutospacing="1" w:line="240" w:lineRule="auto"/>
              <w:jc w:val="both"/>
              <w:rPr>
                <w:rFonts w:ascii="Times New Roman" w:hAnsi="Times New Roman" w:eastAsia="Times New Roman" w:cs="Times New Roman"/>
                <w:sz w:val="24"/>
                <w:szCs w:val="24"/>
                <w:u w:val="single"/>
              </w:rPr>
            </w:pPr>
            <w:bookmarkStart w:id="35" w:name="_Hlk191462533"/>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AuthorYear="1"&gt;&lt;Author&gt;Kaur&lt;/Author&gt;&lt;Year&gt;2023&lt;/Year&gt;&lt;RecNum&gt;35&lt;/RecNum&gt;&lt;DisplayText&gt;Kaur, Sodhi et al. (2023)&lt;/DisplayText&gt;&lt;record&gt;&lt;rec-number&gt;35&lt;/rec-number&gt;&lt;foreign-keys&gt;&lt;key app="EN" db-id="2t52ftddjzwsxoerapx5vrxm2fdzpaza5sva" timestamp="1752331626"&gt;35&lt;/key&gt;&lt;/foreign-keys&gt;&lt;ref-type name="Book Section"&gt;5&lt;/ref-type&gt;&lt;contributors&gt;&lt;authors&gt;&lt;author&gt;Kaur, Harreet&lt;/author&gt;&lt;author&gt;Sodhi, Deepali&lt;/author&gt;&lt;author&gt;Aggarwal, Rashmi&lt;/author&gt;&lt;author&gt;Yadav, Uma Shankar&lt;/author&gt;&lt;/authors&gt;&lt;/contributors&gt;&lt;titles&gt;&lt;title&gt;Managing human resources in digital marketing&lt;/title&gt;&lt;secondary-title&gt;Digital transformation, strategic resilience, cyber security and risk management&lt;/secondary-title&gt;&lt;/titles&gt;&lt;pages&gt;155-162&lt;/pages&gt;&lt;dates&gt;&lt;year&gt;2023&lt;/year&gt;&lt;/dates&gt;&lt;publisher&gt;Emerald Publishing Limited&lt;/publisher&gt;&lt;isbn&gt;1569-3759&lt;/isbn&gt;&lt;urls&gt;&lt;/urls&gt;&lt;/record&gt;&lt;/Cite&gt;&lt;/EndNote&gt;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Kaur, Sodhi et al. (2023)</w:t>
            </w:r>
            <w:r>
              <w:rPr>
                <w:rFonts w:ascii="Times New Roman" w:hAnsi="Times New Roman" w:eastAsia="Times New Roman" w:cs="Times New Roman"/>
                <w:color w:val="auto"/>
                <w:sz w:val="24"/>
                <w:szCs w:val="24"/>
                <w:u w:val="none"/>
                <w:lang w:val="en-US"/>
              </w:rPr>
              <w:fldChar w:fldCharType="end"/>
            </w:r>
            <w:bookmarkEnd w:id="35"/>
          </w:p>
        </w:tc>
        <w:tc>
          <w:tcPr>
            <w:tcW w:w="1364" w:type="dxa"/>
          </w:tcPr>
          <w:p w14:paraId="4E3EA8D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India</w:t>
            </w:r>
          </w:p>
        </w:tc>
        <w:tc>
          <w:tcPr>
            <w:tcW w:w="1316" w:type="dxa"/>
          </w:tcPr>
          <w:p w14:paraId="54DF0F93">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0C655658">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Structural Equation Modeling (SEM), Exploratory Factor Analysis (EFA), Confirmatory Factor Analysis (CFA)</w:t>
            </w:r>
          </w:p>
        </w:tc>
        <w:tc>
          <w:tcPr>
            <w:tcW w:w="4225" w:type="dxa"/>
          </w:tcPr>
          <w:p w14:paraId="26AE1C93">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Digital payments help small businesses grow sustainably. Easy access to information makes this impact even stronger.</w:t>
            </w:r>
          </w:p>
        </w:tc>
      </w:tr>
      <w:tr w14:paraId="2DC4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2065" w:type="dxa"/>
          </w:tcPr>
          <w:p w14:paraId="716B167C">
            <w:pPr>
              <w:spacing w:before="100" w:beforeAutospacing="1" w:after="100" w:afterAutospacing="1"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AuthorYear="1"&gt;&lt;Author&gt;Siddik&lt;/Author&gt;&lt;Year&gt;2020&lt;/Year&gt;&lt;RecNum&gt;24&lt;/RecNum&gt;&lt;DisplayText&gt;Siddik (2020)&lt;/DisplayText&gt;&lt;record&gt;&lt;rec-number&gt;24&lt;/rec-number&gt;&lt;foreign-keys&gt;&lt;key app="EN" db-id="2t52ftddjzwsxoerapx5vrxm2fdzpaza5sva" timestamp="1752329453"&gt;24&lt;/key&gt;&lt;/foreign-keys&gt;&lt;ref-type name="Journal Article"&gt;17&lt;/ref-type&gt;&lt;contributors&gt;&lt;authors&gt;&lt;author&gt;Siddik, Md Nur Alam&lt;/author&gt;&lt;/authors&gt;&lt;/contributors&gt;&lt;titles&gt;&lt;title&gt;Economic stimulus for COVID-19 pandemic and its determinants: evidence from cross-country analysis&lt;/title&gt;&lt;secondary-title&gt;Heliyon&lt;/secondary-title&gt;&lt;/titles&gt;&lt;periodical&gt;&lt;full-title&gt;Heliyon&lt;/full-title&gt;&lt;/periodical&gt;&lt;volume&gt;6&lt;/volume&gt;&lt;number&gt;12&lt;/number&gt;&lt;dates&gt;&lt;year&gt;2020&lt;/year&gt;&lt;/dates&gt;&lt;isbn&gt;2405-8440&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Siddik (2020)</w:t>
            </w:r>
            <w:r>
              <w:rPr>
                <w:rFonts w:ascii="Times New Roman" w:hAnsi="Times New Roman" w:eastAsia="Times New Roman" w:cs="Times New Roman"/>
                <w:color w:val="auto"/>
                <w:sz w:val="24"/>
                <w:szCs w:val="24"/>
                <w:u w:val="none"/>
                <w:lang w:val="en-US"/>
              </w:rPr>
              <w:fldChar w:fldCharType="end"/>
            </w:r>
          </w:p>
        </w:tc>
        <w:tc>
          <w:tcPr>
            <w:tcW w:w="1364" w:type="dxa"/>
          </w:tcPr>
          <w:p w14:paraId="344A95A6">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India</w:t>
            </w:r>
          </w:p>
        </w:tc>
        <w:tc>
          <w:tcPr>
            <w:tcW w:w="1316" w:type="dxa"/>
          </w:tcPr>
          <w:p w14:paraId="2C5BD766">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5A63329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Case studies, empirical research, literature review</w:t>
            </w:r>
          </w:p>
        </w:tc>
        <w:tc>
          <w:tcPr>
            <w:tcW w:w="4225" w:type="dxa"/>
          </w:tcPr>
          <w:p w14:paraId="2A983F65">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Digital technology helps more people access banking, supports smart cities, and boosts the economy.</w:t>
            </w:r>
          </w:p>
        </w:tc>
      </w:tr>
      <w:tr w14:paraId="6385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065" w:type="dxa"/>
          </w:tcPr>
          <w:p w14:paraId="70340A74">
            <w:pPr>
              <w:spacing w:before="100" w:beforeAutospacing="1" w:after="100" w:afterAutospacing="1"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AuthorYear="1"&gt;&lt;Author&gt;Bhavsar&lt;/Author&gt;&lt;Year&gt;2022&lt;/Year&gt;&lt;RecNum&gt;38&lt;/RecNum&gt;&lt;DisplayText&gt;Bhavsar and Samanta (2022)&lt;/DisplayText&gt;&lt;record&gt;&lt;rec-number&gt;38&lt;/rec-number&gt;&lt;foreign-keys&gt;&lt;key app="EN" db-id="2t52ftddjzwsxoerapx5vrxm2fdzpaza5sva" timestamp="1752332633"&gt;38&lt;/key&gt;&lt;/foreign-keys&gt;&lt;ref-type name="Conference Proceedings"&gt;10&lt;/ref-type&gt;&lt;contributors&gt;&lt;authors&gt;&lt;author&gt;Bhavsar, Vandana&lt;/author&gt;&lt;author&gt;Samanta, Pradeepta Kumar&lt;/author&gt;&lt;/authors&gt;&lt;/contributors&gt;&lt;titles&gt;&lt;title&gt;Sustainability of digital payments: Empirical evidence from India&lt;/title&gt;&lt;secondary-title&gt;2nd International Conference on Sustainability and Equity (ICSE-2021)&lt;/secondary-title&gt;&lt;/titles&gt;&lt;pages&gt;70-78&lt;/pages&gt;&lt;dates&gt;&lt;year&gt;2022&lt;/year&gt;&lt;/dates&gt;&lt;publisher&gt;Atlantis Press&lt;/publisher&gt;&lt;isbn&gt;9462395152&lt;/isbn&gt;&lt;urls&gt;&lt;/urls&gt;&lt;/record&gt;&lt;/Cite&gt;&lt;/EndNote&gt;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Bhavsar and Samanta (2022)</w:t>
            </w:r>
            <w:r>
              <w:rPr>
                <w:rFonts w:ascii="Times New Roman" w:hAnsi="Times New Roman" w:eastAsia="Times New Roman" w:cs="Times New Roman"/>
                <w:color w:val="auto"/>
                <w:sz w:val="24"/>
                <w:szCs w:val="24"/>
                <w:u w:val="none"/>
                <w:lang w:val="en-US"/>
              </w:rPr>
              <w:fldChar w:fldCharType="end"/>
            </w:r>
          </w:p>
        </w:tc>
        <w:tc>
          <w:tcPr>
            <w:tcW w:w="1364" w:type="dxa"/>
          </w:tcPr>
          <w:p w14:paraId="1781F0F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India</w:t>
            </w:r>
          </w:p>
        </w:tc>
        <w:tc>
          <w:tcPr>
            <w:tcW w:w="1316" w:type="dxa"/>
          </w:tcPr>
          <w:p w14:paraId="6F04F722">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2C89CC4A">
            <w:pPr>
              <w:spacing w:before="100" w:beforeAutospacing="1" w:after="100" w:afterAutospacing="1" w:line="240" w:lineRule="auto"/>
              <w:jc w:val="left"/>
              <w:rPr>
                <w:rFonts w:ascii="Times New Roman" w:hAnsi="Times New Roman" w:eastAsia="Times New Roman" w:cs="Times New Roman"/>
                <w:sz w:val="24"/>
                <w:szCs w:val="24"/>
              </w:rPr>
            </w:pPr>
            <w:r>
              <w:rPr>
                <w:rFonts w:hint="default" w:ascii="Times New Roman" w:hAnsi="Times New Roman" w:eastAsia="Times New Roman"/>
                <w:sz w:val="24"/>
                <w:szCs w:val="24"/>
                <w:lang w:val="en-US"/>
              </w:rPr>
              <w:t>Auto regressive Distributed Lag (ARDL) and Dynamic Ordinary Least Squares (DOLS)</w:t>
            </w:r>
          </w:p>
        </w:tc>
        <w:tc>
          <w:tcPr>
            <w:tcW w:w="4225" w:type="dxa"/>
          </w:tcPr>
          <w:p w14:paraId="3D6EECF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Demonetization, COVID-19 boosted digital payments; financial education, stronger systems needed.</w:t>
            </w:r>
          </w:p>
        </w:tc>
      </w:tr>
      <w:tr w14:paraId="42C9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2065" w:type="dxa"/>
          </w:tcPr>
          <w:p w14:paraId="04D1BD7E">
            <w:pPr>
              <w:spacing w:before="100" w:beforeAutospacing="1" w:after="100" w:afterAutospacing="1"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AuthorYear="1"&gt;&lt;Author&gt;Bhavsar&lt;/Author&gt;&lt;Year&gt;2021&lt;/Year&gt;&lt;RecNum&gt;39&lt;/RecNum&gt;&lt;DisplayText&gt;Bhavsar and Samanta (2021)&lt;/DisplayText&gt;&lt;record&gt;&lt;rec-number&gt;39&lt;/rec-number&gt;&lt;foreign-keys&gt;&lt;key app="EN" db-id="2t52ftddjzwsxoerapx5vrxm2fdzpaza5sva" timestamp="1752332755"&gt;39&lt;/key&gt;&lt;/foreign-keys&gt;&lt;ref-type name="Journal Article"&gt;17&lt;/ref-type&gt;&lt;contributors&gt;&lt;authors&gt;&lt;author&gt;Bhavsar, Vandana&lt;/author&gt;&lt;author&gt;Samanta, Pradeepta Kumar&lt;/author&gt;&lt;/authors&gt;&lt;/contributors&gt;&lt;titles&gt;&lt;title&gt;Investigating the sustainability of digital payments in India&lt;/title&gt;&lt;secondary-title&gt;Orissa Journal of Commerce&lt;/secondary-title&gt;&lt;/titles&gt;&lt;periodical&gt;&lt;full-title&gt;Orissa Journal of Commerce&lt;/full-title&gt;&lt;/periodical&gt;&lt;pages&gt;95-108&lt;/pages&gt;&lt;volume&gt;42&lt;/volume&gt;&lt;number&gt;2&lt;/number&gt;&lt;dates&gt;&lt;year&gt;2021&lt;/year&gt;&lt;/dates&gt;&lt;urls&gt;&lt;/urls&gt;&lt;/record&gt;&lt;/Cite&gt;&lt;/EndNote&gt;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Bhavsar and Samanta (2021)</w:t>
            </w:r>
            <w:r>
              <w:rPr>
                <w:rFonts w:ascii="Times New Roman" w:hAnsi="Times New Roman" w:eastAsia="Times New Roman" w:cs="Times New Roman"/>
                <w:color w:val="auto"/>
                <w:sz w:val="24"/>
                <w:szCs w:val="24"/>
                <w:u w:val="none"/>
                <w:lang w:val="en-US"/>
              </w:rPr>
              <w:fldChar w:fldCharType="end"/>
            </w:r>
          </w:p>
        </w:tc>
        <w:tc>
          <w:tcPr>
            <w:tcW w:w="1364" w:type="dxa"/>
          </w:tcPr>
          <w:p w14:paraId="7D5F2D3D">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India</w:t>
            </w:r>
          </w:p>
        </w:tc>
        <w:tc>
          <w:tcPr>
            <w:tcW w:w="1316" w:type="dxa"/>
          </w:tcPr>
          <w:p w14:paraId="47576C47">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7FE1C80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ARDL bounds test, DOLS, Unit root tests</w:t>
            </w:r>
          </w:p>
        </w:tc>
        <w:tc>
          <w:tcPr>
            <w:tcW w:w="4225" w:type="dxa"/>
          </w:tcPr>
          <w:p w14:paraId="13C334B2">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India, digital payments depend on income and economic events, while banking access and digital systems have little effect.</w:t>
            </w:r>
          </w:p>
        </w:tc>
      </w:tr>
      <w:tr w14:paraId="32C9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065" w:type="dxa"/>
          </w:tcPr>
          <w:p w14:paraId="40645270">
            <w:pPr>
              <w:spacing w:before="100" w:beforeAutospacing="1" w:after="100" w:afterAutospacing="1" w:line="240" w:lineRule="auto"/>
              <w:jc w:val="both"/>
              <w:rPr>
                <w:rFonts w:ascii="Times New Roman" w:hAnsi="Times New Roman" w:eastAsia="Times New Roman" w:cs="Times New Roman"/>
                <w:sz w:val="24"/>
                <w:szCs w:val="24"/>
                <w:u w:val="single"/>
              </w:rPr>
            </w:pPr>
            <w:bookmarkStart w:id="36" w:name="_Hlk191462895"/>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AuthorYear="1"&gt;&lt;Author&gt;Suyanto&lt;/Author&gt;&lt;Year&gt;2023&lt;/Year&gt;&lt;RecNum&gt;36&lt;/RecNum&gt;&lt;DisplayText&gt;Suyanto and Prasilowati (2023)&lt;/DisplayText&gt;&lt;record&gt;&lt;rec-number&gt;36&lt;/rec-number&gt;&lt;foreign-keys&gt;&lt;key app="EN" db-id="2t52ftddjzwsxoerapx5vrxm2fdzpaza5sva" timestamp="1752332275"&gt;36&lt;/key&gt;&lt;/foreign-keys&gt;&lt;ref-type name="Journal Article"&gt;17&lt;/ref-type&gt;&lt;contributors&gt;&lt;authors&gt;&lt;author&gt;Suyanto, Suyanto&lt;/author&gt;&lt;author&gt;Prasilowati, Sri Lestari&lt;/author&gt;&lt;/authors&gt;&lt;/contributors&gt;&lt;titles&gt;&lt;title&gt;The platform factors affecting digital payment advocacy&lt;/title&gt;&lt;secondary-title&gt;Journal of Law and Sustainable Development&lt;/secondary-title&gt;&lt;/titles&gt;&lt;periodical&gt;&lt;full-title&gt;Journal of Law and Sustainable Development&lt;/full-title&gt;&lt;/periodical&gt;&lt;pages&gt;e1700-e1700&lt;/pages&gt;&lt;volume&gt;11&lt;/volume&gt;&lt;number&gt;11&lt;/number&gt;&lt;dates&gt;&lt;year&gt;2023&lt;/year&gt;&lt;/dates&gt;&lt;isbn&gt;2764-4170&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Suyanto and Prasilowati (2023)</w:t>
            </w:r>
            <w:r>
              <w:rPr>
                <w:rFonts w:ascii="Times New Roman" w:hAnsi="Times New Roman" w:eastAsia="Times New Roman" w:cs="Times New Roman"/>
                <w:color w:val="auto"/>
                <w:sz w:val="24"/>
                <w:szCs w:val="24"/>
                <w:u w:val="none"/>
                <w:lang w:val="en-US"/>
              </w:rPr>
              <w:fldChar w:fldCharType="end"/>
            </w:r>
            <w:bookmarkEnd w:id="36"/>
          </w:p>
        </w:tc>
        <w:tc>
          <w:tcPr>
            <w:tcW w:w="1364" w:type="dxa"/>
          </w:tcPr>
          <w:p w14:paraId="63BB6495">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Indonesia</w:t>
            </w:r>
          </w:p>
        </w:tc>
        <w:tc>
          <w:tcPr>
            <w:tcW w:w="1316" w:type="dxa"/>
          </w:tcPr>
          <w:p w14:paraId="270E966D">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75AD9575">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Quantitative design using Structural Equation Modeling (SEM); surveyed 360 participants</w:t>
            </w:r>
          </w:p>
        </w:tc>
        <w:tc>
          <w:tcPr>
            <w:tcW w:w="4225" w:type="dxa"/>
          </w:tcPr>
          <w:p w14:paraId="1F4B9CBF">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Easy apps, support, smooth payments boost digital use, economy growth.</w:t>
            </w:r>
          </w:p>
        </w:tc>
      </w:tr>
      <w:tr w14:paraId="5895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2065" w:type="dxa"/>
          </w:tcPr>
          <w:p w14:paraId="66029DA4">
            <w:pPr>
              <w:spacing w:before="100" w:beforeAutospacing="1" w:after="100" w:afterAutospacing="1" w:line="240" w:lineRule="auto"/>
              <w:jc w:val="both"/>
              <w:rPr>
                <w:rFonts w:ascii="Times New Roman" w:hAnsi="Times New Roman" w:eastAsia="Times New Roman" w:cs="Times New Roman"/>
                <w:sz w:val="24"/>
                <w:szCs w:val="24"/>
                <w:u w:val="single"/>
              </w:rPr>
            </w:pPr>
            <w:bookmarkStart w:id="37" w:name="_Hlk191459909"/>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Beirne and Fernandez (2023)</w:t>
            </w:r>
            <w:r>
              <w:rPr>
                <w:rFonts w:ascii="Times New Roman" w:hAnsi="Times New Roman" w:eastAsia="Times New Roman" w:cs="Times New Roman"/>
                <w:color w:val="auto"/>
                <w:sz w:val="24"/>
                <w:szCs w:val="24"/>
                <w:u w:val="none"/>
                <w:lang w:val="en-US"/>
              </w:rPr>
              <w:fldChar w:fldCharType="end"/>
            </w:r>
            <w:bookmarkEnd w:id="37"/>
          </w:p>
        </w:tc>
        <w:tc>
          <w:tcPr>
            <w:tcW w:w="1364" w:type="dxa"/>
          </w:tcPr>
          <w:p w14:paraId="0D6694D7">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Asia</w:t>
            </w:r>
          </w:p>
        </w:tc>
        <w:tc>
          <w:tcPr>
            <w:tcW w:w="1316" w:type="dxa"/>
          </w:tcPr>
          <w:p w14:paraId="3368C40A">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5535757E">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Empirical, case, spatial, regression, qualitative analysis.</w:t>
            </w:r>
          </w:p>
        </w:tc>
        <w:tc>
          <w:tcPr>
            <w:tcW w:w="4225" w:type="dxa"/>
          </w:tcPr>
          <w:p w14:paraId="7EE95602">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Digital finance boosts access, growth, needs regulation.</w:t>
            </w:r>
          </w:p>
        </w:tc>
      </w:tr>
      <w:tr w14:paraId="5E6E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2065" w:type="dxa"/>
          </w:tcPr>
          <w:p w14:paraId="7E164626">
            <w:pPr>
              <w:spacing w:before="100" w:beforeAutospacing="1" w:after="100" w:afterAutospacing="1"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AuthorYear="1"&gt;&lt;Author&gt;Kurniawan&lt;/Author&gt;&lt;Year&gt;2019&lt;/Year&gt;&lt;RecNum&gt;41&lt;/RecNum&gt;&lt;DisplayText&gt;Kurniawan, Vamplew et al. (2019)&lt;/DisplayText&gt;&lt;record&gt;&lt;rec-number&gt;41&lt;/rec-number&gt;&lt;foreign-keys&gt;&lt;key app="EN" db-id="2t52ftddjzwsxoerapx5vrxm2fdzpaza5sva" timestamp="1752333369"&gt;41&lt;/key&gt;&lt;/foreign-keys&gt;&lt;ref-type name="Conference Proceedings"&gt;10&lt;/ref-type&gt;&lt;contributors&gt;&lt;authors&gt;&lt;author&gt;Kurniawan, Budi&lt;/author&gt;&lt;author&gt;Vamplew, Peter&lt;/author&gt;&lt;author&gt;Papasimeon, Michael&lt;/author&gt;&lt;author&gt;Dazeley, Richard&lt;/author&gt;&lt;author&gt;Foale, Cameron&lt;/author&gt;&lt;/authors&gt;&lt;/contributors&gt;&lt;titles&gt;&lt;title&gt;An empirical study of reward structures for actor-critic reinforcement learning in air combat manoeuvring simulation&lt;/title&gt;&lt;secondary-title&gt;Australasian Joint Conference on Artificial Intelligence&lt;/secondary-title&gt;&lt;/titles&gt;&lt;pages&gt;54-65&lt;/pages&gt;&lt;dates&gt;&lt;year&gt;2019&lt;/year&gt;&lt;/dates&gt;&lt;publisher&gt;Springer&lt;/publisher&gt;&lt;urls&gt;&lt;/urls&gt;&lt;/record&gt;&lt;/Cite&gt;&lt;/EndNote&gt;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Kurniawan, Vamplew et al. (2019)</w:t>
            </w:r>
            <w:r>
              <w:rPr>
                <w:rFonts w:ascii="Times New Roman" w:hAnsi="Times New Roman" w:eastAsia="Times New Roman" w:cs="Times New Roman"/>
                <w:color w:val="auto"/>
                <w:sz w:val="24"/>
                <w:szCs w:val="24"/>
                <w:u w:val="none"/>
                <w:lang w:val="en-US"/>
              </w:rPr>
              <w:fldChar w:fldCharType="end"/>
            </w:r>
          </w:p>
        </w:tc>
        <w:tc>
          <w:tcPr>
            <w:tcW w:w="1364" w:type="dxa"/>
          </w:tcPr>
          <w:p w14:paraId="378E2747">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Indonesia</w:t>
            </w:r>
          </w:p>
        </w:tc>
        <w:tc>
          <w:tcPr>
            <w:tcW w:w="1316" w:type="dxa"/>
          </w:tcPr>
          <w:p w14:paraId="638591DA">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163947D7">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Descriptive analysis, literature review</w:t>
            </w:r>
          </w:p>
        </w:tc>
        <w:tc>
          <w:tcPr>
            <w:tcW w:w="4225" w:type="dxa"/>
          </w:tcPr>
          <w:p w14:paraId="2E85CF4F">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Digital payments change how people spend by encouraging more online purchases.</w:t>
            </w:r>
          </w:p>
        </w:tc>
      </w:tr>
      <w:tr w14:paraId="463B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2065" w:type="dxa"/>
          </w:tcPr>
          <w:p w14:paraId="5D8C68C8">
            <w:pPr>
              <w:spacing w:before="100" w:beforeAutospacing="1" w:after="100" w:afterAutospacing="1"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AuthorYear="1"&gt;&lt;Author&gt;Banna&lt;/Author&gt;&lt;Year&gt;2020&lt;/Year&gt;&lt;RecNum&gt;54&lt;/RecNum&gt;&lt;DisplayText&gt;Banna, Hassan et al. (2020)&lt;/DisplayText&gt;&lt;record&gt;&lt;rec-number&gt;54&lt;/rec-number&gt;&lt;foreign-keys&gt;&lt;key app="EN" db-id="2t52ftddjzwsxoerapx5vrxm2fdzpaza5sva" timestamp="1752388741"&gt;54&lt;/key&gt;&lt;/foreign-keys&gt;&lt;ref-type name="Journal Article"&gt;17&lt;/ref-type&gt;&lt;contributors&gt;&lt;authors&gt;&lt;author&gt;Banna, Hasanul&lt;/author&gt;&lt;author&gt;Hassan, M Kabir&lt;/author&gt;&lt;author&gt;Alam, Md Rabiul&lt;/author&gt;&lt;/authors&gt;&lt;/contributors&gt;&lt;titles&gt;&lt;title&gt;Digital financial inclusion, Islamic banking stability and sustainable economic growth&lt;/title&gt;&lt;secondary-title&gt;Islamic perspective for sustainable financial system&lt;/secondary-title&gt;&lt;/titles&gt;&lt;periodical&gt;&lt;full-title&gt;Islamic perspective for sustainable financial system&lt;/full-title&gt;&lt;/periodical&gt;&lt;pages&gt;131-152&lt;/pages&gt;&lt;volume&gt;20&lt;/volume&gt;&lt;number&gt;1&lt;/number&gt;&lt;dates&gt;&lt;year&gt;2020&lt;/year&gt;&lt;/dates&gt;&lt;urls&gt;&lt;/urls&gt;&lt;/record&gt;&lt;/Cite&gt;&lt;/EndNote&gt;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Banna, Hassan et al. (2020)</w:t>
            </w:r>
            <w:r>
              <w:rPr>
                <w:rFonts w:ascii="Times New Roman" w:hAnsi="Times New Roman" w:eastAsia="Times New Roman" w:cs="Times New Roman"/>
                <w:color w:val="auto"/>
                <w:sz w:val="24"/>
                <w:szCs w:val="24"/>
                <w:u w:val="none"/>
                <w:lang w:val="en-US"/>
              </w:rPr>
              <w:fldChar w:fldCharType="end"/>
            </w:r>
          </w:p>
        </w:tc>
        <w:tc>
          <w:tcPr>
            <w:tcW w:w="1364" w:type="dxa"/>
          </w:tcPr>
          <w:p w14:paraId="6E9C976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Bangladesh</w:t>
            </w:r>
          </w:p>
        </w:tc>
        <w:tc>
          <w:tcPr>
            <w:tcW w:w="1316" w:type="dxa"/>
          </w:tcPr>
          <w:p w14:paraId="0869F11D">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6353A825">
            <w:pPr>
              <w:spacing w:before="100" w:beforeAutospacing="1" w:after="100" w:afterAutospacing="1" w:line="240" w:lineRule="auto"/>
              <w:jc w:val="left"/>
              <w:rPr>
                <w:rFonts w:ascii="Times New Roman" w:hAnsi="Times New Roman" w:eastAsia="Times New Roman" w:cs="Times New Roman"/>
                <w:sz w:val="24"/>
                <w:szCs w:val="24"/>
              </w:rPr>
            </w:pPr>
            <w:r>
              <w:rPr>
                <w:rFonts w:hint="default" w:ascii="Times New Roman" w:hAnsi="Times New Roman" w:eastAsia="Times New Roman"/>
                <w:sz w:val="24"/>
                <w:szCs w:val="24"/>
              </w:rPr>
              <w:t>Panel Corrected Standard Errors (PCSE) &amp; Two Stage Least Square (2SLS)</w:t>
            </w:r>
          </w:p>
        </w:tc>
        <w:tc>
          <w:tcPr>
            <w:tcW w:w="4225" w:type="dxa"/>
          </w:tcPr>
          <w:p w14:paraId="1B667FA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DFI strengthens banks and boosts the economy, helping achieve SDGs, but needs careful planning.</w:t>
            </w:r>
          </w:p>
        </w:tc>
      </w:tr>
      <w:tr w14:paraId="3429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065" w:type="dxa"/>
          </w:tcPr>
          <w:p w14:paraId="0963C146">
            <w:pPr>
              <w:spacing w:before="100" w:beforeAutospacing="1" w:after="100" w:afterAutospacing="1"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color w:val="auto"/>
                <w:sz w:val="24"/>
                <w:szCs w:val="24"/>
                <w:u w:val="none"/>
                <w:lang w:val="en-US"/>
              </w:rPr>
              <w:t xml:space="preserve"> </w:t>
            </w:r>
            <w:r>
              <w:rPr>
                <w:rFonts w:ascii="Times New Roman" w:hAnsi="Times New Roman" w:eastAsia="Times New Roman" w:cs="Times New Roman"/>
                <w:color w:val="auto"/>
                <w:sz w:val="24"/>
                <w:szCs w:val="24"/>
                <w:u w:val="none"/>
                <w:lang w:val="en-US"/>
              </w:rPr>
              <w:fldChar w:fldCharType="begin"/>
            </w:r>
            <w:r>
              <w:rPr>
                <w:rFonts w:ascii="Times New Roman" w:hAnsi="Times New Roman" w:eastAsia="Times New Roman" w:cs="Times New Roman"/>
                <w:color w:val="auto"/>
                <w:sz w:val="24"/>
                <w:szCs w:val="24"/>
                <w:u w:val="none"/>
                <w:lang w:val="en-US"/>
              </w:rPr>
              <w:instrText xml:space="preserve"> ADDIN EN.CITE &lt;EndNote&gt;&lt;Cite AuthorYear="1"&gt;&lt;Author&gt;Michalek&lt;/Author&gt;&lt;Year&gt;2014&lt;/Year&gt;&lt;RecNum&gt;48&lt;/RecNum&gt;&lt;DisplayText&gt;Michalek and Ciaian (2014)&lt;/DisplayText&gt;&lt;record&gt;&lt;rec-number&gt;48&lt;/rec-number&gt;&lt;foreign-keys&gt;&lt;key app="EN" db-id="2t52ftddjzwsxoerapx5vrxm2fdzpaza5sva" timestamp="1752345122"&gt;48&lt;/key&gt;&lt;/foreign-keys&gt;&lt;ref-type name="Journal Article"&gt;17&lt;/ref-type&gt;&lt;contributors&gt;&lt;authors&gt;&lt;author&gt;Michalek, Jerzy&lt;/author&gt;&lt;author&gt;Ciaian, Pavel&lt;/author&gt;&lt;/authors&gt;&lt;/contributors&gt;&lt;titles&gt;&lt;title&gt;Capitalization of the single payment scheme into land value: generalized propensity score evidence from the European Union&lt;/title&gt;&lt;secondary-title&gt;Land economics&lt;/secondary-title&gt;&lt;/titles&gt;&lt;periodical&gt;&lt;full-title&gt;Land economics&lt;/full-title&gt;&lt;/periodical&gt;&lt;pages&gt;260-289&lt;/pages&gt;&lt;volume&gt;90&lt;/volume&gt;&lt;number&gt;2&lt;/number&gt;&lt;dates&gt;&lt;year&gt;2014&lt;/year&gt;&lt;/dates&gt;&lt;isbn&gt;0023-7639&lt;/isbn&gt;&lt;urls&gt;&lt;/urls&gt;&lt;/record&gt;&lt;/Cite&gt;&lt;/EndNote&gt;</w:instrText>
            </w:r>
            <w:r>
              <w:rPr>
                <w:rFonts w:ascii="Times New Roman" w:hAnsi="Times New Roman" w:eastAsia="Times New Roman" w:cs="Times New Roman"/>
                <w:color w:val="auto"/>
                <w:sz w:val="24"/>
                <w:szCs w:val="24"/>
                <w:u w:val="none"/>
                <w:lang w:val="en-US"/>
              </w:rPr>
              <w:fldChar w:fldCharType="separate"/>
            </w:r>
            <w:r>
              <w:rPr>
                <w:rFonts w:ascii="Times New Roman" w:hAnsi="Times New Roman" w:eastAsia="Times New Roman" w:cs="Times New Roman"/>
                <w:color w:val="auto"/>
                <w:sz w:val="24"/>
                <w:szCs w:val="24"/>
                <w:u w:val="none"/>
                <w:lang w:val="en-US" w:eastAsia="en-US" w:bidi="ar-SA"/>
              </w:rPr>
              <w:t>Michalek and Ciaian (2014)</w:t>
            </w:r>
            <w:r>
              <w:rPr>
                <w:rFonts w:ascii="Times New Roman" w:hAnsi="Times New Roman" w:eastAsia="Times New Roman" w:cs="Times New Roman"/>
                <w:color w:val="auto"/>
                <w:sz w:val="24"/>
                <w:szCs w:val="24"/>
                <w:u w:val="none"/>
                <w:lang w:val="en-US"/>
              </w:rPr>
              <w:fldChar w:fldCharType="end"/>
            </w:r>
          </w:p>
        </w:tc>
        <w:tc>
          <w:tcPr>
            <w:tcW w:w="1364" w:type="dxa"/>
          </w:tcPr>
          <w:p w14:paraId="52FA3FF8">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Austria</w:t>
            </w:r>
          </w:p>
        </w:tc>
        <w:tc>
          <w:tcPr>
            <w:tcW w:w="1316" w:type="dxa"/>
          </w:tcPr>
          <w:p w14:paraId="6574E701">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SDG 9 </w:t>
            </w:r>
          </w:p>
        </w:tc>
        <w:tc>
          <w:tcPr>
            <w:tcW w:w="3980" w:type="dxa"/>
          </w:tcPr>
          <w:p w14:paraId="50CF105E">
            <w:pPr>
              <w:spacing w:before="100" w:beforeAutospacing="1"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Generalized Propensity Score (GPS) matching, panel data analysis, econometric modeling</w:t>
            </w:r>
          </w:p>
        </w:tc>
        <w:tc>
          <w:tcPr>
            <w:tcW w:w="4225" w:type="dxa"/>
          </w:tcPr>
          <w:p w14:paraId="32B3BB6B">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the EU, 6-7% of farm subsidies affect land rents. Lower-value farms see a bigger impact, while subsidy rules lessen the effect on land prices.</w:t>
            </w:r>
          </w:p>
        </w:tc>
      </w:tr>
    </w:tbl>
    <w:p w14:paraId="6F498D26">
      <w:pPr>
        <w:jc w:val="both"/>
        <w:rPr>
          <w:rFonts w:hint="default" w:ascii="Times New Roman" w:hAnsi="Times New Roman"/>
          <w:sz w:val="24"/>
          <w:szCs w:val="24"/>
          <w:lang w:val="en-US"/>
        </w:rPr>
      </w:pPr>
    </w:p>
    <w:p w14:paraId="71168FC7">
      <w:pPr>
        <w:jc w:val="both"/>
        <w:rPr>
          <w:rFonts w:hint="default" w:ascii="Times New Roman" w:hAnsi="Times New Roman"/>
          <w:sz w:val="24"/>
          <w:szCs w:val="24"/>
          <w:lang w:val="en-US"/>
        </w:rPr>
      </w:pPr>
    </w:p>
    <w:p w14:paraId="5138A4A7">
      <w:pPr>
        <w:pStyle w:val="2"/>
        <w:numPr>
          <w:ilvl w:val="0"/>
          <w:numId w:val="11"/>
        </w:numPr>
        <w:ind w:left="360" w:leftChars="0" w:firstLineChars="0"/>
        <w:rPr>
          <w:rFonts w:hint="default" w:ascii="Times New Roman" w:hAnsi="Times New Roman" w:eastAsia="Times New Roman" w:cs="Times New Roman"/>
          <w:sz w:val="28"/>
          <w:szCs w:val="28"/>
        </w:rPr>
      </w:pPr>
      <w:bookmarkStart w:id="38" w:name="_Toc26799"/>
      <w:bookmarkStart w:id="39" w:name="_Toc1968"/>
      <w:r>
        <w:rPr>
          <w:rFonts w:hint="default" w:ascii="Times New Roman" w:hAnsi="Times New Roman" w:eastAsia="Times New Roman" w:cs="Times New Roman"/>
          <w:sz w:val="28"/>
          <w:szCs w:val="28"/>
        </w:rPr>
        <w:t>Technological innovation Effect SDG 2 &amp; 9:</w:t>
      </w:r>
      <w:bookmarkEnd w:id="38"/>
      <w:bookmarkEnd w:id="39"/>
    </w:p>
    <w:p w14:paraId="23C6C76A">
      <w:pPr>
        <w:jc w:val="both"/>
        <w:rPr>
          <w:rFonts w:hint="default" w:ascii="Times New Roman" w:hAnsi="Times New Roman"/>
          <w:sz w:val="24"/>
          <w:szCs w:val="24"/>
          <w:lang w:val="en-US"/>
        </w:rPr>
      </w:pPr>
    </w:p>
    <w:p w14:paraId="6C2DA957">
      <w:pPr>
        <w:ind w:firstLine="720" w:firstLineChars="300"/>
        <w:jc w:val="both"/>
        <w:rPr>
          <w:rFonts w:hint="default" w:ascii="Times New Roman" w:hAnsi="Times New Roman"/>
          <w:sz w:val="24"/>
          <w:szCs w:val="24"/>
          <w:lang w:val="en-US"/>
        </w:rPr>
      </w:pPr>
      <w:r>
        <w:rPr>
          <w:rFonts w:hint="default" w:ascii="Times New Roman" w:hAnsi="Times New Roman"/>
          <w:sz w:val="24"/>
          <w:szCs w:val="24"/>
          <w:lang w:val="en-US"/>
        </w:rPr>
        <w:t xml:space="preserve">Technological innovation is instrumental in the following ways in the provision of food security, sustainable agriculture, and elimination of hunger. A number of studies report the potential of digital finance, fin tech solutions, and agricultural technologies to curb the problem by transforming access to food and resources. SDG 2 is about eliminating hunger reduction, sustainable agriculture and food security. The years of research have examined various technological and policy-based solutions to reach the same ends, focusing on the fact that innovation shall be in a position to improve the future with regard to food security.Van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AuthorYear="1"&gt;&lt;Author&gt;Van Vuuren&lt;/Author&gt;&lt;Year&gt;2015&lt;/Year&gt;&lt;RecNum&gt;55&lt;/RecNum&gt;&lt;DisplayText&gt;Van Vuuren, Kok et al. (2015)&lt;/DisplayText&gt;&lt;record&gt;&lt;rec-number&gt;55&lt;/rec-number&gt;&lt;foreign-keys&gt;&lt;key app="EN" db-id="2t52ftddjzwsxoerapx5vrxm2fdzpaza5sva" timestamp="1752390208"&gt;55&lt;/key&gt;&lt;/foreign-keys&gt;&lt;ref-type name="Journal Article"&gt;17&lt;/ref-type&gt;&lt;contributors&gt;&lt;authors&gt;&lt;author&gt;Van Vuuren, Detlef P&lt;/author&gt;&lt;author&gt;Kok, Marcel&lt;/author&gt;&lt;author&gt;Lucas, Paul L&lt;/author&gt;&lt;author&gt;Prins, Anne Gerdien&lt;/author&gt;&lt;author&gt;Alkemade, Rob&lt;/author&gt;&lt;author&gt;van den Berg, Maurits&lt;/author&gt;&lt;author&gt;Bouwman, Lex&lt;/author&gt;&lt;author&gt;van der Esch, Stefan&lt;/author&gt;&lt;author&gt;Jeuken, Michel&lt;/author&gt;&lt;author&gt;Kram, Tom&lt;/author&gt;&lt;/authors&gt;&lt;/contributors&gt;&lt;titles&gt;&lt;title&gt;Pathways to achieve a set of ambitious global sustainability objectives by 2050: explorations using the IMAGE integrated assessment model&lt;/title&gt;&lt;secondary-title&gt;Technological Forecasting and Social Change&lt;/secondary-title&gt;&lt;/titles&gt;&lt;periodical&gt;&lt;full-title&gt;Technological Forecasting and Social Change&lt;/full-title&gt;&lt;/periodical&gt;&lt;pages&gt;303-323&lt;/pages&gt;&lt;volume&gt;98&lt;/volume&gt;&lt;dates&gt;&lt;year&gt;2015&lt;/year&gt;&lt;/dates&gt;&lt;isbn&gt;0040-1625&lt;/isbn&gt;&lt;urls&gt;&lt;/urls&gt;&lt;/record&gt;&lt;/Cite&gt;&lt;/EndNote&gt;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Van Vuuren, Kok et al. (2015)</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utilized integrated assessment modeling to forecast that by 2050, the food security and sustainability will have been reached only through a drastic transformation of the energy system along with that of food systems. The research stated that policy integration that could associate climate action, biodiversity conservation, and poverty reduction were needed to regulate trade-offs. In a biometric and policy review,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AuthorYear="1"&gt;&lt;Author&gt;Adenle&lt;/Author&gt;&lt;Year&gt;2015&lt;/Year&gt;&lt;RecNum&gt;56&lt;/RecNum&gt;&lt;DisplayText&gt;Adenle, Azadi et al. (2015)&lt;/DisplayText&gt;&lt;record&gt;&lt;rec-number&gt;56&lt;/rec-number&gt;&lt;foreign-keys&gt;&lt;key app="EN" db-id="2t52ftddjzwsxoerapx5vrxm2fdzpaza5sva" timestamp="1752390284"&gt;56&lt;/key&gt;&lt;/foreign-keys&gt;&lt;ref-type name="Journal Article"&gt;17&lt;/ref-type&gt;&lt;contributors&gt;&lt;authors&gt;&lt;author&gt;Adenle, Ademola A&lt;/author&gt;&lt;author&gt;Azadi, Hossein&lt;/author&gt;&lt;author&gt;Arbiol, Joseph&lt;/author&gt;&lt;/authors&gt;&lt;/contributors&gt;&lt;titles&gt;&lt;title&gt;Global assessment of technological innovation for climate change adaptation and mitigation in developing world&lt;/title&gt;&lt;secondary-title&gt;Journal of environmental management&lt;/secondary-title&gt;&lt;/titles&gt;&lt;periodical&gt;&lt;full-title&gt;Journal of environmental management&lt;/full-title&gt;&lt;/periodical&gt;&lt;pages&gt;261-275&lt;/pages&gt;&lt;volume&gt;161&lt;/volume&gt;&lt;dates&gt;&lt;year&gt;2015&lt;/year&gt;&lt;/dates&gt;&lt;isbn&gt;0301-4797&lt;/isbn&gt;&lt;urls&gt;&lt;/urls&gt;&lt;/record&gt;&lt;/Cite&gt;&lt;/EndNote&gt;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Adenle, Azadi et al. (2015)</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revealed that developing nations invest little in the research and development (R&amp;D) of climates, usually because of the inadequate infrastructure and poor governance. The research suggested more powerful policies to improve development in technology in the agricultural sector.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AuthorYear="1"&gt;&lt;Author&gt;Nabarro&lt;/Author&gt;&lt;Year&gt;2016&lt;/Year&gt;&lt;RecNum&gt;57&lt;/RecNum&gt;&lt;DisplayText&gt;Nabarro (2016)&lt;/DisplayText&gt;&lt;record&gt;&lt;rec-number&gt;57&lt;/rec-number&gt;&lt;foreign-keys&gt;&lt;key app="EN" db-id="2t52ftddjzwsxoerapx5vrxm2fdzpaza5sva" timestamp="1752390473"&gt;57&lt;/key&gt;&lt;/foreign-keys&gt;&lt;ref-type name="Journal Article"&gt;17&lt;/ref-type&gt;&lt;contributors&gt;&lt;authors&gt;&lt;author&gt;Nabarro, David&lt;/author&gt;&lt;/authors&gt;&lt;/contributors&gt;&lt;titles&gt;&lt;title&gt;Transforming our world: How the Sustainable Development Goals will help us achieve zero hunger&lt;/title&gt;&lt;/titles&gt;&lt;dates&gt;&lt;year&gt;2016&lt;/year&gt;&lt;/dates&gt;&lt;urls&gt;&lt;/urls&gt;&lt;/record&gt;&lt;/Cite&gt;&lt;/EndNote&gt;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Nabarro (2016)</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was in support of the multidimensional role in eliminating hunger by having a strong political will, investing financial resources, and technological innovations. The analysis has made clear that to eradicate hunger, a comprehensive system of sustainable agriculture, food nutritive enhancement and poverty eradication in rural areas must be used. A study done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AuthorYear="1"&gt;&lt;Author&gt;Wongnaa&lt;/Author&gt;&lt;Year&gt;2018&lt;/Year&gt;&lt;RecNum&gt;32&lt;/RecNum&gt;&lt;DisplayText&gt;Wongnaa and Awunyo-Vitor (2018)&lt;/DisplayText&gt;&lt;record&gt;&lt;rec-number&gt;32&lt;/rec-number&gt;&lt;foreign-keys&gt;&lt;key app="EN" db-id="2t52ftddjzwsxoerapx5vrxm2fdzpaza5sva" timestamp="1752331077"&gt;32&lt;/key&gt;&lt;/foreign-keys&gt;&lt;ref-type name="Journal Article"&gt;17&lt;/ref-type&gt;&lt;contributors&gt;&lt;authors&gt;&lt;author&gt;Wongnaa, Camillus Abawiera&lt;/author&gt;&lt;author&gt;Awunyo-Vitor, Dadson&lt;/author&gt;&lt;/authors&gt;&lt;/contributors&gt;&lt;titles&gt;&lt;title&gt;Achieving sustainable development goals on no poverty and zero hunger: Does technical efficiency of Ghana’s maize farmers matter?&lt;/title&gt;&lt;secondary-title&gt;Agriculture &amp;amp; Food Security&lt;/secondary-title&gt;&lt;/titles&gt;&lt;periodical&gt;&lt;full-title&gt;Agriculture &amp;amp; Food Security&lt;/full-title&gt;&lt;/periodical&gt;&lt;pages&gt;71&lt;/pages&gt;&lt;volume&gt;7&lt;/volume&gt;&lt;number&gt;1&lt;/number&gt;&lt;dates&gt;&lt;year&gt;2018&lt;/year&gt;&lt;/dates&gt;&lt;isbn&gt;2048-7010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Wongnaa and Awunyo-Vitor (2018)</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on the Ghanaian farmers revealed that education, farming experience, and access to agricultural resources are some of the factors determining the efficiency of farmers. These results indicate that recovery in productivity and food security could be done through intervention of better policies. The study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AuthorYear="1"&gt;&lt;Author&gt;Bagheri&lt;/Author&gt;&lt;Year&gt;2019&lt;/Year&gt;&lt;RecNum&gt;59&lt;/RecNum&gt;&lt;DisplayText&gt;Bagheri, Bondori et al. (2019)&lt;/DisplayText&gt;&lt;record&gt;&lt;rec-number&gt;59&lt;/rec-number&gt;&lt;foreign-keys&gt;&lt;key app="EN" db-id="2t52ftddjzwsxoerapx5vrxm2fdzpaza5sva" timestamp="1752391031"&gt;59&lt;/key&gt;&lt;/foreign-keys&gt;&lt;ref-type name="Journal Article"&gt;17&lt;/ref-type&gt;&lt;contributors&gt;&lt;authors&gt;&lt;author&gt;Bagheri, Asghar&lt;/author&gt;&lt;author&gt;Bondori, Abolmohammad&lt;/author&gt;&lt;author&gt;Allahyari, Mohammad Sadegh&lt;/author&gt;&lt;author&gt;Damalas, Christos A&lt;/author&gt;&lt;/authors&gt;&lt;/contributors&gt;&lt;titles&gt;&lt;title&gt;Modeling farmers’ intention to use pesticides: An expanded version of the theory of planned behavior&lt;/title&gt;&lt;secondary-title&gt;Journal of environmental management&lt;/secondary-title&gt;&lt;/titles&gt;&lt;periodical&gt;&lt;full-title&gt;Journal of environmental management&lt;/full-title&gt;&lt;/periodical&gt;&lt;pages&gt;109291&lt;/pages&gt;&lt;volume&gt;248&lt;/volume&gt;&lt;dates&gt;&lt;year&gt;2019&lt;/year&gt;&lt;/dates&gt;&lt;isbn&gt;0301-4797&lt;/isbn&gt;&lt;urls&gt;&lt;/urls&gt;&lt;/record&gt;&lt;/Cite&gt;&lt;/EndNote&gt;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Bagheri, Bondori et al. (2019)</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was devoted to agricultural extension programs to ensure food security.</w:t>
      </w:r>
    </w:p>
    <w:p w14:paraId="5946367B">
      <w:pPr>
        <w:jc w:val="both"/>
        <w:rPr>
          <w:rFonts w:hint="default" w:ascii="Times New Roman" w:hAnsi="Times New Roman"/>
          <w:sz w:val="24"/>
          <w:szCs w:val="24"/>
          <w:lang w:val="en-US"/>
        </w:rPr>
      </w:pPr>
      <w:r>
        <w:rPr>
          <w:rFonts w:hint="default" w:ascii="Times New Roman" w:hAnsi="Times New Roman"/>
          <w:sz w:val="24"/>
          <w:szCs w:val="24"/>
          <w:lang w:val="en-US"/>
        </w:rPr>
        <w:t>It has been observed that when the participatory knowledge transfer strategies are put in application as they have been known to enhance adoption of technology among the farmers and is consequently resulting in improved productivity and sustainability. Avana-Tientcheu, Sime et al. (2019) emphasized the role of innovative breeding methods in enhancing production and the climate-resistant abilities of crops. The paper has recommended more investment and policy encouragement in agricultural breeding plans in accordance with the SDG 2 goals. Precision agriculture, genetic engineering, tray farming, and drone crop surveillance are some of the rising trends in technological development in the line of SDG 2. Such developments help to boost production volumes of crops, counter food spoilage, and strengthen climate adaptability, and thus they remain the fundamental instruments in the pursuit of providing global food security. Besides, the hydroponics and aquarobics modernization is transforming food production leaving no reason to depress arable land and wasting water resources. Predictive analytic with the help of an AI are allowing farmers to make data-based decisions on how to ascertain crop management to yield the desired output and maximum use of resources. Besides, the digital platforms and mobile applications are facilitating the communication gap between farmers and markets, minimizing food waste due to post-harvests and improving food distribution transportation systems.</w:t>
      </w:r>
    </w:p>
    <w:p w14:paraId="5EC1FE4D">
      <w:pPr>
        <w:jc w:val="both"/>
        <w:rPr>
          <w:rFonts w:hint="default" w:ascii="Times New Roman" w:hAnsi="Times New Roman"/>
          <w:sz w:val="24"/>
          <w:szCs w:val="24"/>
          <w:lang w:val="en-US"/>
        </w:rPr>
      </w:pPr>
      <w:r>
        <w:rPr>
          <w:rFonts w:hint="default" w:ascii="Times New Roman" w:hAnsi="Times New Roman"/>
          <w:sz w:val="24"/>
          <w:szCs w:val="24"/>
          <w:lang w:val="en-US"/>
        </w:rPr>
        <w:t xml:space="preserve">Technological innovation has been important in the struggle to attain Sustainable Development Goal 9 (SDG 9) on building resilient infrastructure, enhancing sustainable industrialization and the encouragement of innovation. Different investigations have been conducted examining the effects of technological innovations on economic growth, sustainable environmental development and social development. As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AuthorYear="1"&gt;&lt;Author&gt;Musango&lt;/Author&gt;&lt;Year&gt;2021&lt;/Year&gt;&lt;RecNum&gt;60&lt;/RecNum&gt;&lt;DisplayText&gt;Musango and Bassi (2021)&lt;/DisplayText&gt;&lt;record&gt;&lt;rec-number&gt;60&lt;/rec-number&gt;&lt;foreign-keys&gt;&lt;key app="EN" db-id="2t52ftddjzwsxoerapx5vrxm2fdzpaza5sva" timestamp="1752391474"&gt;60&lt;/key&gt;&lt;/foreign-keys&gt;&lt;ref-type name="Journal Article"&gt;17&lt;/ref-type&gt;&lt;contributors&gt;&lt;authors&gt;&lt;author&gt;Musango, Josephine Kaviti&lt;/author&gt;&lt;author&gt;Bassi, Andrea M&lt;/author&gt;&lt;/authors&gt;&lt;/contributors&gt;&lt;titles&gt;&lt;title&gt;Towards a systemic assessment of gendered energy transition in urban households&lt;/title&gt;&lt;secondary-title&gt;Energies&lt;/secondary-title&gt;&lt;/titles&gt;&lt;periodical&gt;&lt;full-title&gt;Energies&lt;/full-title&gt;&lt;/periodical&gt;&lt;pages&gt;7251&lt;/pages&gt;&lt;volume&gt;14&lt;/volume&gt;&lt;number&gt;21&lt;/number&gt;&lt;dates&gt;&lt;year&gt;2021&lt;/year&gt;&lt;/dates&gt;&lt;isbn&gt;1996-1073&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Musango and Bassi (2021)</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note, SATSA framework based on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AuthorYear="1"&gt;&lt;Author&gt;Musango&lt;/Author&gt;&lt;Year&gt;2011&lt;/Year&gt;&lt;RecNum&gt;61&lt;/RecNum&gt;&lt;DisplayText&gt;Musango, Amigun et al. (2011)&lt;/DisplayText&gt;&lt;record&gt;&lt;rec-number&gt;61&lt;/rec-number&gt;&lt;foreign-keys&gt;&lt;key app="EN" db-id="2t52ftddjzwsxoerapx5vrxm2fdzpaza5sva" timestamp="1752391669"&gt;61&lt;/key&gt;&lt;/foreign-keys&gt;&lt;ref-type name="Journal Article"&gt;17&lt;/ref-type&gt;&lt;contributors&gt;&lt;authors&gt;&lt;author&gt;Musango, Josephine K&lt;/author&gt;&lt;author&gt;Amigun, Bamikole&lt;/author&gt;&lt;author&gt;Brent, Alan C&lt;/author&gt;&lt;/authors&gt;&lt;/contributors&gt;&lt;titles&gt;&lt;title&gt;Sustainable electricity generation technologies in South Africa: initiatives, challenges and policy implications&lt;/title&gt;&lt;secondary-title&gt;Energy and Environment Research&lt;/secondary-title&gt;&lt;/titles&gt;&lt;periodical&gt;&lt;full-title&gt;Energy and Environment Research&lt;/full-title&gt;&lt;/periodical&gt;&lt;pages&gt;124&lt;/pages&gt;&lt;volume&gt;1&lt;/volume&gt;&lt;number&gt;1&lt;/number&gt;&lt;dates&gt;&lt;year&gt;2011&lt;/year&gt;&lt;/dates&gt;&lt;isbn&gt;1927-0569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Musango, Amigun et al. (2011)</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is a formulated assessment model used to gauge the level of a sustainable energy technology. The main points of this framework were that technologically, there must be coordination between its development and sustainability intention of this industry so that they may be able to develop outcomes can have lasting benefits. The study outlined the need to incorporate aspects of sustainability in the energy policies in a bid to drive the growth of the industry.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AuthorYear="1"&gt;&lt;Author&gt;Constantinescu&lt;/Author&gt;&lt;Year&gt;2014&lt;/Year&gt;&lt;RecNum&gt;62&lt;/RecNum&gt;&lt;DisplayText&gt;Constantinescu and Frone (2014)&lt;/DisplayText&gt;&lt;record&gt;&lt;rec-number&gt;62&lt;/rec-number&gt;&lt;foreign-keys&gt;&lt;key app="EN" db-id="2t52ftddjzwsxoerapx5vrxm2fdzpaza5sva" timestamp="1752391800"&gt;62&lt;/key&gt;&lt;/foreign-keys&gt;&lt;ref-type name="Journal Article"&gt;17&lt;/ref-type&gt;&lt;contributors&gt;&lt;authors&gt;&lt;author&gt;Constantinescu, Andreea&lt;/author&gt;&lt;author&gt;Frone, Simona&lt;/author&gt;&lt;/authors&gt;&lt;/contributors&gt;&lt;titles&gt;&lt;title&gt;The role of technological innovation in sustainable ec omic development&lt;/title&gt;&lt;/titles&gt;&lt;dates&gt;&lt;year&gt;2014&lt;/year&gt;&lt;/dates&gt;&lt;urls&gt;&lt;/urls&gt;&lt;/record&gt;&lt;/Cite&gt;&lt;/EndNote&gt;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Constantinescu and Frone (2014)</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carried out a case study in Romania and it was revealed that technological advances play a very critical role in supporting economic, social and environmental sustainability. The research showed that the economies of those nations, in which high technologies of industry are implemented, reach a better level of output and general social welfare. DaNo, Wetter, et. Al (2014) presented technology as the most important driver of the progress in sustainable development, but issues about access inequality, intellectual property rights, and environmental hazards were issues subject to inhibit the sustainable developing progress. The study indicated that the lack of equal access to technologies could result in an unbalanced distribution of economic growth of various regions. Mersmann, Wehnert et al. (2014) have promoted systemic change of institutions alongside reinforcement of policies and support to provide meaningful technological changes leading to sustainability.</w:t>
      </w:r>
    </w:p>
    <w:p w14:paraId="173E9BBB">
      <w:pPr>
        <w:jc w:val="both"/>
        <w:rPr>
          <w:rFonts w:hint="default" w:ascii="Times New Roman" w:hAnsi="Times New Roman"/>
          <w:sz w:val="24"/>
          <w:szCs w:val="24"/>
          <w:lang w:val="en-US"/>
        </w:rPr>
      </w:pPr>
      <w:r>
        <w:rPr>
          <w:rFonts w:hint="default" w:ascii="Times New Roman" w:hAnsi="Times New Roman"/>
          <w:sz w:val="24"/>
          <w:szCs w:val="24"/>
          <w:lang w:val="en-US"/>
        </w:rPr>
        <w:t>The authors underlined that technological innovations were not enough to meet SDG 9 without cooperation between institutions.</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AuthorYear="1"&gt;&lt;Author&gt;Michalek&lt;/Author&gt;&lt;Year&gt;2014&lt;/Year&gt;&lt;RecNum&gt;48&lt;/RecNum&gt;&lt;DisplayText&gt;Michalek and Ciaian (2014)&lt;/DisplayText&gt;&lt;record&gt;&lt;rec-number&gt;48&lt;/rec-number&gt;&lt;foreign-keys&gt;&lt;key app="EN" db-id="2t52ftddjzwsxoerapx5vrxm2fdzpaza5sva" timestamp="1752345122"&gt;48&lt;/key&gt;&lt;/foreign-keys&gt;&lt;ref-type name="Journal Article"&gt;17&lt;/ref-type&gt;&lt;contributors&gt;&lt;authors&gt;&lt;author&gt;Michalek, Jerzy&lt;/author&gt;&lt;author&gt;Ciaian, Pavel&lt;/author&gt;&lt;/authors&gt;&lt;/contributors&gt;&lt;titles&gt;&lt;title&gt;Capitalization of the single payment scheme into land value: generalized propensity score evidence from the European Union&lt;/title&gt;&lt;secondary-title&gt;Land economics&lt;/secondary-title&gt;&lt;/titles&gt;&lt;periodical&gt;&lt;full-title&gt;Land economics&lt;/full-title&gt;&lt;/periodical&gt;&lt;pages&gt;260-289&lt;/pages&gt;&lt;volume&gt;90&lt;/volume&gt;&lt;number&gt;2&lt;/number&gt;&lt;dates&gt;&lt;year&gt;2014&lt;/year&gt;&lt;/dates&gt;&lt;isbn&gt;0023-7639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Michalek and Ciaian (2014)</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analyzed the influence of agricultural subsidies on the capitalization of the value of the land in EU-15 countries. The research found out that there were differences in the economic effects on the basis of country policy requirement, where it was indicated that the policy set ups are of paramount importance in deciding whether their technological advancements would prove to be effective in both agricultural and industrial sectors.</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AuthorYear="1"&gt;&lt;Author&gt;Mallick&lt;/Author&gt;&lt;Year&gt;2017&lt;/Year&gt;&lt;RecNum&gt;69&lt;/RecNum&gt;&lt;DisplayText&gt;Mallick (2017)&lt;/DisplayText&gt;&lt;record&gt;&lt;rec-number&gt;69&lt;/rec-number&gt;&lt;foreign-keys&gt;&lt;key app="EN" db-id="2t52ftddjzwsxoerapx5vrxm2fdzpaza5sva" timestamp="1752392750"&gt;69&lt;/key&gt;&lt;/foreign-keys&gt;&lt;ref-type name="Journal Article"&gt;17&lt;/ref-type&gt;&lt;contributors&gt;&lt;authors&gt;&lt;author&gt;Mallick, Seeme&lt;/author&gt;&lt;/authors&gt;&lt;/contributors&gt;&lt;titles&gt;&lt;title&gt;Scientific perspective on sustainable development goals for Pakistan&lt;/title&gt;&lt;secondary-title&gt;A scientific journal of comsats-science vision&lt;/secondary-title&gt;&lt;/titles&gt;&lt;periodical&gt;&lt;full-title&gt;A scientific journal of comsats-science vision&lt;/full-title&gt;&lt;/periodical&gt;&lt;pages&gt;51-62&lt;/pages&gt;&lt;volume&gt;21&lt;/volume&gt;&lt;number&gt;1&amp;amp;2&lt;/number&gt;&lt;dates&gt;&lt;year&gt;2017&lt;/year&gt;&lt;/dates&gt;&lt;urls&gt;&lt;/urls&gt;&lt;/record&gt;&lt;/Cite&gt;&lt;/EndNote&gt;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Mallick (2017)</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noted that in order to promote SDG 9 objectives, it is important to focus on investment in scientific research and various technological innovations, especially when it comes to the energy sector. The analysis showed that energy-efficient innovations also made substantial contributions toward waste and sustainability in industries.</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AuthorYear="1"&gt;&lt;Author&gt;Alstone&lt;/Author&gt;&lt;Year&gt;2015&lt;/Year&gt;&lt;RecNum&gt;70&lt;/RecNum&gt;&lt;DisplayText&gt;Alstone, Gershenson et al. (2015)&lt;/DisplayText&gt;&lt;record&gt;&lt;rec-number&gt;70&lt;/rec-number&gt;&lt;foreign-keys&gt;&lt;key app="EN" db-id="2t52ftddjzwsxoerapx5vrxm2fdzpaza5sva" timestamp="1752392920"&gt;70&lt;/key&gt;&lt;/foreign-keys&gt;&lt;ref-type name="Journal Article"&gt;17&lt;/ref-type&gt;&lt;contributors&gt;&lt;authors&gt;&lt;author&gt;Alstone, Peter&lt;/author&gt;&lt;author&gt;Gershenson, Dimitry&lt;/author&gt;&lt;author&gt;Kammen, Daniel M&lt;/author&gt;&lt;/authors&gt;&lt;/contributors&gt;&lt;titles&gt;&lt;title&gt;Decentralized energy systems for clean electricity access&lt;/title&gt;&lt;secondary-title&gt;Nature climate change&lt;/secondary-title&gt;&lt;/titles&gt;&lt;periodical&gt;&lt;full-title&gt;Nature climate change&lt;/full-title&gt;&lt;/periodical&gt;&lt;pages&gt;305-314&lt;/pages&gt;&lt;volume&gt;5&lt;/volume&gt;&lt;number&gt;4&lt;/number&gt;&lt;dates&gt;&lt;year&gt;2015&lt;/year&gt;&lt;/dates&gt;&lt;isbn&gt;1758-678X&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Alstone, Gershenson et al. (2015)</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demonstrated that the use of mobile technology and decentralized solar power could facilitate and enable the provision of electricity to enhance climate resilience in the developing world. The research also pointed to core roles of uneconomical and saleable technological solutions in rural regions.The research also showed the importance of technological innovations in governance to minimize the administrative inefficiencies and increase the productivity of the industry. Spies (2019) established a conceptual framework that could help industries better use technology to achieve SDG 9 targets in an efficient manner. The research revealed that those industries that implemented well-organized technological systems recorded faster advancements in achieving sustainability. According to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AuthorYear="1"&gt;&lt;Author&gt;Singh&lt;/Author&gt;&lt;Year&gt;2020&lt;/Year&gt;&lt;RecNum&gt;72&lt;/RecNum&gt;&lt;DisplayText&gt;Singh, Maiyar et al. (2020)&lt;/DisplayText&gt;&lt;record&gt;&lt;rec-number&gt;72&lt;/rec-number&gt;&lt;foreign-keys&gt;&lt;key app="EN" db-id="2t52ftddjzwsxoerapx5vrxm2fdzpaza5sva" timestamp="1752393528"&gt;72&lt;/key&gt;&lt;/foreign-keys&gt;&lt;ref-type name="Journal Article"&gt;17&lt;/ref-type&gt;&lt;contributors&gt;&lt;authors&gt;&lt;author&gt;Singh, Sonal H&lt;/author&gt;&lt;author&gt;Maiyar, Lohithaksha M&lt;/author&gt;&lt;author&gt;Bhowmick, Bhaskar&lt;/author&gt;&lt;/authors&gt;&lt;/contributors&gt;&lt;titles&gt;&lt;title&gt;Assessing the appropriate grassroots technological innovation for sustainable development&lt;/title&gt;&lt;secondary-title&gt;Technology analysis &amp;amp; strategic management&lt;/secondary-title&gt;&lt;/titles&gt;&lt;periodical&gt;&lt;full-title&gt;Technology analysis &amp;amp; strategic management&lt;/full-title&gt;&lt;/periodical&gt;&lt;pages&gt;175-194&lt;/pages&gt;&lt;volume&gt;32&lt;/volume&gt;&lt;number&gt;2&lt;/number&gt;&lt;dates&gt;&lt;year&gt;2020&lt;/year&gt;&lt;/dates&gt;&lt;isbn&gt;0953-7325&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Singh, Maiyar et al. (2020)</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the results of grassroots innovationhave principal significance in the evolution of the country side., and improvements in policy assistance to this innovative process are recommended. The paper indicated that local agricultural entrepreneurship in technology would be capable of fueling the local sustainability of the local economy as well as curbing the rural-urban migration.</w:t>
      </w:r>
    </w:p>
    <w:p w14:paraId="5C9653D3">
      <w:pPr>
        <w:jc w:val="both"/>
        <w:rPr>
          <w:rFonts w:hint="default" w:ascii="Times New Roman" w:hAnsi="Times New Roman"/>
          <w:sz w:val="24"/>
          <w:szCs w:val="24"/>
          <w:lang w:val="en-US"/>
        </w:rPr>
      </w:pPr>
      <w:r>
        <w:rPr>
          <w:rFonts w:hint="default" w:ascii="Times New Roman" w:hAnsi="Times New Roman"/>
          <w:sz w:val="24"/>
          <w:szCs w:val="24"/>
          <w:lang w:val="en-US"/>
        </w:rPr>
        <w:t xml:space="preserve">To demonstrate this idea, some of them employed the hypothesis of Environmental Kuznets Curve, which implies that technological advances at the beginning result in decreased pollution, whereas further concerning phases might lead to environmental over exploitation. The study advised that sustainability should be incorporated in the industrial policies at their initial stages.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AuthorYear="1"&gt;&lt;Author&gt;Chen&lt;/Author&gt;&lt;Year&gt;2021&lt;/Year&gt;&lt;RecNum&gt;50&lt;/RecNum&gt;&lt;DisplayText&gt;Chen, Sinha et al. (2021)&lt;/DisplayText&gt;&lt;record&gt;&lt;rec-number&gt;50&lt;/rec-number&gt;&lt;foreign-keys&gt;&lt;key app="EN" db-id="2t52ftddjzwsxoerapx5vrxm2fdzpaza5sva" timestamp="1752345909"&gt;50&lt;/key&gt;&lt;/foreign-keys&gt;&lt;ref-type name="Journal Article"&gt;17&lt;/ref-type&gt;&lt;contributors&gt;&lt;authors&gt;&lt;author&gt;Chen, Maozhi&lt;/author&gt;&lt;author&gt;Sinha, Avik&lt;/author&gt;&lt;author&gt;Hu, Kexiang&lt;/author&gt;&lt;author&gt;Shah, Muhammad Ibrahim&lt;/author&gt;&lt;/authors&gt;&lt;/contributors&gt;&lt;titles&gt;&lt;title&gt;Impact of technological innovation on energy efficiency in industry 4.0 era: Moderation of shadow economy in sustainable development&lt;/title&gt;&lt;secondary-title&gt;Technological Forecasting and Social Change&lt;/secondary-title&gt;&lt;/titles&gt;&lt;periodical&gt;&lt;full-title&gt;Technological Forecasting and Social Change&lt;/full-title&gt;&lt;/periodical&gt;&lt;pages&gt;120521&lt;/pages&gt;&lt;volume&gt;164&lt;/volume&gt;&lt;dates&gt;&lt;year&gt;2021&lt;/year&gt;&lt;/dates&gt;&lt;isbn&gt;0040-1625&lt;/isbn&gt;&lt;urls&gt;&lt;/urls&gt;&lt;/record&gt;&lt;/Cite&gt;&lt;/EndNote&gt;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Chen, Sinha et al. (2021)</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utilized econometric models to evaluate the effect of technology to boost energy efficiency but observed that the shadow economy is a threat to sustainable development. Studies suggested transparency that addresses the impact of technological benefits that a nation might lose due to economic inefficiency.</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AuthorYear="1"&gt;&lt;Author&gt;Lekan&lt;/Author&gt;&lt;Year&gt;2022&lt;/Year&gt;&lt;RecNum&gt;47&lt;/RecNum&gt;&lt;DisplayText&gt;Lekan, Aigbavboa et al. (2022)&lt;/DisplayText&gt;&lt;record&gt;&lt;rec-number&gt;47&lt;/rec-number&gt;&lt;foreign-keys&gt;&lt;key app="EN" db-id="2t52ftddjzwsxoerapx5vrxm2fdzpaza5sva" timestamp="1752344956"&gt;47&lt;/key&gt;&lt;/foreign-keys&gt;&lt;ref-type name="Journal Article"&gt;17&lt;/ref-type&gt;&lt;contributors&gt;&lt;authors&gt;&lt;author&gt;Lekan, Amusan&lt;/author&gt;&lt;author&gt;Aigbavboa, Clinton&lt;/author&gt;&lt;author&gt;Babatunde, Ogunbayo&lt;/author&gt;&lt;author&gt;Olabosipo, Fagbenle&lt;/author&gt;&lt;author&gt;Christiana, Adediran&lt;/author&gt;&lt;/authors&gt;&lt;/contributors&gt;&lt;titles&gt;&lt;title&gt;Disruptive technological innovations in construction field and fourth industrial revolution intervention in the achievement of the sustainable development goal 9&lt;/title&gt;&lt;secondary-title&gt;International Journal of Construction Management&lt;/secondary-title&gt;&lt;/titles&gt;&lt;periodical&gt;&lt;full-title&gt;International Journal of Construction Management&lt;/full-title&gt;&lt;/periodical&gt;&lt;pages&gt;2647-2658&lt;/pages&gt;&lt;volume&gt;22&lt;/volume&gt;&lt;number&gt;14&lt;/number&gt;&lt;dates&gt;&lt;year&gt;2022&lt;/year&gt;&lt;/dates&gt;&lt;isbn&gt;1562-3599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Lekan, Aigbavboa et al. (2022)</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described the contributions of the Fourth Industrial Revolution in shaping the idea of the sustainable infrastructure and industrial growth and promoted better policy structures in place towards these inventions. As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AuthorYear="1"&gt;&lt;Author&gt;Jahanger&lt;/Author&gt;&lt;Year&gt;2024&lt;/Year&gt;&lt;RecNum&gt;75&lt;/RecNum&gt;&lt;DisplayText&gt;Jahanger, Balsalobre-Lorente et al. (2024)&lt;/DisplayText&gt;&lt;record&gt;&lt;rec-number&gt;75&lt;/rec-number&gt;&lt;foreign-keys&gt;&lt;key app="EN" db-id="2t52ftddjzwsxoerapx5vrxm2fdzpaza5sva" timestamp="1752394132"&gt;75&lt;/key&gt;&lt;/foreign-keys&gt;&lt;ref-type name="Journal Article"&gt;17&lt;/ref-type&gt;&lt;contributors&gt;&lt;authors&gt;&lt;author&gt;Jahanger, Atif&lt;/author&gt;&lt;author&gt;Balsalobre-Lorente, Daniel&lt;/author&gt;&lt;author&gt;Ali, Mumtaz&lt;/author&gt;&lt;author&gt;Samour, Ahmed&lt;/author&gt;&lt;author&gt;Abbas, Shujaat&lt;/author&gt;&lt;author&gt;Tursoy, Turgut&lt;/author&gt;&lt;author&gt;Joof, Foday&lt;/author&gt;&lt;/authors&gt;&lt;/contributors&gt;&lt;titles&gt;&lt;title&gt;Going away or going green in ASEAN countries: Testing the impact of green financing and energy on environmental sustainability&lt;/title&gt;&lt;secondary-title&gt;Energy &amp;amp; Environment&lt;/secondary-title&gt;&lt;/titles&gt;&lt;periodical&gt;&lt;full-title&gt;Energy &amp;amp; Environment&lt;/full-title&gt;&lt;/periodical&gt;&lt;pages&gt;3759-3784&lt;/pages&gt;&lt;volume&gt;35&lt;/volume&gt;&lt;number&gt;7&lt;/number&gt;&lt;dates&gt;&lt;year&gt;2024&lt;/year&gt;&lt;/dates&gt;&lt;isbn&gt;0958-305X&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Jahanger, Balsalobre-Lorente et al. (2024)</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clarified, although environmental sustainability is enhanced by due to the consumption of renewable energy and technological advancement, unaccountable economic growth poses a risk. The study proposed a strike of balance between the industrialization and the sustainability of the environment programs. Among the technological trends that are emerging to play a role in SDG 9 are artificial intelligence (AI) in smart manufacturing, block chain to have a transparent internet of things, and supply chain. (IoT) to manage infrastructure efficiently. It has been shown that digital twins and automation have the potential to transform industrial efficiency and cut down on waste by raising accuracy. Robotics and 3D printing have also been found to be essential in sustainable industrialization because they reduce waste of materials and also enhance the accuracy of design.</w:t>
      </w:r>
      <w:bookmarkStart w:id="40" w:name="_Toc19450"/>
    </w:p>
    <w:p w14:paraId="0FC9CB78">
      <w:pPr>
        <w:jc w:val="both"/>
      </w:pPr>
    </w:p>
    <w:p w14:paraId="64387441">
      <w:pPr>
        <w:jc w:val="both"/>
        <w:rPr>
          <w:rFonts w:hint="default"/>
        </w:rPr>
      </w:pPr>
      <w:r>
        <w:t xml:space="preserve">Table </w:t>
      </w:r>
      <w:r>
        <w:fldChar w:fldCharType="begin"/>
      </w:r>
      <w:r>
        <w:instrText xml:space="preserve"> SEQ Table \* ARABIC </w:instrText>
      </w:r>
      <w:r>
        <w:fldChar w:fldCharType="separate"/>
      </w:r>
      <w:r>
        <w:t>2</w:t>
      </w:r>
      <w:r>
        <w:fldChar w:fldCharType="end"/>
      </w:r>
      <w:bookmarkStart w:id="41" w:name="_Toc6085"/>
      <w:r>
        <w:rPr>
          <w:rFonts w:hint="default"/>
        </w:rPr>
        <w:t>: Literature Review on Technological innovation SDG 2 &amp; 9:</w:t>
      </w:r>
      <w:bookmarkEnd w:id="40"/>
      <w:bookmarkEnd w:id="41"/>
    </w:p>
    <w:tbl>
      <w:tblPr>
        <w:tblStyle w:val="6"/>
        <w:tblpPr w:leftFromText="180" w:rightFromText="180" w:vertAnchor="text" w:horzAnchor="page" w:tblpX="1304" w:tblpY="932"/>
        <w:tblOverlap w:val="never"/>
        <w:tblW w:w="9495" w:type="dxa"/>
        <w:tblInd w:w="0" w:type="dxa"/>
        <w:tblLayout w:type="fixed"/>
        <w:tblCellMar>
          <w:top w:w="0" w:type="dxa"/>
          <w:left w:w="108" w:type="dxa"/>
          <w:bottom w:w="0" w:type="dxa"/>
          <w:right w:w="108" w:type="dxa"/>
        </w:tblCellMar>
      </w:tblPr>
      <w:tblGrid>
        <w:gridCol w:w="1296"/>
        <w:gridCol w:w="1296"/>
        <w:gridCol w:w="1103"/>
        <w:gridCol w:w="1725"/>
        <w:gridCol w:w="4075"/>
      </w:tblGrid>
      <w:tr w14:paraId="7EC478C3">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A11550">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Author</w:t>
            </w:r>
          </w:p>
        </w:tc>
        <w:tc>
          <w:tcPr>
            <w:tcW w:w="1296" w:type="dxa"/>
            <w:tcBorders>
              <w:top w:val="single" w:color="auto" w:sz="4" w:space="0"/>
              <w:left w:val="nil"/>
              <w:bottom w:val="single" w:color="auto" w:sz="4" w:space="0"/>
              <w:right w:val="single" w:color="auto" w:sz="4" w:space="0"/>
            </w:tcBorders>
            <w:shd w:val="clear" w:color="auto" w:fill="auto"/>
            <w:noWrap/>
            <w:vAlign w:val="center"/>
          </w:tcPr>
          <w:p w14:paraId="54BB689D">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Countries</w:t>
            </w:r>
          </w:p>
        </w:tc>
        <w:tc>
          <w:tcPr>
            <w:tcW w:w="1103" w:type="dxa"/>
            <w:tcBorders>
              <w:top w:val="single" w:color="auto" w:sz="4" w:space="0"/>
              <w:left w:val="nil"/>
              <w:bottom w:val="single" w:color="auto" w:sz="4" w:space="0"/>
              <w:right w:val="single" w:color="auto" w:sz="4" w:space="0"/>
            </w:tcBorders>
            <w:shd w:val="clear" w:color="auto" w:fill="auto"/>
            <w:noWrap/>
            <w:vAlign w:val="center"/>
          </w:tcPr>
          <w:p w14:paraId="34A944F9">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SDG</w:t>
            </w:r>
          </w:p>
        </w:tc>
        <w:tc>
          <w:tcPr>
            <w:tcW w:w="1725" w:type="dxa"/>
            <w:tcBorders>
              <w:top w:val="single" w:color="auto" w:sz="4" w:space="0"/>
              <w:left w:val="nil"/>
              <w:bottom w:val="single" w:color="auto" w:sz="4" w:space="0"/>
              <w:right w:val="single" w:color="auto" w:sz="4" w:space="0"/>
            </w:tcBorders>
            <w:shd w:val="clear" w:color="auto" w:fill="auto"/>
            <w:noWrap/>
            <w:vAlign w:val="center"/>
          </w:tcPr>
          <w:p w14:paraId="5CC7DA8C">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Methodology</w:t>
            </w:r>
          </w:p>
        </w:tc>
        <w:tc>
          <w:tcPr>
            <w:tcW w:w="4075" w:type="dxa"/>
            <w:tcBorders>
              <w:top w:val="single" w:color="auto" w:sz="4" w:space="0"/>
              <w:left w:val="nil"/>
              <w:bottom w:val="single" w:color="auto" w:sz="4" w:space="0"/>
              <w:right w:val="single" w:color="auto" w:sz="4" w:space="0"/>
            </w:tcBorders>
            <w:shd w:val="clear" w:color="auto" w:fill="auto"/>
            <w:noWrap/>
            <w:vAlign w:val="center"/>
          </w:tcPr>
          <w:p w14:paraId="7A1821BF">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Findings</w:t>
            </w:r>
          </w:p>
        </w:tc>
      </w:tr>
      <w:tr w14:paraId="7829355E">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vAlign w:val="top"/>
          </w:tcPr>
          <w:p w14:paraId="615F7EE8">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rPr>
              <w:fldChar w:fldCharType="begin"/>
            </w:r>
            <w:r>
              <w:rPr>
                <w:rFonts w:hint="default" w:ascii="Times New Roman" w:hAnsi="Times New Roman" w:cs="Times New Roman"/>
                <w:lang w:val="en-US"/>
              </w:rPr>
              <w:instrText xml:space="preserve"> ADDIN EN.CITE &lt;EndNote&gt;&lt;Cite AuthorYear="1"&gt;&lt;Author&gt;Van Vuuren&lt;/Author&gt;&lt;Year&gt;2015&lt;/Year&gt;&lt;RecNum&gt;55&lt;/RecNum&gt;&lt;DisplayText&gt;Van Vuuren, Kok et al. (2015)&lt;/DisplayText&gt;&lt;record&gt;&lt;rec-number&gt;55&lt;/rec-number&gt;&lt;foreign-keys&gt;&lt;key app="EN" db-id="2t52ftddjzwsxoerapx5vrxm2fdzpaza5sva" timestamp="1752390208"&gt;55&lt;/key&gt;&lt;/foreign-keys&gt;&lt;ref-type name="Journal Article"&gt;17&lt;/ref-type&gt;&lt;contributors&gt;&lt;authors&gt;&lt;author&gt;Van Vuuren, Detlef P&lt;/author&gt;&lt;author&gt;Kok, Marcel&lt;/author&gt;&lt;author&gt;Lucas, Paul L&lt;/author&gt;&lt;author&gt;Prins, Anne Gerdien&lt;/author&gt;&lt;author&gt;Alkemade, Rob&lt;/author&gt;&lt;author&gt;van den Berg, Maurits&lt;/author&gt;&lt;author&gt;Bouwman, Lex&lt;/author&gt;&lt;author&gt;van der Esch, Stefan&lt;/author&gt;&lt;author&gt;Jeuken, Michel&lt;/author&gt;&lt;author&gt;Kram, Tom&lt;/author&gt;&lt;/authors&gt;&lt;/contributors&gt;&lt;titles&gt;&lt;title&gt;Pathways to achieve a set of ambitious global sustainability objectives by 2050: explorations using the IMAGE integrated assessment model&lt;/title&gt;&lt;secondary-title&gt;Technological Forecasting and Social Change&lt;/secondary-title&gt;&lt;/titles&gt;&lt;periodical&gt;&lt;full-title&gt;Technological Forecasting and Social Change&lt;/full-title&gt;&lt;/periodical&gt;&lt;pages&gt;303-323&lt;/pages&gt;&lt;volume&gt;98&lt;/volume&gt;&lt;dates&gt;&lt;year&gt;2015&lt;/year&gt;&lt;/dates&gt;&lt;isbn&gt;0040-1625&lt;/isbn&gt;&lt;urls&gt;&lt;/urls&gt;&lt;/record&gt;&lt;/Cite&gt;&lt;/EndNote&gt;</w:instrText>
            </w:r>
            <w:r>
              <w:rPr>
                <w:rFonts w:hint="default" w:ascii="Times New Roman" w:hAnsi="Times New Roman" w:cs="Times New Roman"/>
              </w:rPr>
              <w:fldChar w:fldCharType="separate"/>
            </w:r>
            <w:r>
              <w:rPr>
                <w:rFonts w:hint="default" w:ascii="Times New Roman" w:hAnsi="Times New Roman" w:cs="Times New Roman" w:eastAsiaTheme="minorHAnsi"/>
                <w:sz w:val="22"/>
                <w:szCs w:val="22"/>
                <w:lang w:val="en-US" w:eastAsia="en-US" w:bidi="ar-SA"/>
              </w:rPr>
              <w:t>Van Vuuren, Kok et al. (2015)</w:t>
            </w:r>
            <w:r>
              <w:rPr>
                <w:rFonts w:hint="default" w:ascii="Times New Roman" w:hAnsi="Times New Roman" w:cs="Times New Roman"/>
              </w:rPr>
              <w:fldChar w:fldCharType="end"/>
            </w:r>
          </w:p>
        </w:tc>
        <w:tc>
          <w:tcPr>
            <w:tcW w:w="1296" w:type="dxa"/>
            <w:tcBorders>
              <w:top w:val="nil"/>
              <w:left w:val="nil"/>
              <w:bottom w:val="single" w:color="auto" w:sz="4" w:space="0"/>
              <w:right w:val="single" w:color="auto" w:sz="4" w:space="0"/>
            </w:tcBorders>
            <w:shd w:val="clear" w:color="auto" w:fill="auto"/>
            <w:vAlign w:val="top"/>
          </w:tcPr>
          <w:p w14:paraId="27946C8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Global</w:t>
            </w:r>
          </w:p>
        </w:tc>
        <w:tc>
          <w:tcPr>
            <w:tcW w:w="1103" w:type="dxa"/>
            <w:tcBorders>
              <w:top w:val="nil"/>
              <w:left w:val="nil"/>
              <w:bottom w:val="single" w:color="auto" w:sz="4" w:space="0"/>
              <w:right w:val="single" w:color="auto" w:sz="4" w:space="0"/>
            </w:tcBorders>
            <w:shd w:val="clear" w:color="auto" w:fill="auto"/>
            <w:vAlign w:val="top"/>
          </w:tcPr>
          <w:p w14:paraId="0413BC7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2</w:t>
            </w:r>
          </w:p>
        </w:tc>
        <w:tc>
          <w:tcPr>
            <w:tcW w:w="1725" w:type="dxa"/>
            <w:tcBorders>
              <w:top w:val="nil"/>
              <w:left w:val="nil"/>
              <w:bottom w:val="single" w:color="auto" w:sz="4" w:space="0"/>
              <w:right w:val="single" w:color="auto" w:sz="4" w:space="0"/>
            </w:tcBorders>
            <w:shd w:val="clear" w:color="auto" w:fill="auto"/>
            <w:vAlign w:val="top"/>
          </w:tcPr>
          <w:p w14:paraId="04315FF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Integrated Assessment Modeling</w:t>
            </w:r>
          </w:p>
        </w:tc>
        <w:tc>
          <w:tcPr>
            <w:tcW w:w="4075" w:type="dxa"/>
            <w:tcBorders>
              <w:top w:val="nil"/>
              <w:left w:val="nil"/>
              <w:bottom w:val="single" w:color="auto" w:sz="4" w:space="0"/>
              <w:right w:val="single" w:color="auto" w:sz="4" w:space="0"/>
            </w:tcBorders>
            <w:shd w:val="clear" w:color="auto" w:fill="auto"/>
            <w:vAlign w:val="top"/>
          </w:tcPr>
          <w:p w14:paraId="753B7EE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Achieving food security by 2050 requires major changes in food and energy systems.</w:t>
            </w:r>
          </w:p>
        </w:tc>
      </w:tr>
      <w:tr w14:paraId="2541FD39">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noWrap/>
            <w:vAlign w:val="top"/>
          </w:tcPr>
          <w:p w14:paraId="1412AF4E">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rPr>
              <w:fldChar w:fldCharType="begin"/>
            </w:r>
            <w:r>
              <w:rPr>
                <w:rFonts w:hint="default" w:ascii="Times New Roman" w:hAnsi="Times New Roman" w:cs="Times New Roman"/>
                <w:lang w:val="en-US"/>
              </w:rPr>
              <w:instrText xml:space="preserve"> ADDIN EN.CITE &lt;EndNote&gt;&lt;Cite AuthorYear="1"&gt;&lt;Author&gt;Adenle&lt;/Author&gt;&lt;Year&gt;2015&lt;/Year&gt;&lt;RecNum&gt;56&lt;/RecNum&gt;&lt;DisplayText&gt;Adenle, Azadi et al. (2015)&lt;/DisplayText&gt;&lt;record&gt;&lt;rec-number&gt;56&lt;/rec-number&gt;&lt;foreign-keys&gt;&lt;key app="EN" db-id="2t52ftddjzwsxoerapx5vrxm2fdzpaza5sva" timestamp="1752390284"&gt;56&lt;/key&gt;&lt;/foreign-keys&gt;&lt;ref-type name="Journal Article"&gt;17&lt;/ref-type&gt;&lt;contributors&gt;&lt;authors&gt;&lt;author&gt;Adenle, Ademola A&lt;/author&gt;&lt;author&gt;Azadi, Hossein&lt;/author&gt;&lt;author&gt;Arbiol, Joseph&lt;/author&gt;&lt;/authors&gt;&lt;/contributors&gt;&lt;titles&gt;&lt;title&gt;Global assessment of technological innovation for climate change adaptation and mitigation in developing world&lt;/title&gt;&lt;secondary-title&gt;Journal of environmental management&lt;/secondary-title&gt;&lt;/titles&gt;&lt;periodical&gt;&lt;full-title&gt;Journal of environmental management&lt;/full-title&gt;&lt;/periodical&gt;&lt;pages&gt;261-275&lt;/pages&gt;&lt;volume&gt;161&lt;/volume&gt;&lt;dates&gt;&lt;year&gt;2015&lt;/year&gt;&lt;/dates&gt;&lt;isbn&gt;0301-4797&lt;/isbn&gt;&lt;urls&gt;&lt;/urls&gt;&lt;/record&gt;&lt;/Cite&gt;&lt;/EndNote&gt;</w:instrText>
            </w:r>
            <w:r>
              <w:rPr>
                <w:rFonts w:hint="default" w:ascii="Times New Roman" w:hAnsi="Times New Roman" w:cs="Times New Roman"/>
              </w:rPr>
              <w:fldChar w:fldCharType="separate"/>
            </w:r>
            <w:r>
              <w:rPr>
                <w:rFonts w:hint="default" w:ascii="Times New Roman" w:hAnsi="Times New Roman" w:cs="Times New Roman" w:eastAsiaTheme="minorHAnsi"/>
                <w:sz w:val="22"/>
                <w:szCs w:val="22"/>
                <w:lang w:val="en-US" w:eastAsia="en-US" w:bidi="ar-SA"/>
              </w:rPr>
              <w:t>Adenle, Azadi et al. (2015)</w:t>
            </w:r>
            <w:r>
              <w:rPr>
                <w:rFonts w:hint="default" w:ascii="Times New Roman" w:hAnsi="Times New Roman" w:cs="Times New Roman"/>
              </w:rPr>
              <w:fldChar w:fldCharType="end"/>
            </w:r>
          </w:p>
        </w:tc>
        <w:tc>
          <w:tcPr>
            <w:tcW w:w="1296" w:type="dxa"/>
            <w:tcBorders>
              <w:top w:val="nil"/>
              <w:left w:val="nil"/>
              <w:bottom w:val="single" w:color="auto" w:sz="4" w:space="0"/>
              <w:right w:val="single" w:color="auto" w:sz="4" w:space="0"/>
            </w:tcBorders>
            <w:shd w:val="clear" w:color="auto" w:fill="auto"/>
            <w:vAlign w:val="top"/>
          </w:tcPr>
          <w:p w14:paraId="2BDBF07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Developing countries</w:t>
            </w:r>
          </w:p>
        </w:tc>
        <w:tc>
          <w:tcPr>
            <w:tcW w:w="1103" w:type="dxa"/>
            <w:tcBorders>
              <w:top w:val="nil"/>
              <w:left w:val="nil"/>
              <w:bottom w:val="single" w:color="auto" w:sz="4" w:space="0"/>
              <w:right w:val="single" w:color="auto" w:sz="4" w:space="0"/>
            </w:tcBorders>
            <w:shd w:val="clear" w:color="auto" w:fill="auto"/>
            <w:vAlign w:val="top"/>
          </w:tcPr>
          <w:p w14:paraId="2FA4063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2</w:t>
            </w:r>
          </w:p>
        </w:tc>
        <w:tc>
          <w:tcPr>
            <w:tcW w:w="1725" w:type="dxa"/>
            <w:tcBorders>
              <w:top w:val="nil"/>
              <w:left w:val="nil"/>
              <w:bottom w:val="single" w:color="auto" w:sz="4" w:space="0"/>
              <w:right w:val="single" w:color="auto" w:sz="4" w:space="0"/>
            </w:tcBorders>
            <w:shd w:val="clear" w:color="auto" w:fill="auto"/>
            <w:vAlign w:val="top"/>
          </w:tcPr>
          <w:p w14:paraId="428FBD7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Bibliometric and Policy Review</w:t>
            </w:r>
          </w:p>
        </w:tc>
        <w:tc>
          <w:tcPr>
            <w:tcW w:w="4075" w:type="dxa"/>
            <w:tcBorders>
              <w:top w:val="nil"/>
              <w:left w:val="nil"/>
              <w:bottom w:val="single" w:color="auto" w:sz="4" w:space="0"/>
              <w:right w:val="single" w:color="auto" w:sz="4" w:space="0"/>
            </w:tcBorders>
            <w:shd w:val="clear" w:color="auto" w:fill="auto"/>
            <w:vAlign w:val="top"/>
          </w:tcPr>
          <w:p w14:paraId="1F64EC6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Poor infrastructure hampers R&amp;D; recommends stronger policies for agri-tech innovation.</w:t>
            </w:r>
          </w:p>
        </w:tc>
      </w:tr>
      <w:tr w14:paraId="31E1BB96">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vAlign w:val="top"/>
          </w:tcPr>
          <w:p w14:paraId="08ABFC86">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AuthorYear="1"&gt;&lt;Author&gt;Nabarro&lt;/Author&gt;&lt;Year&gt;2016&lt;/Year&gt;&lt;RecNum&gt;57&lt;/RecNum&gt;&lt;DisplayText&gt;Nabarro (2016)&lt;/DisplayText&gt;&lt;record&gt;&lt;rec-number&gt;57&lt;/rec-number&gt;&lt;foreign-keys&gt;&lt;key app="EN" db-id="2t52ftddjzwsxoerapx5vrxm2fdzpaza5sva" timestamp="1752390473"&gt;57&lt;/key&gt;&lt;/foreign-keys&gt;&lt;ref-type name="Journal Article"&gt;17&lt;/ref-type&gt;&lt;contributors&gt;&lt;authors&gt;&lt;author&gt;Nabarro, David&lt;/author&gt;&lt;/authors&gt;&lt;/contributors&gt;&lt;titles&gt;&lt;title&gt;Transforming our world: How the Sustainable Development Goals will help us achieve zero hunger&lt;/title&gt;&lt;/titles&gt;&lt;dates&gt;&lt;year&gt;2016&lt;/year&gt;&lt;/dates&gt;&lt;urls&gt;&lt;/urls&gt;&lt;/record&gt;&lt;/Cite&gt;&lt;/EndNote&gt;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Nabarro (2016)</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nil"/>
              <w:left w:val="nil"/>
              <w:bottom w:val="single" w:color="auto" w:sz="4" w:space="0"/>
              <w:right w:val="single" w:color="auto" w:sz="4" w:space="0"/>
            </w:tcBorders>
            <w:shd w:val="clear" w:color="auto" w:fill="auto"/>
            <w:vAlign w:val="top"/>
          </w:tcPr>
          <w:p w14:paraId="4903558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Global</w:t>
            </w:r>
          </w:p>
        </w:tc>
        <w:tc>
          <w:tcPr>
            <w:tcW w:w="1103" w:type="dxa"/>
            <w:tcBorders>
              <w:top w:val="nil"/>
              <w:left w:val="nil"/>
              <w:bottom w:val="single" w:color="auto" w:sz="4" w:space="0"/>
              <w:right w:val="single" w:color="auto" w:sz="4" w:space="0"/>
            </w:tcBorders>
            <w:shd w:val="clear" w:color="auto" w:fill="auto"/>
            <w:vAlign w:val="top"/>
          </w:tcPr>
          <w:p w14:paraId="1FF411E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2</w:t>
            </w:r>
          </w:p>
        </w:tc>
        <w:tc>
          <w:tcPr>
            <w:tcW w:w="1725" w:type="dxa"/>
            <w:tcBorders>
              <w:top w:val="nil"/>
              <w:left w:val="nil"/>
              <w:bottom w:val="single" w:color="auto" w:sz="4" w:space="0"/>
              <w:right w:val="single" w:color="auto" w:sz="4" w:space="0"/>
            </w:tcBorders>
            <w:shd w:val="clear" w:color="auto" w:fill="auto"/>
            <w:vAlign w:val="top"/>
          </w:tcPr>
          <w:p w14:paraId="715E9A4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Policy Analysis</w:t>
            </w:r>
          </w:p>
        </w:tc>
        <w:tc>
          <w:tcPr>
            <w:tcW w:w="4075" w:type="dxa"/>
            <w:tcBorders>
              <w:top w:val="nil"/>
              <w:left w:val="nil"/>
              <w:bottom w:val="single" w:color="auto" w:sz="4" w:space="0"/>
              <w:right w:val="single" w:color="auto" w:sz="4" w:space="0"/>
            </w:tcBorders>
            <w:shd w:val="clear" w:color="auto" w:fill="auto"/>
            <w:vAlign w:val="top"/>
          </w:tcPr>
          <w:p w14:paraId="5552C408">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Hunger eradication needs political, financial, and technological synergy.</w:t>
            </w:r>
          </w:p>
        </w:tc>
      </w:tr>
      <w:tr w14:paraId="72CCB181">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vAlign w:val="top"/>
          </w:tcPr>
          <w:p w14:paraId="59A4B218">
            <w:pPr>
              <w:spacing w:after="0" w:line="240" w:lineRule="auto"/>
              <w:rPr>
                <w:rFonts w:hint="default" w:ascii="Times New Roman" w:hAnsi="Times New Roman" w:eastAsia="Times New Roman" w:cs="Times New Roman"/>
                <w:color w:val="0563C1"/>
                <w:u w:val="single"/>
              </w:rPr>
            </w:pPr>
            <w:bookmarkStart w:id="42" w:name="_Hlk191462873"/>
            <w:r>
              <w:rPr>
                <w:rFonts w:hint="default" w:ascii="Times New Roman" w:hAnsi="Times New Roman" w:cs="Times New Roman"/>
              </w:rPr>
              <w:fldChar w:fldCharType="begin"/>
            </w:r>
            <w:r>
              <w:rPr>
                <w:rFonts w:hint="default" w:ascii="Times New Roman" w:hAnsi="Times New Roman" w:cs="Times New Roman"/>
                <w:lang w:val="en-US"/>
              </w:rPr>
              <w:instrText xml:space="preserve"> ADDIN EN.CITE &lt;EndNote&gt;&lt;Cite AuthorYear="1"&gt;&lt;Author&gt;Wongnaa&lt;/Author&gt;&lt;Year&gt;2018&lt;/Year&gt;&lt;RecNum&gt;32&lt;/RecNum&gt;&lt;DisplayText&gt;Wongnaa and Awunyo-Vitor (2018)&lt;/DisplayText&gt;&lt;record&gt;&lt;rec-number&gt;32&lt;/rec-number&gt;&lt;foreign-keys&gt;&lt;key app="EN" db-id="2t52ftddjzwsxoerapx5vrxm2fdzpaza5sva" timestamp="1752331077"&gt;32&lt;/key&gt;&lt;/foreign-keys&gt;&lt;ref-type name="Journal Article"&gt;17&lt;/ref-type&gt;&lt;contributors&gt;&lt;authors&gt;&lt;author&gt;Wongnaa, Camillus Abawiera&lt;/author&gt;&lt;author&gt;Awunyo-Vitor, Dadson&lt;/author&gt;&lt;/authors&gt;&lt;/contributors&gt;&lt;titles&gt;&lt;title&gt;Achieving sustainable development goals on no poverty and zero hunger: Does technical efficiency of Ghana’s maize farmers matter?&lt;/title&gt;&lt;secondary-title&gt;Agriculture &amp;amp; Food Security&lt;/secondary-title&gt;&lt;/titles&gt;&lt;periodical&gt;&lt;full-title&gt;Agriculture &amp;amp; Food Security&lt;/full-title&gt;&lt;/periodical&gt;&lt;pages&gt;71&lt;/pages&gt;&lt;volume&gt;7&lt;/volume&gt;&lt;number&gt;1&lt;/number&gt;&lt;dates&gt;&lt;year&gt;2018&lt;/year&gt;&lt;/dates&gt;&lt;isbn&gt;2048-7010&lt;/isbn&gt;&lt;urls&gt;&lt;/urls&gt;&lt;/record&gt;&lt;/Cite&gt;&lt;/EndNote&gt;</w:instrText>
            </w:r>
            <w:r>
              <w:rPr>
                <w:rFonts w:hint="default" w:ascii="Times New Roman" w:hAnsi="Times New Roman" w:cs="Times New Roman"/>
              </w:rPr>
              <w:fldChar w:fldCharType="separate"/>
            </w:r>
            <w:r>
              <w:rPr>
                <w:rFonts w:hint="default" w:ascii="Times New Roman" w:hAnsi="Times New Roman" w:cs="Times New Roman" w:eastAsiaTheme="minorHAnsi"/>
                <w:sz w:val="22"/>
                <w:szCs w:val="22"/>
                <w:lang w:val="en-US" w:eastAsia="en-US" w:bidi="ar-SA"/>
              </w:rPr>
              <w:t>Wongnaa and Awunyo-Vitor (2018)</w:t>
            </w:r>
            <w:r>
              <w:rPr>
                <w:rFonts w:hint="default" w:ascii="Times New Roman" w:hAnsi="Times New Roman" w:cs="Times New Roman"/>
              </w:rPr>
              <w:fldChar w:fldCharType="end"/>
            </w:r>
          </w:p>
        </w:tc>
        <w:tc>
          <w:tcPr>
            <w:tcW w:w="1296" w:type="dxa"/>
            <w:tcBorders>
              <w:top w:val="single" w:color="auto" w:sz="4" w:space="0"/>
              <w:left w:val="nil"/>
              <w:bottom w:val="single" w:color="auto" w:sz="4" w:space="0"/>
              <w:right w:val="single" w:color="auto" w:sz="4" w:space="0"/>
            </w:tcBorders>
            <w:shd w:val="clear" w:color="auto" w:fill="auto"/>
            <w:vAlign w:val="top"/>
          </w:tcPr>
          <w:p w14:paraId="1E5116B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Ghana</w:t>
            </w:r>
          </w:p>
        </w:tc>
        <w:tc>
          <w:tcPr>
            <w:tcW w:w="1103" w:type="dxa"/>
            <w:tcBorders>
              <w:top w:val="single" w:color="auto" w:sz="4" w:space="0"/>
              <w:left w:val="nil"/>
              <w:bottom w:val="single" w:color="auto" w:sz="4" w:space="0"/>
              <w:right w:val="single" w:color="auto" w:sz="4" w:space="0"/>
            </w:tcBorders>
            <w:shd w:val="clear" w:color="auto" w:fill="auto"/>
            <w:vAlign w:val="top"/>
          </w:tcPr>
          <w:p w14:paraId="27E135B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2</w:t>
            </w:r>
          </w:p>
        </w:tc>
        <w:tc>
          <w:tcPr>
            <w:tcW w:w="1725" w:type="dxa"/>
            <w:tcBorders>
              <w:top w:val="single" w:color="auto" w:sz="4" w:space="0"/>
              <w:left w:val="nil"/>
              <w:bottom w:val="single" w:color="auto" w:sz="4" w:space="0"/>
              <w:right w:val="single" w:color="auto" w:sz="4" w:space="0"/>
            </w:tcBorders>
            <w:shd w:val="clear" w:color="auto" w:fill="auto"/>
            <w:vAlign w:val="top"/>
          </w:tcPr>
          <w:p w14:paraId="05D648A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Empirical Study on Maize Farmers</w:t>
            </w:r>
          </w:p>
        </w:tc>
        <w:tc>
          <w:tcPr>
            <w:tcW w:w="4075" w:type="dxa"/>
            <w:tcBorders>
              <w:top w:val="single" w:color="auto" w:sz="4" w:space="0"/>
              <w:left w:val="nil"/>
              <w:bottom w:val="single" w:color="auto" w:sz="4" w:space="0"/>
              <w:right w:val="single" w:color="auto" w:sz="4" w:space="0"/>
            </w:tcBorders>
            <w:shd w:val="clear" w:color="auto" w:fill="auto"/>
            <w:vAlign w:val="top"/>
          </w:tcPr>
          <w:p w14:paraId="08AF129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Education and farming experience influence agricultural efficiency and productivity.</w:t>
            </w:r>
          </w:p>
        </w:tc>
      </w:tr>
      <w:bookmarkEnd w:id="42"/>
      <w:tr w14:paraId="07F09FFA">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vAlign w:val="top"/>
          </w:tcPr>
          <w:p w14:paraId="287606B1">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rPr>
              <w:fldChar w:fldCharType="begin"/>
            </w:r>
            <w:r>
              <w:rPr>
                <w:rFonts w:hint="default" w:ascii="Times New Roman" w:hAnsi="Times New Roman" w:cs="Times New Roman"/>
                <w:lang w:val="en-US"/>
              </w:rPr>
              <w:instrText xml:space="preserve"> ADDIN EN.CITE &lt;EndNote&gt;&lt;Cite AuthorYear="1"&gt;&lt;Author&gt;Bagheri&lt;/Author&gt;&lt;Year&gt;2019&lt;/Year&gt;&lt;RecNum&gt;59&lt;/RecNum&gt;&lt;DisplayText&gt;Bagheri, Bondori et al. (2019)&lt;/DisplayText&gt;&lt;record&gt;&lt;rec-number&gt;59&lt;/rec-number&gt;&lt;foreign-keys&gt;&lt;key app="EN" db-id="2t52ftddjzwsxoerapx5vrxm2fdzpaza5sva" timestamp="1752391031"&gt;59&lt;/key&gt;&lt;/foreign-keys&gt;&lt;ref-type name="Journal Article"&gt;17&lt;/ref-type&gt;&lt;contributors&gt;&lt;authors&gt;&lt;author&gt;Bagheri, Asghar&lt;/author&gt;&lt;author&gt;Bondori, Abolmohammad&lt;/author&gt;&lt;author&gt;Allahyari, Mohammad Sadegh&lt;/author&gt;&lt;author&gt;Damalas, Christos A&lt;/author&gt;&lt;/authors&gt;&lt;/contributors&gt;&lt;titles&gt;&lt;title&gt;Modeling farmers’ intention to use pesticides: An expanded version of the theory of planned behavior&lt;/title&gt;&lt;secondary-title&gt;Journal of environmental management&lt;/secondary-title&gt;&lt;/titles&gt;&lt;periodical&gt;&lt;full-title&gt;Journal of environmental management&lt;/full-title&gt;&lt;/periodical&gt;&lt;pages&gt;109291&lt;/pages&gt;&lt;volume&gt;248&lt;/volume&gt;&lt;dates&gt;&lt;year&gt;2019&lt;/year&gt;&lt;/dates&gt;&lt;isbn&gt;0301-4797&lt;/isbn&gt;&lt;urls&gt;&lt;/urls&gt;&lt;/record&gt;&lt;/Cite&gt;&lt;/EndNote&gt;</w:instrText>
            </w:r>
            <w:r>
              <w:rPr>
                <w:rFonts w:hint="default" w:ascii="Times New Roman" w:hAnsi="Times New Roman" w:cs="Times New Roman"/>
              </w:rPr>
              <w:fldChar w:fldCharType="separate"/>
            </w:r>
            <w:r>
              <w:rPr>
                <w:rFonts w:hint="default" w:ascii="Times New Roman" w:hAnsi="Times New Roman" w:cs="Times New Roman" w:eastAsiaTheme="minorHAnsi"/>
                <w:sz w:val="22"/>
                <w:szCs w:val="22"/>
                <w:lang w:val="en-US" w:eastAsia="en-US" w:bidi="ar-SA"/>
              </w:rPr>
              <w:t>Bagheri, Bondori et al. (2019)</w:t>
            </w:r>
            <w:r>
              <w:rPr>
                <w:rFonts w:hint="default" w:ascii="Times New Roman" w:hAnsi="Times New Roman" w:cs="Times New Roman"/>
              </w:rPr>
              <w:fldChar w:fldCharType="end"/>
            </w:r>
          </w:p>
        </w:tc>
        <w:tc>
          <w:tcPr>
            <w:tcW w:w="1296" w:type="dxa"/>
            <w:tcBorders>
              <w:top w:val="single" w:color="auto" w:sz="4" w:space="0"/>
              <w:left w:val="nil"/>
              <w:bottom w:val="single" w:color="auto" w:sz="4" w:space="0"/>
              <w:right w:val="single" w:color="auto" w:sz="4" w:space="0"/>
            </w:tcBorders>
            <w:shd w:val="clear" w:color="auto" w:fill="auto"/>
            <w:vAlign w:val="top"/>
          </w:tcPr>
          <w:p w14:paraId="52EB762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Iran</w:t>
            </w:r>
          </w:p>
        </w:tc>
        <w:tc>
          <w:tcPr>
            <w:tcW w:w="1103" w:type="dxa"/>
            <w:tcBorders>
              <w:top w:val="single" w:color="auto" w:sz="4" w:space="0"/>
              <w:left w:val="nil"/>
              <w:bottom w:val="single" w:color="auto" w:sz="4" w:space="0"/>
              <w:right w:val="single" w:color="auto" w:sz="4" w:space="0"/>
            </w:tcBorders>
            <w:shd w:val="clear" w:color="auto" w:fill="auto"/>
            <w:vAlign w:val="top"/>
          </w:tcPr>
          <w:p w14:paraId="2E20F62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2</w:t>
            </w:r>
          </w:p>
        </w:tc>
        <w:tc>
          <w:tcPr>
            <w:tcW w:w="1725" w:type="dxa"/>
            <w:tcBorders>
              <w:top w:val="single" w:color="auto" w:sz="4" w:space="0"/>
              <w:left w:val="nil"/>
              <w:bottom w:val="single" w:color="auto" w:sz="4" w:space="0"/>
              <w:right w:val="nil"/>
            </w:tcBorders>
            <w:shd w:val="clear" w:color="auto" w:fill="auto"/>
            <w:noWrap/>
            <w:vAlign w:val="top"/>
          </w:tcPr>
          <w:p w14:paraId="418F5E21">
            <w:pPr>
              <w:spacing w:after="0" w:line="240" w:lineRule="auto"/>
              <w:rPr>
                <w:rFonts w:hint="default" w:ascii="Times New Roman" w:hAnsi="Times New Roman" w:eastAsia="Times New Roman" w:cs="Times New Roman"/>
                <w:color w:val="000000"/>
              </w:rPr>
            </w:pPr>
            <w:r>
              <w:rPr>
                <w:rFonts w:hint="default" w:ascii="Times New Roman" w:hAnsi="Times New Roman" w:cs="Times New Roman"/>
              </w:rPr>
              <w:t>Study on Agricultural Extension Programs</w:t>
            </w:r>
          </w:p>
        </w:tc>
        <w:tc>
          <w:tcPr>
            <w:tcW w:w="4075" w:type="dxa"/>
            <w:tcBorders>
              <w:top w:val="single" w:color="auto" w:sz="4" w:space="0"/>
              <w:left w:val="single" w:color="auto" w:sz="4" w:space="0"/>
              <w:bottom w:val="single" w:color="auto" w:sz="4" w:space="0"/>
              <w:right w:val="single" w:color="auto" w:sz="4" w:space="0"/>
            </w:tcBorders>
            <w:shd w:val="clear" w:color="auto" w:fill="auto"/>
            <w:vAlign w:val="top"/>
          </w:tcPr>
          <w:p w14:paraId="341AE16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Participatory knowledge transfer improves adoption and food security.</w:t>
            </w:r>
          </w:p>
        </w:tc>
      </w:tr>
      <w:tr w14:paraId="17330E04">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noWrap/>
            <w:vAlign w:val="top"/>
          </w:tcPr>
          <w:p w14:paraId="5E755A45">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t xml:space="preserve">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AuthorYear="1"&gt;&lt;Author&gt;Avana-Tientcheu&lt;/Author&gt;&lt;Year&gt;2019&lt;/Year&gt;&lt;RecNum&gt;30&lt;/RecNum&gt;&lt;DisplayText&gt;Avana-Tientcheu, Sime et al. (2019)&lt;/DisplayText&gt;&lt;record&gt;&lt;rec-number&gt;30&lt;/rec-number&gt;&lt;foreign-keys&gt;&lt;key app="EN" db-id="2t52ftddjzwsxoerapx5vrxm2fdzpaza5sva" timestamp="1752330847"&gt;30&lt;/key&gt;&lt;/foreign-keys&gt;&lt;ref-type name="Journal Article"&gt;17&lt;/ref-type&gt;&lt;contributors&gt;&lt;authors&gt;&lt;author&gt;Avana-Tientcheu, Marie-Louise&lt;/author&gt;&lt;author&gt;Sime, Christian Herve&lt;/author&gt;&lt;author&gt;Tsobou, Roger&lt;/author&gt;&lt;author&gt;Tchoundjeu, Zacharie&lt;/author&gt;&lt;/authors&gt;&lt;/contributors&gt;&lt;titles&gt;&lt;title&gt;Diversity, ethnobotanical potential and sustainability assessment of plants used by traditional healers to treat cancer in Boyo division, North-West region, Cameroon&lt;/title&gt;&lt;secondary-title&gt;European Journal of Medicinal Plants&lt;/secondary-title&gt;&lt;/titles&gt;&lt;periodical&gt;&lt;full-title&gt;European Journal of Medicinal Plants&lt;/full-title&gt;&lt;/periodical&gt;&lt;pages&gt;1-22&lt;/pages&gt;&lt;volume&gt;27&lt;/volume&gt;&lt;dates&gt;&lt;year&gt;2019&lt;/year&gt;&lt;/dates&gt;&lt;urls&gt;&lt;/urls&gt;&lt;/record&gt;&lt;/Cite&gt;&lt;/EndNote&gt;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Avana-Tientcheu, Sime et al. (2019)</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single" w:color="auto" w:sz="4" w:space="0"/>
              <w:left w:val="nil"/>
              <w:bottom w:val="single" w:color="auto" w:sz="4" w:space="0"/>
              <w:right w:val="single" w:color="auto" w:sz="4" w:space="0"/>
            </w:tcBorders>
            <w:shd w:val="clear" w:color="auto" w:fill="auto"/>
            <w:vAlign w:val="top"/>
          </w:tcPr>
          <w:p w14:paraId="5714F855">
            <w:pPr>
              <w:spacing w:after="0" w:line="240" w:lineRule="auto"/>
              <w:rPr>
                <w:rFonts w:hint="default" w:ascii="Times New Roman" w:hAnsi="Times New Roman" w:eastAsia="Times New Roman" w:cs="Times New Roman"/>
                <w:color w:val="000000"/>
              </w:rPr>
            </w:pPr>
            <w:r>
              <w:rPr>
                <w:rFonts w:hint="default" w:ascii="Times New Roman" w:hAnsi="Times New Roman" w:cs="Times New Roman"/>
              </w:rPr>
              <w:t>Cameroon</w:t>
            </w:r>
          </w:p>
        </w:tc>
        <w:tc>
          <w:tcPr>
            <w:tcW w:w="1103" w:type="dxa"/>
            <w:tcBorders>
              <w:top w:val="single" w:color="auto" w:sz="4" w:space="0"/>
              <w:left w:val="nil"/>
              <w:bottom w:val="single" w:color="auto" w:sz="4" w:space="0"/>
              <w:right w:val="single" w:color="auto" w:sz="4" w:space="0"/>
            </w:tcBorders>
            <w:shd w:val="clear" w:color="auto" w:fill="auto"/>
            <w:vAlign w:val="top"/>
          </w:tcPr>
          <w:p w14:paraId="5A87CAF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2</w:t>
            </w:r>
          </w:p>
        </w:tc>
        <w:tc>
          <w:tcPr>
            <w:tcW w:w="1725" w:type="dxa"/>
            <w:tcBorders>
              <w:top w:val="single" w:color="auto" w:sz="4" w:space="0"/>
              <w:left w:val="nil"/>
              <w:bottom w:val="single" w:color="auto" w:sz="4" w:space="0"/>
              <w:right w:val="single" w:color="auto" w:sz="4" w:space="0"/>
            </w:tcBorders>
            <w:shd w:val="clear" w:color="auto" w:fill="auto"/>
            <w:vAlign w:val="top"/>
          </w:tcPr>
          <w:p w14:paraId="268249C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Review on Advanced Breeding Techniques</w:t>
            </w:r>
          </w:p>
        </w:tc>
        <w:tc>
          <w:tcPr>
            <w:tcW w:w="4075" w:type="dxa"/>
            <w:tcBorders>
              <w:top w:val="single" w:color="auto" w:sz="4" w:space="0"/>
              <w:left w:val="nil"/>
              <w:bottom w:val="single" w:color="auto" w:sz="4" w:space="0"/>
              <w:right w:val="single" w:color="auto" w:sz="4" w:space="0"/>
            </w:tcBorders>
            <w:shd w:val="clear" w:color="auto" w:fill="auto"/>
            <w:vAlign w:val="top"/>
          </w:tcPr>
          <w:p w14:paraId="6F54841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Advanced breeding increases yields and resilience; calls for more investment.</w:t>
            </w:r>
          </w:p>
        </w:tc>
      </w:tr>
      <w:tr w14:paraId="2B1DF2CD">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vAlign w:val="top"/>
          </w:tcPr>
          <w:p w14:paraId="5643251A">
            <w:pPr>
              <w:spacing w:after="0" w:line="240" w:lineRule="auto"/>
              <w:rPr>
                <w:rFonts w:hint="default" w:ascii="Times New Roman" w:hAnsi="Times New Roman" w:eastAsia="Times New Roman" w:cs="Times New Roman"/>
                <w:color w:val="0563C1"/>
                <w:u w:val="single"/>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AuthorYear="1"&gt;&lt;Author&gt;Musango&lt;/Author&gt;&lt;Year&gt;2011&lt;/Year&gt;&lt;RecNum&gt;61&lt;/RecNum&gt;&lt;DisplayText&gt;Musango, Amigun et al. (2011)&lt;/DisplayText&gt;&lt;record&gt;&lt;rec-number&gt;61&lt;/rec-number&gt;&lt;foreign-keys&gt;&lt;key app="EN" db-id="2t52ftddjzwsxoerapx5vrxm2fdzpaza5sva" timestamp="1752391669"&gt;61&lt;/key&gt;&lt;/foreign-keys&gt;&lt;ref-type name="Journal Article"&gt;17&lt;/ref-type&gt;&lt;contributors&gt;&lt;authors&gt;&lt;author&gt;Musango, Josephine K&lt;/author&gt;&lt;author&gt;Amigun, Bamikole&lt;/author&gt;&lt;author&gt;Brent, Alan C&lt;/author&gt;&lt;/authors&gt;&lt;/contributors&gt;&lt;titles&gt;&lt;title&gt;Sustainable electricity generation technologies in South Africa: initiatives, challenges and policy implications&lt;/title&gt;&lt;secondary-title&gt;Energy and Environment Research&lt;/secondary-title&gt;&lt;/titles&gt;&lt;periodical&gt;&lt;full-title&gt;Energy and Environment Research&lt;/full-title&gt;&lt;/periodical&gt;&lt;pages&gt;124&lt;/pages&gt;&lt;volume&gt;1&lt;/volume&gt;&lt;number&gt;1&lt;/number&gt;&lt;dates&gt;&lt;year&gt;2011&lt;/year&gt;&lt;/dates&gt;&lt;isbn&gt;1927-0569&lt;/isbn&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Musango, Amigun et al. (2011)</w:t>
            </w:r>
            <w:r>
              <w:rPr>
                <w:rFonts w:hint="default" w:ascii="Times New Roman" w:hAnsi="Times New Roman" w:cs="Times New Roman"/>
                <w:lang w:val="en-US"/>
              </w:rPr>
              <w:fldChar w:fldCharType="end"/>
            </w:r>
            <w:r>
              <w:rPr>
                <w:rFonts w:hint="default" w:ascii="Times New Roman" w:hAnsi="Times New Roman" w:cs="Times New Roman"/>
              </w:rPr>
              <w:t xml:space="preserve"> </w:t>
            </w:r>
            <w:r>
              <w:rPr>
                <w:rFonts w:hint="default" w:ascii="Times New Roman" w:hAnsi="Times New Roman" w:cs="Times New Roman"/>
                <w:lang w:val="en-US"/>
              </w:rPr>
              <w:t xml:space="preserve"> </w:t>
            </w:r>
          </w:p>
        </w:tc>
        <w:tc>
          <w:tcPr>
            <w:tcW w:w="1296" w:type="dxa"/>
            <w:tcBorders>
              <w:top w:val="single" w:color="auto" w:sz="4" w:space="0"/>
              <w:left w:val="nil"/>
              <w:bottom w:val="single" w:color="auto" w:sz="4" w:space="0"/>
              <w:right w:val="single" w:color="auto" w:sz="4" w:space="0"/>
            </w:tcBorders>
            <w:shd w:val="clear" w:color="auto" w:fill="auto"/>
            <w:vAlign w:val="top"/>
          </w:tcPr>
          <w:p w14:paraId="68F33CF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South Africa</w:t>
            </w:r>
          </w:p>
        </w:tc>
        <w:tc>
          <w:tcPr>
            <w:tcW w:w="1103" w:type="dxa"/>
            <w:tcBorders>
              <w:top w:val="single" w:color="auto" w:sz="4" w:space="0"/>
              <w:left w:val="nil"/>
              <w:bottom w:val="single" w:color="auto" w:sz="4" w:space="0"/>
              <w:right w:val="single" w:color="auto" w:sz="4" w:space="0"/>
            </w:tcBorders>
            <w:shd w:val="clear" w:color="auto" w:fill="auto"/>
            <w:vAlign w:val="top"/>
          </w:tcPr>
          <w:p w14:paraId="5675FC5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single" w:color="auto" w:sz="4" w:space="0"/>
              <w:left w:val="nil"/>
              <w:bottom w:val="single" w:color="auto" w:sz="4" w:space="0"/>
              <w:right w:val="single" w:color="auto" w:sz="4" w:space="0"/>
            </w:tcBorders>
            <w:shd w:val="clear" w:color="auto" w:fill="auto"/>
            <w:vAlign w:val="top"/>
          </w:tcPr>
          <w:p w14:paraId="075E42B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SATSA Framework</w:t>
            </w:r>
          </w:p>
        </w:tc>
        <w:tc>
          <w:tcPr>
            <w:tcW w:w="4075" w:type="dxa"/>
            <w:tcBorders>
              <w:top w:val="single" w:color="auto" w:sz="4" w:space="0"/>
              <w:left w:val="nil"/>
              <w:bottom w:val="single" w:color="auto" w:sz="4" w:space="0"/>
              <w:right w:val="single" w:color="auto" w:sz="4" w:space="0"/>
            </w:tcBorders>
            <w:shd w:val="clear" w:color="auto" w:fill="auto"/>
            <w:vAlign w:val="top"/>
          </w:tcPr>
          <w:p w14:paraId="4632274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Technological sustainability must be aligned with policy for industrial development.</w:t>
            </w:r>
          </w:p>
        </w:tc>
      </w:tr>
      <w:tr w14:paraId="778E515B">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vAlign w:val="top"/>
          </w:tcPr>
          <w:p w14:paraId="44156FC6">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AuthorYear="1"&gt;&lt;Author&gt;Constantinescu&lt;/Author&gt;&lt;Year&gt;2014&lt;/Year&gt;&lt;RecNum&gt;62&lt;/RecNum&gt;&lt;DisplayText&gt;Constantinescu and Frone (2014)&lt;/DisplayText&gt;&lt;record&gt;&lt;rec-number&gt;62&lt;/rec-number&gt;&lt;foreign-keys&gt;&lt;key app="EN" db-id="2t52ftddjzwsxoerapx5vrxm2fdzpaza5sva" timestamp="1752391800"&gt;62&lt;/key&gt;&lt;/foreign-keys&gt;&lt;ref-type name="Journal Article"&gt;17&lt;/ref-type&gt;&lt;contributors&gt;&lt;authors&gt;&lt;author&gt;Constantinescu, Andreea&lt;/author&gt;&lt;author&gt;Frone, Simona&lt;/author&gt;&lt;/authors&gt;&lt;/contributors&gt;&lt;titles&gt;&lt;title&gt;The role of technological innovation in sustainable ec omic development&lt;/title&gt;&lt;/titles&gt;&lt;dates&gt;&lt;year&gt;2014&lt;/year&gt;&lt;/dates&gt;&lt;urls&gt;&lt;/urls&gt;&lt;/record&gt;&lt;/Cite&gt;&lt;/EndNote&gt;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Constantinescu and Frone (2014)</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nil"/>
              <w:left w:val="nil"/>
              <w:bottom w:val="single" w:color="auto" w:sz="4" w:space="0"/>
              <w:right w:val="single" w:color="auto" w:sz="4" w:space="0"/>
            </w:tcBorders>
            <w:shd w:val="clear" w:color="auto" w:fill="auto"/>
            <w:vAlign w:val="top"/>
          </w:tcPr>
          <w:p w14:paraId="056DE97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Romania</w:t>
            </w:r>
          </w:p>
        </w:tc>
        <w:tc>
          <w:tcPr>
            <w:tcW w:w="1103" w:type="dxa"/>
            <w:tcBorders>
              <w:top w:val="nil"/>
              <w:left w:val="nil"/>
              <w:bottom w:val="single" w:color="auto" w:sz="4" w:space="0"/>
              <w:right w:val="single" w:color="auto" w:sz="4" w:space="0"/>
            </w:tcBorders>
            <w:shd w:val="clear" w:color="auto" w:fill="auto"/>
            <w:vAlign w:val="top"/>
          </w:tcPr>
          <w:p w14:paraId="64A2D26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nil"/>
              <w:left w:val="nil"/>
              <w:bottom w:val="single" w:color="auto" w:sz="4" w:space="0"/>
              <w:right w:val="single" w:color="auto" w:sz="4" w:space="0"/>
            </w:tcBorders>
            <w:shd w:val="clear" w:color="auto" w:fill="auto"/>
            <w:vAlign w:val="top"/>
          </w:tcPr>
          <w:p w14:paraId="556E6E2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Empirical Analysis</w:t>
            </w:r>
          </w:p>
        </w:tc>
        <w:tc>
          <w:tcPr>
            <w:tcW w:w="4075" w:type="dxa"/>
            <w:tcBorders>
              <w:top w:val="nil"/>
              <w:left w:val="nil"/>
              <w:bottom w:val="single" w:color="auto" w:sz="4" w:space="0"/>
              <w:right w:val="single" w:color="auto" w:sz="4" w:space="0"/>
            </w:tcBorders>
            <w:shd w:val="clear" w:color="auto" w:fill="auto"/>
            <w:vAlign w:val="top"/>
          </w:tcPr>
          <w:p w14:paraId="08853CA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Technological development improves economic and social sustainability.</w:t>
            </w:r>
          </w:p>
        </w:tc>
      </w:tr>
      <w:tr w14:paraId="36B61810">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vAlign w:val="top"/>
          </w:tcPr>
          <w:p w14:paraId="7B389784">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t xml:space="preserve">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AuthorYear="1"&gt;&lt;Author&gt;Daño&lt;/Author&gt;&lt;Year&gt;2014&lt;/Year&gt;&lt;RecNum&gt;63&lt;/RecNum&gt;&lt;DisplayText&gt;Daño, Wetter et al. (2014)&lt;/DisplayText&gt;&lt;record&gt;&lt;rec-number&gt;63&lt;/rec-number&gt;&lt;foreign-keys&gt;&lt;key app="EN" db-id="2t52ftddjzwsxoerapx5vrxm2fdzpaza5sva" timestamp="1752391897"&gt;63&lt;/key&gt;&lt;/foreign-keys&gt;&lt;ref-type name="Journal Article"&gt;17&lt;/ref-type&gt;&lt;contributors&gt;&lt;authors&gt;&lt;author&gt;Daño, Neth&lt;/author&gt;&lt;author&gt;Wetter, Kathy Jo&lt;/author&gt;&lt;author&gt;Ribeiro, Silvia&lt;/author&gt;&lt;/authors&gt;&lt;/contributors&gt;&lt;titles&gt;&lt;title&gt;Addressing the “Technology Divides”: Critical Issues in Technology and SDGs&lt;/title&gt;&lt;secondary-title&gt;Briefing Paper: Science, Technology and Innovation (STI) 6 th Session of the Open Working Group on SDGs.[Online] Available from: https://sustainabledevelopment. un. org/content/documents/4673dano. pdf&lt;/secondary-title&gt;&lt;/titles&gt;&lt;periodical&gt;&lt;full-title&gt;Briefing Paper: Science, Technology and Innovation (STI) 6 th Session of the Open Working Group on SDGs.[Online] Available from: https://sustainabledevelopment. un. org/content/documents/4673dano. pdf&lt;/full-title&gt;&lt;/periodical&gt;&lt;dates&gt;&lt;year&gt;2014&lt;/year&gt;&lt;/dates&gt;&lt;urls&gt;&lt;/urls&gt;&lt;/record&gt;&lt;/Cite&gt;&lt;/EndNote&gt;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Daño, Wetter et al. (2014)</w:t>
            </w:r>
            <w:r>
              <w:rPr>
                <w:rFonts w:hint="default" w:ascii="Times New Roman" w:hAnsi="Times New Roman" w:cs="Times New Roman"/>
                <w:lang w:val="en-US"/>
              </w:rPr>
              <w:fldChar w:fldCharType="end"/>
            </w:r>
          </w:p>
        </w:tc>
        <w:tc>
          <w:tcPr>
            <w:tcW w:w="1296" w:type="dxa"/>
            <w:tcBorders>
              <w:top w:val="single" w:color="auto" w:sz="4" w:space="0"/>
              <w:left w:val="nil"/>
              <w:bottom w:val="single" w:color="auto" w:sz="4" w:space="0"/>
              <w:right w:val="single" w:color="auto" w:sz="4" w:space="0"/>
            </w:tcBorders>
            <w:shd w:val="clear" w:color="auto" w:fill="auto"/>
            <w:vAlign w:val="top"/>
          </w:tcPr>
          <w:p w14:paraId="4519A60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Southeast Asia</w:t>
            </w:r>
          </w:p>
        </w:tc>
        <w:tc>
          <w:tcPr>
            <w:tcW w:w="1103" w:type="dxa"/>
            <w:tcBorders>
              <w:top w:val="single" w:color="auto" w:sz="4" w:space="0"/>
              <w:left w:val="nil"/>
              <w:bottom w:val="single" w:color="auto" w:sz="4" w:space="0"/>
              <w:right w:val="single" w:color="auto" w:sz="4" w:space="0"/>
            </w:tcBorders>
            <w:shd w:val="clear" w:color="auto" w:fill="auto"/>
            <w:vAlign w:val="top"/>
          </w:tcPr>
          <w:p w14:paraId="0402425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single" w:color="auto" w:sz="4" w:space="0"/>
              <w:left w:val="nil"/>
              <w:bottom w:val="single" w:color="auto" w:sz="4" w:space="0"/>
              <w:right w:val="single" w:color="auto" w:sz="4" w:space="0"/>
            </w:tcBorders>
            <w:shd w:val="clear" w:color="auto" w:fill="auto"/>
            <w:vAlign w:val="top"/>
          </w:tcPr>
          <w:p w14:paraId="65B8C6F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Policy Review</w:t>
            </w:r>
          </w:p>
        </w:tc>
        <w:tc>
          <w:tcPr>
            <w:tcW w:w="4075" w:type="dxa"/>
            <w:tcBorders>
              <w:top w:val="single" w:color="auto" w:sz="4" w:space="0"/>
              <w:left w:val="nil"/>
              <w:bottom w:val="single" w:color="auto" w:sz="4" w:space="0"/>
              <w:right w:val="single" w:color="auto" w:sz="4" w:space="0"/>
            </w:tcBorders>
            <w:shd w:val="clear" w:color="auto" w:fill="auto"/>
            <w:vAlign w:val="top"/>
          </w:tcPr>
          <w:p w14:paraId="7CB6FCF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Tech is a key enabler but risks of inequality and IP barriers exist.</w:t>
            </w:r>
          </w:p>
        </w:tc>
      </w:tr>
      <w:tr w14:paraId="40F203F5">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vAlign w:val="top"/>
          </w:tcPr>
          <w:p w14:paraId="7CE826FF">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rPr>
              <w:fldChar w:fldCharType="begin"/>
            </w:r>
            <w:r>
              <w:rPr>
                <w:rFonts w:hint="default" w:ascii="Times New Roman" w:hAnsi="Times New Roman" w:cs="Times New Roman"/>
                <w:lang w:val="en-US"/>
              </w:rPr>
              <w:instrText xml:space="preserve"> ADDIN EN.CITE &lt;EndNote&gt;&lt;Cite AuthorYear="1"&gt;&lt;Author&gt;Mersmann&lt;/Author&gt;&lt;Year&gt;2014&lt;/Year&gt;&lt;RecNum&gt;64&lt;/RecNum&gt;&lt;DisplayText&gt;Mersmann, Wehnert et al. (2014)&lt;/DisplayText&gt;&lt;record&gt;&lt;rec-number&gt;64&lt;/rec-number&gt;&lt;foreign-keys&gt;&lt;key app="EN" db-id="2t52ftddjzwsxoerapx5vrxm2fdzpaza5sva" timestamp="1752392084"&gt;64&lt;/key&gt;&lt;/foreign-keys&gt;&lt;ref-type name="Journal Article"&gt;17&lt;/ref-type&gt;&lt;contributors&gt;&lt;authors&gt;&lt;author&gt;Mersmann, Florian&lt;/author&gt;&lt;author&gt;Wehnert, Timon&lt;/author&gt;&lt;author&gt;Göpel, Maja&lt;/author&gt;&lt;author&gt;Arens, Sophie&lt;/author&gt;&lt;author&gt;Ujj, Orsolya&lt;/author&gt;&lt;/authors&gt;&lt;/contributors&gt;&lt;titles&gt;&lt;title&gt;Shifting paradigms: unpacking transformation for climate action; a guidebook for climate finance &amp;amp; development practitioners&lt;/title&gt;&lt;/titles&gt;&lt;dates&gt;&lt;year&gt;2014&lt;/year&gt;&lt;/dates&gt;&lt;urls&gt;&lt;/urls&gt;&lt;/record&gt;&lt;/Cite&gt;&lt;/EndNote&gt;</w:instrText>
            </w:r>
            <w:r>
              <w:rPr>
                <w:rFonts w:hint="default" w:ascii="Times New Roman" w:hAnsi="Times New Roman" w:cs="Times New Roman"/>
              </w:rPr>
              <w:fldChar w:fldCharType="separate"/>
            </w:r>
            <w:r>
              <w:rPr>
                <w:rFonts w:hint="default" w:ascii="Times New Roman" w:hAnsi="Times New Roman" w:cs="Times New Roman" w:eastAsiaTheme="minorHAnsi"/>
                <w:sz w:val="22"/>
                <w:szCs w:val="22"/>
                <w:lang w:val="en-US" w:eastAsia="en-US" w:bidi="ar-SA"/>
              </w:rPr>
              <w:t>Mersmann, Wehnert et al. (2014)</w:t>
            </w:r>
            <w:r>
              <w:rPr>
                <w:rFonts w:hint="default" w:ascii="Times New Roman" w:hAnsi="Times New Roman" w:cs="Times New Roman"/>
              </w:rPr>
              <w:fldChar w:fldCharType="end"/>
            </w:r>
          </w:p>
        </w:tc>
        <w:tc>
          <w:tcPr>
            <w:tcW w:w="1296" w:type="dxa"/>
            <w:tcBorders>
              <w:top w:val="single" w:color="auto" w:sz="4" w:space="0"/>
              <w:left w:val="nil"/>
              <w:bottom w:val="single" w:color="auto" w:sz="4" w:space="0"/>
              <w:right w:val="single" w:color="auto" w:sz="4" w:space="0"/>
            </w:tcBorders>
            <w:shd w:val="clear" w:color="auto" w:fill="auto"/>
            <w:vAlign w:val="top"/>
          </w:tcPr>
          <w:p w14:paraId="712CFFA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Global</w:t>
            </w:r>
          </w:p>
        </w:tc>
        <w:tc>
          <w:tcPr>
            <w:tcW w:w="1103" w:type="dxa"/>
            <w:tcBorders>
              <w:top w:val="single" w:color="auto" w:sz="4" w:space="0"/>
              <w:left w:val="nil"/>
              <w:bottom w:val="single" w:color="auto" w:sz="4" w:space="0"/>
              <w:right w:val="single" w:color="auto" w:sz="4" w:space="0"/>
            </w:tcBorders>
            <w:shd w:val="clear" w:color="auto" w:fill="auto"/>
            <w:vAlign w:val="top"/>
          </w:tcPr>
          <w:p w14:paraId="665926D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single" w:color="auto" w:sz="4" w:space="0"/>
              <w:left w:val="nil"/>
              <w:bottom w:val="single" w:color="auto" w:sz="4" w:space="0"/>
              <w:right w:val="single" w:color="auto" w:sz="4" w:space="0"/>
            </w:tcBorders>
            <w:shd w:val="clear" w:color="auto" w:fill="auto"/>
            <w:vAlign w:val="top"/>
          </w:tcPr>
          <w:p w14:paraId="05344A0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Policy and Institutional Analysis</w:t>
            </w:r>
          </w:p>
        </w:tc>
        <w:tc>
          <w:tcPr>
            <w:tcW w:w="4075" w:type="dxa"/>
            <w:tcBorders>
              <w:top w:val="single" w:color="auto" w:sz="4" w:space="0"/>
              <w:left w:val="nil"/>
              <w:bottom w:val="single" w:color="auto" w:sz="4" w:space="0"/>
              <w:right w:val="single" w:color="auto" w:sz="4" w:space="0"/>
            </w:tcBorders>
            <w:shd w:val="clear" w:color="auto" w:fill="auto"/>
            <w:vAlign w:val="top"/>
          </w:tcPr>
          <w:p w14:paraId="4209617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Institutional reform is key to making tech transitions effective.</w:t>
            </w:r>
          </w:p>
        </w:tc>
      </w:tr>
      <w:tr w14:paraId="59BE5444">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vAlign w:val="top"/>
          </w:tcPr>
          <w:p w14:paraId="21B74A72">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AuthorYear="1"&gt;&lt;Author&gt;Michalek&lt;/Author&gt;&lt;Year&gt;2014&lt;/Year&gt;&lt;RecNum&gt;48&lt;/RecNum&gt;&lt;DisplayText&gt;Michalek and Ciaian (2014)&lt;/DisplayText&gt;&lt;record&gt;&lt;rec-number&gt;48&lt;/rec-number&gt;&lt;foreign-keys&gt;&lt;key app="EN" db-id="2t52ftddjzwsxoerapx5vrxm2fdzpaza5sva" timestamp="1752345122"&gt;48&lt;/key&gt;&lt;/foreign-keys&gt;&lt;ref-type name="Journal Article"&gt;17&lt;/ref-type&gt;&lt;contributors&gt;&lt;authors&gt;&lt;author&gt;Michalek, Jerzy&lt;/author&gt;&lt;author&gt;Ciaian, Pavel&lt;/author&gt;&lt;/authors&gt;&lt;/contributors&gt;&lt;titles&gt;&lt;title&gt;Capitalization of the single payment scheme into land value: generalized propensity score evidence from the European Union&lt;/title&gt;&lt;secondary-title&gt;Land economics&lt;/secondary-title&gt;&lt;/titles&gt;&lt;periodical&gt;&lt;full-title&gt;Land economics&lt;/full-title&gt;&lt;/periodical&gt;&lt;pages&gt;260-289&lt;/pages&gt;&lt;volume&gt;90&lt;/volume&gt;&lt;number&gt;2&lt;/number&gt;&lt;dates&gt;&lt;year&gt;2014&lt;/year&gt;&lt;/dates&gt;&lt;isbn&gt;0023-7639&lt;/isbn&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Michalek and Ciaian (2014)</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single" w:color="auto" w:sz="4" w:space="0"/>
              <w:left w:val="nil"/>
              <w:bottom w:val="single" w:color="auto" w:sz="4" w:space="0"/>
              <w:right w:val="single" w:color="auto" w:sz="4" w:space="0"/>
            </w:tcBorders>
            <w:shd w:val="clear" w:color="auto" w:fill="auto"/>
            <w:vAlign w:val="top"/>
          </w:tcPr>
          <w:p w14:paraId="0FAFC3C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EU-15 Countries</w:t>
            </w:r>
          </w:p>
        </w:tc>
        <w:tc>
          <w:tcPr>
            <w:tcW w:w="1103" w:type="dxa"/>
            <w:tcBorders>
              <w:top w:val="single" w:color="auto" w:sz="4" w:space="0"/>
              <w:left w:val="nil"/>
              <w:bottom w:val="single" w:color="auto" w:sz="4" w:space="0"/>
              <w:right w:val="single" w:color="auto" w:sz="4" w:space="0"/>
            </w:tcBorders>
            <w:shd w:val="clear" w:color="auto" w:fill="auto"/>
            <w:vAlign w:val="top"/>
          </w:tcPr>
          <w:p w14:paraId="64F6139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single" w:color="auto" w:sz="4" w:space="0"/>
              <w:left w:val="nil"/>
              <w:bottom w:val="single" w:color="auto" w:sz="4" w:space="0"/>
              <w:right w:val="single" w:color="auto" w:sz="4" w:space="0"/>
            </w:tcBorders>
            <w:shd w:val="clear" w:color="auto" w:fill="auto"/>
            <w:vAlign w:val="top"/>
          </w:tcPr>
          <w:p w14:paraId="4F59619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Impact Study of Agricultural Subsidies</w:t>
            </w:r>
          </w:p>
        </w:tc>
        <w:tc>
          <w:tcPr>
            <w:tcW w:w="4075" w:type="dxa"/>
            <w:tcBorders>
              <w:top w:val="single" w:color="auto" w:sz="4" w:space="0"/>
              <w:left w:val="nil"/>
              <w:bottom w:val="single" w:color="auto" w:sz="4" w:space="0"/>
              <w:right w:val="single" w:color="auto" w:sz="4" w:space="0"/>
            </w:tcBorders>
            <w:shd w:val="clear" w:color="auto" w:fill="auto"/>
            <w:vAlign w:val="top"/>
          </w:tcPr>
          <w:p w14:paraId="3301B55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National policy affects land value and tech effectiveness in agriculture/industry.</w:t>
            </w:r>
          </w:p>
        </w:tc>
      </w:tr>
      <w:tr w14:paraId="4734732C">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vAlign w:val="top"/>
          </w:tcPr>
          <w:p w14:paraId="54135F05">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t xml:space="preserve">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AuthorYear="1"&gt;&lt;Author&gt;Mallick&lt;/Author&gt;&lt;Year&gt;2017&lt;/Year&gt;&lt;RecNum&gt;69&lt;/RecNum&gt;&lt;DisplayText&gt;Mallick (2017)&lt;/DisplayText&gt;&lt;record&gt;&lt;rec-number&gt;69&lt;/rec-number&gt;&lt;foreign-keys&gt;&lt;key app="EN" db-id="2t52ftddjzwsxoerapx5vrxm2fdzpaza5sva" timestamp="1752392750"&gt;69&lt;/key&gt;&lt;/foreign-keys&gt;&lt;ref-type name="Journal Article"&gt;17&lt;/ref-type&gt;&lt;contributors&gt;&lt;authors&gt;&lt;author&gt;Mallick, Seeme&lt;/author&gt;&lt;/authors&gt;&lt;/contributors&gt;&lt;titles&gt;&lt;title&gt;Scientific perspective on sustainable development goals for Pakistan&lt;/title&gt;&lt;secondary-title&gt;A scientific journal of comsats-science vision&lt;/secondary-title&gt;&lt;/titles&gt;&lt;periodical&gt;&lt;full-title&gt;A scientific journal of comsats-science vision&lt;/full-title&gt;&lt;/periodical&gt;&lt;pages&gt;51-62&lt;/pages&gt;&lt;volume&gt;21&lt;/volume&gt;&lt;number&gt;1&amp;amp;2&lt;/number&gt;&lt;dates&gt;&lt;year&gt;2017&lt;/year&gt;&lt;/dates&gt;&lt;urls&gt;&lt;/urls&gt;&lt;/record&gt;&lt;/Cite&gt;&lt;/EndNote&gt;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Mallick (2017)</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nil"/>
              <w:left w:val="nil"/>
              <w:bottom w:val="single" w:color="auto" w:sz="4" w:space="0"/>
              <w:right w:val="single" w:color="auto" w:sz="4" w:space="0"/>
            </w:tcBorders>
            <w:shd w:val="clear" w:color="auto" w:fill="auto"/>
            <w:vAlign w:val="top"/>
          </w:tcPr>
          <w:p w14:paraId="06312BC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India</w:t>
            </w:r>
          </w:p>
        </w:tc>
        <w:tc>
          <w:tcPr>
            <w:tcW w:w="1103" w:type="dxa"/>
            <w:tcBorders>
              <w:top w:val="nil"/>
              <w:left w:val="nil"/>
              <w:bottom w:val="single" w:color="auto" w:sz="4" w:space="0"/>
              <w:right w:val="single" w:color="auto" w:sz="4" w:space="0"/>
            </w:tcBorders>
            <w:shd w:val="clear" w:color="auto" w:fill="auto"/>
            <w:vAlign w:val="top"/>
          </w:tcPr>
          <w:p w14:paraId="2769D095">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nil"/>
              <w:left w:val="nil"/>
              <w:bottom w:val="single" w:color="auto" w:sz="4" w:space="0"/>
              <w:right w:val="single" w:color="auto" w:sz="4" w:space="0"/>
            </w:tcBorders>
            <w:shd w:val="clear" w:color="auto" w:fill="auto"/>
            <w:vAlign w:val="top"/>
          </w:tcPr>
          <w:p w14:paraId="2173A2B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Review on R&amp;D in Energy Sector</w:t>
            </w:r>
          </w:p>
        </w:tc>
        <w:tc>
          <w:tcPr>
            <w:tcW w:w="4075" w:type="dxa"/>
            <w:tcBorders>
              <w:top w:val="nil"/>
              <w:left w:val="nil"/>
              <w:bottom w:val="single" w:color="auto" w:sz="4" w:space="0"/>
              <w:right w:val="single" w:color="auto" w:sz="4" w:space="0"/>
            </w:tcBorders>
            <w:shd w:val="clear" w:color="auto" w:fill="auto"/>
            <w:vAlign w:val="top"/>
          </w:tcPr>
          <w:p w14:paraId="6C3553D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Energy-efficient innovations reduce waste and support industrial sustainability.</w:t>
            </w:r>
          </w:p>
        </w:tc>
      </w:tr>
      <w:tr w14:paraId="6ED95F44">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vAlign w:val="top"/>
          </w:tcPr>
          <w:p w14:paraId="6CBFA7B6">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AuthorYear="1"&gt;&lt;Author&gt;Alstone&lt;/Author&gt;&lt;Year&gt;2015&lt;/Year&gt;&lt;RecNum&gt;70&lt;/RecNum&gt;&lt;DisplayText&gt;Alstone, Gershenson et al. (2015)&lt;/DisplayText&gt;&lt;record&gt;&lt;rec-number&gt;70&lt;/rec-number&gt;&lt;foreign-keys&gt;&lt;key app="EN" db-id="2t52ftddjzwsxoerapx5vrxm2fdzpaza5sva" timestamp="1752392920"&gt;70&lt;/key&gt;&lt;/foreign-keys&gt;&lt;ref-type name="Journal Article"&gt;17&lt;/ref-type&gt;&lt;contributors&gt;&lt;authors&gt;&lt;author&gt;Alstone, Peter&lt;/author&gt;&lt;author&gt;Gershenson, Dimitry&lt;/author&gt;&lt;author&gt;Kammen, Daniel M&lt;/author&gt;&lt;/authors&gt;&lt;/contributors&gt;&lt;titles&gt;&lt;title&gt;Decentralized energy systems for clean electricity access&lt;/title&gt;&lt;secondary-title&gt;Nature climate change&lt;/secondary-title&gt;&lt;/titles&gt;&lt;periodical&gt;&lt;full-title&gt;Nature climate change&lt;/full-title&gt;&lt;/periodical&gt;&lt;pages&gt;305-314&lt;/pages&gt;&lt;volume&gt;5&lt;/volume&gt;&lt;number&gt;4&lt;/number&gt;&lt;dates&gt;&lt;year&gt;2015&lt;/year&gt;&lt;/dates&gt;&lt;isbn&gt;1758-678X&lt;/isbn&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Alstone, Gershenson et al. (2015)</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nil"/>
              <w:left w:val="nil"/>
              <w:bottom w:val="single" w:color="auto" w:sz="4" w:space="0"/>
              <w:right w:val="single" w:color="auto" w:sz="4" w:space="0"/>
            </w:tcBorders>
            <w:shd w:val="clear" w:color="auto" w:fill="auto"/>
            <w:vAlign w:val="top"/>
          </w:tcPr>
          <w:p w14:paraId="0F91D3B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Sub-Saharan Africa</w:t>
            </w:r>
          </w:p>
        </w:tc>
        <w:tc>
          <w:tcPr>
            <w:tcW w:w="1103" w:type="dxa"/>
            <w:tcBorders>
              <w:top w:val="nil"/>
              <w:left w:val="nil"/>
              <w:bottom w:val="single" w:color="auto" w:sz="4" w:space="0"/>
              <w:right w:val="single" w:color="auto" w:sz="4" w:space="0"/>
            </w:tcBorders>
            <w:shd w:val="clear" w:color="auto" w:fill="auto"/>
            <w:vAlign w:val="top"/>
          </w:tcPr>
          <w:p w14:paraId="68743B8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nil"/>
              <w:left w:val="nil"/>
              <w:bottom w:val="single" w:color="auto" w:sz="4" w:space="0"/>
              <w:right w:val="single" w:color="auto" w:sz="4" w:space="0"/>
            </w:tcBorders>
            <w:shd w:val="clear" w:color="auto" w:fill="auto"/>
            <w:vAlign w:val="top"/>
          </w:tcPr>
          <w:p w14:paraId="4E1D2D7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Field Study on Mobile Tech and Solar Energy</w:t>
            </w:r>
          </w:p>
        </w:tc>
        <w:tc>
          <w:tcPr>
            <w:tcW w:w="4075" w:type="dxa"/>
            <w:tcBorders>
              <w:top w:val="nil"/>
              <w:left w:val="nil"/>
              <w:bottom w:val="single" w:color="auto" w:sz="4" w:space="0"/>
              <w:right w:val="single" w:color="auto" w:sz="4" w:space="0"/>
            </w:tcBorders>
            <w:shd w:val="clear" w:color="auto" w:fill="auto"/>
            <w:vAlign w:val="top"/>
          </w:tcPr>
          <w:p w14:paraId="5065421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Mobile tech enhances energy access and climate resilience.</w:t>
            </w:r>
          </w:p>
        </w:tc>
      </w:tr>
      <w:tr w14:paraId="5D494F6D">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vAlign w:val="top"/>
          </w:tcPr>
          <w:p w14:paraId="16A359E1">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t xml:space="preserve">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AuthorYear="1"&gt;&lt;Author&gt;Kaur&lt;/Author&gt;&lt;Year&gt;2018&lt;/Year&gt;&lt;RecNum&gt;46&lt;/RecNum&gt;&lt;DisplayText&gt;Kaur, Sidhu et al. (2018)&lt;/DisplayText&gt;&lt;record&gt;&lt;rec-number&gt;46&lt;/rec-number&gt;&lt;foreign-keys&gt;&lt;key app="EN" db-id="2t52ftddjzwsxoerapx5vrxm2fdzpaza5sva" timestamp="1752344680"&gt;46&lt;/key&gt;&lt;/foreign-keys&gt;&lt;ref-type name="Journal Article"&gt;17&lt;/ref-type&gt;&lt;contributors&gt;&lt;authors&gt;&lt;author&gt;Kaur, Jasneet&lt;/author&gt;&lt;author&gt;Sidhu, Ramneet&lt;/author&gt;&lt;author&gt;Awasthi, Anjali&lt;/author&gt;&lt;author&gt;Chauhan, Satyaveer&lt;/author&gt;&lt;author&gt;Goyal, Suresh&lt;/author&gt;&lt;/authors&gt;&lt;/contributors&gt;&lt;titles&gt;&lt;title&gt;A DEMATEL based approach for investigating barriers in green supply chain management in Canadian manufacturing firms&lt;/title&gt;&lt;secondary-title&gt;International journal of production research&lt;/secondary-title&gt;&lt;/titles&gt;&lt;periodical&gt;&lt;full-title&gt;International journal of production research&lt;/full-title&gt;&lt;/periodical&gt;&lt;pages&gt;312-332&lt;/pages&gt;&lt;volume&gt;56&lt;/volume&gt;&lt;number&gt;1-2&lt;/number&gt;&lt;dates&gt;&lt;year&gt;2018&lt;/year&gt;&lt;/dates&gt;&lt;isbn&gt;0020-7543&lt;/isbn&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Kaur, Sidhu et al. (2018)</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nil"/>
              <w:left w:val="nil"/>
              <w:bottom w:val="single" w:color="auto" w:sz="4" w:space="0"/>
              <w:right w:val="single" w:color="auto" w:sz="4" w:space="0"/>
            </w:tcBorders>
            <w:shd w:val="clear" w:color="auto" w:fill="auto"/>
            <w:vAlign w:val="top"/>
          </w:tcPr>
          <w:p w14:paraId="13BBBC3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India</w:t>
            </w:r>
          </w:p>
        </w:tc>
        <w:tc>
          <w:tcPr>
            <w:tcW w:w="1103" w:type="dxa"/>
            <w:tcBorders>
              <w:top w:val="nil"/>
              <w:left w:val="nil"/>
              <w:bottom w:val="single" w:color="auto" w:sz="4" w:space="0"/>
              <w:right w:val="single" w:color="auto" w:sz="4" w:space="0"/>
            </w:tcBorders>
            <w:shd w:val="clear" w:color="auto" w:fill="auto"/>
            <w:vAlign w:val="top"/>
          </w:tcPr>
          <w:p w14:paraId="2431768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nil"/>
              <w:left w:val="nil"/>
              <w:bottom w:val="single" w:color="auto" w:sz="4" w:space="0"/>
              <w:right w:val="single" w:color="auto" w:sz="4" w:space="0"/>
            </w:tcBorders>
            <w:shd w:val="clear" w:color="auto" w:fill="auto"/>
            <w:vAlign w:val="top"/>
          </w:tcPr>
          <w:p w14:paraId="189C26D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 xml:space="preserve">Case Study on Governance </w:t>
            </w:r>
            <w:r>
              <w:rPr>
                <w:rFonts w:hint="default" w:ascii="Times New Roman" w:hAnsi="Times New Roman" w:cs="Times New Roman"/>
                <w:lang w:val="en-US"/>
              </w:rPr>
              <w:t>Digitization</w:t>
            </w:r>
          </w:p>
        </w:tc>
        <w:tc>
          <w:tcPr>
            <w:tcW w:w="4075" w:type="dxa"/>
            <w:tcBorders>
              <w:top w:val="nil"/>
              <w:left w:val="nil"/>
              <w:bottom w:val="single" w:color="auto" w:sz="4" w:space="0"/>
              <w:right w:val="single" w:color="auto" w:sz="4" w:space="0"/>
            </w:tcBorders>
            <w:shd w:val="clear" w:color="auto" w:fill="auto"/>
            <w:vAlign w:val="top"/>
          </w:tcPr>
          <w:p w14:paraId="398B59E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Digital innovation boosts governance, service delivery, and industrial productivity.</w:t>
            </w:r>
          </w:p>
        </w:tc>
      </w:tr>
      <w:tr w14:paraId="22E9751B">
        <w:tblPrEx>
          <w:tblCellMar>
            <w:top w:w="0" w:type="dxa"/>
            <w:left w:w="108" w:type="dxa"/>
            <w:bottom w:w="0" w:type="dxa"/>
            <w:right w:w="108" w:type="dxa"/>
          </w:tblCellMar>
        </w:tblPrEx>
        <w:trPr>
          <w:trHeight w:val="1152" w:hRule="atLeast"/>
        </w:trPr>
        <w:tc>
          <w:tcPr>
            <w:tcW w:w="1296" w:type="dxa"/>
            <w:tcBorders>
              <w:top w:val="single" w:color="auto" w:sz="4" w:space="0"/>
              <w:left w:val="single" w:color="auto" w:sz="4" w:space="0"/>
              <w:bottom w:val="single" w:color="auto" w:sz="4" w:space="0"/>
              <w:right w:val="single" w:color="auto" w:sz="4" w:space="0"/>
            </w:tcBorders>
            <w:shd w:val="clear" w:color="auto" w:fill="auto"/>
            <w:vAlign w:val="top"/>
          </w:tcPr>
          <w:p w14:paraId="228B71E2">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lang w:val="en-US"/>
              </w:rPr>
              <w:instrText xml:space="preserve"> ADDIN EN.CITE &lt;EndNote&gt;&lt;Cite AuthorYear="1"&gt;&lt;Author&gt;Spies&lt;/Author&gt;&lt;Year&gt;2019&lt;/Year&gt;&lt;RecNum&gt;71&lt;/RecNum&gt;&lt;DisplayText&gt;Spies (2019)&lt;/DisplayText&gt;&lt;record&gt;&lt;rec-number&gt;71&lt;/rec-number&gt;&lt;foreign-keys&gt;&lt;key app="EN" db-id="2t52ftddjzwsxoerapx5vrxm2fdzpaza5sva" timestamp="1752393403"&gt;71&lt;/key&gt;&lt;/foreign-keys&gt;&lt;ref-type name="Thesis"&gt;32&lt;/ref-type&gt;&lt;contributors&gt;&lt;authors&gt;&lt;author&gt;Spies, Joubert&lt;/author&gt;&lt;/authors&gt;&lt;/contributors&gt;&lt;titles&gt;&lt;title&gt;The development of a framework to align the use of technologies in industries to the sustainable development goals&lt;/title&gt;&lt;/titles&gt;&lt;dates&gt;&lt;year&gt;2019&lt;/year&gt;&lt;/dates&gt;&lt;publisher&gt;Stellenbosch: Stellenbosch University&lt;/publisher&gt;&lt;urls&gt;&lt;/urls&gt;&lt;/record&gt;&lt;/Cite&gt;&lt;/EndNote&gt;</w:instrText>
            </w:r>
            <w:r>
              <w:rPr>
                <w:rFonts w:hint="default" w:ascii="Times New Roman" w:hAnsi="Times New Roman" w:cs="Times New Roman"/>
              </w:rPr>
              <w:fldChar w:fldCharType="separate"/>
            </w:r>
            <w:r>
              <w:rPr>
                <w:rFonts w:hint="default" w:ascii="Times New Roman" w:hAnsi="Times New Roman" w:cs="Times New Roman" w:eastAsiaTheme="minorHAnsi"/>
                <w:sz w:val="22"/>
                <w:szCs w:val="22"/>
                <w:lang w:val="en-US" w:eastAsia="en-US" w:bidi="ar-SA"/>
              </w:rPr>
              <w:t>Spies (2019)</w:t>
            </w:r>
            <w:r>
              <w:rPr>
                <w:rFonts w:hint="default" w:ascii="Times New Roman" w:hAnsi="Times New Roman" w:cs="Times New Roman"/>
              </w:rPr>
              <w:fldChar w:fldCharType="end"/>
            </w:r>
          </w:p>
        </w:tc>
        <w:tc>
          <w:tcPr>
            <w:tcW w:w="1296" w:type="dxa"/>
            <w:tcBorders>
              <w:top w:val="single" w:color="auto" w:sz="4" w:space="0"/>
              <w:left w:val="nil"/>
              <w:bottom w:val="single" w:color="auto" w:sz="4" w:space="0"/>
              <w:right w:val="single" w:color="auto" w:sz="4" w:space="0"/>
            </w:tcBorders>
            <w:shd w:val="clear" w:color="auto" w:fill="auto"/>
            <w:vAlign w:val="top"/>
          </w:tcPr>
          <w:p w14:paraId="5A9CB56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Germany</w:t>
            </w:r>
          </w:p>
        </w:tc>
        <w:tc>
          <w:tcPr>
            <w:tcW w:w="1103" w:type="dxa"/>
            <w:tcBorders>
              <w:top w:val="single" w:color="auto" w:sz="4" w:space="0"/>
              <w:left w:val="nil"/>
              <w:bottom w:val="single" w:color="auto" w:sz="4" w:space="0"/>
              <w:right w:val="single" w:color="auto" w:sz="4" w:space="0"/>
            </w:tcBorders>
            <w:shd w:val="clear" w:color="auto" w:fill="auto"/>
            <w:vAlign w:val="top"/>
          </w:tcPr>
          <w:p w14:paraId="48E91DF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single" w:color="auto" w:sz="4" w:space="0"/>
              <w:left w:val="nil"/>
              <w:bottom w:val="single" w:color="auto" w:sz="4" w:space="0"/>
              <w:right w:val="single" w:color="auto" w:sz="4" w:space="0"/>
            </w:tcBorders>
            <w:shd w:val="clear" w:color="auto" w:fill="auto"/>
            <w:vAlign w:val="top"/>
          </w:tcPr>
          <w:p w14:paraId="32307BB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Conceptual Framework Development</w:t>
            </w:r>
          </w:p>
        </w:tc>
        <w:tc>
          <w:tcPr>
            <w:tcW w:w="4075" w:type="dxa"/>
            <w:tcBorders>
              <w:top w:val="single" w:color="auto" w:sz="4" w:space="0"/>
              <w:left w:val="nil"/>
              <w:bottom w:val="single" w:color="auto" w:sz="4" w:space="0"/>
              <w:right w:val="single" w:color="auto" w:sz="4" w:space="0"/>
            </w:tcBorders>
            <w:shd w:val="clear" w:color="auto" w:fill="auto"/>
            <w:vAlign w:val="top"/>
          </w:tcPr>
          <w:p w14:paraId="0907825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Structured tech adoption accelerates SDG 9 progress.</w:t>
            </w:r>
          </w:p>
        </w:tc>
      </w:tr>
      <w:tr w14:paraId="5343353E">
        <w:tblPrEx>
          <w:tblCellMar>
            <w:top w:w="0" w:type="dxa"/>
            <w:left w:w="108" w:type="dxa"/>
            <w:bottom w:w="0" w:type="dxa"/>
            <w:right w:w="108" w:type="dxa"/>
          </w:tblCellMar>
        </w:tblPrEx>
        <w:trPr>
          <w:trHeight w:val="1152" w:hRule="atLeast"/>
        </w:trPr>
        <w:tc>
          <w:tcPr>
            <w:tcW w:w="1296" w:type="dxa"/>
            <w:tcBorders>
              <w:top w:val="nil"/>
              <w:left w:val="single" w:color="auto" w:sz="4" w:space="0"/>
              <w:bottom w:val="single" w:color="auto" w:sz="4" w:space="0"/>
              <w:right w:val="single" w:color="auto" w:sz="4" w:space="0"/>
            </w:tcBorders>
            <w:shd w:val="clear" w:color="auto" w:fill="auto"/>
            <w:vAlign w:val="top"/>
          </w:tcPr>
          <w:p w14:paraId="633D2A7C">
            <w:pPr>
              <w:spacing w:after="0" w:line="240" w:lineRule="auto"/>
              <w:rPr>
                <w:rFonts w:hint="default" w:ascii="Times New Roman" w:hAnsi="Times New Roman" w:eastAsia="Times New Roman" w:cs="Times New Roman"/>
                <w:color w:val="0563C1"/>
                <w:u w:val="single"/>
              </w:rPr>
            </w:pPr>
            <w:r>
              <w:rPr>
                <w:rFonts w:hint="default" w:ascii="Times New Roman" w:hAnsi="Times New Roman" w:cs="Times New Roman"/>
                <w:lang w:val="en-US"/>
              </w:rPr>
              <w:t xml:space="preserve"> </w:t>
            </w: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ADDIN EN.CITE &lt;EndNote&gt;&lt;Cite AuthorYear="1"&gt;&lt;Author&gt;Singh&lt;/Author&gt;&lt;Year&gt;2020&lt;/Year&gt;&lt;RecNum&gt;72&lt;/RecNum&gt;&lt;DisplayText&gt;Singh, Maiyar et al. (2020)&lt;/DisplayText&gt;&lt;record&gt;&lt;rec-number&gt;72&lt;/rec-number&gt;&lt;foreign-keys&gt;&lt;key app="EN" db-id="2t52ftddjzwsxoerapx5vrxm2fdzpaza5sva" timestamp="1752393528"&gt;72&lt;/key&gt;&lt;/foreign-keys&gt;&lt;ref-type name="Journal Article"&gt;17&lt;/ref-type&gt;&lt;contributors&gt;&lt;authors&gt;&lt;author&gt;Singh, Sonal H&lt;/author&gt;&lt;author&gt;Maiyar, Lohithaksha M&lt;/author&gt;&lt;author&gt;Bhowmick, Bhaskar&lt;/author&gt;&lt;/authors&gt;&lt;/contributors&gt;&lt;titles&gt;&lt;title&gt;Assessing the appropriate grassroots technological innovation for sustainable development&lt;/title&gt;&lt;secondary-title&gt;Technology analysis &amp;amp; strategic management&lt;/secondary-title&gt;&lt;/titles&gt;&lt;periodical&gt;&lt;full-title&gt;Technology analysis &amp;amp; strategic management&lt;/full-title&gt;&lt;/periodical&gt;&lt;pages&gt;175-194&lt;/pages&gt;&lt;volume&gt;32&lt;/volume&gt;&lt;number&gt;2&lt;/number&gt;&lt;dates&gt;&lt;year&gt;2020&lt;/year&gt;&lt;/dates&gt;&lt;isbn&gt;0953-7325&lt;/isbn&gt;&lt;urls&gt;&lt;/urls&gt;&lt;/record&gt;&lt;/Cite&gt;&lt;/EndNote&gt;</w:instrText>
            </w:r>
            <w:r>
              <w:rPr>
                <w:rFonts w:hint="default" w:ascii="Times New Roman" w:hAnsi="Times New Roman" w:cs="Times New Roman"/>
                <w:lang w:val="en-US"/>
              </w:rPr>
              <w:fldChar w:fldCharType="separate"/>
            </w:r>
            <w:r>
              <w:rPr>
                <w:rFonts w:hint="default" w:ascii="Times New Roman" w:hAnsi="Times New Roman" w:cs="Times New Roman" w:eastAsiaTheme="minorHAnsi"/>
                <w:sz w:val="22"/>
                <w:szCs w:val="22"/>
                <w:lang w:val="en-US" w:eastAsia="en-US" w:bidi="ar-SA"/>
              </w:rPr>
              <w:t>Singh, Maiyar et al. (2020)</w:t>
            </w:r>
            <w:r>
              <w:rPr>
                <w:rFonts w:hint="default" w:ascii="Times New Roman" w:hAnsi="Times New Roman" w:cs="Times New Roman"/>
                <w:lang w:val="en-US"/>
              </w:rPr>
              <w:fldChar w:fldCharType="end"/>
            </w:r>
            <w:r>
              <w:rPr>
                <w:rFonts w:hint="default" w:ascii="Times New Roman" w:hAnsi="Times New Roman" w:cs="Times New Roman"/>
              </w:rPr>
              <w:t xml:space="preserve"> </w:t>
            </w:r>
          </w:p>
        </w:tc>
        <w:tc>
          <w:tcPr>
            <w:tcW w:w="1296" w:type="dxa"/>
            <w:tcBorders>
              <w:top w:val="nil"/>
              <w:left w:val="nil"/>
              <w:bottom w:val="single" w:color="auto" w:sz="4" w:space="0"/>
              <w:right w:val="single" w:color="auto" w:sz="4" w:space="0"/>
            </w:tcBorders>
            <w:shd w:val="clear" w:color="auto" w:fill="auto"/>
            <w:vAlign w:val="top"/>
          </w:tcPr>
          <w:p w14:paraId="3C93B3C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India</w:t>
            </w:r>
          </w:p>
        </w:tc>
        <w:tc>
          <w:tcPr>
            <w:tcW w:w="1103" w:type="dxa"/>
            <w:tcBorders>
              <w:top w:val="nil"/>
              <w:left w:val="nil"/>
              <w:bottom w:val="single" w:color="auto" w:sz="4" w:space="0"/>
              <w:right w:val="single" w:color="auto" w:sz="4" w:space="0"/>
            </w:tcBorders>
            <w:shd w:val="clear" w:color="auto" w:fill="auto"/>
            <w:vAlign w:val="top"/>
          </w:tcPr>
          <w:p w14:paraId="0965EF7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SDG 9</w:t>
            </w:r>
          </w:p>
        </w:tc>
        <w:tc>
          <w:tcPr>
            <w:tcW w:w="1725" w:type="dxa"/>
            <w:tcBorders>
              <w:top w:val="nil"/>
              <w:left w:val="nil"/>
              <w:bottom w:val="single" w:color="auto" w:sz="4" w:space="0"/>
              <w:right w:val="single" w:color="auto" w:sz="4" w:space="0"/>
            </w:tcBorders>
            <w:shd w:val="clear" w:color="auto" w:fill="auto"/>
            <w:vAlign w:val="top"/>
          </w:tcPr>
          <w:p w14:paraId="26A10F0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EKC Hypothesis, Rural Innovation Study</w:t>
            </w:r>
          </w:p>
        </w:tc>
        <w:tc>
          <w:tcPr>
            <w:tcW w:w="4075" w:type="dxa"/>
            <w:tcBorders>
              <w:top w:val="nil"/>
              <w:left w:val="nil"/>
              <w:bottom w:val="single" w:color="auto" w:sz="4" w:space="0"/>
              <w:right w:val="single" w:color="auto" w:sz="4" w:space="0"/>
            </w:tcBorders>
            <w:shd w:val="clear" w:color="auto" w:fill="auto"/>
            <w:vAlign w:val="top"/>
          </w:tcPr>
          <w:p w14:paraId="0BC9AAF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cs="Times New Roman"/>
              </w:rPr>
              <w:t>Grassroots innovation spurs rural sustainability, early tech cuts pollution.</w:t>
            </w:r>
          </w:p>
        </w:tc>
      </w:tr>
    </w:tbl>
    <w:p w14:paraId="6B5D0ECD">
      <w:pPr>
        <w:jc w:val="both"/>
        <w:rPr>
          <w:rFonts w:hint="default" w:ascii="Times New Roman" w:hAnsi="Times New Roman"/>
          <w:sz w:val="24"/>
          <w:szCs w:val="24"/>
          <w:lang w:val="en-US"/>
        </w:rPr>
      </w:pPr>
    </w:p>
    <w:p w14:paraId="656E1BE1">
      <w:pPr>
        <w:pStyle w:val="2"/>
        <w:numPr>
          <w:ilvl w:val="0"/>
          <w:numId w:val="11"/>
        </w:numPr>
        <w:ind w:left="360" w:leftChars="0" w:firstLineChars="0"/>
        <w:rPr>
          <w:rFonts w:hint="default" w:ascii="Times New Roman" w:hAnsi="Times New Roman" w:eastAsia="Times New Roman" w:cs="Times New Roman"/>
          <w:sz w:val="28"/>
          <w:szCs w:val="28"/>
        </w:rPr>
      </w:pPr>
      <w:bookmarkStart w:id="43" w:name="_Toc17920"/>
      <w:r>
        <w:rPr>
          <w:rFonts w:hint="default" w:ascii="Times New Roman" w:hAnsi="Times New Roman" w:eastAsia="Times New Roman" w:cs="Times New Roman"/>
          <w:sz w:val="28"/>
          <w:szCs w:val="28"/>
          <w:lang w:val="en-US"/>
        </w:rPr>
        <w:t xml:space="preserve">   </w:t>
      </w:r>
      <w:bookmarkStart w:id="44" w:name="_Toc1122"/>
      <w:r>
        <w:rPr>
          <w:rFonts w:hint="default" w:ascii="Times New Roman" w:hAnsi="Times New Roman" w:eastAsia="Times New Roman" w:cs="Times New Roman"/>
          <w:sz w:val="28"/>
          <w:szCs w:val="28"/>
        </w:rPr>
        <w:t>Financial inclusion effect on SDG 2 &amp; 9:</w:t>
      </w:r>
      <w:bookmarkEnd w:id="43"/>
      <w:bookmarkEnd w:id="44"/>
    </w:p>
    <w:p w14:paraId="5D41B5AA">
      <w:pPr>
        <w:ind w:firstLine="720" w:firstLineChars="300"/>
        <w:jc w:val="both"/>
        <w:rPr>
          <w:rFonts w:hint="default" w:ascii="Times New Roman" w:hAnsi="Times New Roman"/>
          <w:sz w:val="24"/>
          <w:szCs w:val="24"/>
          <w:lang w:val="en-US"/>
        </w:rPr>
      </w:pPr>
    </w:p>
    <w:p w14:paraId="0256711F">
      <w:pPr>
        <w:ind w:firstLine="720" w:firstLineChars="300"/>
        <w:jc w:val="both"/>
        <w:rPr>
          <w:rFonts w:hint="default" w:ascii="Times New Roman" w:hAnsi="Times New Roman"/>
          <w:sz w:val="24"/>
          <w:szCs w:val="24"/>
          <w:lang w:val="en-US"/>
        </w:rPr>
      </w:pPr>
      <w:r>
        <w:rPr>
          <w:rFonts w:hint="default" w:ascii="Times New Roman" w:hAnsi="Times New Roman"/>
          <w:sz w:val="24"/>
          <w:szCs w:val="24"/>
          <w:lang w:val="en-US"/>
        </w:rPr>
        <w:t xml:space="preserve">Financial inclusion is a key because it boosts food security by preventing hunger through the accessibility of financial services to farmers and agricultural enterprises to facilitate improvement of investments in production, storage and distribution. Some studies have indicated the numerous ways in which financial inclusion influences SDG 2. Increase in productivity of agriculture Financial Inclusion enables small farmer farmers to have access to credit, insurance, savings, which are necessary in making investment in better sources of agriculture and technology and irrigation systems. In Zimbabwe,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AuthorYear="1"&gt;&lt;Author&gt;Mhlanga&lt;/Author&gt;&lt;Year&gt;2020&lt;/Year&gt;&lt;RecNum&gt;77&lt;/RecNum&gt;&lt;DisplayText&gt;Mhlanga (2020)&lt;/DisplayText&gt;&lt;record&gt;&lt;rec-number&gt;77&lt;/rec-number&gt;&lt;foreign-keys&gt;&lt;key app="EN" db-id="2t52ftddjzwsxoerapx5vrxm2fdzpaza5sva" timestamp="1752401108"&gt;77&lt;/key&gt;&lt;/foreign-keys&gt;&lt;ref-type name="Journal Article"&gt;17&lt;/ref-type&gt;&lt;contributors&gt;&lt;authors&gt;&lt;author&gt;Mhlanga, David&lt;/author&gt;&lt;/authors&gt;&lt;/contributors&gt;&lt;titles&gt;&lt;title&gt;Industry 4.0 in finance: The impact of artificial intelligence (AI) on digital financial inclusion&lt;/title&gt;&lt;secondary-title&gt;International Journal of Financial Studies&lt;/secondary-title&gt;&lt;/titles&gt;&lt;periodical&gt;&lt;full-title&gt;International Journal of Financial Studies&lt;/full-title&gt;&lt;/periodical&gt;&lt;pages&gt;45&lt;/pages&gt;&lt;volume&gt;8&lt;/volume&gt;&lt;number&gt;3&lt;/number&gt;&lt;dates&gt;&lt;year&gt;2020&lt;/year&gt;&lt;/dates&gt;&lt;isbn&gt;2227-7072&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Mhlanga (2020)</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insinuated that financial inclusion had a major effect on decrease of poverty among smallholder farmers as it enabled them to save and borrow funds to invest on superior quality seeds, fertilizer and irrigation equipment. Likewise,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AuthorYear="1"&gt;&lt;Author&gt;Jia&lt;/Author&gt;&lt;Year&gt;2021&lt;/Year&gt;&lt;RecNum&gt;78&lt;/RecNum&gt;&lt;DisplayText&gt;Jia, Qiu et al. (2021)&lt;/DisplayText&gt;&lt;record&gt;&lt;rec-number&gt;78&lt;/rec-number&gt;&lt;foreign-keys&gt;&lt;key app="EN" db-id="2t52ftddjzwsxoerapx5vrxm2fdzpaza5sva" timestamp="1752401760"&gt;78&lt;/key&gt;&lt;/foreign-keys&gt;&lt;ref-type name="Journal Article"&gt;17&lt;/ref-type&gt;&lt;contributors&gt;&lt;authors&gt;&lt;author&gt;Jia, Shuaishuai&lt;/author&gt;&lt;author&gt;Qiu, Yushan&lt;/author&gt;&lt;author&gt;Yang, Cunyi&lt;/author&gt;&lt;/authors&gt;&lt;/contributors&gt;&lt;titles&gt;&lt;title&gt;Sustainable development goals, financial inclusion, and grain security efficiency&lt;/title&gt;&lt;secondary-title&gt;Agronomy&lt;/secondary-title&gt;&lt;/titles&gt;&lt;periodical&gt;&lt;full-title&gt;Agronomy&lt;/full-title&gt;&lt;/periodical&gt;&lt;pages&gt;2542&lt;/pages&gt;&lt;volume&gt;11&lt;/volume&gt;&lt;number&gt;12&lt;/number&gt;&lt;dates&gt;&lt;year&gt;2021&lt;/year&gt;&lt;/dates&gt;&lt;isbn&gt;2073-4395&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Jia, Qiu et al. (2021)</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examined the statistics of 121 countries and discovered that financial inclusion stimulates efficiency in grain security, which is partially achieved due to the improvements in distribution instead of production.</w:t>
      </w:r>
    </w:p>
    <w:p w14:paraId="08F4CA16">
      <w:pPr>
        <w:jc w:val="both"/>
        <w:rPr>
          <w:rFonts w:hint="default" w:ascii="Times New Roman" w:hAnsi="Times New Roman"/>
          <w:sz w:val="24"/>
          <w:szCs w:val="24"/>
          <w:lang w:val="en-US"/>
        </w:rPr>
      </w:pPr>
      <w:r>
        <w:rPr>
          <w:rFonts w:hint="default" w:ascii="Times New Roman" w:hAnsi="Times New Roman"/>
          <w:sz w:val="24"/>
          <w:szCs w:val="24"/>
          <w:lang w:val="en-US"/>
        </w:rPr>
        <w:t xml:space="preserve">Farmers can manage risks in areas relating to climate variability and markets through access to financial services to enhance productivity and stability of food supplies. Fin Tech and Digital Banking in food security Finance Tech and digital banking have become an integral part of the provision of financial access to marginal farmers. In Africa, Fin Tech implementation supported the direct benefits of farmers saving, borrowing and accepting payments in the form of mobile money, thereby creating a continuous supply of capital to operate in the agricultural sector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Danladi, Prasad et al. (2023)</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The access assists the smallholder farmers in developing resilience to deal with price shocks and seasonal changes in income. Islamic Social Finance and Food Security Islamic is among the mentioned alternatives that can enhance food security activities. As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AuthorYear="1"&gt;&lt;Author&gt;Abduh&lt;/Author&gt;&lt;Year&gt;2019&lt;/Year&gt;&lt;RecNum&gt;27&lt;/RecNum&gt;&lt;DisplayText&gt;Abduh (2019)&lt;/DisplayText&gt;&lt;record&gt;&lt;rec-number&gt;27&lt;/rec-number&gt;&lt;foreign-keys&gt;&lt;key app="EN" db-id="2t52ftddjzwsxoerapx5vrxm2fdzpaza5sva" timestamp="1752330293"&gt;27&lt;/key&gt;&lt;/foreign-keys&gt;&lt;ref-type name="Journal Article"&gt;17&lt;/ref-type&gt;&lt;contributors&gt;&lt;authors&gt;&lt;author&gt;Abduh, Muhamad&lt;/author&gt;&lt;/authors&gt;&lt;/contributors&gt;&lt;titles&gt;&lt;title&gt;The role of Islamic social finance in achieving SDG number 2: end hunger, achieve food security and improved nutrition and promote sustainable agriculture&lt;/title&gt;&lt;secondary-title&gt;Al-Shajarah: Journal of the International Institute of Islamic Thought and Civilisation (ISTAC)&lt;/secondary-title&gt;&lt;/titles&gt;&lt;periodical&gt;&lt;full-title&gt;Al-Shajarah: Journal of the International Institute of Islamic Thought and Civilisation (ISTAC)&lt;/full-title&gt;&lt;/periodical&gt;&lt;dates&gt;&lt;year&gt;2019&lt;/year&gt;&lt;/dates&gt;&lt;isbn&gt;2735-1866&lt;/isbn&gt;&lt;urls&gt;&lt;/urls&gt;&lt;/record&gt;&lt;/Cite&gt;&lt;/EndNote&gt;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Abduh (2019)</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explained, Islamic tools of social finance like infāq, waqf, and zakāt will help close the SDG food security and sustainable agriculture investment gap that totals $2.5 trillion. These instruments offer farmers and agricultural businesses alternative financing sources that are devoid of interests thus enabling them to borrow funds without the disadvantaged interest charges. This model makes communities that shun the conventional banking because of their religious beliefs to be financially inclusive.</w:t>
      </w:r>
    </w:p>
    <w:p w14:paraId="5C45EA78">
      <w:pPr>
        <w:jc w:val="both"/>
        <w:rPr>
          <w:rFonts w:hint="default" w:ascii="Times New Roman" w:hAnsi="Times New Roman"/>
          <w:sz w:val="24"/>
          <w:szCs w:val="24"/>
          <w:lang w:val="en-US"/>
        </w:rPr>
      </w:pPr>
      <w:r>
        <w:rPr>
          <w:rFonts w:hint="default" w:ascii="Times New Roman" w:hAnsi="Times New Roman"/>
          <w:sz w:val="24"/>
          <w:szCs w:val="24"/>
          <w:lang w:val="en-US"/>
        </w:rPr>
        <w:t xml:space="preserve">Enhancing market reach and efficiency Market inclusion also improves market efficiency through boosting market access through formal financial systems that have superior payment structures and trading opportunities offered to farmers. According to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AuthorYear="1"&gt;&lt;Author&gt;Jia&lt;/Author&gt;&lt;Year&gt;2021&lt;/Year&gt;&lt;RecNum&gt;78&lt;/RecNum&gt;&lt;DisplayText&gt;Jia, Qiu et al. (2021)&lt;/DisplayText&gt;&lt;record&gt;&lt;rec-number&gt;78&lt;/rec-number&gt;&lt;foreign-keys&gt;&lt;key app="EN" db-id="2t52ftddjzwsxoerapx5vrxm2fdzpaza5sva" timestamp="1752401760"&gt;78&lt;/key&gt;&lt;/foreign-keys&gt;&lt;ref-type name="Journal Article"&gt;17&lt;/ref-type&gt;&lt;contributors&gt;&lt;authors&gt;&lt;author&gt;Jia, Shuaishuai&lt;/author&gt;&lt;author&gt;Qiu, Yushan&lt;/author&gt;&lt;author&gt;Yang, Cunyi&lt;/author&gt;&lt;/authors&gt;&lt;/contributors&gt;&lt;titles&gt;&lt;title&gt;Sustainable development goals, financial inclusion, and grain security efficiency&lt;/title&gt;&lt;secondary-title&gt;Agronomy&lt;/secondary-title&gt;&lt;/titles&gt;&lt;periodical&gt;&lt;full-title&gt;Agronomy&lt;/full-title&gt;&lt;/periodical&gt;&lt;pages&gt;2542&lt;/pages&gt;&lt;volume&gt;11&lt;/volume&gt;&lt;number&gt;12&lt;/number&gt;&lt;dates&gt;&lt;year&gt;2021&lt;/year&gt;&lt;/dates&gt;&lt;isbn&gt;2073-4395&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Jia, Qiu et al. (2021)</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financial services increase grain security by optimizing the process of distribution instead of being production-centered. With access to banking services, farm produce can easily be sold at competitive prices by the smallholder farmers, resulting into reduction in food loss, and this, in turn, makes the food affordable to the consumer. Challenges and Barriers Although the financial inclusion of the farming community holds certain benefits, the efficiency of the financial inclusion in the farming sector is obstructed by various challenges, such as a limited level of financial literacy, absence of banking infrastructure in rural regions, and regulations.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AuthorYear="1"&gt;&lt;Author&gt;Qureshi&lt;/Author&gt;&lt;Year&gt;2015&lt;/Year&gt;&lt;RecNum&gt;80&lt;/RecNum&gt;&lt;DisplayText&gt;Qureshi, Dixon et al. (2015)&lt;/DisplayText&gt;&lt;record&gt;&lt;rec-number&gt;80&lt;/rec-number&gt;&lt;foreign-keys&gt;&lt;key app="EN" db-id="2t52ftddjzwsxoerapx5vrxm2fdzpaza5sva" timestamp="1752403889"&gt;80&lt;/key&gt;&lt;/foreign-keys&gt;&lt;ref-type name="Journal Article"&gt;17&lt;/ref-type&gt;&lt;contributors&gt;&lt;authors&gt;&lt;author&gt;Qureshi, M Ejaz&lt;/author&gt;&lt;author&gt;Dixon, John&lt;/author&gt;&lt;author&gt;Wood, Mellissa&lt;/author&gt;&lt;/authors&gt;&lt;/contributors&gt;&lt;titles&gt;&lt;title&gt;Public policies for improving food and nutrition security at different scales&lt;/title&gt;&lt;secondary-title&gt;Food Security&lt;/secondary-title&gt;&lt;/titles&gt;&lt;periodical&gt;&lt;full-title&gt;Food Security&lt;/full-title&gt;&lt;/periodical&gt;&lt;pages&gt;393-403&lt;/pages&gt;&lt;volume&gt;7&lt;/volume&gt;&lt;number&gt;2&lt;/number&gt;&lt;dates&gt;&lt;year&gt;2015&lt;/year&gt;&lt;/dates&gt;&lt;isbn&gt;1876-4517&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Qureshi, Dixon et al. (2015)</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note that such barriers have to be addressed by integrated policies; i.e., policies to increase access, affordability, and effective regulations that comprise policies and regulate financial services to reach the most vulnerable people in need.</w:t>
      </w:r>
    </w:p>
    <w:p w14:paraId="5776FCEA">
      <w:pPr>
        <w:jc w:val="both"/>
        <w:rPr>
          <w:rFonts w:hint="default" w:ascii="Times New Roman" w:hAnsi="Times New Roman"/>
          <w:sz w:val="24"/>
          <w:szCs w:val="24"/>
          <w:lang w:val="en-US"/>
        </w:rPr>
      </w:pPr>
      <w:r>
        <w:rPr>
          <w:rFonts w:hint="default" w:ascii="Times New Roman" w:hAnsi="Times New Roman"/>
          <w:sz w:val="24"/>
          <w:szCs w:val="24"/>
          <w:lang w:val="en-US"/>
        </w:rPr>
        <w:t xml:space="preserve">Financial inclusion has played a major role in industrialization, innovation and infrastructural development especially in the emerging economies. It helps entrepreneurs, promotes small and middle-sized companies (SMEs) intensifies technological improvements, thus plays a role in economic growth and sustainable development. SME Growth and Entrepreneurship Inclusion of SMEs in the provision of credit gives them access to finance to grow their business, make innovations, and create jobs. Researchers on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AuthorYear="1"&gt;&lt;Author&gt;Hoang&lt;/Author&gt;&lt;Year&gt;2022&lt;/Year&gt;&lt;RecNum&gt;42&lt;/RecNum&gt;&lt;DisplayText&gt;Hoang, Nguyen et al. (2022)&lt;/DisplayText&gt;&lt;record&gt;&lt;rec-number&gt;42&lt;/rec-number&gt;&lt;foreign-keys&gt;&lt;key app="EN" db-id="2t52ftddjzwsxoerapx5vrxm2fdzpaza5sva" timestamp="1752333576"&gt;42&lt;/key&gt;&lt;/foreign-keys&gt;&lt;ref-type name="Book Section"&gt;5&lt;/ref-type&gt;&lt;contributors&gt;&lt;authors&gt;&lt;author&gt;Hoang, Thinh Gia&lt;/author&gt;&lt;author&gt;Nguyen, Giang Ngo Tinh&lt;/author&gt;&lt;author&gt;Le, Dat Anh&lt;/author&gt;&lt;/authors&gt;&lt;/contributors&gt;&lt;titles&gt;&lt;title&gt;Developments in financial technologies for achieving the sustainable development goals (SDGs): FinTech and SDGs&lt;/title&gt;&lt;secondary-title&gt;Disruptive technologies and eco-innovation for sustainable development&lt;/secondary-title&gt;&lt;/titles&gt;&lt;pages&gt;1-19&lt;/pages&gt;&lt;dates&gt;&lt;year&gt;2022&lt;/year&gt;&lt;/dates&gt;&lt;publisher&gt;IGI Global&lt;/publisher&gt;&lt;urls&gt;&lt;/urls&gt;&lt;/record&gt;&lt;/Cite&gt;&lt;/EndNote&gt;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Hoang, Nguyen et al. (2022)</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revealed an important role of Fin Tech innovations in the success of the financial inclusion and sustainable development through inclusive economies. In such a similar mode,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AuthorYear="1"&gt;&lt;Author&gt;Pandey&lt;/Author&gt;&lt;Year&gt;2022&lt;/Year&gt;&lt;RecNum&gt;43&lt;/RecNum&gt;&lt;DisplayText&gt;Pandey, Kiran et al. (2022)&lt;/DisplayText&gt;&lt;record&gt;&lt;rec-number&gt;43&lt;/rec-number&gt;&lt;foreign-keys&gt;&lt;key app="EN" db-id="2t52ftddjzwsxoerapx5vrxm2fdzpaza5sva" timestamp="1752334098"&gt;43&lt;/key&gt;&lt;/foreign-keys&gt;&lt;ref-type name="Journal Article"&gt;17&lt;/ref-type&gt;&lt;contributors&gt;&lt;authors&gt;&lt;author&gt;Pandey, Amit&lt;/author&gt;&lt;author&gt;Kiran, Ravi&lt;/author&gt;&lt;author&gt;Sharma, Rakesh Kumar&lt;/author&gt;&lt;/authors&gt;&lt;/contributors&gt;&lt;titles&gt;&lt;title&gt;Investigating the impact of financial inclusion drivers, financial literacy and financial initiatives in fostering sustainable growth in North India&lt;/title&gt;&lt;secondary-title&gt;Sustainability&lt;/secondary-title&gt;&lt;/titles&gt;&lt;periodical&gt;&lt;full-title&gt;Sustainability&lt;/full-title&gt;&lt;/periodical&gt;&lt;pages&gt;11061&lt;/pages&gt;&lt;volume&gt;14&lt;/volume&gt;&lt;number&gt;17&lt;/number&gt;&lt;dates&gt;&lt;year&gt;2022&lt;/year&gt;&lt;/dates&gt;&lt;isbn&gt;2071-1050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Pandey, Kiran et al. (2022)</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in India demonstrated that there is a positive net impact of the financial inclusion to sustainable growth digitization, Fin Tech as well as financial literacy is significant to boost SME productivity and competitiveness. Digital Financial Services in Industrializing Role of the Fourth Industrial Revolution (4IR) technologies such as block chain, artificial intelligence (AI), and the Internet of Things (IoT) in financial inclusion and industrialization has been characterized as a transformation experience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AuthorYear="1"&gt;&lt;Author&gt;Mishra&lt;/Author&gt;&lt;Year&gt;2020&lt;/Year&gt;&lt;RecNum&gt;81&lt;/RecNum&gt;&lt;DisplayText&gt;Mishra and Maheshwari (2020)&lt;/DisplayText&gt;&lt;record&gt;&lt;rec-number&gt;81&lt;/rec-number&gt;&lt;foreign-keys&gt;&lt;key app="EN" db-id="2t52ftddjzwsxoerapx5vrxm2fdzpaza5sva" timestamp="1752404893"&gt;81&lt;/key&gt;&lt;/foreign-keys&gt;&lt;ref-type name="Journal Article"&gt;17&lt;/ref-type&gt;&lt;contributors&gt;&lt;authors&gt;&lt;author&gt;Mishra, Himani&lt;/author&gt;&lt;author&gt;Maheshwari, Prateek&lt;/author&gt;&lt;/authors&gt;&lt;/contributors&gt;&lt;titles&gt;&lt;title&gt;Achieving sustainable development goals through Fourth Industrial Revolution: an Indian perspective&lt;/title&gt;&lt;secondary-title&gt;Indian Journal of Commerce and Management Studies&lt;/secondary-title&gt;&lt;/titles&gt;&lt;periodical&gt;&lt;full-title&gt;Indian Journal of Commerce and Management Studies&lt;/full-title&gt;&lt;/periodical&gt;&lt;pages&gt;63-75&lt;/pages&gt;&lt;volume&gt;11&lt;/volume&gt;&lt;number&gt;2&lt;/number&gt;&lt;dates&gt;&lt;year&gt;2020&lt;/year&gt;&lt;/dates&gt;&lt;isbn&gt;2229-5674&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Mishra and Maheshwari (2020)</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w:t>
      </w:r>
    </w:p>
    <w:p w14:paraId="62294EE5">
      <w:pPr>
        <w:jc w:val="both"/>
        <w:rPr>
          <w:rFonts w:hint="default" w:ascii="Times New Roman" w:hAnsi="Times New Roman"/>
          <w:sz w:val="24"/>
          <w:szCs w:val="24"/>
          <w:lang w:val="en-US"/>
        </w:rPr>
      </w:pPr>
      <w:r>
        <w:rPr>
          <w:rFonts w:hint="default" w:ascii="Times New Roman" w:hAnsi="Times New Roman"/>
          <w:sz w:val="24"/>
          <w:szCs w:val="24"/>
          <w:lang w:val="en-US"/>
        </w:rPr>
        <w:t xml:space="preserve">Using digital banking and mobile financial services will allow the businesses to attain credit, effective management of cash flows, and improve scale of operation hence promoting industrialization and economic growth. Islamic Finance and Industrial Development The Islamic finance has equity based financing models of supporting sustainable industrial development. According to the research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AuthorYear="1"&gt;&lt;Author&gt;Sadiq&lt;/Author&gt;&lt;Year&gt;2015&lt;/Year&gt;&lt;RecNum&gt;82&lt;/RecNum&gt;&lt;DisplayText&gt;Sadiq and Mushtaq (2015)&lt;/DisplayText&gt;&lt;record&gt;&lt;rec-number&gt;82&lt;/rec-number&gt;&lt;foreign-keys&gt;&lt;key app="EN" db-id="2t52ftddjzwsxoerapx5vrxm2fdzpaza5sva" timestamp="1752405062"&gt;82&lt;/key&gt;&lt;/foreign-keys&gt;&lt;ref-type name="Journal Article"&gt;17&lt;/ref-type&gt;&lt;contributors&gt;&lt;authors&gt;&lt;author&gt;Sadiq, Ramla&lt;/author&gt;&lt;author&gt;Mushtaq, Afia&lt;/author&gt;&lt;/authors&gt;&lt;/contributors&gt;&lt;titles&gt;&lt;title&gt;Role of Islamic finance in achieving sustainable development goals&lt;/title&gt;&lt;secondary-title&gt;Journal of Islamic Thought and Civilization&lt;/secondary-title&gt;&lt;/titles&gt;&lt;periodical&gt;&lt;full-title&gt;Journal of Islamic Thought and Civilization&lt;/full-title&gt;&lt;/periodical&gt;&lt;pages&gt;46-55&lt;/pages&gt;&lt;volume&gt;5&lt;/volume&gt;&lt;number&gt;1&lt;/number&gt;&lt;dates&gt;&lt;year&gt;2015&lt;/year&gt;&lt;/dates&gt;&lt;isbn&gt;2520-0313&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Sadiq and Mushtaq (2015)</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the involvement of the Islamic finance in the sustainable development is explained with the point that equity-based financing. and social impact investing improve the financial stability. But a better policy integration is required to enhance environmental and social sustainability. Islamic financial institutions (IFIs) also support SDG 9 by connecting finances to real assets and cutting down on speculative transactions, which increase the chances of long-term industrial development. Financial Inclusion and Infrastructure Development Financing infrastructural development is also facilitated through access to financial services, in terms of financing transport systems, energy and communication networks. Recently in Nigeria, ECM and FMOLS analysis were used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AuthorYear="1"&gt;&lt;Author&gt;Soyemi&lt;/Author&gt;&lt;Year&gt;2020&lt;/Year&gt;&lt;RecNum&gt;45&lt;/RecNum&gt;&lt;DisplayText&gt;Soyemi, Olowofela et al. (2020)&lt;/DisplayText&gt;&lt;record&gt;&lt;rec-number&gt;45&lt;/rec-number&gt;&lt;foreign-keys&gt;&lt;key app="EN" db-id="2t52ftddjzwsxoerapx5vrxm2fdzpaza5sva" timestamp="1752334807"&gt;45&lt;/key&gt;&lt;/foreign-keys&gt;&lt;ref-type name="Journal Article"&gt;17&lt;/ref-type&gt;&lt;contributors&gt;&lt;authors&gt;&lt;author&gt;Soyemi, Kenny Ade’&lt;/author&gt;&lt;author&gt;Olowofela, Olusola Enitan&lt;/author&gt;&lt;author&gt;Yunusa, Lateef Adewale&lt;/author&gt;&lt;/authors&gt;&lt;/contributors&gt;&lt;titles&gt;&lt;title&gt;Financial inclusion and sustainable development in Nigeria&lt;/title&gt;&lt;secondary-title&gt;Journal of Economics and Management&lt;/secondary-title&gt;&lt;/titles&gt;&lt;periodical&gt;&lt;full-title&gt;Journal of Economics and Management&lt;/full-title&gt;&lt;/periodical&gt;&lt;pages&gt;105-131&lt;/pages&gt;&lt;number&gt;39&lt;/number&gt;&lt;dates&gt;&lt;year&gt;2020&lt;/year&gt;&lt;/dates&gt;&lt;isbn&gt;1732-1948&lt;/isbn&gt;&lt;urls&gt;&lt;/urls&gt;&lt;/record&gt;&lt;/Cite&gt;&lt;/EndNote&gt;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Soyemi, Olowofela et al. (2020)</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which revealed that the greater the number of banks branch and rural credit facilities, the more it contributed to industrial growth. An increase in the financial infrastructure in terms of the banking system and online payment system, paves the way to economic activities and increases productivity across sectors. Role of Cooperative Banking Networks A study which was conducted using a panel data analysis in India termed the role of cooperation banks in raising financial accessibility to the undeserved population especially in the rural and semi-urban] locations and concluded that cooperative banking networks play a very significant role in sustainable development.</w:t>
      </w:r>
    </w:p>
    <w:p w14:paraId="5083029C">
      <w:pPr>
        <w:jc w:val="both"/>
        <w:rPr>
          <w:rFonts w:hint="default" w:ascii="Times New Roman" w:hAnsi="Times New Roman"/>
          <w:sz w:val="24"/>
          <w:szCs w:val="24"/>
          <w:lang w:val="en-US"/>
        </w:rPr>
      </w:pPr>
      <w:r>
        <w:rPr>
          <w:rFonts w:hint="default" w:ascii="Times New Roman" w:hAnsi="Times New Roman"/>
          <w:sz w:val="24"/>
          <w:szCs w:val="24"/>
          <w:lang w:val="en-US"/>
        </w:rPr>
        <w:t xml:space="preserve">Financial governance and the increase of cooperative banks networks are the viable strategies to boost economic growth and poverty because these initiatives will enable the provision of affordable credit access to small business and entrepreneurs. Financial Inclusion Challenges in Industrial Development Even though it is a great influence, financial inclusion has a couple of challenges in industrial development, which include digital exclusion, financial fraud, or regulatory restraints. A paper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AuthorYear="1"&gt;&lt;Author&gt;Mpofu&lt;/Author&gt;&lt;Year&gt;2022&lt;/Year&gt;&lt;RecNum&gt;21&lt;/RecNum&gt;&lt;DisplayText&gt;Mpofu and Mhlanga (2022)&lt;/DisplayText&gt;&lt;record&gt;&lt;rec-number&gt;21&lt;/rec-number&gt;&lt;foreign-keys&gt;&lt;key app="EN" db-id="2t52ftddjzwsxoerapx5vrxm2fdzpaza5sva" timestamp="1752328731"&gt;21&lt;/key&gt;&lt;/foreign-keys&gt;&lt;ref-type name="Journal Article"&gt;17&lt;/ref-type&gt;&lt;contributors&gt;&lt;authors&gt;&lt;author&gt;Mpofu, Favourate Y&lt;/author&gt;&lt;author&gt;Mhlanga, David&lt;/author&gt;&lt;/authors&gt;&lt;/contributors&gt;&lt;titles&gt;&lt;title&gt;Digital financial inclusion, digital financial services tax and financial inclusion in the fourth industrial revolution era in Africa&lt;/title&gt;&lt;secondary-title&gt;Economies&lt;/secondary-title&gt;&lt;/titles&gt;&lt;periodical&gt;&lt;full-title&gt;Economies&lt;/full-title&gt;&lt;/periodical&gt;&lt;pages&gt;184&lt;/pages&gt;&lt;volume&gt;10&lt;/volume&gt;&lt;number&gt;8&lt;/number&gt;&lt;dates&gt;&lt;year&gt;2022&lt;/year&gt;&lt;/dates&gt;&lt;isbn&gt;2227-7099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Mpofu and Mhlanga (2022)</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in South Africa emphasize that although Fin Tech and 4IR technologies could promote the financially included population, they are also likely to increase inequality and fraud and digital exclusion. To solve these problems, it is necessary to adopt a rigorous regulatory framework that can provide financial stability, and at the same time encourage innovation. In many countries especially developing countries the women entrepreneurs have a tough time accessing credit because of legal and cultural impediments. This gap can be filled by providing specialized financial products and services to women-owned businesses with the help of which inclusive industrialization can be encouraged. Microfinance and Economic Empowerment Microfinance institutions (MFIs) are key players in financial inclusion to which they lend small amounts of money to individuals and businesses that have not been able to get access to the traditional banking services. The evidence presented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AuthorYear="1"&gt;&lt;Author&gt;Thiruma Valavan&lt;/Author&gt;&lt;Year&gt;2023&lt;/Year&gt;&lt;RecNum&gt;88&lt;/RecNum&gt;&lt;DisplayText&gt;Thiruma Valavan (2023)&lt;/DisplayText&gt;&lt;record&gt;&lt;rec-number&gt;88&lt;/rec-number&gt;&lt;foreign-keys&gt;&lt;key app="EN" db-id="2t52ftddjzwsxoerapx5vrxm2fdzpaza5sva" timestamp="1752407185"&gt;88&lt;/key&gt;&lt;/foreign-keys&gt;&lt;ref-type name="Journal Article"&gt;17&lt;/ref-type&gt;&lt;contributors&gt;&lt;authors&gt;&lt;author&gt;Thiruma Valavan, A&lt;/author&gt;&lt;/authors&gt;&lt;/contributors&gt;&lt;titles&gt;&lt;title&gt;Analyzing the alignment of financial inclusion efforts in rural india with the united nations&amp;apos; sustainable development goals: A focus on agricultural population and below-poverty-line households&lt;/title&gt;&lt;/titles&gt;&lt;dates&gt;&lt;year&gt;2023&lt;/year&gt;&lt;/dates&gt;&lt;urls&gt;&lt;/urls&gt;&lt;/record&gt;&lt;/Cite&gt;&lt;/EndNote&gt;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Thiruma Valavan (2023)</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in India shows that financial inclusion is effective in enhancing the rural socioeconomic situation, alleviating poverty, empowering women as well as economic productivity of agriculture. Microfinance allows the owners of small businesses to invest in innovative projects, which results in the industrial development and infrastructural buildup.The financial inclusion has significant implications in SDG 2 (Zero Hunger), and SDG 9 (Industry, Innovation, and Infrastructure).</w:t>
      </w:r>
    </w:p>
    <w:p w14:paraId="5369944F">
      <w:pPr>
        <w:jc w:val="both"/>
        <w:rPr>
          <w:rFonts w:hint="default" w:ascii="Times New Roman" w:hAnsi="Times New Roman"/>
          <w:sz w:val="24"/>
          <w:szCs w:val="24"/>
          <w:lang w:val="en-US"/>
        </w:rPr>
      </w:pPr>
      <w:r>
        <w:rPr>
          <w:rFonts w:hint="default" w:ascii="Times New Roman" w:hAnsi="Times New Roman"/>
          <w:sz w:val="24"/>
          <w:szCs w:val="24"/>
          <w:lang w:val="en-US"/>
        </w:rPr>
        <w:t>The issues can be addressed through financial inclusion to enhance access to credit, savings, insurance and digital financial services and subsequently enable the smallholder farmers to invest in quality agricultural inputs, become more effective marketing food and reduce food insecurity. On the same point, the financial inclusion in the industrial sector helps in entrepreneurship, growth of SMEs as well as infrastructure development. Nevertheless, the issues of digital exclusion, financial literacy levels, and regulatory disparities should be resolved to properly take advantages of financial inclusion as an instrument of bringing sustainable growth.</w:t>
      </w:r>
    </w:p>
    <w:p w14:paraId="17CF1A46">
      <w:pPr>
        <w:pStyle w:val="7"/>
        <w:bidi w:val="0"/>
      </w:pPr>
      <w:bookmarkStart w:id="45" w:name="_Toc25192"/>
    </w:p>
    <w:p w14:paraId="0614CD9D">
      <w:pPr>
        <w:pStyle w:val="7"/>
        <w:bidi w:val="0"/>
      </w:pPr>
    </w:p>
    <w:p w14:paraId="0C79E8B0">
      <w:pPr>
        <w:pStyle w:val="7"/>
        <w:bidi w:val="0"/>
      </w:pPr>
    </w:p>
    <w:p w14:paraId="2B460798">
      <w:pPr>
        <w:pStyle w:val="7"/>
        <w:bidi w:val="0"/>
      </w:pPr>
    </w:p>
    <w:p w14:paraId="28455A24">
      <w:pPr>
        <w:pStyle w:val="7"/>
        <w:bidi w:val="0"/>
      </w:pPr>
    </w:p>
    <w:p w14:paraId="512370D7">
      <w:pPr>
        <w:pStyle w:val="7"/>
        <w:bidi w:val="0"/>
      </w:pPr>
    </w:p>
    <w:p w14:paraId="71E5C1F7">
      <w:pPr>
        <w:pStyle w:val="7"/>
        <w:bidi w:val="0"/>
      </w:pPr>
    </w:p>
    <w:p w14:paraId="1AB09E5E">
      <w:pPr>
        <w:pStyle w:val="7"/>
        <w:bidi w:val="0"/>
        <w:rPr>
          <w:rFonts w:hint="default" w:ascii="Times New Roman" w:hAnsi="Times New Roman" w:eastAsia="Times New Roman" w:cs="Times New Roman"/>
          <w:szCs w:val="24"/>
          <w:u w:val="single"/>
        </w:rPr>
      </w:pPr>
      <w:r>
        <w:t xml:space="preserve">Table </w:t>
      </w:r>
      <w:r>
        <w:fldChar w:fldCharType="begin"/>
      </w:r>
      <w:r>
        <w:instrText xml:space="preserve"> SEQ Table \* ARABIC </w:instrText>
      </w:r>
      <w:r>
        <w:fldChar w:fldCharType="separate"/>
      </w:r>
      <w:r>
        <w:t>3</w:t>
      </w:r>
      <w:r>
        <w:fldChar w:fldCharType="end"/>
      </w:r>
      <w:bookmarkStart w:id="46" w:name="_Toc20150"/>
      <w:r>
        <w:rPr>
          <w:rFonts w:hint="default"/>
        </w:rPr>
        <w:t>: Literature Review on Financial Inclusion SDG 2 &amp; 9:</w:t>
      </w:r>
      <w:bookmarkEnd w:id="45"/>
      <w:r>
        <w:rPr>
          <w:rFonts w:hint="default"/>
        </w:rPr>
        <w:t xml:space="preserve"> </w:t>
      </w:r>
      <w:bookmarkEnd w:id="46"/>
    </w:p>
    <w:tbl>
      <w:tblPr>
        <w:tblStyle w:val="22"/>
        <w:tblpPr w:leftFromText="180" w:rightFromText="180" w:vertAnchor="text" w:horzAnchor="page" w:tblpX="1620" w:tblpY="788"/>
        <w:tblOverlap w:val="never"/>
        <w:tblW w:w="8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999"/>
        <w:gridCol w:w="1881"/>
        <w:gridCol w:w="3019"/>
      </w:tblGrid>
      <w:tr w14:paraId="47E7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440" w:type="dxa"/>
            <w:noWrap/>
          </w:tcPr>
          <w:p w14:paraId="46FF5043">
            <w:pPr>
              <w:spacing w:after="0" w:line="240" w:lineRule="auto"/>
              <w:rPr>
                <w:rFonts w:ascii="Calibri" w:hAnsi="Calibri" w:eastAsia="Times New Roman" w:cs="Calibri"/>
                <w:b/>
                <w:bCs/>
                <w:color w:val="000000"/>
                <w:sz w:val="24"/>
                <w:szCs w:val="24"/>
              </w:rPr>
            </w:pPr>
            <w:r>
              <w:rPr>
                <w:rFonts w:ascii="Calibri" w:hAnsi="Calibri" w:eastAsia="Times New Roman" w:cs="Calibri"/>
                <w:b/>
                <w:bCs/>
                <w:color w:val="000000"/>
                <w:sz w:val="24"/>
                <w:szCs w:val="24"/>
              </w:rPr>
              <w:t>Author</w:t>
            </w:r>
          </w:p>
        </w:tc>
        <w:tc>
          <w:tcPr>
            <w:tcW w:w="1440" w:type="dxa"/>
            <w:noWrap/>
          </w:tcPr>
          <w:p w14:paraId="4BB6E80A">
            <w:pPr>
              <w:spacing w:after="0" w:line="240" w:lineRule="auto"/>
              <w:rPr>
                <w:rFonts w:ascii="Calibri" w:hAnsi="Calibri" w:eastAsia="Times New Roman" w:cs="Calibri"/>
                <w:b/>
                <w:bCs/>
                <w:color w:val="000000"/>
                <w:sz w:val="24"/>
                <w:szCs w:val="24"/>
              </w:rPr>
            </w:pPr>
            <w:r>
              <w:rPr>
                <w:rFonts w:ascii="Calibri" w:hAnsi="Calibri" w:eastAsia="Times New Roman" w:cs="Calibri"/>
                <w:b/>
                <w:bCs/>
                <w:color w:val="000000"/>
                <w:sz w:val="24"/>
                <w:szCs w:val="24"/>
              </w:rPr>
              <w:t>Countries</w:t>
            </w:r>
          </w:p>
        </w:tc>
        <w:tc>
          <w:tcPr>
            <w:tcW w:w="999" w:type="dxa"/>
            <w:noWrap/>
          </w:tcPr>
          <w:p w14:paraId="42F0AF55">
            <w:pPr>
              <w:spacing w:after="0" w:line="240" w:lineRule="auto"/>
              <w:rPr>
                <w:rFonts w:ascii="Calibri" w:hAnsi="Calibri" w:eastAsia="Times New Roman" w:cs="Calibri"/>
                <w:b/>
                <w:bCs/>
                <w:color w:val="000000"/>
                <w:sz w:val="24"/>
                <w:szCs w:val="24"/>
              </w:rPr>
            </w:pPr>
            <w:r>
              <w:rPr>
                <w:rFonts w:ascii="Calibri" w:hAnsi="Calibri" w:eastAsia="Times New Roman" w:cs="Calibri"/>
                <w:b/>
                <w:bCs/>
                <w:color w:val="000000"/>
                <w:sz w:val="24"/>
                <w:szCs w:val="24"/>
              </w:rPr>
              <w:t>SDG</w:t>
            </w:r>
          </w:p>
        </w:tc>
        <w:tc>
          <w:tcPr>
            <w:tcW w:w="1881" w:type="dxa"/>
            <w:noWrap/>
          </w:tcPr>
          <w:p w14:paraId="268338B5">
            <w:pPr>
              <w:spacing w:after="0" w:line="240" w:lineRule="auto"/>
              <w:rPr>
                <w:rFonts w:ascii="Calibri" w:hAnsi="Calibri" w:eastAsia="Times New Roman" w:cs="Calibri"/>
                <w:b/>
                <w:bCs/>
                <w:color w:val="000000"/>
                <w:sz w:val="24"/>
                <w:szCs w:val="24"/>
              </w:rPr>
            </w:pPr>
            <w:r>
              <w:rPr>
                <w:rFonts w:ascii="Calibri" w:hAnsi="Calibri" w:eastAsia="Times New Roman" w:cs="Calibri"/>
                <w:b/>
                <w:bCs/>
                <w:color w:val="000000"/>
                <w:sz w:val="24"/>
                <w:szCs w:val="24"/>
              </w:rPr>
              <w:t>Methodology</w:t>
            </w:r>
          </w:p>
        </w:tc>
        <w:tc>
          <w:tcPr>
            <w:tcW w:w="3019" w:type="dxa"/>
          </w:tcPr>
          <w:p w14:paraId="13232FA7">
            <w:pPr>
              <w:spacing w:after="0" w:line="240" w:lineRule="auto"/>
              <w:rPr>
                <w:rFonts w:ascii="Calibri" w:hAnsi="Calibri" w:eastAsia="Times New Roman" w:cs="Calibri"/>
                <w:b/>
                <w:bCs/>
                <w:color w:val="000000"/>
                <w:sz w:val="24"/>
                <w:szCs w:val="24"/>
              </w:rPr>
            </w:pPr>
            <w:r>
              <w:rPr>
                <w:rFonts w:ascii="Calibri" w:hAnsi="Calibri" w:eastAsia="Times New Roman" w:cs="Calibri"/>
                <w:b/>
                <w:bCs/>
                <w:color w:val="000000"/>
                <w:sz w:val="24"/>
                <w:szCs w:val="24"/>
              </w:rPr>
              <w:t>Findings</w:t>
            </w:r>
          </w:p>
        </w:tc>
      </w:tr>
      <w:tr w14:paraId="2349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259B74C0">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t xml:space="preserve"> </w:t>
            </w: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AuthorYear="1"&gt;&lt;Author&gt;Jia&lt;/Author&gt;&lt;Year&gt;2021&lt;/Year&gt;&lt;RecNum&gt;78&lt;/RecNum&gt;&lt;DisplayText&gt;Jia, Qiu et al. (2021)&lt;/DisplayText&gt;&lt;record&gt;&lt;rec-number&gt;78&lt;/rec-number&gt;&lt;foreign-keys&gt;&lt;key app="EN" db-id="2t52ftddjzwsxoerapx5vrxm2fdzpaza5sva" timestamp="1752401760"&gt;78&lt;/key&gt;&lt;/foreign-keys&gt;&lt;ref-type name="Journal Article"&gt;17&lt;/ref-type&gt;&lt;contributors&gt;&lt;authors&gt;&lt;author&gt;Jia, Shuaishuai&lt;/author&gt;&lt;author&gt;Qiu, Yushan&lt;/author&gt;&lt;author&gt;Yang, Cunyi&lt;/author&gt;&lt;/authors&gt;&lt;/contributors&gt;&lt;titles&gt;&lt;title&gt;Sustainable development goals, financial inclusion, and grain security efficiency&lt;/title&gt;&lt;secondary-title&gt;Agronomy&lt;/secondary-title&gt;&lt;/titles&gt;&lt;periodical&gt;&lt;full-title&gt;Agronomy&lt;/full-title&gt;&lt;/periodical&gt;&lt;pages&gt;2542&lt;/pages&gt;&lt;volume&gt;11&lt;/volume&gt;&lt;number&gt;12&lt;/number&gt;&lt;dates&gt;&lt;year&gt;2021&lt;/year&gt;&lt;/dates&gt;&lt;isbn&gt;2073-4395&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Jia, Qiu et al. (2021)</w:t>
            </w:r>
            <w:r>
              <w:rPr>
                <w:rFonts w:ascii="Calibri" w:hAnsi="Calibri" w:eastAsia="Times New Roman" w:cs="Calibri"/>
                <w:color w:val="auto"/>
                <w:u w:val="none"/>
                <w:lang w:val="en-US"/>
              </w:rPr>
              <w:fldChar w:fldCharType="end"/>
            </w:r>
          </w:p>
        </w:tc>
        <w:tc>
          <w:tcPr>
            <w:tcW w:w="1440" w:type="dxa"/>
            <w:noWrap/>
          </w:tcPr>
          <w:p w14:paraId="57DAA7B7">
            <w:pPr>
              <w:spacing w:after="0" w:line="240" w:lineRule="auto"/>
              <w:rPr>
                <w:rFonts w:ascii="Calibri" w:hAnsi="Calibri" w:eastAsia="Times New Roman" w:cs="Calibri"/>
                <w:color w:val="000000"/>
              </w:rPr>
            </w:pPr>
            <w:r>
              <w:rPr>
                <w:rFonts w:ascii="Calibri" w:hAnsi="Calibri" w:eastAsia="Times New Roman" w:cs="Calibri"/>
                <w:color w:val="000000"/>
              </w:rPr>
              <w:t>Multiple countries (121)</w:t>
            </w:r>
          </w:p>
        </w:tc>
        <w:tc>
          <w:tcPr>
            <w:tcW w:w="999" w:type="dxa"/>
          </w:tcPr>
          <w:p w14:paraId="7A60F9A2">
            <w:pPr>
              <w:spacing w:after="0" w:line="240" w:lineRule="auto"/>
              <w:rPr>
                <w:rFonts w:ascii="Calibri" w:hAnsi="Calibri" w:eastAsia="Times New Roman" w:cs="Calibri"/>
                <w:color w:val="000000"/>
              </w:rPr>
            </w:pPr>
            <w:r>
              <w:rPr>
                <w:rFonts w:ascii="Calibri" w:hAnsi="Calibri" w:eastAsia="Times New Roman" w:cs="Calibri"/>
                <w:color w:val="000000"/>
              </w:rPr>
              <w:t>SDG2</w:t>
            </w:r>
          </w:p>
        </w:tc>
        <w:tc>
          <w:tcPr>
            <w:tcW w:w="1881" w:type="dxa"/>
          </w:tcPr>
          <w:p w14:paraId="7555BA1A">
            <w:pPr>
              <w:spacing w:after="0" w:line="240" w:lineRule="auto"/>
              <w:rPr>
                <w:rFonts w:ascii="Calibri" w:hAnsi="Calibri" w:eastAsia="Times New Roman" w:cs="Calibri"/>
                <w:color w:val="000000"/>
              </w:rPr>
            </w:pPr>
            <w:r>
              <w:rPr>
                <w:rFonts w:ascii="Calibri" w:hAnsi="Calibri" w:eastAsia="Times New Roman" w:cs="Calibri"/>
                <w:color w:val="000000"/>
              </w:rPr>
              <w:t>Two-stage DEA model, Panel regression, 2SLS</w:t>
            </w:r>
          </w:p>
        </w:tc>
        <w:tc>
          <w:tcPr>
            <w:tcW w:w="3019" w:type="dxa"/>
          </w:tcPr>
          <w:p w14:paraId="74D17A31">
            <w:pPr>
              <w:spacing w:after="0" w:line="240" w:lineRule="auto"/>
              <w:rPr>
                <w:rFonts w:ascii="Calibri" w:hAnsi="Calibri" w:eastAsia="Times New Roman" w:cs="Calibri"/>
                <w:color w:val="000000"/>
              </w:rPr>
            </w:pPr>
            <w:r>
              <w:rPr>
                <w:rFonts w:ascii="Calibri" w:hAnsi="Calibri" w:eastAsia="Times New Roman" w:cs="Calibri"/>
                <w:color w:val="000000"/>
              </w:rPr>
              <w:t>Financial inclusion boosts grain security by improving distribution rather than production efficiency.</w:t>
            </w:r>
          </w:p>
        </w:tc>
      </w:tr>
      <w:tr w14:paraId="37A0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5BD7FC70">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AuthorYear="1"&gt;&lt;Author&gt;Mhlanga&lt;/Author&gt;&lt;Year&gt;2020&lt;/Year&gt;&lt;RecNum&gt;77&lt;/RecNum&gt;&lt;DisplayText&gt;Mhlanga (2020)&lt;/DisplayText&gt;&lt;record&gt;&lt;rec-number&gt;77&lt;/rec-number&gt;&lt;foreign-keys&gt;&lt;key app="EN" db-id="2t52ftddjzwsxoerapx5vrxm2fdzpaza5sva" timestamp="1752401108"&gt;77&lt;/key&gt;&lt;/foreign-keys&gt;&lt;ref-type name="Journal Article"&gt;17&lt;/ref-type&gt;&lt;contributors&gt;&lt;authors&gt;&lt;author&gt;Mhlanga, David&lt;/author&gt;&lt;/authors&gt;&lt;/contributors&gt;&lt;titles&gt;&lt;title&gt;Industry 4.0 in finance: The impact of artificial intelligence (AI) on digital financial inclusion&lt;/title&gt;&lt;secondary-title&gt;International Journal of Financial Studies&lt;/secondary-title&gt;&lt;/titles&gt;&lt;periodical&gt;&lt;full-title&gt;International Journal of Financial Studies&lt;/full-title&gt;&lt;/periodical&gt;&lt;pages&gt;45&lt;/pages&gt;&lt;volume&gt;8&lt;/volume&gt;&lt;number&gt;3&lt;/number&gt;&lt;dates&gt;&lt;year&gt;2020&lt;/year&gt;&lt;/dates&gt;&lt;isbn&gt;2227-7072&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Mhlanga (2020)</w:t>
            </w:r>
            <w:r>
              <w:rPr>
                <w:rFonts w:ascii="Calibri" w:hAnsi="Calibri" w:eastAsia="Times New Roman" w:cs="Calibri"/>
                <w:color w:val="auto"/>
                <w:u w:val="none"/>
                <w:lang w:val="en-US"/>
              </w:rPr>
              <w:fldChar w:fldCharType="end"/>
            </w:r>
          </w:p>
        </w:tc>
        <w:tc>
          <w:tcPr>
            <w:tcW w:w="1440" w:type="dxa"/>
            <w:noWrap/>
          </w:tcPr>
          <w:p w14:paraId="07FC3280">
            <w:pPr>
              <w:spacing w:after="0" w:line="240" w:lineRule="auto"/>
              <w:rPr>
                <w:rFonts w:ascii="Calibri" w:hAnsi="Calibri" w:eastAsia="Times New Roman" w:cs="Calibri"/>
                <w:color w:val="000000"/>
              </w:rPr>
            </w:pPr>
            <w:r>
              <w:rPr>
                <w:rFonts w:ascii="Calibri" w:hAnsi="Calibri" w:eastAsia="Times New Roman" w:cs="Calibri"/>
                <w:color w:val="000000"/>
              </w:rPr>
              <w:t>Zimbabwe</w:t>
            </w:r>
          </w:p>
        </w:tc>
        <w:tc>
          <w:tcPr>
            <w:tcW w:w="999" w:type="dxa"/>
          </w:tcPr>
          <w:p w14:paraId="712A1BDC">
            <w:pPr>
              <w:spacing w:after="0" w:line="240" w:lineRule="auto"/>
              <w:rPr>
                <w:rFonts w:ascii="Calibri" w:hAnsi="Calibri" w:eastAsia="Times New Roman" w:cs="Calibri"/>
                <w:color w:val="000000"/>
              </w:rPr>
            </w:pPr>
            <w:r>
              <w:rPr>
                <w:rFonts w:ascii="Calibri" w:hAnsi="Calibri" w:eastAsia="Times New Roman" w:cs="Calibri"/>
                <w:color w:val="000000"/>
              </w:rPr>
              <w:t>SDG 2</w:t>
            </w:r>
          </w:p>
        </w:tc>
        <w:tc>
          <w:tcPr>
            <w:tcW w:w="1881" w:type="dxa"/>
          </w:tcPr>
          <w:p w14:paraId="777BAC12">
            <w:pPr>
              <w:spacing w:after="0" w:line="240" w:lineRule="auto"/>
              <w:rPr>
                <w:rFonts w:ascii="Calibri" w:hAnsi="Calibri" w:eastAsia="Times New Roman" w:cs="Calibri"/>
                <w:color w:val="000000"/>
              </w:rPr>
            </w:pPr>
            <w:r>
              <w:rPr>
                <w:rFonts w:ascii="Calibri" w:hAnsi="Calibri" w:eastAsia="Times New Roman" w:cs="Calibri"/>
                <w:color w:val="000000"/>
              </w:rPr>
              <w:t>Simple regression method</w:t>
            </w:r>
          </w:p>
        </w:tc>
        <w:tc>
          <w:tcPr>
            <w:tcW w:w="3019" w:type="dxa"/>
          </w:tcPr>
          <w:p w14:paraId="5E853722">
            <w:pPr>
              <w:spacing w:after="0" w:line="240" w:lineRule="auto"/>
              <w:rPr>
                <w:rFonts w:ascii="Calibri" w:hAnsi="Calibri" w:eastAsia="Times New Roman" w:cs="Calibri"/>
                <w:color w:val="000000"/>
              </w:rPr>
            </w:pPr>
            <w:r>
              <w:rPr>
                <w:rFonts w:ascii="Calibri" w:hAnsi="Calibri" w:eastAsia="Times New Roman" w:cs="Calibri"/>
                <w:color w:val="000000"/>
              </w:rPr>
              <w:t>Financial inclusion reduces poverty for smallholder farmers through savings, borrowing, and insurance.</w:t>
            </w:r>
          </w:p>
        </w:tc>
      </w:tr>
      <w:tr w14:paraId="533A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347BB9AE">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AuthorYear="1"&gt;&lt;Author&gt;Abduh&lt;/Author&gt;&lt;Year&gt;2019&lt;/Year&gt;&lt;RecNum&gt;27&lt;/RecNum&gt;&lt;DisplayText&gt;Abduh (2019)&lt;/DisplayText&gt;&lt;record&gt;&lt;rec-number&gt;27&lt;/rec-number&gt;&lt;foreign-keys&gt;&lt;key app="EN" db-id="2t52ftddjzwsxoerapx5vrxm2fdzpaza5sva" timestamp="1752330293"&gt;27&lt;/key&gt;&lt;/foreign-keys&gt;&lt;ref-type name="Journal Article"&gt;17&lt;/ref-type&gt;&lt;contributors&gt;&lt;authors&gt;&lt;author&gt;Abduh, Muhamad&lt;/author&gt;&lt;/authors&gt;&lt;/contributors&gt;&lt;titles&gt;&lt;title&gt;The role of Islamic social finance in achieving SDG number 2: end hunger, achieve food security and improved nutrition and promote sustainable agriculture&lt;/title&gt;&lt;secondary-title&gt;Al-Shajarah: Journal of the International Institute of Islamic Thought and Civilisation (ISTAC)&lt;/secondary-title&gt;&lt;/titles&gt;&lt;periodical&gt;&lt;full-title&gt;Al-Shajarah: Journal of the International Institute of Islamic Thought and Civilisation (ISTAC)&lt;/full-title&gt;&lt;/periodical&gt;&lt;dates&gt;&lt;year&gt;2019&lt;/year&gt;&lt;/dates&gt;&lt;isbn&gt;2735-1866&lt;/isbn&gt;&lt;urls&gt;&lt;/urls&gt;&lt;/record&gt;&lt;/Cite&gt;&lt;/EndNote&gt;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Abduh (2019)</w:t>
            </w:r>
            <w:r>
              <w:rPr>
                <w:rFonts w:ascii="Calibri" w:hAnsi="Calibri" w:eastAsia="Times New Roman" w:cs="Calibri"/>
                <w:color w:val="auto"/>
                <w:u w:val="none"/>
                <w:lang w:val="en-US"/>
              </w:rPr>
              <w:fldChar w:fldCharType="end"/>
            </w:r>
          </w:p>
        </w:tc>
        <w:tc>
          <w:tcPr>
            <w:tcW w:w="1440" w:type="dxa"/>
          </w:tcPr>
          <w:p w14:paraId="098F15EA">
            <w:pPr>
              <w:spacing w:after="0" w:line="240" w:lineRule="auto"/>
              <w:rPr>
                <w:rFonts w:ascii="Calibri" w:hAnsi="Calibri" w:eastAsia="Times New Roman" w:cs="Calibri"/>
                <w:color w:val="000000"/>
              </w:rPr>
            </w:pPr>
            <w:r>
              <w:rPr>
                <w:rFonts w:ascii="Calibri" w:hAnsi="Calibri" w:eastAsia="Times New Roman" w:cs="Calibri"/>
                <w:color w:val="000000"/>
              </w:rPr>
              <w:t>Global</w:t>
            </w:r>
          </w:p>
        </w:tc>
        <w:tc>
          <w:tcPr>
            <w:tcW w:w="999" w:type="dxa"/>
          </w:tcPr>
          <w:p w14:paraId="51487358">
            <w:pPr>
              <w:spacing w:after="0" w:line="240" w:lineRule="auto"/>
              <w:rPr>
                <w:rFonts w:ascii="Calibri" w:hAnsi="Calibri" w:eastAsia="Times New Roman" w:cs="Calibri"/>
                <w:color w:val="000000"/>
              </w:rPr>
            </w:pPr>
            <w:r>
              <w:rPr>
                <w:rFonts w:ascii="Calibri" w:hAnsi="Calibri" w:eastAsia="Times New Roman" w:cs="Calibri"/>
                <w:color w:val="000000"/>
              </w:rPr>
              <w:t>SDG 2</w:t>
            </w:r>
          </w:p>
        </w:tc>
        <w:tc>
          <w:tcPr>
            <w:tcW w:w="1881" w:type="dxa"/>
          </w:tcPr>
          <w:p w14:paraId="637DDFCB">
            <w:pPr>
              <w:spacing w:after="0" w:line="240" w:lineRule="auto"/>
              <w:rPr>
                <w:rFonts w:ascii="Calibri" w:hAnsi="Calibri" w:eastAsia="Times New Roman" w:cs="Calibri"/>
                <w:color w:val="000000"/>
              </w:rPr>
            </w:pPr>
            <w:r>
              <w:rPr>
                <w:rFonts w:ascii="Calibri" w:hAnsi="Calibri" w:eastAsia="Times New Roman" w:cs="Calibri"/>
                <w:color w:val="000000"/>
              </w:rPr>
              <w:t>Literature review, policy analysis</w:t>
            </w:r>
          </w:p>
        </w:tc>
        <w:tc>
          <w:tcPr>
            <w:tcW w:w="3019" w:type="dxa"/>
          </w:tcPr>
          <w:p w14:paraId="6EFF4D01">
            <w:pPr>
              <w:spacing w:after="0" w:line="240" w:lineRule="auto"/>
              <w:rPr>
                <w:rFonts w:ascii="Calibri" w:hAnsi="Calibri" w:eastAsia="Times New Roman" w:cs="Calibri"/>
                <w:color w:val="000000"/>
              </w:rPr>
            </w:pPr>
            <w:r>
              <w:rPr>
                <w:rFonts w:ascii="Calibri" w:hAnsi="Calibri" w:eastAsia="Times New Roman" w:cs="Calibri"/>
                <w:color w:val="000000"/>
              </w:rPr>
              <w:t>Islamic social finance (infāq, waqf, zakāt) can bridge the $2.5T SDG funding gap for food security and poverty reduction.</w:t>
            </w:r>
          </w:p>
        </w:tc>
      </w:tr>
      <w:tr w14:paraId="224A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74FFB045">
            <w:pPr>
              <w:spacing w:after="0" w:line="240" w:lineRule="auto"/>
              <w:rPr>
                <w:rFonts w:ascii="Calibri" w:hAnsi="Calibri" w:eastAsia="Times New Roman" w:cs="Calibri"/>
                <w:color w:val="auto"/>
                <w:u w:val="single"/>
              </w:rPr>
            </w:pPr>
            <w:bookmarkStart w:id="47" w:name="_Hlk191461700"/>
            <w:r>
              <w:rPr>
                <w:rFonts w:ascii="Calibri" w:hAnsi="Calibri" w:eastAsia="Times New Roman" w:cs="Calibri"/>
                <w:color w:val="auto"/>
                <w:u w:val="none"/>
                <w:lang w:val="en-US"/>
              </w:rPr>
              <w:t xml:space="preserve"> </w:t>
            </w: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AuthorYear="1"&gt;&lt;Author&gt;Allen&lt;/Author&gt;&lt;Year&gt;2016&lt;/Year&gt;&lt;RecNum&gt;89&lt;/RecNum&gt;&lt;DisplayText&gt;Allen, Demirguc-Kunt et al. (2016)&lt;/DisplayText&gt;&lt;record&gt;&lt;rec-number&gt;89&lt;/rec-number&gt;&lt;foreign-keys&gt;&lt;key app="EN" db-id="2t52ftddjzwsxoerapx5vrxm2fdzpaza5sva" timestamp="1752408357"&gt;89&lt;/key&gt;&lt;/foreign-keys&gt;&lt;ref-type name="Journal Article"&gt;17&lt;/ref-type&gt;&lt;contributors&gt;&lt;authors&gt;&lt;author&gt;Allen, Franklin&lt;/author&gt;&lt;author&gt;Demirguc-Kunt, Asli&lt;/author&gt;&lt;author&gt;Klapper, Leora&lt;/author&gt;&lt;author&gt;Peria, Maria Soledad Martinez&lt;/author&gt;&lt;/authors&gt;&lt;/contributors&gt;&lt;titles&gt;&lt;title&gt;The foundations of financial inclusion: Understanding ownership and use of formal accounts&lt;/title&gt;&lt;secondary-title&gt;Journal of financial Intermediation&lt;/secondary-title&gt;&lt;/titles&gt;&lt;periodical&gt;&lt;full-title&gt;Journal of financial Intermediation&lt;/full-title&gt;&lt;/periodical&gt;&lt;pages&gt;1-30&lt;/pages&gt;&lt;volume&gt;27&lt;/volume&gt;&lt;dates&gt;&lt;year&gt;2016&lt;/year&gt;&lt;/dates&gt;&lt;isbn&gt;1042-9573&lt;/isbn&gt;&lt;urls&gt;&lt;/urls&gt;&lt;/record&gt;&lt;/Cite&gt;&lt;/EndNote&gt;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Allen, Demirguc-Kunt et al. (2016)</w:t>
            </w:r>
            <w:r>
              <w:rPr>
                <w:rFonts w:ascii="Calibri" w:hAnsi="Calibri" w:eastAsia="Times New Roman" w:cs="Calibri"/>
                <w:color w:val="auto"/>
                <w:u w:val="none"/>
                <w:lang w:val="en-US"/>
              </w:rPr>
              <w:fldChar w:fldCharType="end"/>
            </w:r>
            <w:bookmarkEnd w:id="47"/>
          </w:p>
        </w:tc>
        <w:tc>
          <w:tcPr>
            <w:tcW w:w="1440" w:type="dxa"/>
            <w:noWrap/>
          </w:tcPr>
          <w:p w14:paraId="101A325E">
            <w:pPr>
              <w:spacing w:after="0" w:line="240" w:lineRule="auto"/>
              <w:rPr>
                <w:rFonts w:ascii="Calibri" w:hAnsi="Calibri" w:eastAsia="Times New Roman" w:cs="Calibri"/>
                <w:color w:val="000000"/>
              </w:rPr>
            </w:pPr>
            <w:r>
              <w:rPr>
                <w:rFonts w:ascii="Calibri" w:hAnsi="Calibri" w:eastAsia="Times New Roman" w:cs="Calibri"/>
                <w:color w:val="000000"/>
              </w:rPr>
              <w:t>global</w:t>
            </w:r>
          </w:p>
        </w:tc>
        <w:tc>
          <w:tcPr>
            <w:tcW w:w="999" w:type="dxa"/>
          </w:tcPr>
          <w:p w14:paraId="580AF7D2">
            <w:pPr>
              <w:spacing w:after="0" w:line="240" w:lineRule="auto"/>
              <w:rPr>
                <w:rFonts w:ascii="Calibri" w:hAnsi="Calibri" w:eastAsia="Times New Roman" w:cs="Calibri"/>
                <w:color w:val="000000"/>
              </w:rPr>
            </w:pPr>
            <w:r>
              <w:rPr>
                <w:rFonts w:ascii="Calibri" w:hAnsi="Calibri" w:eastAsia="Times New Roman" w:cs="Calibri"/>
                <w:color w:val="000000"/>
              </w:rPr>
              <w:t>SDG 2</w:t>
            </w:r>
          </w:p>
        </w:tc>
        <w:tc>
          <w:tcPr>
            <w:tcW w:w="1881" w:type="dxa"/>
          </w:tcPr>
          <w:p w14:paraId="37D20B8E">
            <w:pPr>
              <w:spacing w:after="0" w:line="240" w:lineRule="auto"/>
              <w:rPr>
                <w:rFonts w:ascii="Calibri" w:hAnsi="Calibri" w:eastAsia="Times New Roman" w:cs="Calibri"/>
                <w:color w:val="000000"/>
              </w:rPr>
            </w:pPr>
            <w:r>
              <w:rPr>
                <w:rFonts w:ascii="Calibri" w:hAnsi="Calibri" w:eastAsia="Times New Roman" w:cs="Calibri"/>
                <w:color w:val="000000"/>
              </w:rPr>
              <w:t>Literature review, Case studies</w:t>
            </w:r>
          </w:p>
        </w:tc>
        <w:tc>
          <w:tcPr>
            <w:tcW w:w="3019" w:type="dxa"/>
          </w:tcPr>
          <w:p w14:paraId="10121F61">
            <w:pPr>
              <w:spacing w:after="0" w:line="240" w:lineRule="auto"/>
              <w:rPr>
                <w:rFonts w:ascii="Calibri" w:hAnsi="Calibri" w:eastAsia="Times New Roman" w:cs="Calibri"/>
                <w:color w:val="000000"/>
              </w:rPr>
            </w:pPr>
            <w:r>
              <w:rPr>
                <w:rFonts w:ascii="Calibri" w:hAnsi="Calibri" w:eastAsia="Times New Roman" w:cs="Calibri"/>
                <w:color w:val="000000"/>
              </w:rPr>
              <w:t>Financial inclusion drives SDGs by reducing poverty, improving food security, gender equality, health, and economic growth.</w:t>
            </w:r>
          </w:p>
        </w:tc>
      </w:tr>
      <w:tr w14:paraId="4259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2079B0FD">
            <w:pPr>
              <w:spacing w:after="0" w:line="240" w:lineRule="auto"/>
              <w:rPr>
                <w:rFonts w:ascii="Calibri" w:hAnsi="Calibri" w:eastAsia="Times New Roman" w:cs="Calibri"/>
                <w:color w:val="auto"/>
                <w:u w:val="single"/>
              </w:rPr>
            </w:pPr>
            <w:bookmarkStart w:id="48" w:name="_Hlk191461819"/>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Danladi, Prasad et al. (2023)</w:t>
            </w:r>
            <w:r>
              <w:rPr>
                <w:rFonts w:ascii="Calibri" w:hAnsi="Calibri" w:eastAsia="Times New Roman" w:cs="Calibri"/>
                <w:color w:val="auto"/>
                <w:u w:val="none"/>
                <w:lang w:val="en-US"/>
              </w:rPr>
              <w:fldChar w:fldCharType="end"/>
            </w:r>
            <w:bookmarkEnd w:id="48"/>
          </w:p>
        </w:tc>
        <w:tc>
          <w:tcPr>
            <w:tcW w:w="1440" w:type="dxa"/>
            <w:noWrap/>
          </w:tcPr>
          <w:p w14:paraId="7787A2E3">
            <w:pPr>
              <w:spacing w:after="0" w:line="240" w:lineRule="auto"/>
              <w:rPr>
                <w:rFonts w:ascii="Calibri" w:hAnsi="Calibri" w:eastAsia="Times New Roman" w:cs="Calibri"/>
                <w:color w:val="000000"/>
              </w:rPr>
            </w:pPr>
            <w:r>
              <w:rPr>
                <w:rFonts w:ascii="Calibri" w:hAnsi="Calibri" w:eastAsia="Times New Roman" w:cs="Calibri"/>
                <w:color w:val="000000"/>
              </w:rPr>
              <w:t>Africa</w:t>
            </w:r>
          </w:p>
        </w:tc>
        <w:tc>
          <w:tcPr>
            <w:tcW w:w="999" w:type="dxa"/>
          </w:tcPr>
          <w:p w14:paraId="2980DB86">
            <w:pPr>
              <w:spacing w:after="0" w:line="240" w:lineRule="auto"/>
              <w:rPr>
                <w:rFonts w:ascii="Calibri" w:hAnsi="Calibri" w:eastAsia="Times New Roman" w:cs="Calibri"/>
                <w:color w:val="000000"/>
              </w:rPr>
            </w:pPr>
            <w:r>
              <w:rPr>
                <w:rFonts w:ascii="Calibri" w:hAnsi="Calibri" w:eastAsia="Times New Roman" w:cs="Calibri"/>
                <w:color w:val="000000"/>
              </w:rPr>
              <w:t>SDG 2</w:t>
            </w:r>
          </w:p>
        </w:tc>
        <w:tc>
          <w:tcPr>
            <w:tcW w:w="1881" w:type="dxa"/>
          </w:tcPr>
          <w:p w14:paraId="4F725D4D">
            <w:pPr>
              <w:spacing w:after="0" w:line="240" w:lineRule="auto"/>
              <w:rPr>
                <w:rFonts w:ascii="Calibri" w:hAnsi="Calibri" w:eastAsia="Times New Roman" w:cs="Calibri"/>
                <w:color w:val="000000"/>
              </w:rPr>
            </w:pPr>
            <w:r>
              <w:rPr>
                <w:rFonts w:ascii="Calibri" w:hAnsi="Calibri" w:eastAsia="Times New Roman" w:cs="Calibri"/>
                <w:color w:val="000000"/>
              </w:rPr>
              <w:t>Multi-stakeholder framework analysis</w:t>
            </w:r>
          </w:p>
        </w:tc>
        <w:tc>
          <w:tcPr>
            <w:tcW w:w="3019" w:type="dxa"/>
          </w:tcPr>
          <w:p w14:paraId="71722098">
            <w:pPr>
              <w:spacing w:after="0" w:line="240" w:lineRule="auto"/>
              <w:rPr>
                <w:rFonts w:ascii="Calibri" w:hAnsi="Calibri" w:eastAsia="Times New Roman" w:cs="Calibri"/>
                <w:color w:val="000000"/>
              </w:rPr>
            </w:pPr>
            <w:r>
              <w:rPr>
                <w:rFonts w:ascii="Calibri" w:hAnsi="Calibri" w:eastAsia="Times New Roman" w:cs="Calibri"/>
                <w:color w:val="000000"/>
              </w:rPr>
              <w:t>FinTech enhances financial inclusion and supports poverty reduction, gender equality, and sustainable growth via public-private partnerships.</w:t>
            </w:r>
          </w:p>
        </w:tc>
      </w:tr>
      <w:tr w14:paraId="2025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7BE9E014">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AuthorYear="1"&gt;&lt;Author&gt;Qureshi&lt;/Author&gt;&lt;Year&gt;2015&lt;/Year&gt;&lt;RecNum&gt;80&lt;/RecNum&gt;&lt;DisplayText&gt;Qureshi, Dixon et al. (2015)&lt;/DisplayText&gt;&lt;record&gt;&lt;rec-number&gt;80&lt;/rec-number&gt;&lt;foreign-keys&gt;&lt;key app="EN" db-id="2t52ftddjzwsxoerapx5vrxm2fdzpaza5sva" timestamp="1752403889"&gt;80&lt;/key&gt;&lt;/foreign-keys&gt;&lt;ref-type name="Journal Article"&gt;17&lt;/ref-type&gt;&lt;contributors&gt;&lt;authors&gt;&lt;author&gt;Qureshi, M Ejaz&lt;/author&gt;&lt;author&gt;Dixon, John&lt;/author&gt;&lt;author&gt;Wood, Mellissa&lt;/author&gt;&lt;/authors&gt;&lt;/contributors&gt;&lt;titles&gt;&lt;title&gt;Public policies for improving food and nutrition security at different scales&lt;/title&gt;&lt;secondary-title&gt;Food Security&lt;/secondary-title&gt;&lt;/titles&gt;&lt;periodical&gt;&lt;full-title&gt;Food Security&lt;/full-title&gt;&lt;/periodical&gt;&lt;pages&gt;393-403&lt;/pages&gt;&lt;volume&gt;7&lt;/volume&gt;&lt;number&gt;2&lt;/number&gt;&lt;dates&gt;&lt;year&gt;2015&lt;/year&gt;&lt;/dates&gt;&lt;isbn&gt;1876-4517&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Qureshi, Dixon et al. (2015)</w:t>
            </w:r>
            <w:r>
              <w:rPr>
                <w:rFonts w:ascii="Calibri" w:hAnsi="Calibri" w:eastAsia="Times New Roman" w:cs="Calibri"/>
                <w:color w:val="auto"/>
                <w:u w:val="none"/>
                <w:lang w:val="en-US"/>
              </w:rPr>
              <w:fldChar w:fldCharType="end"/>
            </w:r>
          </w:p>
        </w:tc>
        <w:tc>
          <w:tcPr>
            <w:tcW w:w="1440" w:type="dxa"/>
            <w:noWrap/>
          </w:tcPr>
          <w:p w14:paraId="56466A7B">
            <w:pPr>
              <w:spacing w:after="0" w:line="240" w:lineRule="auto"/>
              <w:rPr>
                <w:rFonts w:ascii="Calibri" w:hAnsi="Calibri" w:eastAsia="Times New Roman" w:cs="Calibri"/>
                <w:color w:val="000000"/>
              </w:rPr>
            </w:pPr>
            <w:r>
              <w:rPr>
                <w:rFonts w:ascii="Calibri" w:hAnsi="Calibri" w:eastAsia="Times New Roman" w:cs="Calibri"/>
                <w:color w:val="000000"/>
              </w:rPr>
              <w:t xml:space="preserve"> Global</w:t>
            </w:r>
          </w:p>
        </w:tc>
        <w:tc>
          <w:tcPr>
            <w:tcW w:w="999" w:type="dxa"/>
          </w:tcPr>
          <w:p w14:paraId="666FDD67">
            <w:pPr>
              <w:spacing w:after="0" w:line="240" w:lineRule="auto"/>
              <w:rPr>
                <w:rFonts w:ascii="Calibri" w:hAnsi="Calibri" w:eastAsia="Times New Roman" w:cs="Calibri"/>
                <w:color w:val="000000"/>
              </w:rPr>
            </w:pPr>
            <w:r>
              <w:rPr>
                <w:rFonts w:ascii="Calibri" w:hAnsi="Calibri" w:eastAsia="Times New Roman" w:cs="Calibri"/>
                <w:color w:val="000000"/>
              </w:rPr>
              <w:t>SDG 2</w:t>
            </w:r>
          </w:p>
        </w:tc>
        <w:tc>
          <w:tcPr>
            <w:tcW w:w="1881" w:type="dxa"/>
          </w:tcPr>
          <w:p w14:paraId="6C8DA7C2">
            <w:pPr>
              <w:spacing w:after="0" w:line="240" w:lineRule="auto"/>
              <w:rPr>
                <w:rFonts w:ascii="Calibri" w:hAnsi="Calibri" w:eastAsia="Times New Roman" w:cs="Calibri"/>
                <w:color w:val="000000"/>
              </w:rPr>
            </w:pPr>
            <w:r>
              <w:rPr>
                <w:rFonts w:ascii="Calibri" w:hAnsi="Calibri" w:eastAsia="Times New Roman" w:cs="Calibri"/>
                <w:color w:val="000000"/>
              </w:rPr>
              <w:t>Literature review and policy analysis</w:t>
            </w:r>
          </w:p>
        </w:tc>
        <w:tc>
          <w:tcPr>
            <w:tcW w:w="3019" w:type="dxa"/>
          </w:tcPr>
          <w:p w14:paraId="1169BA89">
            <w:pPr>
              <w:spacing w:after="0" w:line="240" w:lineRule="auto"/>
              <w:rPr>
                <w:rFonts w:ascii="Calibri" w:hAnsi="Calibri" w:eastAsia="Times New Roman" w:cs="Calibri"/>
                <w:color w:val="000000"/>
              </w:rPr>
            </w:pPr>
            <w:r>
              <w:rPr>
                <w:rFonts w:ascii="Calibri" w:hAnsi="Calibri" w:eastAsia="Times New Roman" w:cs="Calibri"/>
                <w:color w:val="000000"/>
              </w:rPr>
              <w:t>Food security policies must balance demand, access, supply, farming, markets, and gender equality.</w:t>
            </w:r>
          </w:p>
        </w:tc>
      </w:tr>
      <w:tr w14:paraId="4F0D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68E5D844">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AuthorYear="1"&gt;&lt;Author&gt;Chatterjee&lt;/Author&gt;&lt;Year&gt;2015&lt;/Year&gt;&lt;RecNum&gt;91&lt;/RecNum&gt;&lt;DisplayText&gt;Chatterjee, Hammill et al. (2015)&lt;/DisplayText&gt;&lt;record&gt;&lt;rec-number&gt;91&lt;/rec-number&gt;&lt;foreign-keys&gt;&lt;key app="EN" db-id="2t52ftddjzwsxoerapx5vrxm2fdzpaza5sva" timestamp="1752409308"&gt;91&lt;/key&gt;&lt;/foreign-keys&gt;&lt;ref-type name="Journal Article"&gt;17&lt;/ref-type&gt;&lt;contributors&gt;&lt;authors&gt;&lt;author&gt;Chatterjee, Shiladitya&lt;/author&gt;&lt;author&gt;Hammill, Matthew&lt;/author&gt;&lt;author&gt;Kumar, Nagesh&lt;/author&gt;&lt;author&gt;Panda, Swayamsiddha&lt;/author&gt;&lt;/authors&gt;&lt;/contributors&gt;&lt;titles&gt;&lt;title&gt;Assessing India&amp;apos;s progress in achieving the millennium development goals: key drivers of inter-state variations&lt;/title&gt;&lt;/titles&gt;&lt;dates&gt;&lt;year&gt;2015&lt;/year&gt;&lt;/dates&gt;&lt;urls&gt;&lt;/urls&gt;&lt;/record&gt;&lt;/Cite&gt;&lt;/EndNote&gt;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Chatterjee, Hammill et al. (2015)</w:t>
            </w:r>
            <w:r>
              <w:rPr>
                <w:rFonts w:ascii="Calibri" w:hAnsi="Calibri" w:eastAsia="Times New Roman" w:cs="Calibri"/>
                <w:color w:val="auto"/>
                <w:u w:val="none"/>
                <w:lang w:val="en-US"/>
              </w:rPr>
              <w:fldChar w:fldCharType="end"/>
            </w:r>
          </w:p>
        </w:tc>
        <w:tc>
          <w:tcPr>
            <w:tcW w:w="1440" w:type="dxa"/>
            <w:noWrap/>
          </w:tcPr>
          <w:p w14:paraId="54A69C77">
            <w:pPr>
              <w:spacing w:after="0" w:line="240" w:lineRule="auto"/>
              <w:rPr>
                <w:rFonts w:ascii="Calibri" w:hAnsi="Calibri" w:eastAsia="Times New Roman" w:cs="Calibri"/>
                <w:color w:val="000000"/>
              </w:rPr>
            </w:pPr>
            <w:r>
              <w:rPr>
                <w:rFonts w:ascii="Calibri" w:hAnsi="Calibri" w:eastAsia="Times New Roman" w:cs="Calibri"/>
                <w:color w:val="000000"/>
              </w:rPr>
              <w:t>India</w:t>
            </w:r>
          </w:p>
        </w:tc>
        <w:tc>
          <w:tcPr>
            <w:tcW w:w="999" w:type="dxa"/>
          </w:tcPr>
          <w:p w14:paraId="16CD736D">
            <w:pPr>
              <w:spacing w:after="0" w:line="240" w:lineRule="auto"/>
              <w:rPr>
                <w:rFonts w:ascii="Calibri" w:hAnsi="Calibri" w:eastAsia="Times New Roman" w:cs="Calibri"/>
                <w:color w:val="000000"/>
              </w:rPr>
            </w:pPr>
            <w:r>
              <w:rPr>
                <w:rFonts w:ascii="Calibri" w:hAnsi="Calibri" w:eastAsia="Times New Roman" w:cs="Calibri"/>
                <w:color w:val="000000"/>
              </w:rPr>
              <w:t>SDG 2</w:t>
            </w:r>
          </w:p>
        </w:tc>
        <w:tc>
          <w:tcPr>
            <w:tcW w:w="1881" w:type="dxa"/>
          </w:tcPr>
          <w:p w14:paraId="62D1C92E">
            <w:pPr>
              <w:spacing w:after="0" w:line="240" w:lineRule="auto"/>
              <w:rPr>
                <w:rFonts w:ascii="Calibri" w:hAnsi="Calibri" w:eastAsia="Times New Roman" w:cs="Calibri"/>
                <w:color w:val="000000"/>
              </w:rPr>
            </w:pPr>
            <w:r>
              <w:rPr>
                <w:rFonts w:ascii="Calibri" w:hAnsi="Calibri" w:eastAsia="Times New Roman" w:cs="Calibri"/>
                <w:color w:val="000000"/>
              </w:rPr>
              <w:t>Literature review, policy analysis, national data assessment</w:t>
            </w:r>
          </w:p>
        </w:tc>
        <w:tc>
          <w:tcPr>
            <w:tcW w:w="3019" w:type="dxa"/>
          </w:tcPr>
          <w:p w14:paraId="251FC679">
            <w:pPr>
              <w:spacing w:after="0" w:line="240" w:lineRule="auto"/>
              <w:rPr>
                <w:rFonts w:ascii="Calibri" w:hAnsi="Calibri" w:eastAsia="Times New Roman" w:cs="Calibri"/>
                <w:color w:val="000000"/>
              </w:rPr>
            </w:pPr>
            <w:r>
              <w:rPr>
                <w:rFonts w:ascii="Calibri" w:hAnsi="Calibri" w:eastAsia="Times New Roman" w:cs="Calibri"/>
                <w:color w:val="000000"/>
              </w:rPr>
              <w:t>India has made SDG progress in poverty, education, and health but still faces gaps in sanitation, healthcare, and jobs.</w:t>
            </w:r>
          </w:p>
        </w:tc>
      </w:tr>
      <w:tr w14:paraId="7DC7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63115151">
            <w:pPr>
              <w:spacing w:after="0" w:line="240" w:lineRule="auto"/>
              <w:rPr>
                <w:rFonts w:ascii="Calibri" w:hAnsi="Calibri" w:eastAsia="Times New Roman" w:cs="Calibri"/>
                <w:color w:val="auto"/>
                <w:u w:val="single"/>
              </w:rPr>
            </w:pPr>
            <w:bookmarkStart w:id="49" w:name="RANGE!B10"/>
            <w:r>
              <w:rPr>
                <w:rFonts w:ascii="Calibri" w:hAnsi="Calibri" w:eastAsia="Times New Roman" w:cs="Calibri"/>
                <w:color w:val="auto"/>
                <w:u w:val="single"/>
                <w:lang w:val="en-US"/>
              </w:rPr>
              <w:t xml:space="preserve"> </w:t>
            </w:r>
            <w:r>
              <w:rPr>
                <w:rFonts w:ascii="Calibri" w:hAnsi="Calibri" w:eastAsia="Times New Roman" w:cs="Calibri"/>
                <w:color w:val="auto"/>
                <w:u w:val="single"/>
                <w:lang w:val="en-US"/>
              </w:rPr>
              <w:fldChar w:fldCharType="begin"/>
            </w:r>
            <w:r>
              <w:rPr>
                <w:rFonts w:ascii="Calibri" w:hAnsi="Calibri" w:eastAsia="Times New Roman" w:cs="Calibri"/>
                <w:color w:val="auto"/>
                <w:u w:val="single"/>
                <w:lang w:val="en-US"/>
              </w:rPr>
              <w:instrText xml:space="preserve"> ADDIN EN.CITE &lt;EndNote&gt;&lt;Cite AuthorYear="1"&gt;&lt;Author&gt;Olga&lt;/Author&gt;&lt;Year&gt;2015&lt;/Year&gt;&lt;RecNum&gt;93&lt;/RecNum&gt;&lt;DisplayText&gt;Olga, Natalia et al. (2015)&lt;/DisplayText&gt;&lt;record&gt;&lt;rec-number&gt;93&lt;/rec-number&gt;&lt;foreign-keys&gt;&lt;key app="EN" db-id="2t52ftddjzwsxoerapx5vrxm2fdzpaza5sva" timestamp="1752412798"&gt;93&lt;/key&gt;&lt;/foreign-keys&gt;&lt;ref-type name="Journal Article"&gt;17&lt;/ref-type&gt;&lt;contributors&gt;&lt;authors&gt;&lt;author&gt;Olga, Mironenko&lt;/author&gt;&lt;author&gt;Natalia, Tarasova&lt;/author&gt;&lt;author&gt;Janos, Zlinszky&lt;/author&gt;&lt;/authors&gt;&lt;/contributors&gt;&lt;titles&gt;&lt;title&gt;Sustainable development goals: why do we need them?&lt;/title&gt;&lt;secondary-title&gt;Social Evolution &amp;amp; History&lt;/secondary-title&gt;&lt;/titles&gt;&lt;periodical&gt;&lt;full-title&gt;Social Evolution &amp;amp; History&lt;/full-title&gt;&lt;/periodical&gt;&lt;pages&gt;176-190&lt;/pages&gt;&lt;volume&gt;14&lt;/volume&gt;&lt;number&gt;2&lt;/number&gt;&lt;dates&gt;&lt;year&gt;2015&lt;/year&gt;&lt;/dates&gt;&lt;isbn&gt;1681-4363&lt;/isbn&gt;&lt;urls&gt;&lt;/urls&gt;&lt;/record&gt;&lt;/Cite&gt;&lt;/EndNote&gt;</w:instrText>
            </w:r>
            <w:r>
              <w:rPr>
                <w:rFonts w:ascii="Calibri" w:hAnsi="Calibri" w:eastAsia="Times New Roman" w:cs="Calibri"/>
                <w:color w:val="auto"/>
                <w:u w:val="single"/>
                <w:lang w:val="en-US"/>
              </w:rPr>
              <w:fldChar w:fldCharType="separate"/>
            </w:r>
            <w:r>
              <w:rPr>
                <w:rFonts w:ascii="Calibri" w:hAnsi="Calibri" w:eastAsia="Times New Roman" w:cs="Calibri"/>
                <w:color w:val="auto"/>
                <w:sz w:val="22"/>
                <w:szCs w:val="22"/>
                <w:u w:val="single"/>
                <w:lang w:val="en-US" w:eastAsia="en-US" w:bidi="ar-SA"/>
              </w:rPr>
              <w:t>Olga, Natalia et al. (2015)</w:t>
            </w:r>
            <w:r>
              <w:rPr>
                <w:rFonts w:ascii="Calibri" w:hAnsi="Calibri" w:eastAsia="Times New Roman" w:cs="Calibri"/>
                <w:color w:val="auto"/>
                <w:u w:val="single"/>
                <w:lang w:val="en-US"/>
              </w:rPr>
              <w:fldChar w:fldCharType="end"/>
            </w:r>
            <w:r>
              <w:rPr>
                <w:rFonts w:ascii="Calibri" w:hAnsi="Calibri" w:eastAsia="Times New Roman" w:cs="Calibri"/>
                <w:color w:val="auto"/>
                <w:u w:val="single"/>
              </w:rPr>
              <w:t xml:space="preserve"> </w:t>
            </w:r>
            <w:bookmarkEnd w:id="49"/>
          </w:p>
        </w:tc>
        <w:tc>
          <w:tcPr>
            <w:tcW w:w="1440" w:type="dxa"/>
            <w:noWrap/>
          </w:tcPr>
          <w:p w14:paraId="2A696D43">
            <w:pPr>
              <w:spacing w:after="0" w:line="240" w:lineRule="auto"/>
              <w:rPr>
                <w:rFonts w:ascii="Calibri" w:hAnsi="Calibri" w:eastAsia="Times New Roman" w:cs="Calibri"/>
                <w:color w:val="000000"/>
              </w:rPr>
            </w:pPr>
            <w:r>
              <w:rPr>
                <w:rFonts w:ascii="Calibri" w:hAnsi="Calibri" w:eastAsia="Times New Roman" w:cs="Calibri"/>
                <w:color w:val="000000"/>
              </w:rPr>
              <w:t>Global</w:t>
            </w:r>
          </w:p>
        </w:tc>
        <w:tc>
          <w:tcPr>
            <w:tcW w:w="999" w:type="dxa"/>
          </w:tcPr>
          <w:p w14:paraId="29917F34">
            <w:pPr>
              <w:spacing w:after="0" w:line="240" w:lineRule="auto"/>
              <w:rPr>
                <w:rFonts w:ascii="Calibri" w:hAnsi="Calibri" w:eastAsia="Times New Roman" w:cs="Calibri"/>
                <w:color w:val="000000"/>
              </w:rPr>
            </w:pPr>
            <w:r>
              <w:rPr>
                <w:rFonts w:ascii="Calibri" w:hAnsi="Calibri" w:eastAsia="Times New Roman" w:cs="Calibri"/>
                <w:color w:val="000000"/>
              </w:rPr>
              <w:t>SDG 2</w:t>
            </w:r>
          </w:p>
        </w:tc>
        <w:tc>
          <w:tcPr>
            <w:tcW w:w="1881" w:type="dxa"/>
          </w:tcPr>
          <w:p w14:paraId="4DC9BBE4">
            <w:pPr>
              <w:spacing w:after="0" w:line="240" w:lineRule="auto"/>
              <w:rPr>
                <w:rFonts w:ascii="Calibri" w:hAnsi="Calibri" w:eastAsia="Times New Roman" w:cs="Calibri"/>
                <w:color w:val="000000"/>
              </w:rPr>
            </w:pPr>
            <w:r>
              <w:rPr>
                <w:rFonts w:ascii="Calibri" w:hAnsi="Calibri" w:eastAsia="Times New Roman" w:cs="Calibri"/>
                <w:color w:val="000000"/>
              </w:rPr>
              <w:t>Literature review, policy analysis, comparative assessment of MDGs and SDGs</w:t>
            </w:r>
          </w:p>
        </w:tc>
        <w:tc>
          <w:tcPr>
            <w:tcW w:w="3019" w:type="dxa"/>
          </w:tcPr>
          <w:p w14:paraId="4F39F70A">
            <w:pPr>
              <w:spacing w:after="0" w:line="240" w:lineRule="auto"/>
              <w:rPr>
                <w:rFonts w:ascii="Calibri" w:hAnsi="Calibri" w:eastAsia="Times New Roman" w:cs="Calibri"/>
                <w:color w:val="000000"/>
              </w:rPr>
            </w:pPr>
            <w:r>
              <w:rPr>
                <w:rFonts w:ascii="Calibri" w:hAnsi="Calibri" w:eastAsia="Times New Roman" w:cs="Calibri"/>
                <w:color w:val="000000"/>
              </w:rPr>
              <w:t>SDGs integrate economy, society, and environment, setting clear targets for farming, clean energy, and climate action.</w:t>
            </w:r>
          </w:p>
        </w:tc>
      </w:tr>
      <w:tr w14:paraId="3366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592FBA37">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t xml:space="preserve"> </w:t>
            </w: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AuthorYear="1"&gt;&lt;Author&gt;Hoang&lt;/Author&gt;&lt;Year&gt;2022&lt;/Year&gt;&lt;RecNum&gt;42&lt;/RecNum&gt;&lt;DisplayText&gt;Hoang, Nguyen et al. (2022)&lt;/DisplayText&gt;&lt;record&gt;&lt;rec-number&gt;42&lt;/rec-number&gt;&lt;foreign-keys&gt;&lt;key app="EN" db-id="2t52ftddjzwsxoerapx5vrxm2fdzpaza5sva" timestamp="1752333576"&gt;42&lt;/key&gt;&lt;/foreign-keys&gt;&lt;ref-type name="Book Section"&gt;5&lt;/ref-type&gt;&lt;contributors&gt;&lt;authors&gt;&lt;author&gt;Hoang, Thinh Gia&lt;/author&gt;&lt;author&gt;Nguyen, Giang Ngo Tinh&lt;/author&gt;&lt;author&gt;Le, Dat Anh&lt;/author&gt;&lt;/authors&gt;&lt;/contributors&gt;&lt;titles&gt;&lt;title&gt;Developments in financial technologies for achieving the sustainable development goals (SDGs): FinTech and SDGs&lt;/title&gt;&lt;secondary-title&gt;Disruptive technologies and eco-innovation for sustainable development&lt;/secondary-title&gt;&lt;/titles&gt;&lt;pages&gt;1-19&lt;/pages&gt;&lt;dates&gt;&lt;year&gt;2022&lt;/year&gt;&lt;/dates&gt;&lt;publisher&gt;IGI Global&lt;/publisher&gt;&lt;urls&gt;&lt;/urls&gt;&lt;/record&gt;&lt;/Cite&gt;&lt;/EndNote&gt;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Hoang, Nguyen et al. (2022)</w:t>
            </w:r>
            <w:r>
              <w:rPr>
                <w:rFonts w:ascii="Calibri" w:hAnsi="Calibri" w:eastAsia="Times New Roman" w:cs="Calibri"/>
                <w:color w:val="auto"/>
                <w:u w:val="none"/>
                <w:lang w:val="en-US"/>
              </w:rPr>
              <w:fldChar w:fldCharType="end"/>
            </w:r>
          </w:p>
        </w:tc>
        <w:tc>
          <w:tcPr>
            <w:tcW w:w="1440" w:type="dxa"/>
            <w:noWrap/>
          </w:tcPr>
          <w:p w14:paraId="1707AF38">
            <w:pPr>
              <w:spacing w:after="0" w:line="240" w:lineRule="auto"/>
              <w:rPr>
                <w:rFonts w:ascii="Calibri" w:hAnsi="Calibri" w:eastAsia="Times New Roman" w:cs="Calibri"/>
                <w:color w:val="000000"/>
              </w:rPr>
            </w:pPr>
            <w:r>
              <w:rPr>
                <w:rFonts w:ascii="Calibri" w:hAnsi="Calibri" w:eastAsia="Times New Roman" w:cs="Calibri"/>
                <w:color w:val="000000"/>
              </w:rPr>
              <w:t>Japan</w:t>
            </w:r>
          </w:p>
        </w:tc>
        <w:tc>
          <w:tcPr>
            <w:tcW w:w="999" w:type="dxa"/>
          </w:tcPr>
          <w:p w14:paraId="1CD9A5A7">
            <w:pPr>
              <w:spacing w:after="0" w:line="240" w:lineRule="auto"/>
              <w:rPr>
                <w:rFonts w:ascii="Calibri" w:hAnsi="Calibri" w:eastAsia="Times New Roman" w:cs="Calibri"/>
                <w:color w:val="000000"/>
              </w:rPr>
            </w:pPr>
            <w:r>
              <w:rPr>
                <w:rFonts w:ascii="Calibri" w:hAnsi="Calibri" w:eastAsia="Times New Roman" w:cs="Calibri"/>
                <w:color w:val="000000"/>
              </w:rPr>
              <w:t xml:space="preserve"> SDG 9</w:t>
            </w:r>
          </w:p>
        </w:tc>
        <w:tc>
          <w:tcPr>
            <w:tcW w:w="1881" w:type="dxa"/>
          </w:tcPr>
          <w:p w14:paraId="64B4B4E2">
            <w:pPr>
              <w:spacing w:after="0" w:line="240" w:lineRule="auto"/>
              <w:rPr>
                <w:rFonts w:ascii="Calibri" w:hAnsi="Calibri" w:eastAsia="Times New Roman" w:cs="Calibri"/>
                <w:color w:val="000000"/>
              </w:rPr>
            </w:pPr>
            <w:r>
              <w:rPr>
                <w:rFonts w:ascii="Calibri" w:hAnsi="Calibri" w:eastAsia="Times New Roman" w:cs="Calibri"/>
                <w:color w:val="000000"/>
              </w:rPr>
              <w:t>Literature review, Case studies</w:t>
            </w:r>
          </w:p>
        </w:tc>
        <w:tc>
          <w:tcPr>
            <w:tcW w:w="3019" w:type="dxa"/>
          </w:tcPr>
          <w:p w14:paraId="038C2B4E">
            <w:pPr>
              <w:spacing w:after="0" w:line="240" w:lineRule="auto"/>
              <w:rPr>
                <w:rFonts w:ascii="Calibri" w:hAnsi="Calibri" w:eastAsia="Times New Roman" w:cs="Calibri"/>
                <w:color w:val="000000"/>
              </w:rPr>
            </w:pPr>
            <w:r>
              <w:rPr>
                <w:rFonts w:ascii="Calibri" w:hAnsi="Calibri" w:eastAsia="Times New Roman" w:cs="Calibri"/>
                <w:color w:val="000000"/>
                <w:lang w:val="en-US"/>
              </w:rPr>
              <w:t>Fin Tech</w:t>
            </w:r>
            <w:r>
              <w:rPr>
                <w:rFonts w:ascii="Calibri" w:hAnsi="Calibri" w:eastAsia="Times New Roman" w:cs="Calibri"/>
                <w:color w:val="000000"/>
              </w:rPr>
              <w:t xml:space="preserve"> drives financial inclusion and sustainable development, fostering inclusive economies.</w:t>
            </w:r>
          </w:p>
        </w:tc>
      </w:tr>
      <w:tr w14:paraId="1167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6BA935AE">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AuthorYear="1"&gt;&lt;Author&gt;Pandey&lt;/Author&gt;&lt;Year&gt;2022&lt;/Year&gt;&lt;RecNum&gt;43&lt;/RecNum&gt;&lt;DisplayText&gt;Pandey, Kiran et al. (2022)&lt;/DisplayText&gt;&lt;record&gt;&lt;rec-number&gt;43&lt;/rec-number&gt;&lt;foreign-keys&gt;&lt;key app="EN" db-id="2t52ftddjzwsxoerapx5vrxm2fdzpaza5sva" timestamp="1752334098"&gt;43&lt;/key&gt;&lt;/foreign-keys&gt;&lt;ref-type name="Journal Article"&gt;17&lt;/ref-type&gt;&lt;contributors&gt;&lt;authors&gt;&lt;author&gt;Pandey, Amit&lt;/author&gt;&lt;author&gt;Kiran, Ravi&lt;/author&gt;&lt;author&gt;Sharma, Rakesh Kumar&lt;/author&gt;&lt;/authors&gt;&lt;/contributors&gt;&lt;titles&gt;&lt;title&gt;Investigating the impact of financial inclusion drivers, financial literacy and financial initiatives in fostering sustainable growth in North India&lt;/title&gt;&lt;secondary-title&gt;Sustainability&lt;/secondary-title&gt;&lt;/titles&gt;&lt;periodical&gt;&lt;full-title&gt;Sustainability&lt;/full-title&gt;&lt;/periodical&gt;&lt;pages&gt;11061&lt;/pages&gt;&lt;volume&gt;14&lt;/volume&gt;&lt;number&gt;17&lt;/number&gt;&lt;dates&gt;&lt;year&gt;2022&lt;/year&gt;&lt;/dates&gt;&lt;isbn&gt;2071-1050&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Pandey, Kiran et al. (2022)</w:t>
            </w:r>
            <w:r>
              <w:rPr>
                <w:rFonts w:ascii="Calibri" w:hAnsi="Calibri" w:eastAsia="Times New Roman" w:cs="Calibri"/>
                <w:color w:val="auto"/>
                <w:u w:val="none"/>
                <w:lang w:val="en-US"/>
              </w:rPr>
              <w:fldChar w:fldCharType="end"/>
            </w:r>
          </w:p>
        </w:tc>
        <w:tc>
          <w:tcPr>
            <w:tcW w:w="1440" w:type="dxa"/>
            <w:noWrap/>
          </w:tcPr>
          <w:p w14:paraId="557D48E0">
            <w:pPr>
              <w:spacing w:after="0" w:line="240" w:lineRule="auto"/>
              <w:rPr>
                <w:rFonts w:ascii="Calibri" w:hAnsi="Calibri" w:eastAsia="Times New Roman" w:cs="Calibri"/>
                <w:color w:val="000000"/>
              </w:rPr>
            </w:pPr>
            <w:r>
              <w:rPr>
                <w:rFonts w:ascii="Calibri" w:hAnsi="Calibri" w:eastAsia="Times New Roman" w:cs="Calibri"/>
                <w:color w:val="000000"/>
              </w:rPr>
              <w:t>India</w:t>
            </w:r>
          </w:p>
        </w:tc>
        <w:tc>
          <w:tcPr>
            <w:tcW w:w="999" w:type="dxa"/>
          </w:tcPr>
          <w:p w14:paraId="42618C2C">
            <w:pPr>
              <w:spacing w:after="0" w:line="240" w:lineRule="auto"/>
              <w:rPr>
                <w:rFonts w:ascii="Calibri" w:hAnsi="Calibri" w:eastAsia="Times New Roman" w:cs="Calibri"/>
                <w:color w:val="000000"/>
              </w:rPr>
            </w:pPr>
            <w:r>
              <w:rPr>
                <w:rFonts w:ascii="Calibri" w:hAnsi="Calibri" w:eastAsia="Times New Roman" w:cs="Calibri"/>
                <w:color w:val="000000"/>
              </w:rPr>
              <w:t xml:space="preserve"> SDG 9</w:t>
            </w:r>
          </w:p>
        </w:tc>
        <w:tc>
          <w:tcPr>
            <w:tcW w:w="1881" w:type="dxa"/>
          </w:tcPr>
          <w:p w14:paraId="334B42CF">
            <w:pPr>
              <w:spacing w:after="0" w:line="240" w:lineRule="auto"/>
              <w:rPr>
                <w:rFonts w:ascii="Calibri" w:hAnsi="Calibri" w:eastAsia="Times New Roman" w:cs="Calibri"/>
                <w:color w:val="000000"/>
              </w:rPr>
            </w:pPr>
            <w:r>
              <w:rPr>
                <w:rFonts w:ascii="Calibri" w:hAnsi="Calibri" w:eastAsia="Times New Roman" w:cs="Calibri"/>
                <w:color w:val="000000"/>
              </w:rPr>
              <w:t>Survey-based study, PLS-SEM modeling</w:t>
            </w:r>
          </w:p>
        </w:tc>
        <w:tc>
          <w:tcPr>
            <w:tcW w:w="3019" w:type="dxa"/>
          </w:tcPr>
          <w:p w14:paraId="694EDC55">
            <w:pPr>
              <w:spacing w:after="0" w:line="240" w:lineRule="auto"/>
              <w:rPr>
                <w:rFonts w:ascii="Calibri" w:hAnsi="Calibri" w:eastAsia="Times New Roman" w:cs="Calibri"/>
                <w:color w:val="000000"/>
              </w:rPr>
            </w:pPr>
            <w:r>
              <w:rPr>
                <w:rFonts w:ascii="Calibri" w:hAnsi="Calibri" w:eastAsia="Times New Roman" w:cs="Calibri"/>
                <w:color w:val="000000"/>
              </w:rPr>
              <w:t xml:space="preserve">Financial inclusion supports growth, with </w:t>
            </w:r>
            <w:r>
              <w:rPr>
                <w:rFonts w:ascii="Calibri" w:hAnsi="Calibri" w:eastAsia="Times New Roman" w:cs="Calibri"/>
                <w:color w:val="000000"/>
                <w:lang w:val="en-US"/>
              </w:rPr>
              <w:t>digitization</w:t>
            </w:r>
            <w:r>
              <w:rPr>
                <w:rFonts w:ascii="Calibri" w:hAnsi="Calibri" w:eastAsia="Times New Roman" w:cs="Calibri"/>
                <w:color w:val="000000"/>
              </w:rPr>
              <w:t xml:space="preserve">, </w:t>
            </w:r>
            <w:r>
              <w:rPr>
                <w:rFonts w:ascii="Calibri" w:hAnsi="Calibri" w:eastAsia="Times New Roman" w:cs="Calibri"/>
                <w:color w:val="000000"/>
                <w:lang w:val="en-US"/>
              </w:rPr>
              <w:t>Fin Tech</w:t>
            </w:r>
            <w:r>
              <w:rPr>
                <w:rFonts w:ascii="Calibri" w:hAnsi="Calibri" w:eastAsia="Times New Roman" w:cs="Calibri"/>
                <w:color w:val="000000"/>
              </w:rPr>
              <w:t>, and financial literacy playing key roles.</w:t>
            </w:r>
          </w:p>
        </w:tc>
      </w:tr>
      <w:tr w14:paraId="5813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4F898AEA">
            <w:pPr>
              <w:spacing w:after="0" w:line="240" w:lineRule="auto"/>
              <w:rPr>
                <w:rFonts w:ascii="Calibri" w:hAnsi="Calibri" w:eastAsia="Times New Roman" w:cs="Calibri"/>
                <w:color w:val="auto"/>
                <w:u w:val="single"/>
              </w:rPr>
            </w:pPr>
            <w:bookmarkStart w:id="50" w:name="_Hlk191461633"/>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AuthorYear="1"&gt;&lt;Author&gt;Soyemi&lt;/Author&gt;&lt;Year&gt;2020&lt;/Year&gt;&lt;RecNum&gt;45&lt;/RecNum&gt;&lt;DisplayText&gt;Soyemi, Olowofela et al. (2020)&lt;/DisplayText&gt;&lt;record&gt;&lt;rec-number&gt;45&lt;/rec-number&gt;&lt;foreign-keys&gt;&lt;key app="EN" db-id="2t52ftddjzwsxoerapx5vrxm2fdzpaza5sva" timestamp="1752334807"&gt;45&lt;/key&gt;&lt;/foreign-keys&gt;&lt;ref-type name="Journal Article"&gt;17&lt;/ref-type&gt;&lt;contributors&gt;&lt;authors&gt;&lt;author&gt;Soyemi, Kenny Ade’&lt;/author&gt;&lt;author&gt;Olowofela, Olusola Enitan&lt;/author&gt;&lt;author&gt;Yunusa, Lateef Adewale&lt;/author&gt;&lt;/authors&gt;&lt;/contributors&gt;&lt;titles&gt;&lt;title&gt;Financial inclusion and sustainable development in Nigeria&lt;/title&gt;&lt;secondary-title&gt;Journal of Economics and Management&lt;/secondary-title&gt;&lt;/titles&gt;&lt;periodical&gt;&lt;full-title&gt;Journal of Economics and Management&lt;/full-title&gt;&lt;/periodical&gt;&lt;pages&gt;105-131&lt;/pages&gt;&lt;number&gt;39&lt;/number&gt;&lt;dates&gt;&lt;year&gt;2020&lt;/year&gt;&lt;/dates&gt;&lt;isbn&gt;1732-1948&lt;/isbn&gt;&lt;urls&gt;&lt;/urls&gt;&lt;/record&gt;&lt;/Cite&gt;&lt;/EndNote&gt;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Soyemi, Olowofela et al. (2020)</w:t>
            </w:r>
            <w:r>
              <w:rPr>
                <w:rFonts w:ascii="Calibri" w:hAnsi="Calibri" w:eastAsia="Times New Roman" w:cs="Calibri"/>
                <w:color w:val="auto"/>
                <w:u w:val="none"/>
                <w:lang w:val="en-US"/>
              </w:rPr>
              <w:fldChar w:fldCharType="end"/>
            </w:r>
            <w:bookmarkEnd w:id="50"/>
          </w:p>
        </w:tc>
        <w:tc>
          <w:tcPr>
            <w:tcW w:w="1440" w:type="dxa"/>
            <w:noWrap/>
          </w:tcPr>
          <w:p w14:paraId="6AA311B7">
            <w:pPr>
              <w:spacing w:after="0" w:line="240" w:lineRule="auto"/>
              <w:rPr>
                <w:rFonts w:ascii="Calibri" w:hAnsi="Calibri" w:eastAsia="Times New Roman" w:cs="Calibri"/>
                <w:color w:val="000000"/>
              </w:rPr>
            </w:pPr>
            <w:r>
              <w:rPr>
                <w:rFonts w:ascii="Calibri" w:hAnsi="Calibri" w:eastAsia="Times New Roman" w:cs="Calibri"/>
                <w:color w:val="000000"/>
              </w:rPr>
              <w:t>Nigeria</w:t>
            </w:r>
          </w:p>
        </w:tc>
        <w:tc>
          <w:tcPr>
            <w:tcW w:w="999" w:type="dxa"/>
          </w:tcPr>
          <w:p w14:paraId="0CEB8A1A">
            <w:pPr>
              <w:spacing w:after="0" w:line="240" w:lineRule="auto"/>
              <w:rPr>
                <w:rFonts w:ascii="Calibri" w:hAnsi="Calibri" w:eastAsia="Times New Roman" w:cs="Calibri"/>
                <w:color w:val="000000"/>
              </w:rPr>
            </w:pPr>
            <w:r>
              <w:rPr>
                <w:rFonts w:ascii="Calibri" w:hAnsi="Calibri" w:eastAsia="Times New Roman" w:cs="Calibri"/>
                <w:color w:val="000000"/>
              </w:rPr>
              <w:t xml:space="preserve"> SDG 9</w:t>
            </w:r>
          </w:p>
        </w:tc>
        <w:tc>
          <w:tcPr>
            <w:tcW w:w="1881" w:type="dxa"/>
          </w:tcPr>
          <w:p w14:paraId="431DBB25">
            <w:pPr>
              <w:spacing w:after="0" w:line="240" w:lineRule="auto"/>
              <w:rPr>
                <w:rFonts w:ascii="Calibri" w:hAnsi="Calibri" w:eastAsia="Times New Roman" w:cs="Calibri"/>
                <w:color w:val="000000"/>
              </w:rPr>
            </w:pPr>
            <w:r>
              <w:rPr>
                <w:rFonts w:hint="default" w:ascii="Calibri" w:hAnsi="Calibri" w:eastAsia="Times New Roman"/>
                <w:color w:val="000000"/>
              </w:rPr>
              <w:t>Error Correction Model (ECM), Fully Modified Ordinary Least squares (FMOLS)</w:t>
            </w:r>
          </w:p>
        </w:tc>
        <w:tc>
          <w:tcPr>
            <w:tcW w:w="3019" w:type="dxa"/>
          </w:tcPr>
          <w:p w14:paraId="66A16104">
            <w:pPr>
              <w:spacing w:after="0" w:line="240" w:lineRule="auto"/>
              <w:rPr>
                <w:rFonts w:ascii="Calibri" w:hAnsi="Calibri" w:eastAsia="Times New Roman" w:cs="Calibri"/>
                <w:color w:val="000000"/>
              </w:rPr>
            </w:pPr>
            <w:r>
              <w:rPr>
                <w:rFonts w:ascii="Calibri" w:hAnsi="Calibri" w:eastAsia="Times New Roman" w:cs="Calibri"/>
                <w:color w:val="000000"/>
              </w:rPr>
              <w:t>Nigeria benefits from financial inclusion, as more bank branches and rural credit boost development.</w:t>
            </w:r>
          </w:p>
        </w:tc>
      </w:tr>
      <w:tr w14:paraId="1297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0A3332D2">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t xml:space="preserve"> </w:t>
            </w: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AuthorYear="1"&gt;&lt;Author&gt;Mishra&lt;/Author&gt;&lt;Year&gt;2020&lt;/Year&gt;&lt;RecNum&gt;81&lt;/RecNum&gt;&lt;DisplayText&gt;Mishra and Maheshwari (2020)&lt;/DisplayText&gt;&lt;record&gt;&lt;rec-number&gt;81&lt;/rec-number&gt;&lt;foreign-keys&gt;&lt;key app="EN" db-id="2t52ftddjzwsxoerapx5vrxm2fdzpaza5sva" timestamp="1752404893"&gt;81&lt;/key&gt;&lt;/foreign-keys&gt;&lt;ref-type name="Journal Article"&gt;17&lt;/ref-type&gt;&lt;contributors&gt;&lt;authors&gt;&lt;author&gt;Mishra, Himani&lt;/author&gt;&lt;author&gt;Maheshwari, Prateek&lt;/author&gt;&lt;/authors&gt;&lt;/contributors&gt;&lt;titles&gt;&lt;title&gt;Achieving sustainable development goals through Fourth Industrial Revolution: an Indian perspective&lt;/title&gt;&lt;secondary-title&gt;Indian Journal of Commerce and Management Studies&lt;/secondary-title&gt;&lt;/titles&gt;&lt;periodical&gt;&lt;full-title&gt;Indian Journal of Commerce and Management Studies&lt;/full-title&gt;&lt;/periodical&gt;&lt;pages&gt;63-75&lt;/pages&gt;&lt;volume&gt;11&lt;/volume&gt;&lt;number&gt;2&lt;/number&gt;&lt;dates&gt;&lt;year&gt;2020&lt;/year&gt;&lt;/dates&gt;&lt;isbn&gt;2229-5674&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Mishra and Maheshwari (2020)</w:t>
            </w:r>
            <w:r>
              <w:rPr>
                <w:rFonts w:ascii="Calibri" w:hAnsi="Calibri" w:eastAsia="Times New Roman" w:cs="Calibri"/>
                <w:color w:val="auto"/>
                <w:u w:val="none"/>
                <w:lang w:val="en-US"/>
              </w:rPr>
              <w:fldChar w:fldCharType="end"/>
            </w:r>
          </w:p>
        </w:tc>
        <w:tc>
          <w:tcPr>
            <w:tcW w:w="1440" w:type="dxa"/>
            <w:noWrap/>
          </w:tcPr>
          <w:p w14:paraId="69316379">
            <w:pPr>
              <w:spacing w:after="0" w:line="240" w:lineRule="auto"/>
              <w:rPr>
                <w:rFonts w:ascii="Calibri" w:hAnsi="Calibri" w:eastAsia="Times New Roman" w:cs="Calibri"/>
                <w:color w:val="000000"/>
              </w:rPr>
            </w:pPr>
            <w:r>
              <w:rPr>
                <w:rFonts w:ascii="Calibri" w:hAnsi="Calibri" w:eastAsia="Times New Roman" w:cs="Calibri"/>
                <w:color w:val="000000"/>
              </w:rPr>
              <w:t>India</w:t>
            </w:r>
          </w:p>
        </w:tc>
        <w:tc>
          <w:tcPr>
            <w:tcW w:w="999" w:type="dxa"/>
          </w:tcPr>
          <w:p w14:paraId="26C21A36">
            <w:pPr>
              <w:spacing w:after="0" w:line="240" w:lineRule="auto"/>
              <w:rPr>
                <w:rFonts w:ascii="Calibri" w:hAnsi="Calibri" w:eastAsia="Times New Roman" w:cs="Calibri"/>
                <w:color w:val="000000"/>
              </w:rPr>
            </w:pPr>
            <w:r>
              <w:rPr>
                <w:rFonts w:ascii="Calibri" w:hAnsi="Calibri" w:eastAsia="Times New Roman" w:cs="Calibri"/>
                <w:color w:val="000000"/>
              </w:rPr>
              <w:t xml:space="preserve"> SDG 9</w:t>
            </w:r>
          </w:p>
        </w:tc>
        <w:tc>
          <w:tcPr>
            <w:tcW w:w="1881" w:type="dxa"/>
          </w:tcPr>
          <w:p w14:paraId="7F7449C1">
            <w:pPr>
              <w:spacing w:after="0" w:line="240" w:lineRule="auto"/>
              <w:rPr>
                <w:rFonts w:ascii="Calibri" w:hAnsi="Calibri" w:eastAsia="Times New Roman" w:cs="Calibri"/>
                <w:color w:val="000000"/>
              </w:rPr>
            </w:pPr>
            <w:r>
              <w:rPr>
                <w:rFonts w:ascii="Calibri" w:hAnsi="Calibri" w:eastAsia="Times New Roman" w:cs="Calibri"/>
                <w:color w:val="000000"/>
              </w:rPr>
              <w:t>Systematic literature review</w:t>
            </w:r>
          </w:p>
        </w:tc>
        <w:tc>
          <w:tcPr>
            <w:tcW w:w="3019" w:type="dxa"/>
          </w:tcPr>
          <w:p w14:paraId="2B3E5D89">
            <w:pPr>
              <w:spacing w:after="0" w:line="240" w:lineRule="auto"/>
              <w:rPr>
                <w:rFonts w:ascii="Calibri" w:hAnsi="Calibri" w:eastAsia="Times New Roman" w:cs="Calibri"/>
                <w:color w:val="000000"/>
              </w:rPr>
            </w:pPr>
            <w:r>
              <w:rPr>
                <w:rFonts w:ascii="Calibri" w:hAnsi="Calibri" w:eastAsia="Times New Roman" w:cs="Calibri"/>
                <w:color w:val="000000"/>
              </w:rPr>
              <w:t>4IR technologies accelerate India's SDG progress, promoting digital inclusion and poverty reduction.</w:t>
            </w:r>
          </w:p>
        </w:tc>
      </w:tr>
      <w:tr w14:paraId="5F71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4B58FF35">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t xml:space="preserve"> </w:t>
            </w: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AuthorYear="1"&gt;&lt;Author&gt;Sadiq&lt;/Author&gt;&lt;Year&gt;2015&lt;/Year&gt;&lt;RecNum&gt;82&lt;/RecNum&gt;&lt;DisplayText&gt;Sadiq and Mushtaq (2015)&lt;/DisplayText&gt;&lt;record&gt;&lt;rec-number&gt;82&lt;/rec-number&gt;&lt;foreign-keys&gt;&lt;key app="EN" db-id="2t52ftddjzwsxoerapx5vrxm2fdzpaza5sva" timestamp="1752405062"&gt;82&lt;/key&gt;&lt;/foreign-keys&gt;&lt;ref-type name="Journal Article"&gt;17&lt;/ref-type&gt;&lt;contributors&gt;&lt;authors&gt;&lt;author&gt;Sadiq, Ramla&lt;/author&gt;&lt;author&gt;Mushtaq, Afia&lt;/author&gt;&lt;/authors&gt;&lt;/contributors&gt;&lt;titles&gt;&lt;title&gt;Role of Islamic finance in achieving sustainable development goals&lt;/title&gt;&lt;secondary-title&gt;Journal of Islamic Thought and Civilization&lt;/secondary-title&gt;&lt;/titles&gt;&lt;periodical&gt;&lt;full-title&gt;Journal of Islamic Thought and Civilization&lt;/full-title&gt;&lt;/periodical&gt;&lt;pages&gt;46-55&lt;/pages&gt;&lt;volume&gt;5&lt;/volume&gt;&lt;number&gt;1&lt;/number&gt;&lt;dates&gt;&lt;year&gt;2015&lt;/year&gt;&lt;/dates&gt;&lt;isbn&gt;2520-0313&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Sadiq and Mushtaq (2015)</w:t>
            </w:r>
            <w:r>
              <w:rPr>
                <w:rFonts w:ascii="Calibri" w:hAnsi="Calibri" w:eastAsia="Times New Roman" w:cs="Calibri"/>
                <w:color w:val="auto"/>
                <w:u w:val="none"/>
                <w:lang w:val="en-US"/>
              </w:rPr>
              <w:fldChar w:fldCharType="end"/>
            </w:r>
          </w:p>
        </w:tc>
        <w:tc>
          <w:tcPr>
            <w:tcW w:w="1440" w:type="dxa"/>
            <w:noWrap/>
          </w:tcPr>
          <w:p w14:paraId="30436E8B">
            <w:pPr>
              <w:spacing w:after="0" w:line="240" w:lineRule="auto"/>
              <w:rPr>
                <w:rFonts w:ascii="Calibri" w:hAnsi="Calibri" w:eastAsia="Times New Roman" w:cs="Calibri"/>
                <w:color w:val="000000"/>
              </w:rPr>
            </w:pPr>
            <w:r>
              <w:rPr>
                <w:rFonts w:ascii="Calibri" w:hAnsi="Calibri" w:eastAsia="Times New Roman" w:cs="Calibri"/>
                <w:color w:val="000000"/>
              </w:rPr>
              <w:t>Global (Focus on Muslim-majority countries)</w:t>
            </w:r>
          </w:p>
        </w:tc>
        <w:tc>
          <w:tcPr>
            <w:tcW w:w="999" w:type="dxa"/>
          </w:tcPr>
          <w:p w14:paraId="25F49F9E">
            <w:pPr>
              <w:spacing w:after="0" w:line="240" w:lineRule="auto"/>
              <w:rPr>
                <w:rFonts w:ascii="Calibri" w:hAnsi="Calibri" w:eastAsia="Times New Roman" w:cs="Calibri"/>
                <w:color w:val="000000"/>
              </w:rPr>
            </w:pPr>
            <w:r>
              <w:rPr>
                <w:rFonts w:ascii="Calibri" w:hAnsi="Calibri" w:eastAsia="Times New Roman" w:cs="Calibri"/>
                <w:color w:val="000000"/>
              </w:rPr>
              <w:t>SDG 9</w:t>
            </w:r>
          </w:p>
        </w:tc>
        <w:tc>
          <w:tcPr>
            <w:tcW w:w="1881" w:type="dxa"/>
          </w:tcPr>
          <w:p w14:paraId="349C3110">
            <w:pPr>
              <w:spacing w:after="0" w:line="240" w:lineRule="auto"/>
              <w:rPr>
                <w:rFonts w:ascii="Calibri" w:hAnsi="Calibri" w:eastAsia="Times New Roman" w:cs="Calibri"/>
                <w:color w:val="000000"/>
              </w:rPr>
            </w:pPr>
            <w:r>
              <w:rPr>
                <w:rFonts w:ascii="Calibri" w:hAnsi="Calibri" w:eastAsia="Times New Roman" w:cs="Calibri"/>
                <w:color w:val="000000"/>
              </w:rPr>
              <w:t>Literature review, case studies, policy analysis</w:t>
            </w:r>
          </w:p>
        </w:tc>
        <w:tc>
          <w:tcPr>
            <w:tcW w:w="3019" w:type="dxa"/>
          </w:tcPr>
          <w:p w14:paraId="67130349">
            <w:pPr>
              <w:spacing w:after="0" w:line="240" w:lineRule="auto"/>
              <w:rPr>
                <w:rFonts w:ascii="Calibri" w:hAnsi="Calibri" w:eastAsia="Times New Roman" w:cs="Calibri"/>
                <w:color w:val="000000"/>
              </w:rPr>
            </w:pPr>
            <w:r>
              <w:rPr>
                <w:rFonts w:ascii="Calibri" w:hAnsi="Calibri" w:eastAsia="Times New Roman" w:cs="Calibri"/>
                <w:color w:val="000000"/>
              </w:rPr>
              <w:t>Islamic finance aids sustainability through equity-based financing but needs better environmental and social integration.</w:t>
            </w:r>
          </w:p>
        </w:tc>
      </w:tr>
      <w:tr w14:paraId="1B40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2F5812AA">
            <w:pPr>
              <w:spacing w:after="0" w:line="240" w:lineRule="auto"/>
              <w:rPr>
                <w:rFonts w:ascii="Calibri" w:hAnsi="Calibri" w:eastAsia="Times New Roman" w:cs="Calibri"/>
                <w:color w:val="auto"/>
                <w:u w:val="single"/>
              </w:rPr>
            </w:pPr>
            <w:bookmarkStart w:id="51" w:name="_Hlk191461437"/>
            <w:bookmarkStart w:id="52" w:name="_Hlk191461452"/>
            <w:r>
              <w:rPr>
                <w:rFonts w:ascii="Calibri" w:hAnsi="Calibri" w:eastAsia="Times New Roman" w:cs="Calibri"/>
                <w:color w:val="auto"/>
                <w:u w:val="none"/>
                <w:lang w:val="en-US"/>
              </w:rPr>
              <w:t xml:space="preserve"> </w:t>
            </w: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AuthorYear="1"&gt;&lt;Author&gt;Yahaya&lt;/Author&gt;&lt;Year&gt;2018&lt;/Year&gt;&lt;RecNum&gt;94&lt;/RecNum&gt;&lt;DisplayText&gt;Yahaya and Ahmad (2018)&lt;/DisplayText&gt;&lt;record&gt;&lt;rec-number&gt;94&lt;/rec-number&gt;&lt;foreign-keys&gt;&lt;key app="EN" db-id="2t52ftddjzwsxoerapx5vrxm2fdzpaza5sva" timestamp="1752413705"&gt;94&lt;/key&gt;&lt;/foreign-keys&gt;&lt;ref-type name="Conference Proceedings"&gt;10&lt;/ref-type&gt;&lt;contributors&gt;&lt;authors&gt;&lt;author&gt;Yahaya, Muhamad Hasif&lt;/author&gt;&lt;author&gt;Ahmad, Khaliq&lt;/author&gt;&lt;/authors&gt;&lt;/contributors&gt;&lt;titles&gt;&lt;title&gt;Financial inclusion through efficient zakat distribution for poverty alleviation in Malaysia: Using fintech &amp;amp; mobile banking&lt;/title&gt;&lt;secondary-title&gt;Proceeding of the 5th International Conference on Management and Muamalah&lt;/secondary-title&gt;&lt;/titles&gt;&lt;pages&gt;15-31&lt;/pages&gt;&lt;dates&gt;&lt;year&gt;2018&lt;/year&gt;&lt;/dates&gt;&lt;urls&gt;&lt;/urls&gt;&lt;/record&gt;&lt;/Cite&gt;&lt;/EndNote&gt;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Yahaya and Ahmad (2018)</w:t>
            </w:r>
            <w:r>
              <w:rPr>
                <w:rFonts w:ascii="Calibri" w:hAnsi="Calibri" w:eastAsia="Times New Roman" w:cs="Calibri"/>
                <w:color w:val="auto"/>
                <w:u w:val="none"/>
                <w:lang w:val="en-US"/>
              </w:rPr>
              <w:fldChar w:fldCharType="end"/>
            </w:r>
            <w:r>
              <w:rPr>
                <w:rFonts w:ascii="Calibri" w:hAnsi="Calibri" w:eastAsia="Times New Roman" w:cs="Calibri"/>
                <w:color w:val="auto"/>
                <w:u w:val="none"/>
              </w:rPr>
              <w:t xml:space="preserve"> </w:t>
            </w:r>
            <w:bookmarkEnd w:id="51"/>
            <w:bookmarkEnd w:id="52"/>
          </w:p>
        </w:tc>
        <w:tc>
          <w:tcPr>
            <w:tcW w:w="1440" w:type="dxa"/>
            <w:noWrap/>
          </w:tcPr>
          <w:p w14:paraId="60D0C984">
            <w:pPr>
              <w:spacing w:after="0" w:line="240" w:lineRule="auto"/>
              <w:rPr>
                <w:rFonts w:ascii="Calibri" w:hAnsi="Calibri" w:eastAsia="Times New Roman" w:cs="Calibri"/>
                <w:color w:val="000000"/>
              </w:rPr>
            </w:pPr>
            <w:r>
              <w:rPr>
                <w:rFonts w:ascii="Calibri" w:hAnsi="Calibri" w:eastAsia="Times New Roman" w:cs="Calibri"/>
                <w:color w:val="000000"/>
              </w:rPr>
              <w:t>Malaysia</w:t>
            </w:r>
          </w:p>
        </w:tc>
        <w:tc>
          <w:tcPr>
            <w:tcW w:w="999" w:type="dxa"/>
          </w:tcPr>
          <w:p w14:paraId="44CFAAEA">
            <w:pPr>
              <w:spacing w:after="0" w:line="240" w:lineRule="auto"/>
              <w:rPr>
                <w:rFonts w:ascii="Calibri" w:hAnsi="Calibri" w:eastAsia="Times New Roman" w:cs="Calibri"/>
                <w:color w:val="000000"/>
              </w:rPr>
            </w:pPr>
            <w:r>
              <w:rPr>
                <w:rFonts w:ascii="Calibri" w:hAnsi="Calibri" w:eastAsia="Times New Roman" w:cs="Calibri"/>
                <w:color w:val="000000"/>
              </w:rPr>
              <w:t>SDG 9</w:t>
            </w:r>
          </w:p>
        </w:tc>
        <w:tc>
          <w:tcPr>
            <w:tcW w:w="1881" w:type="dxa"/>
          </w:tcPr>
          <w:p w14:paraId="6DDCA44D">
            <w:pPr>
              <w:spacing w:after="0" w:line="240" w:lineRule="auto"/>
              <w:rPr>
                <w:rFonts w:ascii="Calibri" w:hAnsi="Calibri" w:eastAsia="Times New Roman" w:cs="Calibri"/>
                <w:color w:val="000000"/>
              </w:rPr>
            </w:pPr>
            <w:r>
              <w:rPr>
                <w:rFonts w:ascii="Calibri" w:hAnsi="Calibri" w:eastAsia="Times New Roman" w:cs="Calibri"/>
                <w:color w:val="000000"/>
              </w:rPr>
              <w:t>Literature review, policy analysis, interviews with zakat officers</w:t>
            </w:r>
          </w:p>
        </w:tc>
        <w:tc>
          <w:tcPr>
            <w:tcW w:w="3019" w:type="dxa"/>
          </w:tcPr>
          <w:p w14:paraId="4498213F">
            <w:pPr>
              <w:spacing w:after="0" w:line="240" w:lineRule="auto"/>
              <w:rPr>
                <w:rFonts w:ascii="Calibri" w:hAnsi="Calibri" w:eastAsia="Times New Roman" w:cs="Calibri"/>
                <w:color w:val="000000"/>
              </w:rPr>
            </w:pPr>
            <w:r>
              <w:rPr>
                <w:rFonts w:ascii="Calibri" w:hAnsi="Calibri" w:eastAsia="Times New Roman" w:cs="Calibri"/>
                <w:color w:val="000000"/>
              </w:rPr>
              <w:t>Mobile banking improves zakat distribution, cutting costs and enhancing financial inclusion in Malaysia.</w:t>
            </w:r>
          </w:p>
        </w:tc>
      </w:tr>
      <w:tr w14:paraId="3CC0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0D656CBA">
            <w:pPr>
              <w:spacing w:after="0" w:line="240" w:lineRule="auto"/>
              <w:rPr>
                <w:rFonts w:ascii="Calibri" w:hAnsi="Calibri" w:eastAsia="Times New Roman" w:cs="Calibri"/>
                <w:color w:val="auto"/>
                <w:u w:val="single"/>
              </w:rPr>
            </w:pP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AuthorYear="1"&gt;&lt;Author&gt;Wicaksana&lt;/Author&gt;&lt;Year&gt;2023&lt;/Year&gt;&lt;RecNum&gt;87&lt;/RecNum&gt;&lt;DisplayText&gt;Wicaksana (2023)&lt;/DisplayText&gt;&lt;record&gt;&lt;rec-number&gt;87&lt;/rec-number&gt;&lt;foreign-keys&gt;&lt;key app="EN" db-id="2t52ftddjzwsxoerapx5vrxm2fdzpaza5sva" timestamp="1752407069"&gt;87&lt;/key&gt;&lt;/foreign-keys&gt;&lt;ref-type name="Journal Article"&gt;17&lt;/ref-type&gt;&lt;contributors&gt;&lt;authors&gt;&lt;author&gt;Wicaksana, Dwi Yoga&lt;/author&gt;&lt;/authors&gt;&lt;/contributors&gt;&lt;titles&gt;&lt;title&gt;Fintech for sdgs: driving economic development through financial innovation&lt;/title&gt;&lt;secondary-title&gt;Journal of Digital Business and Innovation Management&lt;/secondary-title&gt;&lt;/titles&gt;&lt;periodical&gt;&lt;full-title&gt;Journal of Digital Business and Innovation Management&lt;/full-title&gt;&lt;/periodical&gt;&lt;pages&gt;126-138&lt;/pages&gt;&lt;volume&gt;2&lt;/volume&gt;&lt;number&gt;2&lt;/number&gt;&lt;dates&gt;&lt;year&gt;2023&lt;/year&gt;&lt;/dates&gt;&lt;isbn&gt;2962-3898&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Wicaksana (2023)</w:t>
            </w:r>
            <w:r>
              <w:rPr>
                <w:rFonts w:ascii="Calibri" w:hAnsi="Calibri" w:eastAsia="Times New Roman" w:cs="Calibri"/>
                <w:color w:val="auto"/>
                <w:u w:val="none"/>
                <w:lang w:val="en-US"/>
              </w:rPr>
              <w:fldChar w:fldCharType="end"/>
            </w:r>
          </w:p>
        </w:tc>
        <w:tc>
          <w:tcPr>
            <w:tcW w:w="1440" w:type="dxa"/>
            <w:noWrap/>
          </w:tcPr>
          <w:p w14:paraId="0708D2CC">
            <w:pPr>
              <w:spacing w:after="0" w:line="240" w:lineRule="auto"/>
              <w:rPr>
                <w:rFonts w:ascii="Calibri" w:hAnsi="Calibri" w:eastAsia="Times New Roman" w:cs="Calibri"/>
                <w:color w:val="000000"/>
              </w:rPr>
            </w:pPr>
            <w:r>
              <w:rPr>
                <w:rFonts w:ascii="Calibri" w:hAnsi="Calibri" w:eastAsia="Times New Roman" w:cs="Calibri"/>
                <w:color w:val="000000"/>
              </w:rPr>
              <w:t>Indonesia</w:t>
            </w:r>
          </w:p>
        </w:tc>
        <w:tc>
          <w:tcPr>
            <w:tcW w:w="999" w:type="dxa"/>
          </w:tcPr>
          <w:p w14:paraId="788B8A90">
            <w:pPr>
              <w:spacing w:after="0" w:line="240" w:lineRule="auto"/>
              <w:rPr>
                <w:rFonts w:ascii="Calibri" w:hAnsi="Calibri" w:eastAsia="Times New Roman" w:cs="Calibri"/>
                <w:color w:val="000000"/>
              </w:rPr>
            </w:pPr>
            <w:r>
              <w:rPr>
                <w:rFonts w:ascii="Calibri" w:hAnsi="Calibri" w:eastAsia="Times New Roman" w:cs="Calibri"/>
                <w:color w:val="000000"/>
              </w:rPr>
              <w:t>SDG9</w:t>
            </w:r>
          </w:p>
        </w:tc>
        <w:tc>
          <w:tcPr>
            <w:tcW w:w="1881" w:type="dxa"/>
          </w:tcPr>
          <w:p w14:paraId="1C4FA7D5">
            <w:pPr>
              <w:spacing w:after="0" w:line="240" w:lineRule="auto"/>
              <w:rPr>
                <w:rFonts w:ascii="Calibri" w:hAnsi="Calibri" w:eastAsia="Times New Roman" w:cs="Calibri"/>
                <w:color w:val="000000"/>
              </w:rPr>
            </w:pPr>
            <w:r>
              <w:rPr>
                <w:rFonts w:ascii="Calibri" w:hAnsi="Calibri" w:eastAsia="Times New Roman" w:cs="Calibri"/>
                <w:color w:val="000000"/>
              </w:rPr>
              <w:t>Descriptive-qualitative, Systematic Literature Review (SLR)</w:t>
            </w:r>
          </w:p>
        </w:tc>
        <w:tc>
          <w:tcPr>
            <w:tcW w:w="3019" w:type="dxa"/>
          </w:tcPr>
          <w:p w14:paraId="36E6510C">
            <w:pPr>
              <w:spacing w:after="0" w:line="240" w:lineRule="auto"/>
              <w:rPr>
                <w:rFonts w:ascii="Calibri" w:hAnsi="Calibri" w:eastAsia="Times New Roman" w:cs="Calibri"/>
                <w:color w:val="000000"/>
              </w:rPr>
            </w:pPr>
            <w:r>
              <w:rPr>
                <w:rFonts w:ascii="Calibri" w:hAnsi="Calibri" w:eastAsia="Times New Roman" w:cs="Calibri"/>
                <w:color w:val="000000"/>
              </w:rPr>
              <w:t>Financial inclusion reduces poverty and boosts gender equality, but faces barriers like access, awareness, and trust.</w:t>
            </w:r>
          </w:p>
        </w:tc>
      </w:tr>
      <w:tr w14:paraId="11FF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30F7EE54">
            <w:pPr>
              <w:spacing w:after="0" w:line="240" w:lineRule="auto"/>
              <w:rPr>
                <w:rFonts w:ascii="Calibri" w:hAnsi="Calibri" w:eastAsia="Times New Roman" w:cs="Calibri"/>
                <w:color w:val="auto"/>
                <w:u w:val="single"/>
              </w:rPr>
            </w:pPr>
            <w:bookmarkStart w:id="53" w:name="_Hlk191461478"/>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AuthorYear="1"&gt;&lt;Author&gt;SINGH&lt;/Author&gt;&lt;Year&gt;2022&lt;/Year&gt;&lt;RecNum&gt;85&lt;/RecNum&gt;&lt;DisplayText&gt;SINGH, GAUTAM et al. (2022)&lt;/DisplayText&gt;&lt;record&gt;&lt;rec-number&gt;85&lt;/rec-number&gt;&lt;foreign-keys&gt;&lt;key app="EN" db-id="2t52ftddjzwsxoerapx5vrxm2fdzpaza5sva" timestamp="1752405783"&gt;85&lt;/key&gt;&lt;/foreign-keys&gt;&lt;ref-type name="Journal Article"&gt;17&lt;/ref-type&gt;&lt;contributors&gt;&lt;authors&gt;&lt;author&gt;SINGH, Saumya&lt;/author&gt;&lt;author&gt;GAUTAM, Rahul Singh&lt;/author&gt;&lt;author&gt;AGARWAL, Bhakti&lt;/author&gt;&lt;author&gt;PUSHP, Aman&lt;/author&gt;&lt;author&gt;BARGE, Prashant&lt;/author&gt;&lt;author&gt;RASTOGI, Shailesh&lt;/author&gt;&lt;/authors&gt;&lt;/contributors&gt;&lt;titles&gt;&lt;title&gt;Impacts of financial inclusion on sustainable development in India&lt;/title&gt;&lt;secondary-title&gt;The Journal of Asian Finance, Economics and Business&lt;/secondary-title&gt;&lt;/titles&gt;&lt;periodical&gt;&lt;full-title&gt;The Journal of Asian Finance, Economics and Business&lt;/full-title&gt;&lt;/periodical&gt;&lt;pages&gt;235-242&lt;/pages&gt;&lt;volume&gt;9&lt;/volume&gt;&lt;number&gt;10&lt;/number&gt;&lt;dates&gt;&lt;year&gt;2022&lt;/year&gt;&lt;/dates&gt;&lt;isbn&gt;2288-4637&lt;/isbn&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SINGH, GAUTAM et al. (2022)</w:t>
            </w:r>
            <w:r>
              <w:rPr>
                <w:rFonts w:ascii="Calibri" w:hAnsi="Calibri" w:eastAsia="Times New Roman" w:cs="Calibri"/>
                <w:color w:val="auto"/>
                <w:u w:val="none"/>
                <w:lang w:val="en-US"/>
              </w:rPr>
              <w:fldChar w:fldCharType="end"/>
            </w:r>
            <w:bookmarkEnd w:id="53"/>
          </w:p>
        </w:tc>
        <w:tc>
          <w:tcPr>
            <w:tcW w:w="1440" w:type="dxa"/>
            <w:noWrap/>
          </w:tcPr>
          <w:p w14:paraId="327ED858">
            <w:pPr>
              <w:spacing w:after="0" w:line="240" w:lineRule="auto"/>
              <w:rPr>
                <w:rFonts w:ascii="Calibri" w:hAnsi="Calibri" w:eastAsia="Times New Roman" w:cs="Calibri"/>
                <w:color w:val="000000"/>
              </w:rPr>
            </w:pPr>
            <w:r>
              <w:rPr>
                <w:rFonts w:ascii="Calibri" w:hAnsi="Calibri" w:eastAsia="Times New Roman" w:cs="Calibri"/>
                <w:color w:val="000000"/>
              </w:rPr>
              <w:t>India</w:t>
            </w:r>
          </w:p>
        </w:tc>
        <w:tc>
          <w:tcPr>
            <w:tcW w:w="999" w:type="dxa"/>
          </w:tcPr>
          <w:p w14:paraId="473E7AEA">
            <w:pPr>
              <w:spacing w:after="0" w:line="240" w:lineRule="auto"/>
              <w:rPr>
                <w:rFonts w:ascii="Calibri" w:hAnsi="Calibri" w:eastAsia="Times New Roman" w:cs="Calibri"/>
                <w:color w:val="000000"/>
              </w:rPr>
            </w:pPr>
            <w:r>
              <w:rPr>
                <w:rFonts w:ascii="Calibri" w:hAnsi="Calibri" w:eastAsia="Times New Roman" w:cs="Calibri"/>
                <w:color w:val="000000"/>
              </w:rPr>
              <w:t>SDG9</w:t>
            </w:r>
          </w:p>
        </w:tc>
        <w:tc>
          <w:tcPr>
            <w:tcW w:w="1881" w:type="dxa"/>
          </w:tcPr>
          <w:p w14:paraId="42FE3FC5">
            <w:pPr>
              <w:spacing w:after="0" w:line="240" w:lineRule="auto"/>
              <w:rPr>
                <w:rFonts w:ascii="Calibri" w:hAnsi="Calibri" w:eastAsia="Times New Roman" w:cs="Calibri"/>
                <w:color w:val="000000"/>
              </w:rPr>
            </w:pPr>
            <w:r>
              <w:rPr>
                <w:rFonts w:ascii="Calibri" w:hAnsi="Calibri" w:eastAsia="Times New Roman" w:cs="Calibri"/>
                <w:color w:val="000000"/>
              </w:rPr>
              <w:t>Panel Data Analysis (PDA) using data from 28 states and 3 Union Territories (2018-2020)</w:t>
            </w:r>
          </w:p>
        </w:tc>
        <w:tc>
          <w:tcPr>
            <w:tcW w:w="3019" w:type="dxa"/>
          </w:tcPr>
          <w:p w14:paraId="2EE13D76">
            <w:pPr>
              <w:spacing w:after="0" w:line="240" w:lineRule="auto"/>
              <w:rPr>
                <w:rFonts w:ascii="Calibri" w:hAnsi="Calibri" w:eastAsia="Times New Roman" w:cs="Calibri"/>
                <w:color w:val="000000"/>
              </w:rPr>
            </w:pPr>
            <w:r>
              <w:rPr>
                <w:rFonts w:ascii="Calibri" w:hAnsi="Calibri" w:eastAsia="Times New Roman" w:cs="Calibri"/>
                <w:color w:val="000000"/>
              </w:rPr>
              <w:t>Co-Operative banks drive India’s development, improving governance and economic growth.</w:t>
            </w:r>
          </w:p>
        </w:tc>
      </w:tr>
      <w:tr w14:paraId="2624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440" w:type="dxa"/>
          </w:tcPr>
          <w:p w14:paraId="18292BC0">
            <w:pPr>
              <w:spacing w:after="0" w:line="240" w:lineRule="auto"/>
              <w:rPr>
                <w:rFonts w:ascii="Calibri" w:hAnsi="Calibri" w:eastAsia="Times New Roman" w:cs="Calibri"/>
                <w:color w:val="auto"/>
                <w:u w:val="single"/>
              </w:rPr>
            </w:pPr>
            <w:bookmarkStart w:id="54" w:name="_Hlk191461845"/>
            <w:r>
              <w:rPr>
                <w:rFonts w:ascii="Calibri" w:hAnsi="Calibri" w:eastAsia="Times New Roman" w:cs="Calibri"/>
                <w:color w:val="auto"/>
                <w:u w:val="none"/>
                <w:lang w:val="en-US"/>
              </w:rPr>
              <w:t xml:space="preserve"> </w:t>
            </w:r>
            <w:r>
              <w:rPr>
                <w:rFonts w:ascii="Calibri" w:hAnsi="Calibri" w:eastAsia="Times New Roman" w:cs="Calibri"/>
                <w:color w:val="auto"/>
                <w:u w:val="none"/>
                <w:lang w:val="en-US"/>
              </w:rPr>
              <w:fldChar w:fldCharType="begin"/>
            </w:r>
            <w:r>
              <w:rPr>
                <w:rFonts w:ascii="Calibri" w:hAnsi="Calibri" w:eastAsia="Times New Roman" w:cs="Calibri"/>
                <w:color w:val="auto"/>
                <w:u w:val="none"/>
                <w:lang w:val="en-US"/>
              </w:rPr>
              <w:instrText xml:space="preserve"> ADDIN EN.CITE &lt;EndNote&gt;&lt;Cite AuthorYear="1"&gt;&lt;Author&gt;Mpofu&lt;/Author&gt;&lt;Year&gt;2023&lt;/Year&gt;&lt;RecNum&gt;28&lt;/RecNum&gt;&lt;DisplayText&gt;Mpofu (2023)&lt;/DisplayText&gt;&lt;record&gt;&lt;rec-number&gt;28&lt;/rec-number&gt;&lt;foreign-keys&gt;&lt;key app="EN" db-id="2t52ftddjzwsxoerapx5vrxm2fdzpaza5sva" timestamp="1752330490"&gt;28&lt;/key&gt;&lt;/foreign-keys&gt;&lt;ref-type name="Journal Article"&gt;17&lt;/ref-type&gt;&lt;contributors&gt;&lt;authors&gt;&lt;author&gt;Mpofu, Favourate Y&lt;/author&gt;&lt;/authors&gt;&lt;/contributors&gt;&lt;titles&gt;&lt;title&gt;Digital entrepreneurship, taxation of the digital economy, digital transformation, and sustainable development in Africa&lt;/title&gt;&lt;secondary-title&gt;The Fourth Industrial Revolution in Africa: Exploring the Development Implications of Smart Technologies in Africa&lt;/secondary-title&gt;&lt;/titles&gt;&lt;periodical&gt;&lt;full-title&gt;The Fourth Industrial Revolution in Africa: Exploring the Development Implications of Smart Technologies in Africa&lt;/full-title&gt;&lt;/periodical&gt;&lt;pages&gt;193-219&lt;/pages&gt;&lt;dates&gt;&lt;year&gt;2023&lt;/year&gt;&lt;/dates&gt;&lt;urls&gt;&lt;/urls&gt;&lt;/record&gt;&lt;/Cite&gt;&lt;/EndNote&gt;</w:instrText>
            </w:r>
            <w:r>
              <w:rPr>
                <w:rFonts w:ascii="Calibri" w:hAnsi="Calibri" w:eastAsia="Times New Roman" w:cs="Calibri"/>
                <w:color w:val="auto"/>
                <w:u w:val="none"/>
                <w:lang w:val="en-US"/>
              </w:rPr>
              <w:fldChar w:fldCharType="separate"/>
            </w:r>
            <w:r>
              <w:rPr>
                <w:rFonts w:ascii="Calibri" w:hAnsi="Calibri" w:eastAsia="Times New Roman" w:cs="Calibri"/>
                <w:color w:val="auto"/>
                <w:sz w:val="22"/>
                <w:szCs w:val="22"/>
                <w:u w:val="none"/>
                <w:lang w:val="en-US" w:eastAsia="en-US" w:bidi="ar-SA"/>
              </w:rPr>
              <w:t>Mpofu (2023)</w:t>
            </w:r>
            <w:r>
              <w:rPr>
                <w:rFonts w:ascii="Calibri" w:hAnsi="Calibri" w:eastAsia="Times New Roman" w:cs="Calibri"/>
                <w:color w:val="auto"/>
                <w:u w:val="none"/>
                <w:lang w:val="en-US"/>
              </w:rPr>
              <w:fldChar w:fldCharType="end"/>
            </w:r>
            <w:bookmarkEnd w:id="54"/>
          </w:p>
        </w:tc>
        <w:tc>
          <w:tcPr>
            <w:tcW w:w="1440" w:type="dxa"/>
          </w:tcPr>
          <w:p w14:paraId="7E801A3F">
            <w:pPr>
              <w:spacing w:after="0" w:line="240" w:lineRule="auto"/>
              <w:rPr>
                <w:rFonts w:ascii="Calibri" w:hAnsi="Calibri" w:eastAsia="Times New Roman" w:cs="Calibri"/>
                <w:color w:val="000000"/>
              </w:rPr>
            </w:pPr>
            <w:r>
              <w:rPr>
                <w:rFonts w:ascii="Calibri" w:hAnsi="Calibri" w:eastAsia="Times New Roman" w:cs="Calibri"/>
                <w:color w:val="000000"/>
              </w:rPr>
              <w:t>South Africa</w:t>
            </w:r>
          </w:p>
        </w:tc>
        <w:tc>
          <w:tcPr>
            <w:tcW w:w="999" w:type="dxa"/>
          </w:tcPr>
          <w:p w14:paraId="137BD741">
            <w:pPr>
              <w:spacing w:after="0" w:line="240" w:lineRule="auto"/>
              <w:rPr>
                <w:rFonts w:ascii="Calibri" w:hAnsi="Calibri" w:eastAsia="Times New Roman" w:cs="Calibri"/>
                <w:color w:val="000000"/>
              </w:rPr>
            </w:pPr>
            <w:r>
              <w:rPr>
                <w:rFonts w:ascii="Calibri" w:hAnsi="Calibri" w:eastAsia="Times New Roman" w:cs="Calibri"/>
                <w:color w:val="000000"/>
              </w:rPr>
              <w:t>SDG9</w:t>
            </w:r>
          </w:p>
        </w:tc>
        <w:tc>
          <w:tcPr>
            <w:tcW w:w="1881" w:type="dxa"/>
          </w:tcPr>
          <w:p w14:paraId="10FD8F8A">
            <w:pPr>
              <w:spacing w:after="0" w:line="240" w:lineRule="auto"/>
              <w:rPr>
                <w:rFonts w:ascii="Calibri" w:hAnsi="Calibri" w:eastAsia="Times New Roman" w:cs="Calibri"/>
                <w:color w:val="000000"/>
              </w:rPr>
            </w:pPr>
            <w:r>
              <w:rPr>
                <w:rFonts w:ascii="Calibri" w:hAnsi="Calibri" w:eastAsia="Times New Roman" w:cs="Calibri"/>
                <w:color w:val="000000"/>
              </w:rPr>
              <w:t>Systematic Literature Review (SLR)</w:t>
            </w:r>
          </w:p>
        </w:tc>
        <w:tc>
          <w:tcPr>
            <w:tcW w:w="3019" w:type="dxa"/>
          </w:tcPr>
          <w:p w14:paraId="6A785A13">
            <w:pPr>
              <w:spacing w:after="0" w:line="240" w:lineRule="auto"/>
              <w:rPr>
                <w:rFonts w:ascii="Calibri" w:hAnsi="Calibri" w:eastAsia="Times New Roman" w:cs="Calibri"/>
                <w:color w:val="000000"/>
              </w:rPr>
            </w:pPr>
            <w:r>
              <w:rPr>
                <w:rFonts w:ascii="Calibri" w:hAnsi="Calibri" w:eastAsia="Times New Roman" w:cs="Calibri"/>
                <w:color w:val="000000"/>
              </w:rPr>
              <w:t>FinTech and 4IR expand financial access, but risks include inequality, fraud, and digital exclusion.</w:t>
            </w:r>
          </w:p>
        </w:tc>
      </w:tr>
    </w:tbl>
    <w:p w14:paraId="27D22AFA">
      <w:pPr>
        <w:jc w:val="both"/>
        <w:rPr>
          <w:rFonts w:hint="default" w:ascii="Times New Roman" w:hAnsi="Times New Roman"/>
          <w:sz w:val="24"/>
          <w:szCs w:val="24"/>
          <w:lang w:val="en-US"/>
        </w:rPr>
      </w:pPr>
    </w:p>
    <w:p w14:paraId="24E4E51E">
      <w:pPr>
        <w:pStyle w:val="2"/>
        <w:numPr>
          <w:ilvl w:val="0"/>
          <w:numId w:val="12"/>
        </w:numPr>
        <w:bidi w:val="0"/>
        <w:ind w:left="360" w:leftChars="0" w:hanging="360" w:firstLineChars="0"/>
        <w:rPr>
          <w:rFonts w:hint="default" w:ascii="Times New Roman" w:hAnsi="Times New Roman" w:cs="Times New Roman"/>
          <w:sz w:val="28"/>
          <w:szCs w:val="28"/>
          <w:lang w:val="en-US"/>
        </w:rPr>
      </w:pPr>
      <w:bookmarkStart w:id="55" w:name="_Toc19255"/>
      <w:r>
        <w:rPr>
          <w:rFonts w:hint="default" w:ascii="Times New Roman" w:hAnsi="Times New Roman" w:cs="Times New Roman"/>
          <w:sz w:val="28"/>
          <w:szCs w:val="28"/>
          <w:lang w:val="en-US"/>
        </w:rPr>
        <w:t xml:space="preserve">  </w:t>
      </w:r>
      <w:bookmarkStart w:id="56" w:name="_Toc12512"/>
      <w:r>
        <w:rPr>
          <w:rFonts w:hint="default" w:ascii="Times New Roman" w:hAnsi="Times New Roman" w:cs="Times New Roman"/>
          <w:sz w:val="28"/>
          <w:szCs w:val="28"/>
        </w:rPr>
        <w:t>Theoretical Development in Digital Payment, Technological Innovation, and Financial Inclusion</w:t>
      </w:r>
      <w:bookmarkEnd w:id="55"/>
      <w:bookmarkEnd w:id="56"/>
    </w:p>
    <w:p w14:paraId="3005A99C">
      <w:pPr>
        <w:rPr>
          <w:rFonts w:hint="default" w:ascii="Times New Roman" w:hAnsi="Times New Roman" w:cs="Times New Roman"/>
          <w:sz w:val="28"/>
          <w:szCs w:val="28"/>
          <w:lang w:val="en-US"/>
        </w:rPr>
      </w:pPr>
    </w:p>
    <w:p w14:paraId="7C95953F">
      <w:pPr>
        <w:pStyle w:val="3"/>
        <w:numPr>
          <w:ilvl w:val="0"/>
          <w:numId w:val="13"/>
        </w:numPr>
        <w:ind w:left="360" w:leftChars="0" w:firstLineChars="0"/>
        <w:rPr>
          <w:rFonts w:hint="default" w:ascii="Times New Roman" w:hAnsi="Times New Roman" w:eastAsia="Times New Roman" w:cs="Times New Roman"/>
          <w:sz w:val="24"/>
          <w:szCs w:val="24"/>
        </w:rPr>
      </w:pPr>
      <w:bookmarkStart w:id="57" w:name="_Toc10393"/>
      <w:bookmarkStart w:id="58" w:name="_Toc32358"/>
      <w:r>
        <w:rPr>
          <w:rFonts w:hint="default" w:ascii="Times New Roman" w:hAnsi="Times New Roman" w:eastAsia="Times New Roman" w:cs="Times New Roman"/>
          <w:sz w:val="24"/>
          <w:szCs w:val="24"/>
        </w:rPr>
        <w:t>Innovation Diffusion Theory (IDT)</w:t>
      </w:r>
      <w:bookmarkEnd w:id="57"/>
      <w:bookmarkEnd w:id="58"/>
    </w:p>
    <w:p w14:paraId="10A634CE"/>
    <w:p w14:paraId="19502EFF">
      <w:pPr>
        <w:ind w:firstLine="720" w:firstLineChars="30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Innovation Diffusion Theory (Rogers 1962)) is a detailed explanation of the process in which new ideas and technologies enter societies through the porous filter of societies. The theory is especially important when it comes to explaining why digital payment systems and financial services technology are adopted. In the opinion of IDT, knowledge, persuasion, decision, implementation, and confirmation are five main stages in which the process of adoption occurs. The Innovation Diffusion Theory (IDT) comes in handy to answer this question regarding the correlation of digital payments and Sustainable Development Goals (SDG) 2 (Zero Hunger) and SDG 9 (Industry, Innovation, and Infrastructure).</w:t>
      </w:r>
    </w:p>
    <w:p w14:paraId="21D35013">
      <w:pPr>
        <w:jc w:val="both"/>
        <w:rPr>
          <w:rFonts w:hint="default" w:ascii="Times New Roman" w:hAnsi="Times New Roman"/>
          <w:sz w:val="24"/>
          <w:szCs w:val="24"/>
          <w:lang w:val="en-US"/>
        </w:rPr>
      </w:pPr>
      <w:r>
        <w:rPr>
          <w:rFonts w:hint="default" w:ascii="Times New Roman" w:hAnsi="Times New Roman"/>
          <w:sz w:val="24"/>
          <w:szCs w:val="24"/>
          <w:lang w:val="en-US"/>
        </w:rPr>
        <w:t>The 2 SDG is to eliminate hunger, create food security and have sustainable agriculture. Digital payment complements this agenda through enhancing the level of financial inclusion, efficiency and access to agricultural activities. With the use of IDT adoption Knowledge &amp; Persuasion Farmers and other agricultural businesses get to know about the benefits of digital payments which include secure payments and mobile banking. Decision &amp; Implementation Switching to digital payments will enable farmers to access subsidies, wages and payments on produce with greater speed and certainty, just as adoption stabilizes, digital-payments systems will make available microloans, mobile wallets, and lines of credit, such that small-scale farmers can invest in seeds, tools, and climate-friendly practices. Digital payment lowers business transaction, cuts off intermediaries, and allows buyers and sellers to make direct payments to improve the agricultural business transactions leading to better food security. SDG 9 is about the need to develop a good resilient infrastructure system, inclusive industrialization, and innovation. One of the areas concerned is their digital payments which is significant in this achievement insofar as they lead to adoption of technologies, financial innovations and the development of infrastructure. IDT Knowledge &amp; Persuasion Businesses understand benefits of digital transactions that include reduction of costs, better transparency, and enhance efficiency. Decision &amp; Implementation Decision and implementation are focused on adopting digital payment systems, creating strong e-commerce and supply chain finance along with mobile banking. Using it widely helps create financial stability, promotes more fin tech innovation and development of cashless economies. Digital payments increase the access of entrepreneurs and small businesses to the formal economy and enable them to overcome the hesitation to enter formal economic structures and seek credit and diversify their business, which is a vital step in meeting SDG 9 goals.</w:t>
      </w:r>
    </w:p>
    <w:p w14:paraId="2CBDCCAD">
      <w:pPr>
        <w:jc w:val="both"/>
        <w:rPr>
          <w:rFonts w:hint="default" w:ascii="Times New Roman" w:hAnsi="Times New Roman"/>
          <w:sz w:val="24"/>
          <w:szCs w:val="24"/>
          <w:lang w:val="en-US"/>
        </w:rPr>
      </w:pPr>
      <w:r>
        <w:rPr>
          <w:rFonts w:hint="default" w:ascii="Times New Roman" w:hAnsi="Times New Roman"/>
          <w:sz w:val="24"/>
          <w:szCs w:val="24"/>
          <w:lang w:val="en-US"/>
        </w:rPr>
        <w:t>The SDG related to Digital payments or technological improvements to digital payments (i.e. access to financial services by small-scale farmers and rural societies) is SDG 2. Mobility banking and online transfers help farmers get payment, get access to microloans and also buy agricultural requirements easily. These innovations make food available and economic resistant in undeserved regions because they minimize cash logic and transaction expenses. IDT emphasizes the fact that the implementation of digital payments contributes to SDG 9 that includes financial inclusion and developing an economy with the help of technology. Digital payment infrastructure empowers innovation due to ease of transactions, process efficiency in industries and development of fin tech solutions. Governments and commerce take advantage of the IDT concepts to improve the spread of these technologies at a faster rate with a hope of having a sustainable industrial growth.</w:t>
      </w:r>
    </w:p>
    <w:p w14:paraId="5F0FCC38">
      <w:pPr>
        <w:jc w:val="both"/>
        <w:rPr>
          <w:rFonts w:hint="default" w:ascii="Times New Roman" w:hAnsi="Times New Roman"/>
          <w:sz w:val="24"/>
          <w:szCs w:val="24"/>
          <w:lang w:val="en-US"/>
        </w:rPr>
      </w:pPr>
      <w:r>
        <w:rPr>
          <w:rFonts w:hint="default" w:ascii="Times New Roman" w:hAnsi="Times New Roman"/>
          <w:sz w:val="24"/>
          <w:szCs w:val="24"/>
          <w:lang w:val="en-US"/>
        </w:rPr>
        <w:t>Financial inclusion, at least, in some way, that can be articulated by the Innovation Diffusion Theory (IDT), is instrumental in the achievement of SDG 2 ( Zero Hunger) to allow access to financial resources by providing monetary support and improving economic equipment, lessening economic differences, and supporting sustainable growth. Access to Credit and Investment in Agriculture: Farmers could increase their investment in agriculture through reliable access to credit such as loans, insurance and savings facilities via financial inclusion, providing a boost to agricultural productivity by virtue of better seeds, fertilizers and technology. Risk Reduction and Stability With financial services, farmers will be able to minimize risks of climate change. price volatility due to insurance and savings, which will ensure a food-secured as well as stability. Fair Trade Farmers Having access to finance means that farmers have access to wider markets and need not resort to middlemen, which means that they are able to make more money and hence enhanced food security. SDG 9 (Industry, Innovation, and Infrastructure) Supporting SMEs and Business Actors Financial inclusion allows the exploitation of capital by small businesses and entrepreneurs to implement industrialization and employment strategies and produce an economic boom. Improvement on Technological Innovation The emplacement of financial services leads to digitization of the business, which promotes technological innovation in the supply chain and production processes. Infrastructure Development An expansion in financial services leads to the growth in demand of improved technological and financial infrastructure which fuels a long term industrialization and economic stability.</w:t>
      </w:r>
    </w:p>
    <w:p w14:paraId="3D0658F4">
      <w:pPr>
        <w:ind w:firstLine="720" w:firstLineChars="300"/>
        <w:jc w:val="both"/>
        <w:rPr>
          <w:rFonts w:hint="default" w:ascii="Times New Roman" w:hAnsi="Times New Roman"/>
          <w:sz w:val="24"/>
          <w:szCs w:val="24"/>
          <w:lang w:val="en-US"/>
        </w:rPr>
      </w:pPr>
    </w:p>
    <w:p w14:paraId="63E276EC">
      <w:pPr>
        <w:pStyle w:val="3"/>
        <w:numPr>
          <w:ilvl w:val="0"/>
          <w:numId w:val="14"/>
        </w:numPr>
        <w:ind w:left="360" w:leftChars="0" w:firstLineChars="0"/>
        <w:rPr>
          <w:rFonts w:hint="default" w:ascii="Times New Roman" w:hAnsi="Times New Roman" w:eastAsia="Times New Roman" w:cs="Times New Roman"/>
          <w:sz w:val="24"/>
          <w:szCs w:val="24"/>
        </w:rPr>
      </w:pPr>
      <w:bookmarkStart w:id="59" w:name="_Toc23301"/>
      <w:bookmarkStart w:id="60" w:name="_Toc25840"/>
      <w:r>
        <w:rPr>
          <w:rFonts w:hint="default" w:ascii="Times New Roman" w:hAnsi="Times New Roman" w:eastAsia="Times New Roman" w:cs="Times New Roman"/>
          <w:sz w:val="24"/>
          <w:szCs w:val="24"/>
        </w:rPr>
        <w:t xml:space="preserve">Financial </w:t>
      </w:r>
      <w:r>
        <w:rPr>
          <w:rFonts w:hint="default" w:ascii="Times New Roman" w:hAnsi="Times New Roman" w:eastAsia="Times New Roman" w:cs="Times New Roman"/>
          <w:sz w:val="24"/>
          <w:szCs w:val="24"/>
          <w:lang w:val="en-US"/>
        </w:rPr>
        <w:t>Intermediate</w:t>
      </w:r>
      <w:r>
        <w:rPr>
          <w:rFonts w:hint="default" w:ascii="Times New Roman" w:hAnsi="Times New Roman" w:eastAsia="Times New Roman" w:cs="Times New Roman"/>
          <w:sz w:val="24"/>
          <w:szCs w:val="24"/>
        </w:rPr>
        <w:t xml:space="preserve"> Theory</w:t>
      </w:r>
      <w:bookmarkEnd w:id="59"/>
      <w:bookmarkEnd w:id="60"/>
    </w:p>
    <w:p w14:paraId="322B2779">
      <w:pPr>
        <w:rPr>
          <w:rFonts w:eastAsia="Times New Roman"/>
        </w:rPr>
      </w:pPr>
    </w:p>
    <w:p w14:paraId="4B990D8B">
      <w:pPr>
        <w:ind w:firstLine="720" w:firstLineChars="30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 The Financial </w:t>
      </w:r>
      <w:r>
        <w:rPr>
          <w:rFonts w:hint="default" w:ascii="Times New Roman" w:hAnsi="Times New Roman" w:eastAsia="Times New Roman" w:cs="Times New Roman"/>
          <w:sz w:val="24"/>
          <w:szCs w:val="24"/>
          <w:lang w:val="en-US"/>
        </w:rPr>
        <w:t>Intermediate</w:t>
      </w:r>
      <w:r>
        <w:rPr>
          <w:rFonts w:hint="default" w:ascii="Times New Roman" w:hAnsi="Times New Roman" w:eastAsia="Times New Roman" w:cs="Times New Roman"/>
          <w:sz w:val="24"/>
          <w:szCs w:val="24"/>
        </w:rPr>
        <w:t xml:space="preserve"> Theory (Schumpeter, 1911) explains the role of financial institutions in the economic development of a country due to the efficiency of capital allocation. This theory emphasizes how banks, microfinance institutions and other </w:t>
      </w:r>
      <w:r>
        <w:rPr>
          <w:rFonts w:hint="default" w:ascii="Times New Roman" w:hAnsi="Times New Roman" w:eastAsia="Times New Roman" w:cs="Times New Roman"/>
          <w:sz w:val="24"/>
          <w:szCs w:val="24"/>
          <w:lang w:val="en-US"/>
        </w:rPr>
        <w:t>fin tech</w:t>
      </w:r>
      <w:r>
        <w:rPr>
          <w:rFonts w:hint="default" w:ascii="Times New Roman" w:hAnsi="Times New Roman" w:eastAsia="Times New Roman" w:cs="Times New Roman"/>
          <w:sz w:val="24"/>
          <w:szCs w:val="24"/>
        </w:rPr>
        <w:t xml:space="preserve"> companies mediate and act as an important factor of opening financial inclusion attributed to digital payment solutions. Digital payment systems work optimally with this theory in the sense that the systems enable the </w:t>
      </w:r>
      <w:r>
        <w:rPr>
          <w:rFonts w:hint="default" w:ascii="Times New Roman" w:hAnsi="Times New Roman" w:eastAsia="Times New Roman" w:cs="Times New Roman"/>
          <w:sz w:val="24"/>
          <w:szCs w:val="24"/>
          <w:lang w:val="en-US"/>
        </w:rPr>
        <w:t>unbaked</w:t>
      </w:r>
      <w:r>
        <w:rPr>
          <w:rFonts w:hint="default" w:ascii="Times New Roman" w:hAnsi="Times New Roman" w:eastAsia="Times New Roman" w:cs="Times New Roman"/>
          <w:sz w:val="24"/>
          <w:szCs w:val="24"/>
        </w:rPr>
        <w:t xml:space="preserve"> and </w:t>
      </w:r>
      <w:r>
        <w:rPr>
          <w:rFonts w:hint="default" w:ascii="Times New Roman" w:hAnsi="Times New Roman" w:eastAsia="Times New Roman" w:cs="Times New Roman"/>
          <w:sz w:val="24"/>
          <w:szCs w:val="24"/>
          <w:lang w:val="en-US"/>
        </w:rPr>
        <w:t>under-banked</w:t>
      </w:r>
      <w:r>
        <w:rPr>
          <w:rFonts w:hint="default" w:ascii="Times New Roman" w:hAnsi="Times New Roman" w:eastAsia="Times New Roman" w:cs="Times New Roman"/>
          <w:sz w:val="24"/>
          <w:szCs w:val="24"/>
        </w:rPr>
        <w:t xml:space="preserve"> people to access finance.</w:t>
      </w:r>
    </w:p>
    <w:p w14:paraId="61C55140">
      <w:pPr>
        <w:jc w:val="both"/>
        <w:rPr>
          <w:rFonts w:hint="default" w:ascii="Times New Roman" w:hAnsi="Times New Roman"/>
          <w:sz w:val="24"/>
          <w:szCs w:val="24"/>
          <w:lang w:val="en-US"/>
        </w:rPr>
      </w:pPr>
      <w:r>
        <w:rPr>
          <w:rFonts w:hint="default" w:ascii="Times New Roman" w:hAnsi="Times New Roman"/>
          <w:sz w:val="24"/>
          <w:szCs w:val="24"/>
          <w:lang w:val="en-US"/>
        </w:rPr>
        <w:t>Digital payment systems are also relevant to SDG 2 as it can improve the financial access of the farmers, agribusinesses, and communities in rural areas. The smallholder farmers can be assisted to obtain timely payments, credit, and investments in improved agricultural inputs through mobile banking, digital wallets, and microfinance-based solutions. The benefits of digital intermediate have been seen to lower financial exclusion which would allow the farmers to access loans, quality seeds as well as ensure modern farming methods, and eventually lead to increased food output and eliminate hunger. Digital financial intermediate corresponds to SDG 9 because it may enhance innovations in the financial services, better economic infrastructure, and sustainable industrialization. The emergence of digital payment platforms promotes financial inclusion, as processors of people and small businesses expand, get access to capital, and invest in technology-enhanced solutions. The fin tech innovations make financial systems stronger and capable of facilitating industrial growth and economic growth due to the reduced transaction cost and the use of AI in deriving credit assessment.</w:t>
      </w:r>
    </w:p>
    <w:p w14:paraId="54384AF1">
      <w:pPr>
        <w:jc w:val="both"/>
        <w:rPr>
          <w:rFonts w:hint="default" w:ascii="Times New Roman" w:hAnsi="Times New Roman"/>
          <w:sz w:val="24"/>
          <w:szCs w:val="24"/>
          <w:lang w:val="en-US"/>
        </w:rPr>
      </w:pPr>
      <w:r>
        <w:rPr>
          <w:rFonts w:hint="default" w:ascii="Times New Roman" w:hAnsi="Times New Roman"/>
          <w:sz w:val="24"/>
          <w:szCs w:val="24"/>
          <w:lang w:val="en-US"/>
        </w:rPr>
        <w:t>Example of technological innovation in facilitating agricultural finance under the SDG 2 (Zero Hunger) - Financial innovations in the form of AI-powered credit scoring, smart contracts via block chain platforms and satellite imagery to establish agricultural lending expose smallholder farmers to more sources of finance. The technologies assist in curbing the risks faced as well as enhance the allocation of resources and also the agricultural productivity which is essential in endeavoring the challenges of food security. Through skillful directing of investment to agricultural sector, financial intermediate falls along the theory concept of Schumpeter that leads to sustainable growth and innovation in producing food. Industrialization and Infrastructure- In order to achieve the SDG 9, technological innovations in financial intermediary such as block chain trade finance, AI media lending, and digital supply chain financing enables investments in industry and infrastructure. They are innovations, which enhance capital allocation in manufacturing, energy, and transport industry to meet sustainable industrialization. Financial intermediate provides effective induction of funds on the entrepreneurs, startups and SMEs resulting in technological advancements and economic strengths and this contributes well to the concept of Schumpeter who envisioned development to be made through infusion of innovation into the economy.</w:t>
      </w:r>
    </w:p>
    <w:p w14:paraId="00971299">
      <w:pPr>
        <w:jc w:val="both"/>
        <w:rPr>
          <w:rFonts w:hint="default" w:ascii="Times New Roman" w:hAnsi="Times New Roman"/>
          <w:sz w:val="24"/>
          <w:szCs w:val="24"/>
          <w:lang w:val="en-US"/>
        </w:rPr>
      </w:pPr>
      <w:r>
        <w:rPr>
          <w:rFonts w:hint="default" w:ascii="Times New Roman" w:hAnsi="Times New Roman"/>
          <w:sz w:val="24"/>
          <w:szCs w:val="24"/>
          <w:lang w:val="en-US"/>
        </w:rPr>
        <w:t>Goods and services provided through Financial Inclusion motivate economic growth due to an efficient way of allocating funds. Capital Allocation to Unjustified Populations Financial intermediate helps the marginalized populations get access to credit, which helps them participate in the economic process and become entrepreneurs. Financial Intermediaries like banks and micro finance intercede between the financial risks; this makes the economy in vulnerable sectors economically stable. Improving Access to Savings and Investment Financial services enable both individuals and firms to accumulate capital over time which can create economic growth and innovation in the long term. SDG 2 (Zero Hunger): Financial inclusion allows farmers/smallholders and agribusiness to gain access to credit, insurance, and investment and thus increases food security and agricultural productivity. Farmers with better financial means will be able to purchase high-quality seeds, modern equipments, and sustainable operation in farming, which eventually ensures improved food productivity, and alleviated hunger. SDG 9 (Industry, Innovation, and Infrastructure): Wider access to financial facilities promotes entrepreneurship, industrialization and technological innovation. With the financial inclusion of businesses, especially SMEs, one can source funds to grow the company, acquire new technologies, and modernize the infrastructure, creating economic growth and innovation.</w:t>
      </w:r>
    </w:p>
    <w:p w14:paraId="139C7BFC">
      <w:pPr>
        <w:pStyle w:val="3"/>
        <w:numPr>
          <w:ilvl w:val="0"/>
          <w:numId w:val="15"/>
        </w:numPr>
        <w:ind w:left="360" w:leftChars="0" w:firstLineChars="0"/>
        <w:rPr>
          <w:rFonts w:hint="default" w:ascii="Times New Roman" w:hAnsi="Times New Roman" w:eastAsia="Times New Roman" w:cs="Times New Roman"/>
          <w:sz w:val="24"/>
          <w:szCs w:val="24"/>
        </w:rPr>
      </w:pPr>
      <w:bookmarkStart w:id="61" w:name="_Toc15112"/>
      <w:bookmarkStart w:id="62" w:name="_Toc872"/>
      <w:r>
        <w:rPr>
          <w:rFonts w:hint="default" w:ascii="Times New Roman" w:hAnsi="Times New Roman" w:eastAsia="Times New Roman" w:cs="Times New Roman"/>
          <w:sz w:val="24"/>
          <w:szCs w:val="24"/>
        </w:rPr>
        <w:t>Resource-Based View (RBV) of Competitive Advantage</w:t>
      </w:r>
      <w:bookmarkEnd w:id="61"/>
      <w:bookmarkEnd w:id="62"/>
    </w:p>
    <w:p w14:paraId="244B8A55">
      <w:pPr>
        <w:ind w:firstLine="720" w:firstLineChars="300"/>
        <w:jc w:val="both"/>
        <w:rPr>
          <w:rFonts w:hint="default" w:ascii="Times New Roman" w:hAnsi="Times New Roman"/>
          <w:sz w:val="24"/>
          <w:szCs w:val="24"/>
          <w:lang w:val="en-US"/>
        </w:rPr>
      </w:pPr>
    </w:p>
    <w:p w14:paraId="23BEFD1B">
      <w:pPr>
        <w:ind w:firstLine="720" w:firstLineChars="300"/>
        <w:jc w:val="both"/>
        <w:rPr>
          <w:rFonts w:hint="default" w:ascii="Times New Roman" w:hAnsi="Times New Roman"/>
          <w:sz w:val="24"/>
          <w:szCs w:val="24"/>
          <w:lang w:val="en-US"/>
        </w:rPr>
      </w:pPr>
      <w:r>
        <w:rPr>
          <w:rFonts w:hint="default" w:ascii="Times New Roman" w:hAnsi="Times New Roman"/>
          <w:sz w:val="24"/>
          <w:szCs w:val="24"/>
          <w:lang w:val="en-US"/>
        </w:rPr>
        <w:t xml:space="preserve">Resource-Based View (RBV) of Competitive Advantage (Barney, 1991) is a set of beliefs which suggests firms maintain leadership in the market because they pursue their unique resources and capabilities proficiently. RBV provides an important insight into the issue of differentiation and competitiveness of companies in the environment of digital payments and fin tech. Unlike the conventional models, RBV emphasizes how digital payment companies could use technology, information and safe platforms to generate long-term competitive advantages. Simply, such innovations play a direct role in financial inclusion that promotes agricultural development (SDG 2) and industrialization (SDG 9) by offering smooth and safe financial inclusion that is inclusive at participating in it. SDG 2 Financial Access to Farmers and Rural Population Digital payments make transactions safe and convenient so that smallholder farmers can use government subsidies, pay to the market and receive financial services, without having to rely on cash. </w:t>
      </w:r>
    </w:p>
    <w:p w14:paraId="0A7A6F9A">
      <w:pPr>
        <w:jc w:val="both"/>
        <w:rPr>
          <w:rFonts w:hint="default" w:ascii="Times New Roman" w:hAnsi="Times New Roman"/>
          <w:sz w:val="24"/>
          <w:szCs w:val="24"/>
          <w:lang w:val="en-US"/>
        </w:rPr>
      </w:pPr>
      <w:r>
        <w:rPr>
          <w:rFonts w:hint="default" w:ascii="Times New Roman" w:hAnsi="Times New Roman"/>
          <w:sz w:val="24"/>
          <w:szCs w:val="24"/>
          <w:lang w:val="en-US"/>
        </w:rPr>
        <w:t>Improved Trade in Agriculture Mobile Payment services enable the farmers, suppliers and buyers to transact business conveniently with the advantage of increasing efficiency in the supply chain and minimizing loss. Risk Reduction and Food Security AI-based financial analytic will allow farmers to get access to credit and insurance, decrease financial risks, and will preserve the food security. SDG 9 Innovation in Financial Services RBV makes more emphasis on the technological expertise as competitive advantage. Digital payment solutions incorporate the use of artificial intelligence, block chain and cyber security to increase the security of transactions, efficiency and accessibility, to spur the development of financial infrastructure. Strengthen weaker actors in the economy: Using digital payment systems, and even in Washington or reporting, makes it easy to access financial services by companies and facilitates entrepreneurship and industry growth. Infrastructure Development As the digital transactions grow there is a growing need to have a solid financial infrastructure that supports the SDG 9 objective of promoting resilient innovation economic models.</w:t>
      </w:r>
    </w:p>
    <w:p w14:paraId="5A52578E">
      <w:pPr>
        <w:jc w:val="both"/>
        <w:rPr>
          <w:rFonts w:hint="default" w:ascii="Times New Roman" w:hAnsi="Times New Roman"/>
          <w:sz w:val="24"/>
          <w:szCs w:val="24"/>
          <w:lang w:val="en-US"/>
        </w:rPr>
      </w:pPr>
      <w:r>
        <w:rPr>
          <w:rFonts w:hint="default" w:ascii="Times New Roman" w:hAnsi="Times New Roman"/>
          <w:sz w:val="24"/>
          <w:szCs w:val="24"/>
          <w:lang w:val="en-US"/>
        </w:rPr>
        <w:t>RBV emphasizes the point that fin tech companies which take advantage of Technological Innovation, data analytic, cyber security, and customer-concentric innovation get a competitive edge, at the same time enlarging the number of people included into the financial sector. This will contribute to the achievement of SDG 2 since it will empower small scale farmers and SDG 9 by developing sound financial infrastructure, industrialization of the economy, and economic stability. SDG 2 (Zero Hunger) Financial Access for Farmers Using digital financial services, smallholder farmers can access credit through AI-based credit scoring and self-executing smart contracts based on block-chains to maintain their farms, acquire inputs, deal with vulnerability. Supply Chain Optimization Fin tech companies use data analytic to facilitate the agricultural trade and optimize the food supply chain, thus alleviating food post-harvest losses and messing food distribution. SDG 9 (Industry, Innovation, and Infrastructure) Digital Infrastructure as a Competitive Resource Fin tech firms spend on safe payment systems, artificial intelligence-based fraud prevention, and decentralized finance (DeFi) networks, which raise industrial financial inclusion. Encouraging Technology Innovation The financial technology companies employ block chain, biometric authentication as well as real-time analytic in developing efficient financial services, encouraging robust infrastructure and economic development.</w:t>
      </w:r>
    </w:p>
    <w:p w14:paraId="520B87A9">
      <w:pPr>
        <w:jc w:val="both"/>
        <w:rPr>
          <w:rFonts w:hint="default" w:ascii="Times New Roman" w:hAnsi="Times New Roman"/>
          <w:sz w:val="24"/>
          <w:szCs w:val="24"/>
          <w:lang w:val="en-US"/>
        </w:rPr>
      </w:pPr>
      <w:r>
        <w:rPr>
          <w:rFonts w:hint="default" w:ascii="Times New Roman" w:hAnsi="Times New Roman"/>
          <w:sz w:val="24"/>
          <w:szCs w:val="24"/>
          <w:lang w:val="en-US"/>
        </w:rPr>
        <w:t>Resource-Based View (RBV) of Competitive Advantage deals with the explanation of how firms can utilize their different resources uniquely to achieve a sustainable competitive advantage. Regarding the financial inclusion, SDG 2 (Zero Hunger), the credit ratings based on AI can be used to provide loans to farmers enabling better access to funding and boosting the agricultural outputs, through RBV Technological Expertise in Agricultural Finance, financial institutions and fin tech firms can offer loans to farmers using AI-driven. Data Analytic of Food Security Advanced analytic assists financial institutions to quantify risk and distribute resources wisely so that small-scale farmers get funds to improve the volume of their crops. Safe Trade Platforms in Agricultural Markets Digital financial services can decrease transaction frauds and inefficiency in agricultural trade system please find more detail about Agricultural Markets digital financial services as the guarantee of fair trading and the stabilization of food supply chains. SDG 9 (Industry, Innovation, and Infrastructure) with RBV Investment in Digital Infrastructure The fin tech firms enable financial inclusion using secure payment services, mobile banking, and AI-based customer support to improve inclusive in the economy on the industrial front. Innovation to propel SMEs Growth Investments in customer-concentric digital financial products by SME Growth Companies in the form of mobile wallets and peer-to-peer lending allow business to proliferate and industrialize. Brand Reputation and Trust in Financial Services a robust financial system comprising of regulatory compliance and cyber security will promote wider financial inclusion and curtail financial inequities, leading to sustainable growth in infrastructure.</w:t>
      </w:r>
    </w:p>
    <w:p w14:paraId="243093E9">
      <w:pPr>
        <w:rPr>
          <w:b w:val="0"/>
          <w:bCs w:val="0"/>
          <w:sz w:val="24"/>
          <w:szCs w:val="24"/>
        </w:rPr>
      </w:pPr>
    </w:p>
    <w:p w14:paraId="7975EF9E">
      <w:pPr>
        <w:rPr>
          <w:b w:val="0"/>
          <w:bCs w:val="0"/>
          <w:sz w:val="24"/>
          <w:szCs w:val="24"/>
        </w:rPr>
      </w:pPr>
    </w:p>
    <w:p w14:paraId="08EB0DE4">
      <w:pPr>
        <w:rPr>
          <w:b w:val="0"/>
          <w:bCs w:val="0"/>
          <w:sz w:val="24"/>
          <w:szCs w:val="24"/>
        </w:rPr>
      </w:pPr>
    </w:p>
    <w:p w14:paraId="547E33A7">
      <w:pPr>
        <w:rPr>
          <w:b w:val="0"/>
          <w:bCs w:val="0"/>
          <w:sz w:val="24"/>
          <w:szCs w:val="24"/>
        </w:rPr>
      </w:pPr>
    </w:p>
    <w:p w14:paraId="51411B7A">
      <w:pPr>
        <w:rPr>
          <w:b w:val="0"/>
          <w:bCs w:val="0"/>
          <w:sz w:val="24"/>
          <w:szCs w:val="24"/>
        </w:rPr>
      </w:pPr>
    </w:p>
    <w:p w14:paraId="13BE9E4C">
      <w:pPr>
        <w:rPr>
          <w:b w:val="0"/>
          <w:bCs w:val="0"/>
          <w:sz w:val="24"/>
          <w:szCs w:val="24"/>
        </w:rPr>
      </w:pPr>
    </w:p>
    <w:p w14:paraId="3523C6D4">
      <w:pPr>
        <w:rPr>
          <w:b w:val="0"/>
          <w:bCs w:val="0"/>
          <w:sz w:val="24"/>
          <w:szCs w:val="24"/>
        </w:rPr>
      </w:pPr>
    </w:p>
    <w:p w14:paraId="5E796F0E">
      <w:pPr>
        <w:rPr>
          <w:b w:val="0"/>
          <w:bCs w:val="0"/>
          <w:sz w:val="24"/>
          <w:szCs w:val="24"/>
        </w:rPr>
      </w:pPr>
    </w:p>
    <w:p w14:paraId="3A02D47C">
      <w:pPr>
        <w:rPr>
          <w:b w:val="0"/>
          <w:bCs w:val="0"/>
          <w:sz w:val="24"/>
          <w:szCs w:val="24"/>
        </w:rPr>
      </w:pPr>
    </w:p>
    <w:p w14:paraId="51B1D4C3">
      <w:pPr>
        <w:rPr>
          <w:b w:val="0"/>
          <w:bCs w:val="0"/>
          <w:sz w:val="24"/>
          <w:szCs w:val="24"/>
        </w:rPr>
      </w:pPr>
    </w:p>
    <w:p w14:paraId="14FA5780">
      <w:pPr>
        <w:pStyle w:val="2"/>
        <w:jc w:val="center"/>
        <w:rPr>
          <w:rFonts w:hint="default" w:ascii="Times New Roman" w:hAnsi="Times New Roman" w:cs="Times New Roman"/>
          <w:sz w:val="28"/>
          <w:szCs w:val="28"/>
          <w:u w:val="single"/>
        </w:rPr>
      </w:pPr>
      <w:bookmarkStart w:id="63" w:name="_Toc8267"/>
      <w:bookmarkStart w:id="64" w:name="_Toc26107"/>
      <w:r>
        <w:rPr>
          <w:rFonts w:hint="default" w:ascii="Times New Roman" w:hAnsi="Times New Roman" w:cs="Times New Roman"/>
          <w:sz w:val="28"/>
          <w:szCs w:val="28"/>
          <w:u w:val="single"/>
        </w:rPr>
        <w:t>Chapter -3: Data &amp; methodology of the study</w:t>
      </w:r>
      <w:bookmarkEnd w:id="63"/>
      <w:bookmarkEnd w:id="64"/>
    </w:p>
    <w:p w14:paraId="6387BF17">
      <w:pPr>
        <w:pStyle w:val="2"/>
        <w:numPr>
          <w:ilvl w:val="0"/>
          <w:numId w:val="16"/>
        </w:numPr>
        <w:ind w:left="360" w:leftChars="0" w:firstLineChars="0"/>
        <w:rPr>
          <w:rFonts w:hint="default" w:ascii="Times New Roman" w:hAnsi="Times New Roman" w:cs="Times New Roman"/>
          <w:sz w:val="28"/>
          <w:szCs w:val="28"/>
        </w:rPr>
      </w:pPr>
      <w:bookmarkStart w:id="65" w:name="_Toc6913"/>
      <w:bookmarkStart w:id="66" w:name="_Toc3724"/>
      <w:r>
        <w:rPr>
          <w:rFonts w:hint="default" w:ascii="Times New Roman" w:hAnsi="Times New Roman" w:cs="Times New Roman"/>
          <w:sz w:val="28"/>
          <w:szCs w:val="28"/>
        </w:rPr>
        <w:t>Variable measurement</w:t>
      </w:r>
      <w:bookmarkEnd w:id="65"/>
      <w:bookmarkEnd w:id="66"/>
    </w:p>
    <w:p w14:paraId="3B84D325"/>
    <w:p w14:paraId="3D31869A">
      <w:pPr>
        <w:pStyle w:val="19"/>
        <w:keepNext/>
        <w:keepLines/>
        <w:numPr>
          <w:ilvl w:val="0"/>
          <w:numId w:val="17"/>
        </w:numPr>
        <w:spacing w:before="40" w:after="0"/>
        <w:ind w:left="360" w:leftChars="0" w:firstLineChars="0"/>
        <w:outlineLvl w:val="1"/>
        <w:rPr>
          <w:rFonts w:hint="default" w:ascii="Times New Roman" w:hAnsi="Times New Roman" w:eastAsia="Times New Roman" w:cs="Times New Roman"/>
          <w:color w:val="2E75B6" w:themeColor="accent1" w:themeShade="BF"/>
          <w:sz w:val="24"/>
          <w:szCs w:val="24"/>
        </w:rPr>
      </w:pPr>
      <w:bookmarkStart w:id="67" w:name="_Toc21987"/>
      <w:bookmarkStart w:id="68" w:name="_Toc7689"/>
      <w:r>
        <w:rPr>
          <w:rFonts w:hint="default" w:ascii="Times New Roman" w:hAnsi="Times New Roman" w:eastAsia="Times New Roman" w:cs="Times New Roman"/>
          <w:color w:val="2E75B6" w:themeColor="accent1" w:themeShade="BF"/>
          <w:sz w:val="24"/>
          <w:szCs w:val="24"/>
        </w:rPr>
        <w:t>Digital Payment</w:t>
      </w:r>
      <w:bookmarkEnd w:id="67"/>
      <w:r>
        <w:rPr>
          <w:rFonts w:hint="default" w:ascii="Times New Roman" w:hAnsi="Times New Roman" w:eastAsia="Times New Roman" w:cs="Times New Roman"/>
          <w:color w:val="2E75B6" w:themeColor="accent1" w:themeShade="BF"/>
          <w:sz w:val="24"/>
          <w:szCs w:val="24"/>
        </w:rPr>
        <w:t xml:space="preserve"> </w:t>
      </w:r>
      <w:bookmarkEnd w:id="68"/>
    </w:p>
    <w:p w14:paraId="2A5B2138">
      <w:pPr>
        <w:pStyle w:val="19"/>
        <w:keepNext/>
        <w:keepLines/>
        <w:numPr>
          <w:ilvl w:val="0"/>
          <w:numId w:val="0"/>
        </w:numPr>
        <w:spacing w:before="40" w:after="0"/>
        <w:ind w:left="720" w:leftChars="0"/>
        <w:outlineLvl w:val="1"/>
        <w:rPr>
          <w:rFonts w:eastAsia="Times New Roman" w:asciiTheme="majorHAnsi" w:hAnsiTheme="majorHAnsi" w:cstheme="majorBidi"/>
          <w:color w:val="2E75B6" w:themeColor="accent1" w:themeShade="BF"/>
          <w:sz w:val="26"/>
          <w:szCs w:val="26"/>
        </w:rPr>
      </w:pPr>
    </w:p>
    <w:p w14:paraId="460D6B85">
      <w:pPr>
        <w:bidi w:val="0"/>
        <w:ind w:firstLine="600" w:firstLineChars="250"/>
        <w:jc w:val="both"/>
        <w:rPr>
          <w:rFonts w:hint="default" w:ascii="Times New Roman" w:hAnsi="Times New Roman" w:cs="Times New Roman"/>
          <w:sz w:val="24"/>
          <w:szCs w:val="24"/>
        </w:rPr>
      </w:pPr>
      <w:r>
        <w:rPr>
          <w:rFonts w:hint="default" w:ascii="Times New Roman" w:hAnsi="Times New Roman" w:cs="Times New Roman"/>
          <w:sz w:val="24"/>
          <w:szCs w:val="24"/>
        </w:rPr>
        <w:t xml:space="preserve">Digital payments are financial exchanges done digitally dispensing with the physical exchange of cash. All these transactions can be executed through mobile banking, e-wallet application, internet banking, contactable card, and block-chain-based systems. Payments have become easy more efficient and can also help in economic development by lowering the cost of transactions and being transparent thanks to the digital payments Digital payments have become popular all around the world because they are convenient, make transactions secure and transactions are real-time Digital payments have also made it easy to access financial services with ease and transactions are now more efficient and safe and digital payment is helping in enhancing the economy by reducing cost of transactions and offering and promoting transparency Digital finance has changed the world with economies of countries being affected, closing loopholes in finances, especially in the </w:t>
      </w:r>
      <w:r>
        <w:rPr>
          <w:rFonts w:hint="default" w:ascii="Times New Roman" w:hAnsi="Times New Roman"/>
          <w:sz w:val="24"/>
          <w:szCs w:val="24"/>
        </w:rPr>
        <w:t>developing countries. Financial institutions and governments are making use of digital payment to boost the funds</w:t>
      </w:r>
      <w:r>
        <w:rPr>
          <w:rFonts w:hint="default" w:ascii="Times New Roman" w:hAnsi="Times New Roman" w:cs="Times New Roman"/>
          <w:sz w:val="24"/>
          <w:szCs w:val="24"/>
        </w:rPr>
        <w:t xml:space="preserve"> inclusion, fighting corruption, and simplifying the administrative process of issuing government benefits.</w:t>
      </w:r>
    </w:p>
    <w:p w14:paraId="3A0D9107">
      <w:pPr>
        <w:bidi w:val="0"/>
        <w:jc w:val="both"/>
        <w:rPr>
          <w:rFonts w:hint="default" w:ascii="Times New Roman" w:hAnsi="Times New Roman"/>
          <w:b/>
          <w:bCs/>
          <w:sz w:val="24"/>
          <w:szCs w:val="24"/>
          <w:u w:val="single"/>
        </w:rPr>
      </w:pPr>
      <w:r>
        <w:rPr>
          <w:rFonts w:hint="default" w:ascii="Times New Roman" w:hAnsi="Times New Roman"/>
          <w:b/>
          <w:bCs/>
          <w:sz w:val="24"/>
          <w:szCs w:val="24"/>
          <w:u w:val="single"/>
        </w:rPr>
        <w:t>Measures of Digital Payment Systems</w:t>
      </w:r>
    </w:p>
    <w:p w14:paraId="64057372">
      <w:pPr>
        <w:bidi w:val="0"/>
        <w:jc w:val="both"/>
        <w:rPr>
          <w:rFonts w:hint="default" w:ascii="Times New Roman" w:hAnsi="Times New Roman"/>
          <w:sz w:val="24"/>
          <w:szCs w:val="24"/>
        </w:rPr>
      </w:pPr>
      <w:r>
        <w:rPr>
          <w:rFonts w:hint="default" w:ascii="Times New Roman" w:hAnsi="Times New Roman"/>
          <w:sz w:val="24"/>
          <w:szCs w:val="24"/>
        </w:rPr>
        <w:t xml:space="preserve">Production and Utilization Statistics Digital Payment penetration Rate This is a measure of how many people are utilizing the digital payment systems which is an indication of adoption. Digital Transactions per Capital Tracks the rate of digital usage in payment among individuals thereby signifying the changing behavior towards a cashless environment. The share of businesses that allow digital payments: The share shows to what degree the businesses use electronic payment services, allowing them to transact finances more easily. Digital Wallet Users Growth Rate Evaluates the Process of Switching to e-wallets as an alternative to classic bank services, gives a clear picture of changing customer preferences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AuthorYear="1"&gt;&lt;Author&gt;Dikshit&lt;/Author&gt;&lt;Year&gt;2021&lt;/Year&gt;&lt;RecNum&gt;96&lt;/RecNum&gt;&lt;DisplayText&gt;Dikshit and Pandey (2021)&lt;/DisplayText&gt;&lt;record&gt;&lt;rec-number&gt;96&lt;/rec-number&gt;&lt;foreign-keys&gt;&lt;key app="EN" db-id="2t52ftddjzwsxoerapx5vrxm2fdzpaza5sva" timestamp="1752418543"&gt;96&lt;/key&gt;&lt;/foreign-keys&gt;&lt;ref-type name="Journal Article"&gt;17&lt;/ref-type&gt;&lt;contributors&gt;&lt;authors&gt;&lt;author&gt;Dikshit, Smita&lt;/author&gt;&lt;author&gt;Pandey, AC&lt;/author&gt;&lt;/authors&gt;&lt;/contributors&gt;&lt;titles&gt;&lt;title&gt;Role of financial inclusion in realising sustainable development goals (SDGs)&lt;/title&gt;&lt;secondary-title&gt;International journal of research in finance and management&lt;/secondary-title&gt;&lt;/titles&gt;&lt;periodical&gt;&lt;full-title&gt;International journal of research in finance and management&lt;/full-title&gt;&lt;/periodical&gt;&lt;pages&gt;35-39&lt;/pages&gt;&lt;volume&gt;4&lt;/volume&gt;&lt;number&gt;2&lt;/number&gt;&lt;dates&gt;&lt;year&gt;2021&lt;/year&gt;&lt;/dates&gt;&lt;urls&gt;&lt;/urls&gt;&lt;/record&gt;&lt;/Cite&gt;&lt;/EndNote&gt;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Dikshit and Pandey (2021)</w:t>
      </w:r>
      <w:r>
        <w:rPr>
          <w:rFonts w:hint="default" w:ascii="Times New Roman" w:hAnsi="Times New Roman"/>
          <w:sz w:val="24"/>
          <w:szCs w:val="24"/>
          <w:lang w:val="en-US"/>
        </w:rPr>
        <w:fldChar w:fldCharType="end"/>
      </w:r>
      <w:r>
        <w:rPr>
          <w:rFonts w:hint="default" w:ascii="Times New Roman" w:hAnsi="Times New Roman"/>
          <w:sz w:val="24"/>
          <w:szCs w:val="24"/>
        </w:rPr>
        <w:t xml:space="preserve"> .</w:t>
      </w:r>
    </w:p>
    <w:p w14:paraId="0550DEAA">
      <w:pPr>
        <w:bidi w:val="0"/>
        <w:jc w:val="both"/>
        <w:rPr>
          <w:rFonts w:hint="default" w:ascii="Times New Roman" w:hAnsi="Times New Roman"/>
          <w:sz w:val="24"/>
          <w:szCs w:val="24"/>
          <w:lang w:val="en-US"/>
        </w:rPr>
      </w:pPr>
      <w:r>
        <w:rPr>
          <w:rFonts w:hint="default" w:ascii="Times New Roman" w:hAnsi="Times New Roman"/>
          <w:sz w:val="24"/>
          <w:szCs w:val="24"/>
        </w:rPr>
        <w:t xml:space="preserve">Efficiency and Security Metrics transaction Processing Speed Meets how digital transactions are carried out because they </w:t>
      </w:r>
      <w:r>
        <w:rPr>
          <w:rFonts w:hint="default" w:ascii="Times New Roman" w:hAnsi="Times New Roman"/>
          <w:sz w:val="24"/>
          <w:szCs w:val="24"/>
          <w:lang w:val="en-US"/>
        </w:rPr>
        <w:t>should</w:t>
      </w:r>
      <w:r>
        <w:rPr>
          <w:rFonts w:hint="default" w:ascii="Times New Roman" w:hAnsi="Times New Roman"/>
          <w:sz w:val="24"/>
          <w:szCs w:val="24"/>
        </w:rPr>
        <w:t xml:space="preserve"> </w:t>
      </w:r>
      <w:r>
        <w:rPr>
          <w:rFonts w:hint="default" w:ascii="Times New Roman" w:hAnsi="Times New Roman"/>
          <w:sz w:val="24"/>
          <w:szCs w:val="24"/>
          <w:lang w:val="en-US"/>
        </w:rPr>
        <w:t>no</w:t>
      </w:r>
      <w:r>
        <w:rPr>
          <w:rFonts w:hint="default" w:ascii="Times New Roman" w:hAnsi="Times New Roman"/>
          <w:sz w:val="24"/>
          <w:szCs w:val="24"/>
        </w:rPr>
        <w:t xml:space="preserve">t be troublesome to accomplish payment successfully. Transaction Failure Rate is the ratio of any transaction failure or reversal and a measure of an area that should be positively addressed by the system. Cyber security Incidents in Digital Payments It tracks incidences related to fraud and phishing and cyber threats in platforms handling digital payments that place a lot of weight on inclusion of strong security. Cost per Digital Transaction Analyzes the charges of various online payment techniques and evaluates the affordability rate and competitiveness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AuthorYear="1"&gt;&lt;Author&gt;Mpofu&lt;/Author&gt;&lt;Year&gt;2022&lt;/Year&gt;&lt;RecNum&gt;21&lt;/RecNum&gt;&lt;DisplayText&gt;Mpofu and Mhlanga (2022)&lt;/DisplayText&gt;&lt;record&gt;&lt;rec-number&gt;21&lt;/rec-number&gt;&lt;foreign-keys&gt;&lt;key app="EN" db-id="2t52ftddjzwsxoerapx5vrxm2fdzpaza5sva" timestamp="1752328731"&gt;21&lt;/key&gt;&lt;/foreign-keys&gt;&lt;ref-type name="Journal Article"&gt;17&lt;/ref-type&gt;&lt;contributors&gt;&lt;authors&gt;&lt;author&gt;Mpofu, Favourate Y&lt;/author&gt;&lt;author&gt;Mhlanga, David&lt;/author&gt;&lt;/authors&gt;&lt;/contributors&gt;&lt;titles&gt;&lt;title&gt;Digital financial inclusion, digital financial services tax and financial inclusion in the fourth industrial revolution era in Africa&lt;/title&gt;&lt;secondary-title&gt;Economies&lt;/secondary-title&gt;&lt;/titles&gt;&lt;periodical&gt;&lt;full-title&gt;Economies&lt;/full-title&gt;&lt;/periodical&gt;&lt;pages&gt;184&lt;/pages&gt;&lt;volume&gt;10&lt;/volume&gt;&lt;number&gt;8&lt;/number&gt;&lt;dates&gt;&lt;year&gt;2022&lt;/year&gt;&lt;/dates&gt;&lt;isbn&gt;2227-7099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Mpofu and Mhlanga (2022)</w:t>
      </w:r>
      <w:r>
        <w:rPr>
          <w:rFonts w:hint="default" w:ascii="Times New Roman" w:hAnsi="Times New Roman"/>
          <w:sz w:val="24"/>
          <w:szCs w:val="24"/>
          <w:lang w:val="en-US"/>
        </w:rPr>
        <w:fldChar w:fldCharType="end"/>
      </w:r>
      <w:r>
        <w:rPr>
          <w:rFonts w:hint="default" w:ascii="Times New Roman" w:hAnsi="Times New Roman"/>
          <w:sz w:val="24"/>
          <w:szCs w:val="24"/>
        </w:rPr>
        <w:t xml:space="preserve"> </w:t>
      </w:r>
      <w:r>
        <w:rPr>
          <w:rFonts w:hint="default" w:ascii="Times New Roman" w:hAnsi="Times New Roman"/>
          <w:sz w:val="24"/>
          <w:szCs w:val="24"/>
          <w:lang w:val="en-US"/>
        </w:rPr>
        <w:t>.</w:t>
      </w:r>
    </w:p>
    <w:p w14:paraId="306E124A">
      <w:pPr>
        <w:bidi w:val="0"/>
        <w:jc w:val="both"/>
        <w:rPr>
          <w:rFonts w:hint="default" w:ascii="Times New Roman" w:hAnsi="Times New Roman"/>
          <w:sz w:val="24"/>
          <w:szCs w:val="24"/>
        </w:rPr>
      </w:pPr>
    </w:p>
    <w:p w14:paraId="3F5D4841">
      <w:pPr>
        <w:bidi w:val="0"/>
        <w:jc w:val="both"/>
        <w:rPr>
          <w:rFonts w:hint="default" w:ascii="Times New Roman" w:hAnsi="Times New Roman"/>
          <w:sz w:val="24"/>
          <w:szCs w:val="24"/>
          <w:lang w:val="en-US"/>
        </w:rPr>
      </w:pPr>
      <w:r>
        <w:rPr>
          <w:rFonts w:hint="default" w:ascii="Times New Roman" w:hAnsi="Times New Roman"/>
          <w:sz w:val="24"/>
          <w:szCs w:val="24"/>
        </w:rPr>
        <w:t xml:space="preserve">Financial Inclusion Metrics is Percentage of Unbaked Population Getting Financial Access Measures the role of digital payment solutions as a means of getting into financial inclusion especially in </w:t>
      </w:r>
      <w:r>
        <w:rPr>
          <w:rFonts w:hint="default" w:ascii="Times New Roman" w:hAnsi="Times New Roman"/>
          <w:sz w:val="24"/>
          <w:szCs w:val="24"/>
          <w:lang w:val="en-US"/>
        </w:rPr>
        <w:t>undeserved</w:t>
      </w:r>
      <w:r>
        <w:rPr>
          <w:rFonts w:hint="default" w:ascii="Times New Roman" w:hAnsi="Times New Roman"/>
          <w:sz w:val="24"/>
          <w:szCs w:val="24"/>
        </w:rPr>
        <w:t xml:space="preserve"> areas. Microfinance Accessibility through Digital Channels follows the dispensation of micro-lending through digital sources, in aid of small-scale enterprises and entrepreneurs. Digital Payments Household Usage predicts the spread of digital finance in rural economies, and seizes the urban-rural financial gap. Gender Gap in Digital Payment Usage analyzes the disparity The adoption of digital payments by men and women between itself and assures them availability to financial services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AuthorYear="1"&gt;&lt;Author&gt;Tay&lt;/Author&gt;&lt;Year&gt;2022&lt;/Year&gt;&lt;RecNum&gt;20&lt;/RecNum&gt;&lt;DisplayText&gt;Tay, Tai et al. (2022)&lt;/DisplayText&gt;&lt;record&gt;&lt;rec-number&gt;20&lt;/rec-number&gt;&lt;foreign-keys&gt;&lt;key app="EN" db-id="2t52ftddjzwsxoerapx5vrxm2fdzpaza5sva" timestamp="1752328617"&gt;20&lt;/key&gt;&lt;/foreign-keys&gt;&lt;ref-type name="Journal Article"&gt;17&lt;/ref-type&gt;&lt;contributors&gt;&lt;authors&gt;&lt;author&gt;Tay, Lee-Ying&lt;/author&gt;&lt;author&gt;Tai, Hen-Toong&lt;/author&gt;&lt;author&gt;Tan, Gek-Siang&lt;/author&gt;&lt;/authors&gt;&lt;/contributors&gt;&lt;titles&gt;&lt;title&gt;Digital financial inclusion: A gateway to sustainable development&lt;/title&gt;&lt;secondary-title&gt;Heliyon&lt;/secondary-title&gt;&lt;/titles&gt;&lt;periodical&gt;&lt;full-title&gt;Heliyon&lt;/full-title&gt;&lt;/periodical&gt;&lt;volume&gt;8&lt;/volume&gt;&lt;number&gt;6&lt;/number&gt;&lt;dates&gt;&lt;year&gt;2022&lt;/year&gt;&lt;/dates&gt;&lt;isbn&gt;2405-8440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Tay, Tai et al. (2022)</w:t>
      </w:r>
      <w:r>
        <w:rPr>
          <w:rFonts w:hint="default" w:ascii="Times New Roman" w:hAnsi="Times New Roman"/>
          <w:sz w:val="24"/>
          <w:szCs w:val="24"/>
          <w:lang w:val="en-US"/>
        </w:rPr>
        <w:fldChar w:fldCharType="end"/>
      </w:r>
      <w:r>
        <w:rPr>
          <w:rFonts w:hint="default" w:ascii="Times New Roman" w:hAnsi="Times New Roman"/>
          <w:sz w:val="24"/>
          <w:szCs w:val="24"/>
          <w:lang w:val="en-US"/>
        </w:rPr>
        <w:t>.</w:t>
      </w:r>
    </w:p>
    <w:p w14:paraId="6B133D40">
      <w:pPr>
        <w:bidi w:val="0"/>
        <w:jc w:val="both"/>
        <w:rPr>
          <w:rFonts w:hint="default" w:ascii="Times New Roman" w:hAnsi="Times New Roman"/>
          <w:sz w:val="24"/>
          <w:szCs w:val="24"/>
        </w:rPr>
      </w:pPr>
      <w:r>
        <w:rPr>
          <w:rFonts w:hint="default" w:ascii="Times New Roman" w:hAnsi="Times New Roman"/>
          <w:sz w:val="24"/>
          <w:szCs w:val="24"/>
        </w:rPr>
        <w:t>Economic Impact Metrics Increase in GDP Due to Digital Transactions estimates the impact of digital payment on national economic growth in increasing the GDP and contributing to financial stability. The effect of Small and Medium Enterprises (SMEs) Determines how the transactions made digitally aid business functions and economic stability, enhancing inflows. Decline in Cash-Based Transaction Monitors the change in money to online payment in an economy, observing the efficiency of non-cash policies. On Government Revenue Collection Reviews how digital transactions improve the efficiency of tax collection which is much more transparent and accountable</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Beirne and Fernandez (2023)</w:t>
      </w:r>
      <w:r>
        <w:rPr>
          <w:rFonts w:hint="default" w:ascii="Times New Roman" w:hAnsi="Times New Roman"/>
          <w:sz w:val="24"/>
          <w:szCs w:val="24"/>
          <w:lang w:val="en-US"/>
        </w:rPr>
        <w:fldChar w:fldCharType="end"/>
      </w:r>
      <w:r>
        <w:rPr>
          <w:rFonts w:hint="default" w:ascii="Times New Roman" w:hAnsi="Times New Roman"/>
          <w:sz w:val="24"/>
          <w:szCs w:val="24"/>
        </w:rPr>
        <w:t xml:space="preserve"> .</w:t>
      </w:r>
    </w:p>
    <w:p w14:paraId="75CFCB38">
      <w:pPr>
        <w:bidi w:val="0"/>
        <w:jc w:val="both"/>
        <w:rPr>
          <w:rFonts w:hint="default" w:ascii="Times New Roman" w:hAnsi="Times New Roman"/>
          <w:sz w:val="24"/>
          <w:szCs w:val="24"/>
        </w:rPr>
      </w:pPr>
      <w:r>
        <w:rPr>
          <w:rFonts w:hint="default" w:ascii="Times New Roman" w:hAnsi="Times New Roman"/>
          <w:sz w:val="24"/>
          <w:szCs w:val="24"/>
        </w:rPr>
        <w:t>The measurement of digital payment systems has several variables in terms of adoption, flow efficiency, financial inclusion and economic impact. These indicators provide policymakers with the opportunity to evaluate the level of penetration of the digital payments, how it gives the inclusion of funds and its contribution to economic growth. In future, the metrics should be modified to include the introduction of new payment technologies and regulatory issues. Governments, financial institutions and companies that offer technology should work together to develop a digital payment system that is inclusive and that benefits all sections of the society.</w:t>
      </w:r>
    </w:p>
    <w:p w14:paraId="442B3751">
      <w:pPr>
        <w:bidi w:val="0"/>
        <w:jc w:val="both"/>
        <w:rPr>
          <w:rFonts w:hint="default" w:ascii="Times New Roman" w:hAnsi="Times New Roman"/>
          <w:sz w:val="24"/>
          <w:szCs w:val="24"/>
        </w:rPr>
      </w:pPr>
    </w:p>
    <w:p w14:paraId="47ADE38A">
      <w:pPr>
        <w:pStyle w:val="3"/>
        <w:numPr>
          <w:ilvl w:val="0"/>
          <w:numId w:val="18"/>
        </w:numPr>
        <w:ind w:left="360" w:leftChars="0" w:hanging="360" w:firstLineChars="0"/>
        <w:rPr>
          <w:rFonts w:hint="default" w:ascii="Times New Roman" w:hAnsi="Times New Roman" w:eastAsia="Times New Roman" w:cs="Times New Roman"/>
          <w:sz w:val="24"/>
          <w:szCs w:val="24"/>
        </w:rPr>
      </w:pPr>
      <w:bookmarkStart w:id="69" w:name="_Toc20778"/>
      <w:bookmarkStart w:id="70" w:name="_Toc1742"/>
      <w:r>
        <w:rPr>
          <w:rFonts w:hint="default" w:ascii="Times New Roman" w:hAnsi="Times New Roman" w:eastAsia="Times New Roman" w:cs="Times New Roman"/>
          <w:sz w:val="24"/>
          <w:szCs w:val="24"/>
        </w:rPr>
        <w:t>Technological Innovation</w:t>
      </w:r>
      <w:bookmarkEnd w:id="69"/>
      <w:bookmarkEnd w:id="70"/>
    </w:p>
    <w:p w14:paraId="1C1426F2"/>
    <w:p w14:paraId="4A8F49F0">
      <w:pPr>
        <w:ind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Technological innovation- The technological innovation has been referred to as the development, adoption and use of new technologies, processes and modes of businesses that change productivity, efficiency and economic growth. It is also helpful as a supplement of the Sustainable Development Goals (SDGs), largely SDG 2 (Zero Hunger) and SDG 9 (Industry, Innovation and Infrastructure). The most important technological innovation will involve the following; the digital payment systems, the financial inclusion, the artificial intelligence (AI), the block chain, the mobile banking, and the big data analytic. Such new opportunities help in making it economical, better seen manufacturing process and cost effective change over especially to the third world economies. The assimilation of technological advances will guarantee that the industries, the financial institutes and the people will be in a position of streamlining their processes and that they will be more efficient and capable of lowering the cost of conducting business so that they can make a valuable contribution to a sustainable growth economically and a long term </w:t>
      </w:r>
      <w:r>
        <w:rPr>
          <w:rFonts w:hint="default" w:ascii="Times New Roman" w:hAnsi="Times New Roman" w:cs="Times New Roman"/>
          <w:sz w:val="24"/>
          <w:szCs w:val="24"/>
          <w:lang w:val="en-US"/>
        </w:rPr>
        <w:t>industrialization</w:t>
      </w:r>
      <w:r>
        <w:rPr>
          <w:rFonts w:hint="default" w:ascii="Times New Roman" w:hAnsi="Times New Roman" w:cs="Times New Roman"/>
          <w:sz w:val="24"/>
          <w:szCs w:val="24"/>
        </w:rPr>
        <w:t>.</w:t>
      </w:r>
    </w:p>
    <w:p w14:paraId="78DD96E4">
      <w:pPr>
        <w:ind w:firstLine="720" w:firstLineChars="300"/>
        <w:jc w:val="both"/>
        <w:rPr>
          <w:rFonts w:hint="default" w:ascii="Times New Roman" w:hAnsi="Times New Roman" w:cs="Times New Roman"/>
          <w:sz w:val="24"/>
          <w:szCs w:val="24"/>
        </w:rPr>
      </w:pPr>
    </w:p>
    <w:p w14:paraId="73A60117">
      <w:pPr>
        <w:jc w:val="both"/>
        <w:rPr>
          <w:rFonts w:hint="default" w:ascii="Times New Roman" w:hAnsi="Times New Roman"/>
          <w:b/>
          <w:bCs/>
          <w:color w:val="000000" w:themeColor="text1"/>
          <w:sz w:val="24"/>
          <w:szCs w:val="24"/>
          <w:u w:val="single"/>
          <w14:textFill>
            <w14:solidFill>
              <w14:schemeClr w14:val="tx1"/>
            </w14:solidFill>
          </w14:textFill>
        </w:rPr>
      </w:pPr>
      <w:r>
        <w:rPr>
          <w:rFonts w:hint="default" w:ascii="Times New Roman" w:hAnsi="Times New Roman"/>
          <w:b/>
          <w:bCs/>
          <w:color w:val="000000" w:themeColor="text1"/>
          <w:sz w:val="24"/>
          <w:szCs w:val="24"/>
          <w:u w:val="single"/>
          <w14:textFill>
            <w14:solidFill>
              <w14:schemeClr w14:val="tx1"/>
            </w14:solidFill>
          </w14:textFill>
        </w:rPr>
        <w:t>Technological Innovation Measurement Variables</w:t>
      </w:r>
    </w:p>
    <w:p w14:paraId="68E69F25">
      <w:pPr>
        <w:jc w:val="both"/>
        <w:rPr>
          <w:rFonts w:hint="default" w:ascii="Times New Roman" w:hAnsi="Times New Roman"/>
          <w:sz w:val="24"/>
          <w:szCs w:val="24"/>
        </w:rPr>
      </w:pPr>
      <w:r>
        <w:rPr>
          <w:rFonts w:hint="default" w:ascii="Times New Roman" w:hAnsi="Times New Roman"/>
          <w:sz w:val="24"/>
          <w:szCs w:val="24"/>
        </w:rPr>
        <w:t>Research and Development (R&amp;D) Expenditure refers to cost either in percent of GDP</w:t>
      </w:r>
      <w:r>
        <w:rPr>
          <w:rFonts w:hint="default" w:ascii="Times New Roman" w:hAnsi="Times New Roman"/>
          <w:sz w:val="24"/>
          <w:szCs w:val="24"/>
          <w:lang w:val="en-US"/>
        </w:rPr>
        <w:t xml:space="preserve"> </w:t>
      </w:r>
      <w:r>
        <w:rPr>
          <w:rFonts w:hint="default" w:ascii="Times New Roman" w:hAnsi="Times New Roman"/>
          <w:sz w:val="24"/>
          <w:szCs w:val="24"/>
        </w:rPr>
        <w:t xml:space="preserve">spent on research, innovation and technological development. It is quantified with the evaluation of national economic statistics, World Bank, OECD and UNESCO Institute for Statistics. The increase in R&amp;D spending is associated with better technology and industrial development. </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AuthorYear="1"&gt;&lt;Author&gt;Bhavsar&lt;/Author&gt;&lt;Year&gt;2022&lt;/Year&gt;&lt;RecNum&gt;52&lt;/RecNum&gt;&lt;DisplayText&gt;Bhavsar and Samanta (2022)&lt;/DisplayText&gt;&lt;record&gt;&lt;rec-number&gt;52&lt;/rec-number&gt;&lt;foreign-keys&gt;&lt;key app="EN" db-id="2t52ftddjzwsxoerapx5vrxm2fdzpaza5sva" timestamp="1752347623"&gt;52&lt;/key&gt;&lt;/foreign-keys&gt;&lt;ref-type name="Conference Proceedings"&gt;10&lt;/ref-type&gt;&lt;contributors&gt;&lt;authors&gt;&lt;author&gt;Bhavsar, Vandana&lt;/author&gt;&lt;author&gt;Samanta, Pradeepta Kumar&lt;/author&gt;&lt;/authors&gt;&lt;/contributors&gt;&lt;titles&gt;&lt;title&gt;Sustainability of digital payments: Empirical evidence from India&lt;/title&gt;&lt;secondary-title&gt;2nd International Conference on Sustainability and Equity (ICSE-2021)&lt;/secondary-title&gt;&lt;/titles&gt;&lt;pages&gt;70-78&lt;/pages&gt;&lt;dates&gt;&lt;year&gt;2022&lt;/year&gt;&lt;/dates&gt;&lt;publisher&gt;Atlantis Press&lt;/publisher&gt;&lt;isbn&gt;9462395152&lt;/isbn&gt;&lt;urls&gt;&lt;/urls&gt;&lt;/record&gt;&lt;/Cite&gt;&lt;/EndNote&gt;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Bhavsar and Samanta (2022)</w:t>
      </w:r>
      <w:r>
        <w:rPr>
          <w:rFonts w:hint="default" w:ascii="Times New Roman" w:hAnsi="Times New Roman"/>
          <w:sz w:val="24"/>
          <w:szCs w:val="24"/>
          <w:lang w:val="en-US"/>
        </w:rPr>
        <w:fldChar w:fldCharType="end"/>
      </w:r>
      <w:r>
        <w:rPr>
          <w:rFonts w:hint="default" w:ascii="Times New Roman" w:hAnsi="Times New Roman"/>
          <w:sz w:val="24"/>
          <w:szCs w:val="24"/>
        </w:rPr>
        <w:t xml:space="preserve"> established that investment in R&amp;D during the economic shocks, including when demonetization and COVID-19 hit India, supported the pace of digital transformation and fin tech adoption in India.</w:t>
      </w:r>
    </w:p>
    <w:p w14:paraId="6EF168F6">
      <w:pPr>
        <w:jc w:val="both"/>
        <w:rPr>
          <w:rFonts w:hint="default" w:ascii="Times New Roman" w:hAnsi="Times New Roman"/>
          <w:sz w:val="24"/>
          <w:szCs w:val="24"/>
        </w:rPr>
      </w:pPr>
      <w:r>
        <w:rPr>
          <w:rFonts w:hint="default" w:ascii="Times New Roman" w:hAnsi="Times New Roman"/>
          <w:sz w:val="24"/>
          <w:szCs w:val="24"/>
        </w:rPr>
        <w:t>Patent Applications and Grants are used to describe the number of patents applied or granted on new technology which will answer how innovative the economy is. This information is gathered through patent databases (e.g. World Intellectual Property Organization (WIPO) and national patent offices).</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Beirne and Fernandez (2023)</w:t>
      </w:r>
      <w:r>
        <w:rPr>
          <w:rFonts w:hint="default" w:ascii="Times New Roman" w:hAnsi="Times New Roman"/>
          <w:sz w:val="24"/>
          <w:szCs w:val="24"/>
          <w:lang w:val="en-US"/>
        </w:rPr>
        <w:fldChar w:fldCharType="end"/>
      </w:r>
      <w:r>
        <w:rPr>
          <w:rFonts w:hint="default" w:ascii="Times New Roman" w:hAnsi="Times New Roman"/>
          <w:sz w:val="24"/>
          <w:szCs w:val="24"/>
        </w:rPr>
        <w:t xml:space="preserve"> observed that an increase in fin tech patents and block chain applications has created great boost in business productivity and resilience in the Asian economies.</w:t>
      </w:r>
    </w:p>
    <w:p w14:paraId="20835C04">
      <w:pPr>
        <w:jc w:val="both"/>
        <w:rPr>
          <w:rFonts w:hint="default" w:ascii="Times New Roman" w:hAnsi="Times New Roman"/>
          <w:sz w:val="24"/>
          <w:szCs w:val="24"/>
        </w:rPr>
      </w:pPr>
      <w:r>
        <w:rPr>
          <w:rFonts w:hint="default" w:ascii="Times New Roman" w:hAnsi="Times New Roman"/>
          <w:sz w:val="24"/>
          <w:szCs w:val="24"/>
        </w:rPr>
        <w:t>The Digitization Index is used as a composite gauge of the extent of adoption of digital technology, such as AI, block chain, and mobile banking. The indicators of measurements used included the Digital Economy and Society Index (DESI) included and the ICT Development Index used by</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AuthorYear="1"&gt;&lt;Author&gt;Ghosh&lt;/Author&gt;&lt;Year&gt;2022&lt;/Year&gt;&lt;RecNum&gt;33&lt;/RecNum&gt;&lt;DisplayText&gt;Ghosh (2022)&lt;/DisplayText&gt;&lt;record&gt;&lt;rec-number&gt;33&lt;/rec-number&gt;&lt;foreign-keys&gt;&lt;key app="EN" db-id="2t52ftddjzwsxoerapx5vrxm2fdzpaza5sva" timestamp="1752331365"&gt;33&lt;/key&gt;&lt;/foreign-keys&gt;&lt;ref-type name="Journal Article"&gt;17&lt;/ref-type&gt;&lt;contributors&gt;&lt;authors&gt;&lt;author&gt;Ghosh, Saibal&lt;/author&gt;&lt;/authors&gt;&lt;/contributors&gt;&lt;titles&gt;&lt;title&gt;Gender and financial inclusion: does technology make a difference?&lt;/title&gt;&lt;secondary-title&gt;Gender, Technology and Development&lt;/secondary-title&gt;&lt;/titles&gt;&lt;periodical&gt;&lt;full-title&gt;Gender, Technology and Development&lt;/full-title&gt;&lt;/periodical&gt;&lt;pages&gt;195-213&lt;/pages&gt;&lt;volume&gt;26&lt;/volume&gt;&lt;number&gt;2&lt;/number&gt;&lt;dates&gt;&lt;year&gt;2022&lt;/year&gt;&lt;/dates&gt;&lt;isbn&gt;0971-8524&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Ghosh (2022)</w:t>
      </w:r>
      <w:r>
        <w:rPr>
          <w:rFonts w:hint="default" w:ascii="Times New Roman" w:hAnsi="Times New Roman"/>
          <w:sz w:val="24"/>
          <w:szCs w:val="24"/>
          <w:lang w:val="en-US"/>
        </w:rPr>
        <w:fldChar w:fldCharType="end"/>
      </w:r>
      <w:r>
        <w:rPr>
          <w:rFonts w:hint="default" w:ascii="Times New Roman" w:hAnsi="Times New Roman"/>
          <w:sz w:val="24"/>
          <w:szCs w:val="24"/>
        </w:rPr>
        <w:t xml:space="preserve"> to identify the positive economic life influenced by digital transactions, which was significantly associated with the enhancement of financial accessibility but serious financial instability might emerge without reinforcing digital literacy and regulatory policies.</w:t>
      </w:r>
    </w:p>
    <w:p w14:paraId="7090A058">
      <w:pPr>
        <w:jc w:val="both"/>
        <w:rPr>
          <w:rFonts w:hint="default" w:ascii="Times New Roman" w:hAnsi="Times New Roman"/>
          <w:sz w:val="24"/>
          <w:szCs w:val="24"/>
        </w:rPr>
      </w:pPr>
      <w:r>
        <w:rPr>
          <w:rFonts w:hint="default" w:ascii="Times New Roman" w:hAnsi="Times New Roman"/>
          <w:sz w:val="24"/>
          <w:szCs w:val="24"/>
        </w:rPr>
        <w:t>Financial Inclusion Rate is used to determine the rate of people with access to digital banking, mobile wallets, fin tech services and formal financial institutions as a percentage of the population. It is determined based on the data of Global Index Database of the World Bank and reports of national financial regulators. Digital payment has increased more people accessing financial inclusion and narrowed economic gaps. According to</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AuthorYear="1"&gt;&lt;Author&gt;Dikshit&lt;/Author&gt;&lt;Year&gt;2021&lt;/Year&gt;&lt;RecNum&gt;96&lt;/RecNum&gt;&lt;DisplayText&gt;Dikshit and Pandey (2021)&lt;/DisplayText&gt;&lt;record&gt;&lt;rec-number&gt;96&lt;/rec-number&gt;&lt;foreign-keys&gt;&lt;key app="EN" db-id="2t52ftddjzwsxoerapx5vrxm2fdzpaza5sva" timestamp="1752418543"&gt;96&lt;/key&gt;&lt;/foreign-keys&gt;&lt;ref-type name="Journal Article"&gt;17&lt;/ref-type&gt;&lt;contributors&gt;&lt;authors&gt;&lt;author&gt;Dikshit, Smita&lt;/author&gt;&lt;author&gt;Pandey, AC&lt;/author&gt;&lt;/authors&gt;&lt;/contributors&gt;&lt;titles&gt;&lt;title&gt;Role of financial inclusion in realising sustainable development goals (SDGs)&lt;/title&gt;&lt;secondary-title&gt;International journal of research in finance and management&lt;/secondary-title&gt;&lt;/titles&gt;&lt;periodical&gt;&lt;full-title&gt;International journal of research in finance and management&lt;/full-title&gt;&lt;/periodical&gt;&lt;pages&gt;35-39&lt;/pages&gt;&lt;volume&gt;4&lt;/volume&gt;&lt;number&gt;2&lt;/number&gt;&lt;dates&gt;&lt;year&gt;2021&lt;/year&gt;&lt;/dates&gt;&lt;urls&gt;&lt;/urls&gt;&lt;/record&gt;&lt;/Cite&gt;&lt;/EndNote&gt;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Dikshit and Pandey (2021)</w:t>
      </w:r>
      <w:r>
        <w:rPr>
          <w:rFonts w:hint="default" w:ascii="Times New Roman" w:hAnsi="Times New Roman"/>
          <w:sz w:val="24"/>
          <w:szCs w:val="24"/>
          <w:lang w:val="en-US"/>
        </w:rPr>
        <w:fldChar w:fldCharType="end"/>
      </w:r>
      <w:r>
        <w:rPr>
          <w:rFonts w:hint="default" w:ascii="Times New Roman" w:hAnsi="Times New Roman"/>
          <w:sz w:val="24"/>
          <w:szCs w:val="24"/>
        </w:rPr>
        <w:t xml:space="preserve"> and</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AuthorYear="1"&gt;&lt;Author&gt;Tay&lt;/Author&gt;&lt;Year&gt;2022&lt;/Year&gt;&lt;RecNum&gt;20&lt;/RecNum&gt;&lt;DisplayText&gt;Tay, Tai et al. (2022)&lt;/DisplayText&gt;&lt;record&gt;&lt;rec-number&gt;20&lt;/rec-number&gt;&lt;foreign-keys&gt;&lt;key app="EN" db-id="2t52ftddjzwsxoerapx5vrxm2fdzpaza5sva" timestamp="1752328617"&gt;20&lt;/key&gt;&lt;/foreign-keys&gt;&lt;ref-type name="Journal Article"&gt;17&lt;/ref-type&gt;&lt;contributors&gt;&lt;authors&gt;&lt;author&gt;Tay, Lee-Ying&lt;/author&gt;&lt;author&gt;Tai, Hen-Toong&lt;/author&gt;&lt;author&gt;Tan, Gek-Siang&lt;/author&gt;&lt;/authors&gt;&lt;/contributors&gt;&lt;titles&gt;&lt;title&gt;Digital financial inclusion: A gateway to sustainable development&lt;/title&gt;&lt;secondary-title&gt;Heliyon&lt;/secondary-title&gt;&lt;/titles&gt;&lt;periodical&gt;&lt;full-title&gt;Heliyon&lt;/full-title&gt;&lt;/periodical&gt;&lt;volume&gt;8&lt;/volume&gt;&lt;number&gt;6&lt;/number&gt;&lt;dates&gt;&lt;year&gt;2022&lt;/year&gt;&lt;/dates&gt;&lt;isbn&gt;2405-8440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Tay, Tai et al. (2022)</w:t>
      </w:r>
      <w:r>
        <w:rPr>
          <w:rFonts w:hint="default" w:ascii="Times New Roman" w:hAnsi="Times New Roman"/>
          <w:sz w:val="24"/>
          <w:szCs w:val="24"/>
          <w:lang w:val="en-US"/>
        </w:rPr>
        <w:fldChar w:fldCharType="end"/>
      </w:r>
      <w:r>
        <w:rPr>
          <w:rFonts w:hint="default" w:ascii="Times New Roman" w:hAnsi="Times New Roman"/>
          <w:sz w:val="24"/>
          <w:szCs w:val="24"/>
        </w:rPr>
        <w:t xml:space="preserve"> fin tech initiatives in India such as PMJDY have been effective in closing financial gaps, increasing food security, and increasing credit access to smallholder farmers.</w:t>
      </w:r>
    </w:p>
    <w:p w14:paraId="79366E1F">
      <w:pPr>
        <w:jc w:val="both"/>
        <w:rPr>
          <w:rFonts w:hint="default" w:ascii="Times New Roman" w:hAnsi="Times New Roman"/>
          <w:sz w:val="24"/>
          <w:szCs w:val="24"/>
        </w:rPr>
      </w:pPr>
      <w:r>
        <w:rPr>
          <w:rFonts w:hint="default" w:ascii="Times New Roman" w:hAnsi="Times New Roman"/>
          <w:sz w:val="24"/>
          <w:szCs w:val="24"/>
        </w:rPr>
        <w:t>The Productivity Increase in the Major Sectors is an expansion of overall output per input unit, which is as a result of acquiring technology in the agricultural sector, industry and in the financial sector. It is gauged in terms of labor productivity and total factor productivity (TFP) based on economic regimes and agricultural production data bases. Research has shown that digital financial inclusion enhances access to markets by farmers who can raise agricultural productivity and food security. In the manufacturing industry, the efficiency of the supply chain and the manufacturing process is improved by automation and digital payments.</w:t>
      </w:r>
    </w:p>
    <w:p w14:paraId="56584500">
      <w:pPr>
        <w:jc w:val="both"/>
        <w:rPr>
          <w:rFonts w:hint="default" w:ascii="Times New Roman" w:hAnsi="Times New Roman"/>
          <w:sz w:val="24"/>
          <w:szCs w:val="24"/>
        </w:rPr>
      </w:pPr>
      <w:r>
        <w:rPr>
          <w:rFonts w:hint="default" w:ascii="Times New Roman" w:hAnsi="Times New Roman"/>
          <w:sz w:val="24"/>
          <w:szCs w:val="24"/>
        </w:rPr>
        <w:t xml:space="preserve">Technology Adoption in SMEs and Industries entails what are the percentages of small and medium businesses (SMEs) engaging in online financial services, computerized machinery, and internet payment system. It is measured through the business surveys and the report on SME digitization of the World Economic Forum and the financial institutions of the region. </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AuthorYear="1"&gt;&lt;Author&gt;Kaur&lt;/Author&gt;&lt;Year&gt;2023&lt;/Year&gt;&lt;RecNum&gt;35&lt;/RecNum&gt;&lt;DisplayText&gt;Kaur, Sodhi et al. (2023)&lt;/DisplayText&gt;&lt;record&gt;&lt;rec-number&gt;35&lt;/rec-number&gt;&lt;foreign-keys&gt;&lt;key app="EN" db-id="2t52ftddjzwsxoerapx5vrxm2fdzpaza5sva" timestamp="1752331626"&gt;35&lt;/key&gt;&lt;/foreign-keys&gt;&lt;ref-type name="Book Section"&gt;5&lt;/ref-type&gt;&lt;contributors&gt;&lt;authors&gt;&lt;author&gt;Kaur, Harreet&lt;/author&gt;&lt;author&gt;Sodhi, Deepali&lt;/author&gt;&lt;author&gt;Aggarwal, Rashmi&lt;/author&gt;&lt;author&gt;Yadav, Uma Shankar&lt;/author&gt;&lt;/authors&gt;&lt;/contributors&gt;&lt;titles&gt;&lt;title&gt;Managing human resources in digital marketing&lt;/title&gt;&lt;secondary-title&gt;Digital transformation, strategic resilience, cyber security and risk management&lt;/secondary-title&gt;&lt;/titles&gt;&lt;pages&gt;155-162&lt;/pages&gt;&lt;dates&gt;&lt;year&gt;2023&lt;/year&gt;&lt;/dates&gt;&lt;publisher&gt;Emerald Publishing Limited&lt;/publisher&gt;&lt;isbn&gt;1569-3759&lt;/isbn&gt;&lt;urls&gt;&lt;/urls&gt;&lt;/record&gt;&lt;/Cite&gt;&lt;/EndNote&gt;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Kaur, Sodhi et al. (2023)</w:t>
      </w:r>
      <w:r>
        <w:rPr>
          <w:rFonts w:hint="default" w:ascii="Times New Roman" w:hAnsi="Times New Roman"/>
          <w:sz w:val="24"/>
          <w:szCs w:val="24"/>
          <w:lang w:val="en-US"/>
        </w:rPr>
        <w:fldChar w:fldCharType="end"/>
      </w:r>
      <w:r>
        <w:rPr>
          <w:rFonts w:hint="default" w:ascii="Times New Roman" w:hAnsi="Times New Roman"/>
          <w:sz w:val="24"/>
          <w:szCs w:val="24"/>
        </w:rPr>
        <w:t>, reported that digital Payments and fin tech solutions played a critical role in the development of SMEs whereas</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AuthorYear="1"&gt;&lt;Author&gt;Suyanto&lt;/Author&gt;&lt;Year&gt;2023&lt;/Year&gt;&lt;RecNum&gt;36&lt;/RecNum&gt;&lt;DisplayText&gt;Suyanto and Prasilowati (2023)&lt;/DisplayText&gt;&lt;record&gt;&lt;rec-number&gt;36&lt;/rec-number&gt;&lt;foreign-keys&gt;&lt;key app="EN" db-id="2t52ftddjzwsxoerapx5vrxm2fdzpaza5sva" timestamp="1752332275"&gt;36&lt;/key&gt;&lt;/foreign-keys&gt;&lt;ref-type name="Journal Article"&gt;17&lt;/ref-type&gt;&lt;contributors&gt;&lt;authors&gt;&lt;author&gt;Suyanto, Suyanto&lt;/author&gt;&lt;author&gt;Prasilowati, Sri Lestari&lt;/author&gt;&lt;/authors&gt;&lt;/contributors&gt;&lt;titles&gt;&lt;title&gt;The platform factors affecting digital payment advocacy&lt;/title&gt;&lt;secondary-title&gt;Journal of Law and Sustainable Development&lt;/secondary-title&gt;&lt;/titles&gt;&lt;periodical&gt;&lt;full-title&gt;Journal of Law and Sustainable Development&lt;/full-title&gt;&lt;/periodical&gt;&lt;pages&gt;e1700-e1700&lt;/pages&gt;&lt;volume&gt;11&lt;/volume&gt;&lt;number&gt;11&lt;/number&gt;&lt;dates&gt;&lt;year&gt;2023&lt;/year&gt;&lt;/dates&gt;&lt;isbn&gt;2764-4170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Suyanto and Prasilowati (2023)</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w:t>
      </w:r>
      <w:r>
        <w:rPr>
          <w:rFonts w:hint="default" w:ascii="Times New Roman" w:hAnsi="Times New Roman"/>
          <w:sz w:val="24"/>
          <w:szCs w:val="24"/>
        </w:rPr>
        <w:t>claimed that mobile payment applications are user friendly thus the use of digital payment is widespread in Indonesia.</w:t>
      </w:r>
    </w:p>
    <w:p w14:paraId="3507CBA7">
      <w:pPr>
        <w:jc w:val="both"/>
        <w:rPr>
          <w:rFonts w:hint="default" w:ascii="Times New Roman" w:hAnsi="Times New Roman"/>
          <w:sz w:val="24"/>
          <w:szCs w:val="24"/>
        </w:rPr>
      </w:pPr>
      <w:r>
        <w:rPr>
          <w:rFonts w:hint="default" w:ascii="Times New Roman" w:hAnsi="Times New Roman"/>
          <w:sz w:val="24"/>
          <w:szCs w:val="24"/>
        </w:rPr>
        <w:t>Infrastructure Investment in ICT and Innovation is a measure of the level of investment in digital infrastructure by broadband, mobile networks, cloud computing, and smart cities. The sources include the statements of the world bank, International Telecommunication Union (ITU) and the national investment programs. It is impossible to create technological innovation without infrastructural investments.According to</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Beirne and Fernandez (2023)</w:t>
      </w:r>
      <w:r>
        <w:rPr>
          <w:rFonts w:hint="default" w:ascii="Times New Roman" w:hAnsi="Times New Roman"/>
          <w:sz w:val="24"/>
          <w:szCs w:val="24"/>
          <w:lang w:val="en-US"/>
        </w:rPr>
        <w:fldChar w:fldCharType="end"/>
      </w:r>
      <w:r>
        <w:rPr>
          <w:rFonts w:hint="default" w:ascii="Times New Roman" w:hAnsi="Times New Roman"/>
          <w:sz w:val="24"/>
          <w:szCs w:val="24"/>
        </w:rPr>
        <w:t xml:space="preserve">  technological innovation cannot be envisaged without infrastructural investments made possible by the interest of the government on digital policies and fin tech innovations within the emerging economies.</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AuthorYear="1"&gt;&lt;Author&gt;Bhavsar&lt;/Author&gt;&lt;Year&gt;2022&lt;/Year&gt;&lt;RecNum&gt;52&lt;/RecNum&gt;&lt;DisplayText&gt;Bhavsar and Samanta (2022)&lt;/DisplayText&gt;&lt;record&gt;&lt;rec-number&gt;52&lt;/rec-number&gt;&lt;foreign-keys&gt;&lt;key app="EN" db-id="2t52ftddjzwsxoerapx5vrxm2fdzpaza5sva" timestamp="1752347623"&gt;52&lt;/key&gt;&lt;/foreign-keys&gt;&lt;ref-type name="Conference Proceedings"&gt;10&lt;/ref-type&gt;&lt;contributors&gt;&lt;authors&gt;&lt;author&gt;Bhavsar, Vandana&lt;/author&gt;&lt;author&gt;Samanta, Pradeepta Kumar&lt;/author&gt;&lt;/authors&gt;&lt;/contributors&gt;&lt;titles&gt;&lt;title&gt;Sustainability of digital payments: Empirical evidence from India&lt;/title&gt;&lt;secondary-title&gt;2nd International Conference on Sustainability and Equity (ICSE-2021)&lt;/secondary-title&gt;&lt;/titles&gt;&lt;pages&gt;70-78&lt;/pages&gt;&lt;dates&gt;&lt;year&gt;2022&lt;/year&gt;&lt;/dates&gt;&lt;publisher&gt;Atlantis Press&lt;/publisher&gt;&lt;isbn&gt;9462395152&lt;/isbn&gt;&lt;urls&gt;&lt;/urls&gt;&lt;/record&gt;&lt;/Cite&gt;&lt;/EndNote&gt;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Bhavsar and Samanta (2022)</w:t>
      </w:r>
      <w:r>
        <w:rPr>
          <w:rFonts w:hint="default" w:ascii="Times New Roman" w:hAnsi="Times New Roman"/>
          <w:sz w:val="24"/>
          <w:szCs w:val="24"/>
          <w:lang w:val="en-US"/>
        </w:rPr>
        <w:fldChar w:fldCharType="end"/>
      </w:r>
      <w:r>
        <w:rPr>
          <w:rFonts w:hint="default" w:ascii="Times New Roman" w:hAnsi="Times New Roman"/>
          <w:sz w:val="24"/>
          <w:szCs w:val="24"/>
        </w:rPr>
        <w:t xml:space="preserve"> ensured that during the economic shocks, financial inclusion could be achieved by the move to expand banks.</w:t>
      </w:r>
    </w:p>
    <w:p w14:paraId="29F4A4DE">
      <w:pPr>
        <w:jc w:val="both"/>
        <w:rPr>
          <w:rFonts w:hint="default" w:ascii="Times New Roman" w:hAnsi="Times New Roman"/>
          <w:sz w:val="24"/>
          <w:szCs w:val="24"/>
        </w:rPr>
      </w:pPr>
      <w:r>
        <w:rPr>
          <w:rFonts w:hint="default" w:ascii="Times New Roman" w:hAnsi="Times New Roman"/>
          <w:sz w:val="24"/>
          <w:szCs w:val="24"/>
        </w:rPr>
        <w:t>Technological innovation has a direct contribution to the economic resilience, industrial modernization, and financial inclusion. According to research, digital financial services, automated activities that take place due to AI, and block-chain-related transactions have increased agricultural output (SDG 2) and supported infrastructure expansion (SDG 9). Nevertheless, technological barriers like the regulatory aspect, digital illiteracy, cyber security, and the lack of equal access to technology, among others, continue to derail the adoption of the same. To solve these problems, policy solutions, funding, and digital literacy courses must be developed to bring stable technological development.</w:t>
      </w:r>
    </w:p>
    <w:p w14:paraId="0DF7694D">
      <w:pPr>
        <w:jc w:val="both"/>
        <w:rPr>
          <w:rFonts w:hint="default" w:ascii="Times New Roman" w:hAnsi="Times New Roman"/>
          <w:sz w:val="24"/>
          <w:szCs w:val="24"/>
        </w:rPr>
      </w:pPr>
    </w:p>
    <w:p w14:paraId="56E25A9E">
      <w:pPr>
        <w:numPr>
          <w:ilvl w:val="0"/>
          <w:numId w:val="19"/>
        </w:numPr>
        <w:ind w:left="360" w:leftChars="0" w:hanging="360" w:firstLineChars="0"/>
        <w:jc w:val="both"/>
        <w:rPr>
          <w:rStyle w:val="31"/>
          <w:rFonts w:hint="default"/>
        </w:rPr>
      </w:pPr>
      <w:bookmarkStart w:id="71" w:name="_Toc16651"/>
      <w:r>
        <w:rPr>
          <w:rStyle w:val="31"/>
          <w:rFonts w:hint="default"/>
        </w:rPr>
        <w:t>Financial inclusion</w:t>
      </w:r>
    </w:p>
    <w:bookmarkEnd w:id="71"/>
    <w:p w14:paraId="1D394B85">
      <w:pPr>
        <w:ind w:firstLine="600" w:firstLineChars="250"/>
        <w:jc w:val="both"/>
        <w:rPr>
          <w:rFonts w:hint="default" w:ascii="Times New Roman" w:hAnsi="Times New Roman" w:eastAsia="Times New Roman"/>
          <w:sz w:val="24"/>
          <w:szCs w:val="24"/>
        </w:rPr>
      </w:pPr>
    </w:p>
    <w:p w14:paraId="7FC7735F">
      <w:pPr>
        <w:ind w:firstLine="600" w:firstLineChars="250"/>
        <w:jc w:val="both"/>
        <w:rPr>
          <w:rFonts w:hint="default" w:ascii="Times New Roman" w:hAnsi="Times New Roman"/>
          <w:b/>
          <w:bCs/>
          <w:sz w:val="24"/>
          <w:szCs w:val="24"/>
          <w:u w:val="single"/>
        </w:rPr>
      </w:pPr>
      <w:r>
        <w:rPr>
          <w:rFonts w:hint="default" w:ascii="Times New Roman" w:hAnsi="Times New Roman" w:eastAsia="Times New Roman"/>
          <w:sz w:val="24"/>
          <w:szCs w:val="24"/>
        </w:rPr>
        <w:t>Financial inclusion is the way by which people, as well as businesses are connected to financial institutions</w:t>
      </w:r>
      <w:r>
        <w:rPr>
          <w:rFonts w:hint="default" w:ascii="Times New Roman" w:hAnsi="Times New Roman"/>
          <w:sz w:val="24"/>
          <w:szCs w:val="24"/>
        </w:rPr>
        <w:t xml:space="preserve">, especially those that belong to the </w:t>
      </w:r>
      <w:r>
        <w:rPr>
          <w:rFonts w:hint="default" w:ascii="Times New Roman" w:hAnsi="Times New Roman"/>
          <w:sz w:val="24"/>
          <w:szCs w:val="24"/>
          <w:lang w:val="en-US"/>
        </w:rPr>
        <w:t>fin neglected</w:t>
      </w:r>
      <w:r>
        <w:rPr>
          <w:rFonts w:hint="default" w:ascii="Times New Roman" w:hAnsi="Times New Roman"/>
          <w:sz w:val="24"/>
          <w:szCs w:val="24"/>
        </w:rPr>
        <w:t xml:space="preserve"> and low-income groups, have access to affordable, timely and sufficient financial services affordably. It includes basic access to savings, credit, insurance and payment services to boost financial stability, economic inclusion and sustainable development. Such financial inclusion is instrumental in economic growth, decreasing inequality in incomes, and advancing Sustainable Development Goals, to be specific, SDG 2 ( Zero Hunger ) and SDG 9 ( Industry, Innovation, and Infrastructure ). Researchers have shown that financial inclusion improves economic sustainability in terms of expanding the unbaked citizens into the formal financial framework, thereby maximizing their ability to save, invest and eliminate the risk of financial stress</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AuthorYear="1"&gt;&lt;Author&gt;Yahaya&lt;/Author&gt;&lt;Year&gt;2018&lt;/Year&gt;&lt;RecNum&gt;94&lt;/RecNum&gt;&lt;DisplayText&gt;Yahaya and Ahmad (2018)&lt;/DisplayText&gt;&lt;record&gt;&lt;rec-number&gt;94&lt;/rec-number&gt;&lt;foreign-keys&gt;&lt;key app="EN" db-id="2t52ftddjzwsxoerapx5vrxm2fdzpaza5sva" timestamp="1752413705"&gt;94&lt;/key&gt;&lt;/foreign-keys&gt;&lt;ref-type name="Conference Proceedings"&gt;10&lt;/ref-type&gt;&lt;contributors&gt;&lt;authors&gt;&lt;author&gt;Yahaya, Muhamad Hasif&lt;/author&gt;&lt;author&gt;Ahmad, Khaliq&lt;/author&gt;&lt;/authors&gt;&lt;/contributors&gt;&lt;titles&gt;&lt;title&gt;Financial inclusion through efficient zakat distribution for poverty alleviation in Malaysia: Using fintech &amp;amp; mobile banking&lt;/title&gt;&lt;secondary-title&gt;Proceeding of the 5th International Conference on Management and Muamalah&lt;/secondary-title&gt;&lt;/titles&gt;&lt;pages&gt;15-31&lt;/pages&gt;&lt;dates&gt;&lt;year&gt;2018&lt;/year&gt;&lt;/dates&gt;&lt;urls&gt;&lt;/urls&gt;&lt;/record&gt;&lt;/Cite&gt;&lt;/EndNote&gt;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Yahaya and Ahmad (2018)</w:t>
      </w:r>
      <w:r>
        <w:rPr>
          <w:rFonts w:hint="default" w:ascii="Times New Roman" w:hAnsi="Times New Roman"/>
          <w:sz w:val="24"/>
          <w:szCs w:val="24"/>
          <w:lang w:val="en-US"/>
        </w:rPr>
        <w:fldChar w:fldCharType="end"/>
      </w:r>
      <w:r>
        <w:rPr>
          <w:rFonts w:hint="default" w:ascii="Times New Roman" w:hAnsi="Times New Roman"/>
          <w:sz w:val="24"/>
          <w:szCs w:val="24"/>
          <w:lang w:val="en-US"/>
        </w:rPr>
        <w:t>.</w:t>
      </w:r>
      <w:r>
        <w:rPr>
          <w:rFonts w:hint="default" w:ascii="Times New Roman" w:hAnsi="Times New Roman"/>
          <w:sz w:val="24"/>
          <w:szCs w:val="24"/>
        </w:rPr>
        <w:t xml:space="preserve"> </w:t>
      </w:r>
    </w:p>
    <w:p w14:paraId="61C31F4A">
      <w:pPr>
        <w:jc w:val="both"/>
        <w:rPr>
          <w:rFonts w:hint="default" w:ascii="Times New Roman" w:hAnsi="Times New Roman"/>
          <w:b/>
          <w:bCs/>
          <w:sz w:val="24"/>
          <w:szCs w:val="24"/>
          <w:u w:val="single"/>
        </w:rPr>
      </w:pPr>
      <w:r>
        <w:rPr>
          <w:rFonts w:hint="default" w:ascii="Times New Roman" w:hAnsi="Times New Roman"/>
          <w:b/>
          <w:bCs/>
          <w:sz w:val="24"/>
          <w:szCs w:val="24"/>
          <w:u w:val="single"/>
        </w:rPr>
        <w:t>Financial Inclusion as measured against variables</w:t>
      </w:r>
    </w:p>
    <w:p w14:paraId="0A8AF980">
      <w:pPr>
        <w:jc w:val="both"/>
        <w:rPr>
          <w:rFonts w:hint="default" w:ascii="Times New Roman" w:hAnsi="Times New Roman"/>
          <w:sz w:val="24"/>
          <w:szCs w:val="24"/>
        </w:rPr>
      </w:pPr>
      <w:r>
        <w:rPr>
          <w:rFonts w:hint="default" w:ascii="Times New Roman" w:hAnsi="Times New Roman"/>
          <w:sz w:val="24"/>
          <w:szCs w:val="24"/>
        </w:rPr>
        <w:t xml:space="preserve">Access to financial services is the ability to access financial institutions and services and the ease of access to financial institutions and services by individuals and businesses. It is measured using factors like bank account ownership which is considered the proportion of the adult population having an account in a formal financial institution SINGH, GAUTAM et al. (2022). It also considers the ratio of bank branches and automated teller machines to 100, 000 adults, which determines the physical accessibility of financial institutions in a given economy, a critical element in the assessing of financial outreach. Another significant indicator is the availability of the mobile money services, which measures the proportion of people accessing mobile banking or online payment services, which has specifically played a critical role in enhancing the development of financial inclusion in developing economies. Besides, physical access to financial services, which take into account the average distance to the nearest financial institution by survey indicators, additionally contributes to the evaluation of access to financial services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AuthorYear="1"&gt;&lt;Author&gt;Soyemi&lt;/Author&gt;&lt;Year&gt;2020&lt;/Year&gt;&lt;RecNum&gt;45&lt;/RecNum&gt;&lt;DisplayText&gt;Soyemi, Olowofela et al. (2020)&lt;/DisplayText&gt;&lt;record&gt;&lt;rec-number&gt;45&lt;/rec-number&gt;&lt;foreign-keys&gt;&lt;key app="EN" db-id="2t52ftddjzwsxoerapx5vrxm2fdzpaza5sva" timestamp="1752334807"&gt;45&lt;/key&gt;&lt;/foreign-keys&gt;&lt;ref-type name="Journal Article"&gt;17&lt;/ref-type&gt;&lt;contributors&gt;&lt;authors&gt;&lt;author&gt;Soyemi, Kenny Ade’&lt;/author&gt;&lt;author&gt;Olowofela, Olusola Enitan&lt;/author&gt;&lt;author&gt;Yunusa, Lateef Adewale&lt;/author&gt;&lt;/authors&gt;&lt;/contributors&gt;&lt;titles&gt;&lt;title&gt;Financial inclusion and sustainable development in Nigeria&lt;/title&gt;&lt;secondary-title&gt;Journal of Economics and Management&lt;/secondary-title&gt;&lt;/titles&gt;&lt;periodical&gt;&lt;full-title&gt;Journal of Economics and Management&lt;/full-title&gt;&lt;/periodical&gt;&lt;pages&gt;105-131&lt;/pages&gt;&lt;number&gt;39&lt;/number&gt;&lt;dates&gt;&lt;year&gt;2020&lt;/year&gt;&lt;/dates&gt;&lt;isbn&gt;1732-1948&lt;/isbn&gt;&lt;urls&gt;&lt;/urls&gt;&lt;/record&gt;&lt;/Cite&gt;&lt;/EndNote&gt;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Soyemi, Olowofela et al. (2020)</w:t>
      </w:r>
      <w:r>
        <w:rPr>
          <w:rFonts w:hint="default" w:ascii="Times New Roman" w:hAnsi="Times New Roman"/>
          <w:sz w:val="24"/>
          <w:szCs w:val="24"/>
          <w:lang w:val="en-US"/>
        </w:rPr>
        <w:fldChar w:fldCharType="end"/>
      </w:r>
      <w:r>
        <w:rPr>
          <w:rFonts w:hint="default" w:ascii="Times New Roman" w:hAnsi="Times New Roman"/>
          <w:sz w:val="24"/>
          <w:szCs w:val="24"/>
        </w:rPr>
        <w:t>.</w:t>
      </w:r>
    </w:p>
    <w:p w14:paraId="6416B777">
      <w:pPr>
        <w:jc w:val="both"/>
        <w:rPr>
          <w:rFonts w:hint="default" w:ascii="Times New Roman" w:hAnsi="Times New Roman"/>
          <w:sz w:val="24"/>
          <w:szCs w:val="24"/>
        </w:rPr>
      </w:pPr>
      <w:r>
        <w:rPr>
          <w:rFonts w:hint="default" w:ascii="Times New Roman" w:hAnsi="Times New Roman"/>
          <w:sz w:val="24"/>
          <w:szCs w:val="24"/>
        </w:rPr>
        <w:t xml:space="preserve">Usage of financial services Only the frequency and level to which people and businesses use financial services are required. This is gauged in terms of indicators like savings in financial institution which indicates percentage of adults saving and doing it through a bank or other formal financial institutions. Another measure is the ease of credit that depicts the proportion of the adult population with an access to formal credit services. Digital payments as a feature signify the percentage of adults making online payments or digital payments, including those issued over mobile technology or the internet, which has gone up enormously over the last ten years through </w:t>
      </w:r>
      <w:r>
        <w:rPr>
          <w:rFonts w:hint="default" w:ascii="Times New Roman" w:hAnsi="Times New Roman"/>
          <w:sz w:val="24"/>
          <w:szCs w:val="24"/>
          <w:lang w:val="en-US"/>
        </w:rPr>
        <w:t>fin tech</w:t>
      </w:r>
      <w:r>
        <w:rPr>
          <w:rFonts w:hint="default" w:ascii="Times New Roman" w:hAnsi="Times New Roman"/>
          <w:sz w:val="24"/>
          <w:szCs w:val="24"/>
        </w:rPr>
        <w:t xml:space="preserve"> developments. The insurance cover based on the ratio of the formal insurance taken by individuals like health insurance, agriculture insurance or life insurance is very essential in addressing financial risks, especially in the rural world. Another measure illustrating the degree of using financial services is business loan penetration as the proportion of SMEs and micro-enterprises with formal finance sources that indicator allows to evaluate the degrees of financial services usage as access to credit is vital to business growth expansion and industrialization</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AuthorYear="1"&gt;&lt;Author&gt;Klapper&lt;/Author&gt;&lt;Year&gt;2016&lt;/Year&gt;&lt;RecNum&gt;97&lt;/RecNum&gt;&lt;DisplayText&gt;Klapper, El-Zoghbi et al. (2016)&lt;/DisplayText&gt;&lt;record&gt;&lt;rec-number&gt;97&lt;/rec-number&gt;&lt;foreign-keys&gt;&lt;key app="EN" db-id="2t52ftddjzwsxoerapx5vrxm2fdzpaza5sva" timestamp="1752419951"&gt;97&lt;/key&gt;&lt;/foreign-keys&gt;&lt;ref-type name="Journal Article"&gt;17&lt;/ref-type&gt;&lt;contributors&gt;&lt;authors&gt;&lt;author&gt;Klapper, Leora&lt;/author&gt;&lt;author&gt;El-Zoghbi, Mayada&lt;/author&gt;&lt;author&gt;Hess, Jake&lt;/author&gt;&lt;/authors&gt;&lt;/contributors&gt;&lt;titles&gt;&lt;title&gt;Achieving the sustainable development goals&lt;/title&gt;&lt;secondary-title&gt;The role of financial inclusion. Available online: http://www. ccgap. org. Accessed&lt;/secondary-title&gt;&lt;/titles&gt;&lt;periodical&gt;&lt;full-title&gt;The role of financial inclusion. Available online: http://www. ccgap. org. Accessed&lt;/full-title&gt;&lt;/periodical&gt;&lt;pages&gt;2016&lt;/pages&gt;&lt;volume&gt;23&lt;/volume&gt;&lt;number&gt;5&lt;/number&gt;&lt;dates&gt;&lt;year&gt;2016&lt;/year&gt;&lt;/dates&gt;&lt;urls&gt;&lt;/urls&gt;&lt;/record&gt;&lt;/Cite&gt;&lt;/EndNote&gt;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Klapper, El-Zoghbi et al. (2016)</w:t>
      </w:r>
      <w:r>
        <w:rPr>
          <w:rFonts w:hint="default" w:ascii="Times New Roman" w:hAnsi="Times New Roman"/>
          <w:sz w:val="24"/>
          <w:szCs w:val="24"/>
          <w:lang w:val="en-US"/>
        </w:rPr>
        <w:fldChar w:fldCharType="end"/>
      </w:r>
      <w:r>
        <w:rPr>
          <w:rFonts w:hint="default" w:ascii="Times New Roman" w:hAnsi="Times New Roman"/>
          <w:sz w:val="24"/>
          <w:szCs w:val="24"/>
        </w:rPr>
        <w:t>.</w:t>
      </w:r>
    </w:p>
    <w:p w14:paraId="31CF80F4">
      <w:pPr>
        <w:jc w:val="both"/>
        <w:rPr>
          <w:rFonts w:hint="default" w:ascii="Times New Roman" w:hAnsi="Times New Roman"/>
          <w:sz w:val="24"/>
          <w:szCs w:val="24"/>
        </w:rPr>
      </w:pPr>
      <w:r>
        <w:rPr>
          <w:rFonts w:hint="default" w:ascii="Times New Roman" w:hAnsi="Times New Roman"/>
          <w:sz w:val="24"/>
          <w:szCs w:val="24"/>
        </w:rPr>
        <w:t>The affordability and the quality of financial services mention the effectiveness, security and price of financial items and financial services. The affordability of financial services is another financial inclusion aspect that is measured by how much people are willing to pay in conducting financial tasks such as average date charges on basic financial services such as withdrawals via automatic teller machine (ATM) and online payments and the research indicates that high cost of financial transactions is a strong driver of financial exclusion in low-income economies</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AuthorYear="1"&gt;&lt;Author&gt;SINGH&lt;/Author&gt;&lt;Year&gt;2022&lt;/Year&gt;&lt;RecNum&gt;85&lt;/RecNum&gt;&lt;DisplayText&gt;SINGH, GAUTAM et al. (2022)&lt;/DisplayText&gt;&lt;record&gt;&lt;rec-number&gt;85&lt;/rec-number&gt;&lt;foreign-keys&gt;&lt;key app="EN" db-id="2t52ftddjzwsxoerapx5vrxm2fdzpaza5sva" timestamp="1752405783"&gt;85&lt;/key&gt;&lt;/foreign-keys&gt;&lt;ref-type name="Journal Article"&gt;17&lt;/ref-type&gt;&lt;contributors&gt;&lt;authors&gt;&lt;author&gt;SINGH, Saumya&lt;/author&gt;&lt;author&gt;GAUTAM, Rahul Singh&lt;/author&gt;&lt;author&gt;AGARWAL, Bhakti&lt;/author&gt;&lt;author&gt;PUSHP, Aman&lt;/author&gt;&lt;author&gt;BARGE, Prashant&lt;/author&gt;&lt;author&gt;RASTOGI, Shailesh&lt;/author&gt;&lt;/authors&gt;&lt;/contributors&gt;&lt;titles&gt;&lt;title&gt;Impacts of financial inclusion on sustainable development in India&lt;/title&gt;&lt;secondary-title&gt;The Journal of Asian Finance, Economics and Business&lt;/secondary-title&gt;&lt;/titles&gt;&lt;periodical&gt;&lt;full-title&gt;The Journal of Asian Finance, Economics and Business&lt;/full-title&gt;&lt;/periodical&gt;&lt;pages&gt;235-242&lt;/pages&gt;&lt;volume&gt;9&lt;/volume&gt;&lt;number&gt;10&lt;/number&gt;&lt;dates&gt;&lt;year&gt;2022&lt;/year&gt;&lt;/dates&gt;&lt;isbn&gt;2288-4637&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SINGH, GAUTAM et al. (2022)</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w:t>
      </w:r>
      <w:r>
        <w:rPr>
          <w:rFonts w:hint="default" w:ascii="Times New Roman" w:hAnsi="Times New Roman"/>
          <w:sz w:val="24"/>
          <w:szCs w:val="24"/>
        </w:rPr>
        <w:t>Another sign of this aspect of financial inclusion is trust on financial institutions, measured by whether citizens trust their banks and financial services providers, though surveys are used to analyse this part Financial literacy rates which constitute the number of people who have minimal knowledge on the concepts and idea of financial decisions in the population is another important level in the determination of the financial inclusion performance as when the financial literacy levels are low, there tend to be poor sub-optimal financial decision making. Moreover, the satisfaction of the customers that can be traced through the feedback of the users and ratings of the accessibility of the financial services, can be of great importance in drawing a conclusion about the effectiveness of the financial inclusion initiatives as well.</w:t>
      </w:r>
    </w:p>
    <w:p w14:paraId="33D9B0C9">
      <w:pPr>
        <w:jc w:val="both"/>
        <w:rPr>
          <w:rFonts w:hint="default" w:ascii="Times New Roman" w:hAnsi="Times New Roman"/>
          <w:sz w:val="24"/>
          <w:szCs w:val="24"/>
        </w:rPr>
      </w:pPr>
      <w:r>
        <w:rPr>
          <w:rFonts w:hint="default" w:ascii="Times New Roman" w:hAnsi="Times New Roman"/>
          <w:sz w:val="24"/>
          <w:szCs w:val="24"/>
        </w:rPr>
        <w:t xml:space="preserve">In a number of studies, financial inclusion is discussed as one of the factors of economic and social development. Digital payments and economic growth are highly related, which suggest that the use of digital payments decreases transaction costs and increases the performance of businesses, thereby promoting SDG 9. Access to finances and decreasing poverty have also been well researched and as per studies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Danladi, Prasad et al. (2023)</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AuthorYear="1"&gt;&lt;Author&gt;Dikshit&lt;/Author&gt;&lt;Year&gt;2021&lt;/Year&gt;&lt;RecNum&gt;96&lt;/RecNum&gt;&lt;DisplayText&gt;Dikshit and Pandey (2021)&lt;/DisplayText&gt;&lt;record&gt;&lt;rec-number&gt;96&lt;/rec-number&gt;&lt;foreign-keys&gt;&lt;key app="EN" db-id="2t52ftddjzwsxoerapx5vrxm2fdzpaza5sva" timestamp="1752418543"&gt;96&lt;/key&gt;&lt;/foreign-keys&gt;&lt;ref-type name="Journal Article"&gt;17&lt;/ref-type&gt;&lt;contributors&gt;&lt;authors&gt;&lt;author&gt;Dikshit, Smita&lt;/author&gt;&lt;author&gt;Pandey, AC&lt;/author&gt;&lt;/authors&gt;&lt;/contributors&gt;&lt;titles&gt;&lt;title&gt;Role of financial inclusion in realising sustainable development goals (SDGs)&lt;/title&gt;&lt;secondary-title&gt;International journal of research in finance and management&lt;/secondary-title&gt;&lt;/titles&gt;&lt;periodical&gt;&lt;full-title&gt;International journal of research in finance and management&lt;/full-title&gt;&lt;/periodical&gt;&lt;pages&gt;35-39&lt;/pages&gt;&lt;volume&gt;4&lt;/volume&gt;&lt;number&gt;2&lt;/number&gt;&lt;dates&gt;&lt;year&gt;2021&lt;/year&gt;&lt;/dates&gt;&lt;urls&gt;&lt;/urls&gt;&lt;/record&gt;&lt;/Cite&gt;&lt;/EndNote&gt;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Dikshit and Pandey (2021)</w:t>
      </w:r>
      <w:r>
        <w:rPr>
          <w:rFonts w:hint="default" w:ascii="Times New Roman" w:hAnsi="Times New Roman"/>
          <w:sz w:val="24"/>
          <w:szCs w:val="24"/>
          <w:lang w:val="en-US"/>
        </w:rPr>
        <w:fldChar w:fldCharType="end"/>
      </w:r>
      <w:r>
        <w:rPr>
          <w:rFonts w:hint="default" w:ascii="Times New Roman" w:hAnsi="Times New Roman"/>
          <w:sz w:val="24"/>
          <w:szCs w:val="24"/>
        </w:rPr>
        <w:t xml:space="preserve"> financial inclusion initiatives including microfinance and mobile banking drastically make a positive impact on food security under the SDG 2 by aiding investments in the agricultural field. It is also applicable to the mobile money service since it has aided the development of SMEs and empirical evidence shows that mobile financial services stimulate entrepreneurship by facilitating access to credit and investment opportunities easily. Nevertheless, in spite of this, issues regarding financial inclusion remain. The literature provided by</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AuthorYear="1"&gt;&lt;Author&gt;Mhlanga&lt;/Author&gt;&lt;Year&gt;2020&lt;/Year&gt;&lt;RecNum&gt;77&lt;/RecNum&gt;&lt;DisplayText&gt;Mhlanga (2020)&lt;/DisplayText&gt;&lt;record&gt;&lt;rec-number&gt;77&lt;/rec-number&gt;&lt;foreign-keys&gt;&lt;key app="EN" db-id="2t52ftddjzwsxoerapx5vrxm2fdzpaza5sva" timestamp="1752401108"&gt;77&lt;/key&gt;&lt;/foreign-keys&gt;&lt;ref-type name="Journal Article"&gt;17&lt;/ref-type&gt;&lt;contributors&gt;&lt;authors&gt;&lt;author&gt;Mhlanga, David&lt;/author&gt;&lt;/authors&gt;&lt;/contributors&gt;&lt;titles&gt;&lt;title&gt;Industry 4.0 in finance: The impact of artificial intelligence (AI) on digital financial inclusion&lt;/title&gt;&lt;secondary-title&gt;International Journal of Financial Studies&lt;/secondary-title&gt;&lt;/titles&gt;&lt;periodical&gt;&lt;full-title&gt;International Journal of Financial Studies&lt;/full-title&gt;&lt;/periodical&gt;&lt;pages&gt;45&lt;/pages&gt;&lt;volume&gt;8&lt;/volume&gt;&lt;number&gt;3&lt;/number&gt;&lt;dates&gt;&lt;year&gt;2020&lt;/year&gt;&lt;/dates&gt;&lt;isbn&gt;2227-7072&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Mhlanga (2020)</w:t>
      </w:r>
      <w:r>
        <w:rPr>
          <w:rFonts w:hint="default" w:ascii="Times New Roman" w:hAnsi="Times New Roman"/>
          <w:sz w:val="24"/>
          <w:szCs w:val="24"/>
          <w:lang w:val="en-US"/>
        </w:rPr>
        <w:fldChar w:fldCharType="end"/>
      </w:r>
      <w:r>
        <w:rPr>
          <w:rFonts w:hint="default" w:ascii="Times New Roman" w:hAnsi="Times New Roman"/>
          <w:sz w:val="24"/>
          <w:szCs w:val="24"/>
        </w:rPr>
        <w:t>,</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AuthorYear="1"&gt;&lt;Author&gt;Mpofu&lt;/Author&gt;&lt;Year&gt;2023&lt;/Year&gt;&lt;RecNum&gt;28&lt;/RecNum&gt;&lt;DisplayText&gt;Mpofu (2023)&lt;/DisplayText&gt;&lt;record&gt;&lt;rec-number&gt;28&lt;/rec-number&gt;&lt;foreign-keys&gt;&lt;key app="EN" db-id="2t52ftddjzwsxoerapx5vrxm2fdzpaza5sva" timestamp="1752330490"&gt;28&lt;/key&gt;&lt;/foreign-keys&gt;&lt;ref-type name="Journal Article"&gt;17&lt;/ref-type&gt;&lt;contributors&gt;&lt;authors&gt;&lt;author&gt;Mpofu, Favourate Y&lt;/author&gt;&lt;/authors&gt;&lt;/contributors&gt;&lt;titles&gt;&lt;title&gt;Digital entrepreneurship, taxation of the digital economy, digital transformation, and sustainable development in Africa&lt;/title&gt;&lt;secondary-title&gt;The Fourth Industrial Revolution in Africa: Exploring the Development Implications of Smart Technologies in Africa&lt;/secondary-title&gt;&lt;/titles&gt;&lt;periodical&gt;&lt;full-title&gt;The Fourth Industrial Revolution in Africa: Exploring the Development Implications of Smart Technologies in Africa&lt;/full-title&gt;&lt;/periodical&gt;&lt;pages&gt;193-219&lt;/pages&gt;&lt;dates&gt;&lt;year&gt;2023&lt;/year&gt;&lt;/dates&gt;&lt;urls&gt;&lt;/urls&gt;&lt;/record&gt;&lt;/Cite&gt;&lt;/EndNote&gt;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Mpofu (2023)</w:t>
      </w:r>
      <w:r>
        <w:rPr>
          <w:rFonts w:hint="default" w:ascii="Times New Roman" w:hAnsi="Times New Roman"/>
          <w:sz w:val="24"/>
          <w:szCs w:val="24"/>
          <w:lang w:val="en-US"/>
        </w:rPr>
        <w:fldChar w:fldCharType="end"/>
      </w:r>
      <w:r>
        <w:rPr>
          <w:rFonts w:hint="default" w:ascii="Times New Roman" w:hAnsi="Times New Roman"/>
          <w:sz w:val="24"/>
          <w:szCs w:val="24"/>
        </w:rPr>
        <w:t xml:space="preserve">  points at such barriers as the digital literacy gap, the high cost of transactions, and a poor or no supporting infrastructure to restrict financial inclusion initiatives.</w:t>
      </w:r>
    </w:p>
    <w:p w14:paraId="1C2F7D69">
      <w:pPr>
        <w:jc w:val="both"/>
        <w:rPr>
          <w:rFonts w:hint="default" w:ascii="Times New Roman" w:hAnsi="Times New Roman"/>
          <w:sz w:val="24"/>
          <w:szCs w:val="24"/>
        </w:rPr>
      </w:pPr>
    </w:p>
    <w:p w14:paraId="2C0EE4F0">
      <w:pPr>
        <w:pStyle w:val="2"/>
        <w:numPr>
          <w:ilvl w:val="0"/>
          <w:numId w:val="20"/>
        </w:numPr>
        <w:ind w:left="360" w:leftChars="0" w:firstLineChars="0"/>
        <w:rPr>
          <w:rFonts w:eastAsia="Times New Roman"/>
        </w:rPr>
      </w:pPr>
      <w:bookmarkStart w:id="72" w:name="_Toc5705"/>
      <w:bookmarkStart w:id="73" w:name="_Toc6609"/>
      <w:r>
        <w:rPr>
          <w:rFonts w:hint="default" w:ascii="Times New Roman" w:hAnsi="Times New Roman" w:eastAsia="Times New Roman" w:cs="Times New Roman"/>
          <w:sz w:val="28"/>
          <w:szCs w:val="28"/>
        </w:rPr>
        <w:t>Dependent Variables for SDG 2 &amp; SDG 9:</w:t>
      </w:r>
      <w:bookmarkEnd w:id="72"/>
      <w:bookmarkEnd w:id="73"/>
      <w:r>
        <w:rPr>
          <w:rFonts w:hint="default" w:ascii="Times New Roman" w:hAnsi="Times New Roman" w:eastAsia="Times New Roman" w:cs="Times New Roman"/>
          <w:sz w:val="28"/>
          <w:szCs w:val="28"/>
        </w:rPr>
        <w:t xml:space="preserve"> </w:t>
      </w:r>
    </w:p>
    <w:p w14:paraId="61CDBC86"/>
    <w:p w14:paraId="0F03A26D">
      <w:pPr>
        <w:pStyle w:val="3"/>
        <w:numPr>
          <w:ilvl w:val="0"/>
          <w:numId w:val="21"/>
        </w:numPr>
        <w:bidi w:val="0"/>
        <w:ind w:left="360" w:leftChars="0" w:hanging="360" w:firstLineChars="0"/>
        <w:rPr>
          <w:rFonts w:hint="default"/>
        </w:rPr>
      </w:pPr>
      <w:bookmarkStart w:id="74" w:name="_Toc2526"/>
      <w:r>
        <w:rPr>
          <w:rFonts w:hint="default" w:ascii="Times New Roman" w:hAnsi="Times New Roman" w:cs="Times New Roman"/>
          <w:sz w:val="24"/>
          <w:szCs w:val="24"/>
        </w:rPr>
        <w:t>SDG2: Zero Hunge</w:t>
      </w:r>
      <w:r>
        <w:rPr>
          <w:rFonts w:hint="default"/>
        </w:rPr>
        <w:t>r</w:t>
      </w:r>
      <w:bookmarkEnd w:id="74"/>
    </w:p>
    <w:p w14:paraId="5A06ECC2">
      <w:pPr>
        <w:ind w:firstLine="720" w:firstLineChars="300"/>
        <w:jc w:val="both"/>
        <w:rPr>
          <w:rFonts w:hint="default" w:ascii="Times New Roman" w:hAnsi="Times New Roman"/>
          <w:b/>
          <w:bCs/>
          <w:sz w:val="24"/>
          <w:szCs w:val="24"/>
        </w:rPr>
      </w:pPr>
    </w:p>
    <w:p w14:paraId="513CC2A5">
      <w:pPr>
        <w:ind w:firstLine="720" w:firstLineChars="300"/>
        <w:jc w:val="both"/>
        <w:rPr>
          <w:rFonts w:hint="default" w:ascii="Times New Roman" w:hAnsi="Times New Roman" w:cs="Times New Roman"/>
          <w:sz w:val="24"/>
          <w:szCs w:val="24"/>
        </w:rPr>
      </w:pPr>
      <w:r>
        <w:rPr>
          <w:rFonts w:hint="default" w:ascii="Times New Roman" w:hAnsi="Times New Roman"/>
          <w:b w:val="0"/>
          <w:bCs w:val="0"/>
          <w:sz w:val="24"/>
          <w:szCs w:val="24"/>
        </w:rPr>
        <w:t>The SDG 2</w:t>
      </w:r>
      <w:r>
        <w:rPr>
          <w:rFonts w:hint="default" w:ascii="Times New Roman" w:hAnsi="Times New Roman"/>
          <w:b w:val="0"/>
          <w:bCs w:val="0"/>
          <w:sz w:val="24"/>
          <w:szCs w:val="24"/>
          <w:lang w:val="en-US"/>
        </w:rPr>
        <w:t xml:space="preserve"> </w:t>
      </w:r>
      <w:r>
        <w:rPr>
          <w:rFonts w:hint="default" w:ascii="Times New Roman" w:hAnsi="Times New Roman"/>
          <w:b w:val="0"/>
          <w:bCs w:val="0"/>
          <w:sz w:val="24"/>
          <w:szCs w:val="24"/>
          <w:lang w:val="en-US"/>
        </w:rPr>
        <w:fldChar w:fldCharType="begin"/>
      </w:r>
      <w:r>
        <w:rPr>
          <w:rFonts w:hint="default" w:ascii="Times New Roman" w:hAnsi="Times New Roman"/>
          <w:b w:val="0"/>
          <w:bCs w:val="0"/>
          <w:sz w:val="24"/>
          <w:szCs w:val="24"/>
          <w:lang w:val="en-US"/>
        </w:rPr>
        <w:instrText xml:space="preserve"> ADDIN EN.CITE &lt;EndNote&gt;&lt;Cite AuthorYear="1"&gt;&lt;Author&gt;Valin&lt;/Author&gt;&lt;Year&gt;2021&lt;/Year&gt;&lt;RecNum&gt;99&lt;/RecNum&gt;&lt;DisplayText&gt;Valin, Hertel et al. (2021)&lt;/DisplayText&gt;&lt;record&gt;&lt;rec-number&gt;99&lt;/rec-number&gt;&lt;foreign-keys&gt;&lt;key app="EN" db-id="2t52ftddjzwsxoerapx5vrxm2fdzpaza5sva" timestamp="1752421199"&gt;99&lt;/key&gt;&lt;/foreign-keys&gt;&lt;ref-type name="Journal Article"&gt;17&lt;/ref-type&gt;&lt;contributors&gt;&lt;authors&gt;&lt;author&gt;Valin, Hugo&lt;/author&gt;&lt;author&gt;Hertel, Thomas&lt;/author&gt;&lt;author&gt;Bodirsky, B&lt;/author&gt;&lt;author&gt;Hasegawa, Tomoko&lt;/author&gt;&lt;author&gt;Stehfest, Elke&lt;/author&gt;&lt;/authors&gt;&lt;/contributors&gt;&lt;titles&gt;&lt;title&gt;Achieving zero hunger by 2030 a review of quantitative assessments of synergies and tradeoffs amongst the un sustainable development goals&lt;/title&gt;&lt;/titles&gt;&lt;dates&gt;&lt;year&gt;2021&lt;/year&gt;&lt;/dates&gt;&lt;urls&gt;&lt;/urls&gt;&lt;/record&gt;&lt;/Cite&gt;&lt;/EndNote&gt;</w:instrText>
      </w:r>
      <w:r>
        <w:rPr>
          <w:rFonts w:hint="default" w:ascii="Times New Roman" w:hAnsi="Times New Roman"/>
          <w:b w:val="0"/>
          <w:bCs w:val="0"/>
          <w:sz w:val="24"/>
          <w:szCs w:val="24"/>
          <w:lang w:val="en-US"/>
        </w:rPr>
        <w:fldChar w:fldCharType="separate"/>
      </w:r>
      <w:r>
        <w:rPr>
          <w:rFonts w:hint="default" w:ascii="Times New Roman" w:hAnsi="Times New Roman" w:eastAsiaTheme="minorHAnsi" w:cstheme="minorBidi"/>
          <w:b w:val="0"/>
          <w:bCs w:val="0"/>
          <w:sz w:val="24"/>
          <w:szCs w:val="24"/>
          <w:lang w:val="en-US" w:eastAsia="en-US" w:bidi="ar-SA"/>
        </w:rPr>
        <w:t>Valin, Hertel et al. (2021)</w:t>
      </w:r>
      <w:r>
        <w:rPr>
          <w:rFonts w:hint="default" w:ascii="Times New Roman" w:hAnsi="Times New Roman"/>
          <w:b w:val="0"/>
          <w:bCs w:val="0"/>
          <w:sz w:val="24"/>
          <w:szCs w:val="24"/>
          <w:lang w:val="en-US"/>
        </w:rPr>
        <w:fldChar w:fldCharType="end"/>
      </w:r>
      <w:r>
        <w:rPr>
          <w:rFonts w:hint="default" w:ascii="Times New Roman" w:hAnsi="Times New Roman"/>
          <w:b w:val="0"/>
          <w:bCs w:val="0"/>
          <w:sz w:val="24"/>
          <w:szCs w:val="24"/>
          <w:lang w:val="en-US"/>
        </w:rPr>
        <w:t xml:space="preserve"> </w:t>
      </w:r>
      <w:r>
        <w:rPr>
          <w:rFonts w:hint="default" w:ascii="Times New Roman" w:hAnsi="Times New Roman"/>
          <w:b w:val="0"/>
          <w:bCs w:val="0"/>
          <w:sz w:val="24"/>
          <w:szCs w:val="24"/>
        </w:rPr>
        <w:t>describes the prevention of hunger, the maintenance of food security and better nutrition with the goal of reaching sustainable agriculture.</w:t>
      </w:r>
      <w:r>
        <w:rPr>
          <w:rFonts w:hint="default" w:ascii="Times New Roman" w:hAnsi="Times New Roman" w:cs="Times New Roman"/>
          <w:sz w:val="24"/>
          <w:szCs w:val="24"/>
        </w:rPr>
        <w:t xml:space="preserve"> Malnutrition and hunger still remain significant issues in the world and millions of individuals are exposed to lack of food. To attain SDG 2, there is an intensified need to implement holistic solutions including expansion of agricultural outputs, enhancing food supply systems, and decreasing loss and wastage of food. Also, sustainable agricultural policies and systems that support small farmer farmers are also instrumental in solving hunger. But conflicts, climate change and economic vulnerability are some of the main challenges to the realization of this aim and therefore governments and international organizations must act together in ensuring that proper food security measures are put in place.</w:t>
      </w:r>
    </w:p>
    <w:p w14:paraId="6C727D7A">
      <w:pPr>
        <w:jc w:val="both"/>
        <w:rPr>
          <w:rFonts w:hint="default" w:ascii="Times New Roman" w:hAnsi="Times New Roman" w:cs="Times New Roman"/>
          <w:sz w:val="24"/>
          <w:szCs w:val="24"/>
        </w:rPr>
      </w:pPr>
      <w:r>
        <w:rPr>
          <w:rFonts w:hint="default" w:ascii="Times New Roman" w:hAnsi="Times New Roman" w:cs="Times New Roman"/>
          <w:sz w:val="24"/>
          <w:szCs w:val="24"/>
        </w:rPr>
        <w:t>The prevalence of Undernourishment is one of the main dependent variables that measure SDG 2 and the Johari World says that it is the proportion of a population that does not receive enough dietary energy intake. The variable is a direct indicator of food insecurity and can assist policy makers to determine vulnerable populations who require special interventions. According to</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AuthorYear="1"&gt;&lt;Author&gt;Atukunda&lt;/Author&gt;&lt;Year&gt;2021&lt;/Year&gt;&lt;RecNum&gt;98&lt;/RecNum&gt;&lt;DisplayText&gt;Atukunda, Eide et al. (2021)&lt;/DisplayText&gt;&lt;record&gt;&lt;rec-number&gt;98&lt;/rec-number&gt;&lt;foreign-keys&gt;&lt;key app="EN" db-id="2t52ftddjzwsxoerapx5vrxm2fdzpaza5sva" timestamp="1752420935"&gt;98&lt;/key&gt;&lt;/foreign-keys&gt;&lt;ref-type name="Journal Article"&gt;17&lt;/ref-type&gt;&lt;contributors&gt;&lt;authors&gt;&lt;author&gt;Atukunda, Prudence&lt;/author&gt;&lt;author&gt;Eide, Wenche Barth&lt;/author&gt;&lt;author&gt;Kardel, Kristin R&lt;/author&gt;&lt;author&gt;Iversen, Per Ole&lt;/author&gt;&lt;author&gt;Westerberg, Ane C&lt;/author&gt;&lt;/authors&gt;&lt;/contributors&gt;&lt;titles&gt;&lt;title&gt;Unlocking the potential for achievement of the UN Sustainable Development Goal 2–‘Zero Hunger’–in Africa: targets, strategies, synergies and challenges&lt;/title&gt;&lt;secondary-title&gt;Food &amp;amp; nutrition research&lt;/secondary-title&gt;&lt;/titles&gt;&lt;periodical&gt;&lt;full-title&gt;Food &amp;amp; nutrition research&lt;/full-title&gt;&lt;/periodical&gt;&lt;pages&gt;10.29219/fnr. v65. 7686&lt;/pages&gt;&lt;volume&gt;65&lt;/volume&gt;&lt;dates&gt;&lt;year&gt;2021&lt;/year&gt;&lt;/dates&gt;&lt;urls&gt;&lt;/urls&gt;&lt;/record&gt;&lt;/Cite&gt;&lt;/EndNote&gt;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Atukunda, Eide et al. (2021)</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the prevalence of undernourishment in most African countries is growing steadily, which is part of the reason the SDG 2 should not be met. The research paper shows that there should be investments in agricultural research and improvement of food distribution systems to reduce the incidents of food crunches and also provide equal access to healthy food.</w:t>
      </w:r>
    </w:p>
    <w:p w14:paraId="7FD9BBD0">
      <w:pPr>
        <w:jc w:val="both"/>
        <w:rPr>
          <w:rFonts w:hint="default" w:ascii="Times New Roman" w:hAnsi="Times New Roman"/>
          <w:sz w:val="24"/>
          <w:szCs w:val="24"/>
        </w:rPr>
      </w:pPr>
      <w:r>
        <w:rPr>
          <w:rFonts w:hint="default" w:ascii="Times New Roman" w:hAnsi="Times New Roman"/>
          <w:sz w:val="24"/>
          <w:szCs w:val="24"/>
        </w:rPr>
        <w:t xml:space="preserve">The Child Stunting and Wasting Rates is also another important indicator that shows the chronic and acute child under-five malnutrition trends. When children are affected by chronic under nutrition, they are stunted, which is the impaired physical and mental development. Wasting, in its turn, is caused by severe short term </w:t>
      </w:r>
      <w:r>
        <w:rPr>
          <w:rFonts w:hint="default" w:ascii="Times New Roman" w:hAnsi="Times New Roman"/>
          <w:sz w:val="24"/>
          <w:szCs w:val="24"/>
          <w:lang w:val="en-US"/>
        </w:rPr>
        <w:t>malnourished</w:t>
      </w:r>
      <w:r>
        <w:rPr>
          <w:rFonts w:hint="default" w:ascii="Times New Roman" w:hAnsi="Times New Roman"/>
          <w:sz w:val="24"/>
          <w:szCs w:val="24"/>
        </w:rPr>
        <w:t xml:space="preserve"> and is the indicator of the threat to mortality developed as a result of the inability to consume enough food.</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AuthorYear="1"&gt;&lt;Author&gt;Hanson&lt;/Author&gt;&lt;Year&gt;2022&lt;/Year&gt;&lt;RecNum&gt;100&lt;/RecNum&gt;&lt;DisplayText&gt;Hanson, Abbafati et al. (2022)&lt;/DisplayText&gt;&lt;record&gt;&lt;rec-number&gt;100&lt;/rec-number&gt;&lt;foreign-keys&gt;&lt;key app="EN" db-id="2t52ftddjzwsxoerapx5vrxm2fdzpaza5sva" timestamp="1752421665"&gt;100&lt;/key&gt;&lt;/foreign-keys&gt;&lt;ref-type name="Journal Article"&gt;17&lt;/ref-type&gt;&lt;contributors&gt;&lt;authors&gt;&lt;author&gt;Hanson, Sarah Wulf&lt;/author&gt;&lt;author&gt;Abbafati, Cristiana&lt;/author&gt;&lt;author&gt;Aerts, Joachim G&lt;/author&gt;&lt;author&gt;Al-Aly, Ziyad&lt;/author&gt;&lt;author&gt;Ashbaugh, Charlie&lt;/author&gt;&lt;author&gt;Ballouz, Tala&lt;/author&gt;&lt;author&gt;Blyuss, Oleg&lt;/author&gt;&lt;author&gt;Bobkova, Polina&lt;/author&gt;&lt;author&gt;Bonsel, Gouke&lt;/author&gt;&lt;author&gt;Borzakova, Svetlana&lt;/author&gt;&lt;/authors&gt;&lt;/contributors&gt;&lt;titles&gt;&lt;title&gt;Estimated global proportions of individuals with persistent fatigue, cognitive, and respiratory symptom clusters following symptomatic COVID-19 in 2020 and 2021&lt;/title&gt;&lt;secondary-title&gt;Jama&lt;/secondary-title&gt;&lt;/titles&gt;&lt;periodical&gt;&lt;full-title&gt;Jama&lt;/full-title&gt;&lt;/periodical&gt;&lt;pages&gt;1604-1615&lt;/pages&gt;&lt;volume&gt;328&lt;/volume&gt;&lt;number&gt;16&lt;/number&gt;&lt;dates&gt;&lt;year&gt;2022&lt;/year&gt;&lt;/dates&gt;&lt;isbn&gt;0098-7484&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Hanson, Abbafati et al. (2022)</w:t>
      </w:r>
      <w:r>
        <w:rPr>
          <w:rFonts w:hint="default" w:ascii="Times New Roman" w:hAnsi="Times New Roman"/>
          <w:sz w:val="24"/>
          <w:szCs w:val="24"/>
          <w:lang w:val="en-US"/>
        </w:rPr>
        <w:fldChar w:fldCharType="end"/>
      </w:r>
      <w:r>
        <w:rPr>
          <w:rFonts w:hint="default" w:ascii="Times New Roman" w:hAnsi="Times New Roman"/>
          <w:sz w:val="24"/>
          <w:szCs w:val="24"/>
        </w:rPr>
        <w:t xml:space="preserve"> examined the detrimental effect of the COVID-19 pandemic on hunger and malnutrition, especially in developing nations, where food insecurity and decreased household revenues were encountered due to economic turbulence. The only solution to these problems is the need to strengthen the food assistance programs, enhance maternal nutrition, and increased attention of healthcare services on early childhood.</w:t>
      </w:r>
    </w:p>
    <w:p w14:paraId="501F6598">
      <w:pPr>
        <w:jc w:val="both"/>
        <w:rPr>
          <w:rFonts w:hint="default" w:ascii="Times New Roman" w:hAnsi="Times New Roman"/>
          <w:sz w:val="24"/>
          <w:szCs w:val="24"/>
        </w:rPr>
      </w:pPr>
      <w:r>
        <w:rPr>
          <w:rFonts w:hint="default" w:ascii="Times New Roman" w:hAnsi="Times New Roman"/>
          <w:sz w:val="24"/>
          <w:szCs w:val="24"/>
        </w:rPr>
        <w:t>Household Food Security Index is a wider scale that assesses food availability, accessibility and utilization on food access at the household levels. Factors like food affordability, quantity, variety of diet and the availability of nutritional resources are considered in this index. Their biometric analysis showed there are differences in household food security across the regions and rural communities were at high risks of hunger than urban populations</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AuthorYear="1"&gt;&lt;Author&gt;Bwala&lt;/Author&gt;&lt;Year&gt;2023&lt;/Year&gt;&lt;RecNum&gt;104&lt;/RecNum&gt;&lt;DisplayText&gt;Bwala, Otekunrin et al. (2023)&lt;/DisplayText&gt;&lt;record&gt;&lt;rec-number&gt;104&lt;/rec-number&gt;&lt;foreign-keys&gt;&lt;key app="EN" db-id="2t52ftddjzwsxoerapx5vrxm2fdzpaza5sva" timestamp="1752421937"&gt;104&lt;/key&gt;&lt;/foreign-keys&gt;&lt;ref-type name="Journal Article"&gt;17&lt;/ref-type&gt;&lt;contributors&gt;&lt;authors&gt;&lt;author&gt;Bwala, Dauda G&lt;/author&gt;&lt;author&gt;Otekunrin, Olutosin A&lt;/author&gt;&lt;author&gt;Adebowale, Oluwawemimo O&lt;/author&gt;&lt;author&gt;Fasina, Modupe M&lt;/author&gt;&lt;author&gt;Odetokun, Ismail A&lt;/author&gt;&lt;author&gt;Fasina, Folorunso O&lt;/author&gt;&lt;/authors&gt;&lt;/contributors&gt;&lt;titles&gt;&lt;title&gt;COVID-19 pandemic impacted food security and caused psychosocial stress in selected states of Nigeria&lt;/title&gt;&lt;secondary-title&gt;International Journal of Environmental Research and Public Health&lt;/secondary-title&gt;&lt;/titles&gt;&lt;periodical&gt;&lt;full-title&gt;International Journal of Environmental Research and Public Health&lt;/full-title&gt;&lt;/periodical&gt;&lt;pages&gt;4016&lt;/pages&gt;&lt;volume&gt;20&lt;/volume&gt;&lt;number&gt;5&lt;/number&gt;&lt;dates&gt;&lt;year&gt;2023&lt;/year&gt;&lt;/dates&gt;&lt;isbn&gt;1660-4601&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Bwala, Otekunrin et al. (2023)</w:t>
      </w:r>
      <w:r>
        <w:rPr>
          <w:rFonts w:hint="default" w:ascii="Times New Roman" w:hAnsi="Times New Roman"/>
          <w:sz w:val="24"/>
          <w:szCs w:val="24"/>
          <w:lang w:val="en-US"/>
        </w:rPr>
        <w:fldChar w:fldCharType="end"/>
      </w:r>
      <w:r>
        <w:rPr>
          <w:rFonts w:hint="default" w:ascii="Times New Roman" w:hAnsi="Times New Roman"/>
          <w:sz w:val="24"/>
          <w:szCs w:val="24"/>
        </w:rPr>
        <w:t>.The research indicates that better agricultural supply chains, government subsidies on staple foods, and social safety net would provide food security at household levels.</w:t>
      </w:r>
    </w:p>
    <w:p w14:paraId="3FD9F6C8">
      <w:pPr>
        <w:jc w:val="both"/>
        <w:rPr>
          <w:rFonts w:hint="default" w:ascii="Times New Roman" w:hAnsi="Times New Roman"/>
          <w:sz w:val="24"/>
          <w:szCs w:val="24"/>
        </w:rPr>
      </w:pPr>
      <w:r>
        <w:rPr>
          <w:rFonts w:hint="default" w:ascii="Times New Roman" w:hAnsi="Times New Roman"/>
          <w:sz w:val="24"/>
          <w:szCs w:val="24"/>
        </w:rPr>
        <w:t>One such variable is Agricultural Productivity (Yield per Hectare), which is necessary in the monitoring of SDG 2 progress since agricultural productivity is a significant measure of sufficient food levels and alleviating hunger. Such factors as the farming methods, soil conditions, irrigation, and availability of modern agricultural inputs affect the productivity. Their results indicate that policy changes that favour sustainable agricultural activities and agricultural research will help a lot in attaining food security.</w:t>
      </w:r>
    </w:p>
    <w:p w14:paraId="079E7F25">
      <w:pPr>
        <w:jc w:val="both"/>
        <w:rPr>
          <w:rFonts w:hint="default" w:ascii="Times New Roman" w:hAnsi="Times New Roman"/>
          <w:b w:val="0"/>
          <w:bCs w:val="0"/>
          <w:sz w:val="24"/>
          <w:szCs w:val="24"/>
        </w:rPr>
      </w:pPr>
      <w:r>
        <w:rPr>
          <w:rFonts w:hint="default" w:ascii="Times New Roman" w:hAnsi="Times New Roman"/>
          <w:sz w:val="24"/>
          <w:szCs w:val="24"/>
        </w:rPr>
        <w:t>The Food Price Volatility is a key economic indicator that has serious impacts on food security since variation in prices has undesirable effects on the affordability of basic food commodities. When the food prices are high, there may be a rise in the rates of poverty and this will compel a household to change the quality and quantity of food.</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AuthorYear="1"&gt;&lt;Author&gt;Regmi&lt;/Author&gt;&lt;Year&gt;2019&lt;/Year&gt;&lt;RecNum&gt;106&lt;/RecNum&gt;&lt;DisplayText&gt;Regmi, KedarRijal et al. (2019)&lt;/DisplayText&gt;&lt;record&gt;&lt;rec-number&gt;106&lt;/rec-number&gt;&lt;foreign-keys&gt;&lt;key app="EN" db-id="2t52ftddjzwsxoerapx5vrxm2fdzpaza5sva" timestamp="1752422675"&gt;106&lt;/key&gt;&lt;/foreign-keys&gt;&lt;ref-type name="Journal Article"&gt;17&lt;/ref-type&gt;&lt;contributors&gt;&lt;authors&gt;&lt;author&gt;Regmi, Hem Raj&lt;/author&gt;&lt;author&gt;KedarRijal, Ganesh Raj Joshi&lt;/author&gt;&lt;author&gt;Sapkota, Ramesh P&lt;/author&gt;&lt;author&gt;Arun, G&lt;/author&gt;&lt;author&gt;Thapa, Sridhar&lt;/author&gt;&lt;/authors&gt;&lt;/contributors&gt;&lt;titles&gt;&lt;title&gt;Crop yield response to climate change in different ecolozical zones of Nepal&lt;/title&gt;&lt;secondary-title&gt;Asian Journal of Science and Technology&lt;/secondary-title&gt;&lt;/titles&gt;&lt;periodical&gt;&lt;full-title&gt;Asian Journal of Science and Technology&lt;/full-title&gt;&lt;/periodical&gt;&lt;pages&gt;10484-10492&lt;/pages&gt;&lt;volume&gt;10&lt;/volume&gt;&lt;number&gt;11&lt;/number&gt;&lt;dates&gt;&lt;year&gt;2019&lt;/year&gt;&lt;/dates&gt;&lt;urls&gt;&lt;/urls&gt;&lt;/record&gt;&lt;/Cite&gt;&lt;/EndNote&gt;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Regmi, KedarRijal et al. (2019)</w:t>
      </w:r>
      <w:r>
        <w:rPr>
          <w:rFonts w:hint="default" w:ascii="Times New Roman" w:hAnsi="Times New Roman"/>
          <w:sz w:val="24"/>
          <w:szCs w:val="24"/>
          <w:lang w:val="en-US"/>
        </w:rPr>
        <w:fldChar w:fldCharType="end"/>
      </w:r>
      <w:r>
        <w:rPr>
          <w:rFonts w:hint="default" w:ascii="Times New Roman" w:hAnsi="Times New Roman"/>
          <w:sz w:val="24"/>
          <w:szCs w:val="24"/>
        </w:rPr>
        <w:t xml:space="preserve"> study food expenditures of the Nepal households and conclude that in Nepal, food price volatility, urbanization as well as the level of income of the households are also significant determinants of accessibility to food. </w:t>
      </w:r>
      <w:r>
        <w:rPr>
          <w:rFonts w:hint="default" w:ascii="Times New Roman" w:hAnsi="Times New Roman"/>
          <w:b w:val="0"/>
          <w:bCs w:val="0"/>
          <w:sz w:val="24"/>
          <w:szCs w:val="24"/>
        </w:rPr>
        <w:t>The scientists suggest that a stabilization of the prices and increase in the agricultural trade would require to reduce food insecurity.</w:t>
      </w:r>
    </w:p>
    <w:p w14:paraId="3D8F54CA">
      <w:pPr>
        <w:ind w:firstLine="720" w:firstLineChars="300"/>
        <w:jc w:val="both"/>
        <w:rPr>
          <w:rFonts w:hint="default" w:ascii="Times New Roman" w:hAnsi="Times New Roman"/>
          <w:b/>
          <w:bCs/>
          <w:sz w:val="24"/>
          <w:szCs w:val="24"/>
        </w:rPr>
      </w:pPr>
    </w:p>
    <w:p w14:paraId="2CF3832C">
      <w:pPr>
        <w:numPr>
          <w:ilvl w:val="0"/>
          <w:numId w:val="22"/>
        </w:numPr>
        <w:ind w:left="360" w:leftChars="0" w:hanging="360" w:firstLineChars="0"/>
        <w:jc w:val="both"/>
        <w:rPr>
          <w:rStyle w:val="31"/>
          <w:rFonts w:hint="default" w:ascii="Times New Roman" w:hAnsi="Times New Roman" w:cs="Times New Roman"/>
          <w:sz w:val="24"/>
          <w:szCs w:val="24"/>
        </w:rPr>
      </w:pPr>
      <w:bookmarkStart w:id="75" w:name="_Toc6052"/>
      <w:r>
        <w:rPr>
          <w:rStyle w:val="31"/>
          <w:rFonts w:hint="default" w:ascii="Times New Roman" w:hAnsi="Times New Roman" w:cs="Times New Roman"/>
          <w:sz w:val="24"/>
          <w:szCs w:val="24"/>
        </w:rPr>
        <w:t>SDG 9: Industry, Innovation and Infrastructure</w:t>
      </w:r>
    </w:p>
    <w:bookmarkEnd w:id="75"/>
    <w:p w14:paraId="24FC32CF">
      <w:pPr>
        <w:ind w:firstLine="720" w:firstLineChars="300"/>
        <w:jc w:val="both"/>
        <w:rPr>
          <w:rFonts w:hint="default" w:ascii="Times New Roman" w:hAnsi="Times New Roman"/>
          <w:b/>
          <w:bCs/>
          <w:sz w:val="24"/>
          <w:szCs w:val="24"/>
        </w:rPr>
      </w:pPr>
    </w:p>
    <w:p w14:paraId="7C7151C2">
      <w:pPr>
        <w:ind w:firstLine="720" w:firstLineChars="300"/>
        <w:jc w:val="both"/>
        <w:rPr>
          <w:rFonts w:hint="default" w:ascii="Times New Roman" w:hAnsi="Times New Roman"/>
          <w:sz w:val="24"/>
          <w:szCs w:val="24"/>
        </w:rPr>
      </w:pPr>
      <w:r>
        <w:rPr>
          <w:rFonts w:hint="default" w:ascii="Times New Roman" w:hAnsi="Times New Roman"/>
          <w:b w:val="0"/>
          <w:bCs w:val="0"/>
          <w:sz w:val="24"/>
          <w:szCs w:val="24"/>
        </w:rPr>
        <w:t>SDG 9 implies that</w:t>
      </w:r>
      <w:r>
        <w:rPr>
          <w:rFonts w:hint="default" w:ascii="Times New Roman" w:hAnsi="Times New Roman"/>
          <w:b w:val="0"/>
          <w:bCs w:val="0"/>
          <w:sz w:val="24"/>
          <w:szCs w:val="24"/>
          <w:lang w:val="en-US"/>
        </w:rPr>
        <w:t xml:space="preserve"> </w:t>
      </w:r>
      <w:r>
        <w:rPr>
          <w:rFonts w:hint="default" w:ascii="Times New Roman" w:hAnsi="Times New Roman"/>
          <w:b w:val="0"/>
          <w:bCs w:val="0"/>
          <w:sz w:val="24"/>
          <w:szCs w:val="24"/>
          <w:lang w:val="en-US"/>
        </w:rPr>
        <w:fldChar w:fldCharType="begin"/>
      </w:r>
      <w:r>
        <w:rPr>
          <w:rFonts w:hint="default" w:ascii="Times New Roman" w:hAnsi="Times New Roman"/>
          <w:b w:val="0"/>
          <w:bCs w:val="0"/>
          <w:sz w:val="24"/>
          <w:szCs w:val="24"/>
          <w:lang w:val="en-US"/>
        </w:rPr>
        <w:instrText xml:space="preserve"> ADDIN EN.CITE &lt;EndNote&gt;&lt;Cite AuthorYear="1"&gt;&lt;Author&gt;Grodzicki&lt;/Author&gt;&lt;Year&gt;2024&lt;/Year&gt;&lt;RecNum&gt;107&lt;/RecNum&gt;&lt;DisplayText&gt;Grodzicki and Jankiewicz (2024)&lt;/DisplayText&gt;&lt;record&gt;&lt;rec-number&gt;107&lt;/rec-number&gt;&lt;foreign-keys&gt;&lt;key app="EN" db-id="2t52ftddjzwsxoerapx5vrxm2fdzpaza5sva" timestamp="1752422892"&gt;107&lt;/key&gt;&lt;/foreign-keys&gt;&lt;ref-type name="Journal Article"&gt;17&lt;/ref-type&gt;&lt;contributors&gt;&lt;authors&gt;&lt;author&gt;Grodzicki, Tomasz&lt;/author&gt;&lt;author&gt;Jankiewicz, Mateusz&lt;/author&gt;&lt;/authors&gt;&lt;/contributors&gt;&lt;titles&gt;&lt;title&gt;Building resilient infrastructure, supporting sustainable industrialization, and fostering innovation (SDG 9) in selected European countries: spatial and taxonomic analysis&lt;/title&gt;&lt;secondary-title&gt;Bulletin of Geography. Socio-economic Series&lt;/secondary-title&gt;&lt;/titles&gt;&lt;periodical&gt;&lt;full-title&gt;Bulletin of Geography. Socio-economic Series&lt;/full-title&gt;&lt;/periodical&gt;&lt;pages&gt;85-97&lt;/pages&gt;&lt;number&gt;65&lt;/number&gt;&lt;dates&gt;&lt;year&gt;2024&lt;/year&gt;&lt;/dates&gt;&lt;isbn&gt;2083-8298&lt;/isbn&gt;&lt;urls&gt;&lt;/urls&gt;&lt;/record&gt;&lt;/Cite&gt;&lt;/EndNote&gt;</w:instrText>
      </w:r>
      <w:r>
        <w:rPr>
          <w:rFonts w:hint="default" w:ascii="Times New Roman" w:hAnsi="Times New Roman"/>
          <w:b w:val="0"/>
          <w:bCs w:val="0"/>
          <w:sz w:val="24"/>
          <w:szCs w:val="24"/>
          <w:lang w:val="en-US"/>
        </w:rPr>
        <w:fldChar w:fldCharType="separate"/>
      </w:r>
      <w:r>
        <w:rPr>
          <w:rFonts w:hint="default" w:ascii="Times New Roman" w:hAnsi="Times New Roman" w:eastAsiaTheme="minorHAnsi" w:cstheme="minorBidi"/>
          <w:b w:val="0"/>
          <w:bCs w:val="0"/>
          <w:sz w:val="24"/>
          <w:szCs w:val="24"/>
          <w:lang w:val="en-US" w:eastAsia="en-US" w:bidi="ar-SA"/>
        </w:rPr>
        <w:t>Grodzicki and Jankiewicz (2024)</w:t>
      </w:r>
      <w:r>
        <w:rPr>
          <w:rFonts w:hint="default" w:ascii="Times New Roman" w:hAnsi="Times New Roman"/>
          <w:b w:val="0"/>
          <w:bCs w:val="0"/>
          <w:sz w:val="24"/>
          <w:szCs w:val="24"/>
          <w:lang w:val="en-US"/>
        </w:rPr>
        <w:fldChar w:fldCharType="end"/>
      </w:r>
      <w:r>
        <w:rPr>
          <w:rFonts w:hint="default" w:ascii="Times New Roman" w:hAnsi="Times New Roman"/>
          <w:b w:val="0"/>
          <w:bCs w:val="0"/>
          <w:sz w:val="24"/>
          <w:szCs w:val="24"/>
        </w:rPr>
        <w:t xml:space="preserve"> will focus on such problems as the improvement of good infrastructure, sustainable industrialization and innovation.</w:t>
      </w:r>
      <w:r>
        <w:rPr>
          <w:rFonts w:hint="default" w:ascii="Times New Roman" w:hAnsi="Times New Roman"/>
          <w:sz w:val="24"/>
          <w:szCs w:val="24"/>
        </w:rPr>
        <w:t>Development of infrastructure is critical towards economic growth, efficiency in trade, and provision of employment opportunities. SDG 9 is also important regarding the role that technology and research and development (R&amp;D) play in advancing industries. Nevertheless, to reach SDG 9, significant investment in modern infrastructure, support of the development of industrial policy, and the infiltration of the concepts of sustainability into the economic growth plans should be made.</w:t>
      </w:r>
    </w:p>
    <w:p w14:paraId="4499E7AF">
      <w:pPr>
        <w:jc w:val="both"/>
        <w:rPr>
          <w:rFonts w:hint="default" w:ascii="Times New Roman" w:hAnsi="Times New Roman"/>
          <w:sz w:val="24"/>
          <w:szCs w:val="24"/>
        </w:rPr>
      </w:pPr>
      <w:r>
        <w:rPr>
          <w:rFonts w:hint="default" w:ascii="Times New Roman" w:hAnsi="Times New Roman"/>
          <w:sz w:val="24"/>
          <w:szCs w:val="24"/>
        </w:rPr>
        <w:t xml:space="preserve">Income Expenditure- Research and Development (R &amp; D) as percentage of GDP is an important measure of the innovation capability of a country. Technological advancement depends on the R&amp;D investments, which improve industrial competitiveness. comparison of research and development investment between Indian states and revealed that the more money a state invests in research, the more growth and innovation in the industry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AuthorYear="1"&gt;&lt;Author&gt;Naghavi&lt;/Author&gt;&lt;Year&gt;2024&lt;/Year&gt;&lt;RecNum&gt;108&lt;/RecNum&gt;&lt;DisplayText&gt;Naghavi, Ong et al. (2024)&lt;/DisplayText&gt;&lt;record&gt;&lt;rec-number&gt;108&lt;/rec-number&gt;&lt;foreign-keys&gt;&lt;key app="EN" db-id="2t52ftddjzwsxoerapx5vrxm2fdzpaza5sva" timestamp="1752423180"&gt;108&lt;/key&gt;&lt;/foreign-keys&gt;&lt;ref-type name="Journal Article"&gt;17&lt;/ref-type&gt;&lt;contributors&gt;&lt;authors&gt;&lt;author&gt;Naghavi, Mohsen&lt;/author&gt;&lt;author&gt;Ong, Kanyin Liane&lt;/author&gt;&lt;author&gt;Aali, Amirali&lt;/author&gt;&lt;author&gt;Ababneh, Hazim S&lt;/author&gt;&lt;author&gt;Abate, Yohannes Habtegiorgis&lt;/author&gt;&lt;author&gt;Abbafati, Cristiana&lt;/author&gt;&lt;author&gt;Abbasgholizadeh, Rouzbeh&lt;/author&gt;&lt;author&gt;Abbasian, Mohammadreza&lt;/author&gt;&lt;author&gt;Abbasi-Kangevari, Mohsen&lt;/author&gt;&lt;author&gt;Abbastabar, Hedayat&lt;/author&gt;&lt;/authors&gt;&lt;/contributors&gt;&lt;titles&gt;&lt;title&gt;Global burden of 288 causes of death and life expectancy decomposition in 204 countries and territories and 811 subnational locations, 1990–2021: a systematic analysis for the Global Burden of Disease Study 2021&lt;/title&gt;&lt;secondary-title&gt;The Lancet&lt;/secondary-title&gt;&lt;/titles&gt;&lt;periodical&gt;&lt;full-title&gt;The Lancet&lt;/full-title&gt;&lt;/periodical&gt;&lt;pages&gt;2100-2132&lt;/pages&gt;&lt;volume&gt;403&lt;/volume&gt;&lt;number&gt;10440&lt;/number&gt;&lt;dates&gt;&lt;year&gt;2024&lt;/year&gt;&lt;/dates&gt;&lt;isbn&gt;0140-6736&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Naghavi, Ong et al. (2024)</w:t>
      </w:r>
      <w:r>
        <w:rPr>
          <w:rFonts w:hint="default" w:ascii="Times New Roman" w:hAnsi="Times New Roman"/>
          <w:sz w:val="24"/>
          <w:szCs w:val="24"/>
          <w:lang w:val="en-US"/>
        </w:rPr>
        <w:fldChar w:fldCharType="end"/>
      </w:r>
      <w:r>
        <w:rPr>
          <w:rFonts w:hint="default" w:ascii="Times New Roman" w:hAnsi="Times New Roman"/>
          <w:sz w:val="24"/>
          <w:szCs w:val="24"/>
        </w:rPr>
        <w:t>. When a country pays more focus on financing R&amp;D, it is more likely that a quicker progress is achieved in technology and economic growth. Furthermore, R&amp;D promotes the setting of continuous improvement where the business and industries can come up with new products, refine the products they already have and remain competitive in the international market.</w:t>
      </w:r>
    </w:p>
    <w:p w14:paraId="01EDC4CE">
      <w:pPr>
        <w:jc w:val="both"/>
        <w:rPr>
          <w:rFonts w:hint="default" w:ascii="Times New Roman" w:hAnsi="Times New Roman"/>
          <w:sz w:val="24"/>
          <w:szCs w:val="24"/>
        </w:rPr>
      </w:pPr>
      <w:r>
        <w:rPr>
          <w:rFonts w:hint="default" w:ascii="Times New Roman" w:hAnsi="Times New Roman"/>
          <w:sz w:val="24"/>
          <w:szCs w:val="24"/>
        </w:rPr>
        <w:t>Another indicator of the technological advancement is Number of Patent Applications per Capital</w:t>
      </w:r>
      <w:r>
        <w:rPr>
          <w:rFonts w:hint="default" w:ascii="Times New Roman" w:hAnsi="Times New Roman"/>
          <w:sz w:val="24"/>
          <w:szCs w:val="24"/>
          <w:lang w:val="en-US"/>
        </w:rPr>
        <w:t xml:space="preserve">, </w:t>
      </w:r>
      <w:r>
        <w:rPr>
          <w:rFonts w:hint="default" w:ascii="Times New Roman" w:hAnsi="Times New Roman"/>
          <w:sz w:val="24"/>
          <w:szCs w:val="24"/>
        </w:rPr>
        <w:t>whereas in several European countries, the lack of an effective R&amp;D infrastructure plagues the attempt to achieve innovation. The number of patent applications undertaken gives an idea about the level of innovation in a country and its capacity to translate research to practical technological developments. Many patent applications indicate strong environment of innovation, entrepreneurship and protection of intellectual property; these aspects are instrumental in the long-term industrial growth. A strong patent system promotes innovation and gives a business an incentive to invest in new technologies.</w:t>
      </w:r>
    </w:p>
    <w:p w14:paraId="5A6690E9">
      <w:pPr>
        <w:jc w:val="both"/>
        <w:rPr>
          <w:rFonts w:hint="default" w:ascii="Times New Roman" w:hAnsi="Times New Roman"/>
          <w:sz w:val="24"/>
          <w:szCs w:val="24"/>
        </w:rPr>
      </w:pPr>
      <w:r>
        <w:rPr>
          <w:rFonts w:hint="default" w:ascii="Times New Roman" w:hAnsi="Times New Roman"/>
          <w:sz w:val="24"/>
          <w:szCs w:val="24"/>
        </w:rPr>
        <w:t>Sustainable transport, assured energy access as well as digital infrastructure also contributes to infrastructure development under SDG 9. Such factors play a central role in including developing economies into international value chains. The efficiency of trade and cost improvement is achieved in modern transportation networks, whereas investments in renewable energy sources may lead to the sustainability of the environment and energy security. Moreover, development of digital infrastructure fosters growth of business, improved communication, and access to markets. In the absence of these basic infrastructures, economic growth will not increase, and industries would not be able to match the outside world. Moreover, the effectiveness of SDG 9 depends on the policy patterns which promote industrialization without being factors that endanger the environment. Governments have to apply policies that favour the use of sustainable production processes, less carbon emission and its usage of the circular economy. A significant role in the large scale infrastructure projects is played by the public-private partnerships and technological innovation. Academia, businesses, and the government work together to create research, innovative, and industrial dynamic ecosystem. Finally, SDG 9 will highlight the roles of infrastructure, industrialization, and innovation as the forces behind economic and technological development. Such policies as the investments into the R&amp;D, green infrastructure, and supportive policies would enhance international prosperity. Nations with strong national priorities on technological innovations, patents and sustainable industrialization have better chance of attaining economic resilience and environmental sustainability in the long term, which is part of the objectives of SDG 9.</w:t>
      </w:r>
    </w:p>
    <w:p w14:paraId="2F02CA26">
      <w:pPr>
        <w:jc w:val="both"/>
        <w:rPr>
          <w:rFonts w:hint="default" w:ascii="Times New Roman" w:hAnsi="Times New Roman"/>
          <w:sz w:val="24"/>
          <w:szCs w:val="24"/>
        </w:rPr>
      </w:pPr>
    </w:p>
    <w:p w14:paraId="3F96AEC0">
      <w:pPr>
        <w:pStyle w:val="7"/>
        <w:bidi w:val="0"/>
        <w:rPr>
          <w:rFonts w:hint="default"/>
          <w:lang w:val="en-US"/>
        </w:rPr>
      </w:pPr>
      <w:bookmarkStart w:id="76" w:name="_Toc23132"/>
      <w:r>
        <w:t xml:space="preserve">Table </w:t>
      </w:r>
      <w:r>
        <w:fldChar w:fldCharType="begin"/>
      </w:r>
      <w:r>
        <w:instrText xml:space="preserve"> SEQ Table \* ARABIC </w:instrText>
      </w:r>
      <w:r>
        <w:fldChar w:fldCharType="separate"/>
      </w:r>
      <w:r>
        <w:t>4</w:t>
      </w:r>
      <w:r>
        <w:fldChar w:fldCharType="end"/>
      </w:r>
      <w:bookmarkStart w:id="77" w:name="_Toc27682"/>
      <w:r>
        <w:rPr>
          <w:rFonts w:hint="default"/>
          <w:lang w:val="en-US"/>
        </w:rPr>
        <w:t>: Variable ,Definition with proxy and Literature review :</w:t>
      </w:r>
      <w:bookmarkEnd w:id="76"/>
      <w:bookmarkEnd w:id="77"/>
    </w:p>
    <w:tbl>
      <w:tblPr>
        <w:tblStyle w:val="14"/>
        <w:tblW w:w="9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1836"/>
        <w:gridCol w:w="2568"/>
        <w:gridCol w:w="3488"/>
      </w:tblGrid>
      <w:tr w14:paraId="728B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589" w:type="dxa"/>
          </w:tcPr>
          <w:p w14:paraId="12BAD6B7">
            <w:pPr>
              <w:spacing w:after="0" w:line="240" w:lineRule="auto"/>
            </w:pPr>
            <w:r>
              <w:rPr>
                <w:rFonts w:ascii="Times New Roman" w:hAnsi="Times New Roman" w:eastAsia="Times New Roman" w:cs="Times New Roman"/>
                <w:b/>
                <w:bCs/>
                <w:sz w:val="24"/>
                <w:szCs w:val="24"/>
              </w:rPr>
              <w:t>Variable</w:t>
            </w:r>
          </w:p>
        </w:tc>
        <w:tc>
          <w:tcPr>
            <w:tcW w:w="1836" w:type="dxa"/>
          </w:tcPr>
          <w:p w14:paraId="24CBF197">
            <w:pPr>
              <w:spacing w:after="0" w:line="240" w:lineRule="auto"/>
            </w:pPr>
            <w:r>
              <w:rPr>
                <w:rFonts w:ascii="Times New Roman" w:hAnsi="Times New Roman" w:eastAsia="Times New Roman" w:cs="Times New Roman"/>
                <w:b/>
                <w:bCs/>
                <w:sz w:val="24"/>
                <w:szCs w:val="24"/>
              </w:rPr>
              <w:t>Definition</w:t>
            </w:r>
          </w:p>
        </w:tc>
        <w:tc>
          <w:tcPr>
            <w:tcW w:w="2568" w:type="dxa"/>
          </w:tcPr>
          <w:p w14:paraId="3EFFEFCB">
            <w:pPr>
              <w:spacing w:after="0" w:line="240" w:lineRule="auto"/>
            </w:pPr>
            <w:r>
              <w:rPr>
                <w:rFonts w:ascii="Times New Roman" w:hAnsi="Times New Roman" w:eastAsia="Times New Roman" w:cs="Times New Roman"/>
                <w:b/>
                <w:bCs/>
                <w:sz w:val="24"/>
                <w:szCs w:val="24"/>
              </w:rPr>
              <w:t>Proxy</w:t>
            </w:r>
          </w:p>
        </w:tc>
        <w:tc>
          <w:tcPr>
            <w:tcW w:w="3488" w:type="dxa"/>
            <w:vAlign w:val="center"/>
          </w:tcPr>
          <w:p w14:paraId="7B9F1296">
            <w:pPr>
              <w:spacing w:after="0" w:line="240" w:lineRule="auto"/>
            </w:pPr>
            <w:r>
              <w:rPr>
                <w:rFonts w:ascii="Times New Roman" w:hAnsi="Times New Roman" w:eastAsia="Times New Roman" w:cs="Times New Roman"/>
                <w:b/>
                <w:bCs/>
                <w:sz w:val="24"/>
                <w:szCs w:val="24"/>
              </w:rPr>
              <w:t>Data Source</w:t>
            </w:r>
          </w:p>
        </w:tc>
      </w:tr>
      <w:tr w14:paraId="74EB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trPr>
        <w:tc>
          <w:tcPr>
            <w:tcW w:w="1589" w:type="dxa"/>
          </w:tcPr>
          <w:p w14:paraId="2ACE818C">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Digital Pay</w:t>
            </w:r>
            <w:r>
              <w:rPr>
                <w:rFonts w:hint="default" w:ascii="Times New Roman" w:hAnsi="Times New Roman" w:cs="Times New Roman"/>
                <w:sz w:val="24"/>
                <w:szCs w:val="24"/>
                <w:lang w:val="en-US"/>
              </w:rPr>
              <w:t>ment</w:t>
            </w:r>
            <w:r>
              <w:rPr>
                <w:rFonts w:hint="default" w:ascii="Times New Roman" w:hAnsi="Times New Roman" w:cs="Times New Roman"/>
                <w:sz w:val="24"/>
                <w:szCs w:val="24"/>
              </w:rPr>
              <w:t xml:space="preserve"> </w:t>
            </w:r>
          </w:p>
        </w:tc>
        <w:tc>
          <w:tcPr>
            <w:tcW w:w="1836" w:type="dxa"/>
          </w:tcPr>
          <w:p w14:paraId="4F4C960D">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Electronic financial transactions replacing cash. </w:t>
            </w:r>
          </w:p>
        </w:tc>
        <w:tc>
          <w:tcPr>
            <w:tcW w:w="2568" w:type="dxa"/>
          </w:tcPr>
          <w:p w14:paraId="4825416C">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Digital Payment Penetration Rate</w:t>
            </w:r>
            <w:r>
              <w:rPr>
                <w:rFonts w:hint="default" w:ascii="Times New Roman" w:hAnsi="Times New Roman" w:cs="Times New Roman"/>
                <w:sz w:val="24"/>
                <w:szCs w:val="24"/>
              </w:rPr>
              <w:br w:type="textWrapping"/>
            </w:r>
            <w:r>
              <w:rPr>
                <w:rFonts w:hint="default" w:ascii="Times New Roman" w:hAnsi="Times New Roman" w:cs="Times New Roman"/>
                <w:sz w:val="24"/>
                <w:szCs w:val="24"/>
              </w:rPr>
              <w:t>- Number of Digital Transactions per Capita</w:t>
            </w:r>
            <w:r>
              <w:rPr>
                <w:rFonts w:hint="default" w:ascii="Times New Roman" w:hAnsi="Times New Roman" w:cs="Times New Roman"/>
                <w:sz w:val="24"/>
                <w:szCs w:val="24"/>
              </w:rPr>
              <w:br w:type="textWrapping"/>
            </w:r>
          </w:p>
        </w:tc>
        <w:tc>
          <w:tcPr>
            <w:tcW w:w="3488" w:type="dxa"/>
          </w:tcPr>
          <w:p w14:paraId="545D0745">
            <w:pPr>
              <w:spacing w:after="0" w:line="240" w:lineRule="auto"/>
              <w:jc w:val="both"/>
              <w:rPr>
                <w:rFonts w:hint="default" w:ascii="Times New Roman" w:hAnsi="Times New Roman" w:eastAsia="Times New Roman" w:cs="Times New Roman"/>
                <w:color w:val="000000" w:themeColor="text1"/>
                <w:sz w:val="24"/>
                <w:szCs w:val="24"/>
                <w:u w:val="none"/>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AuthorYear="1"&gt;&lt;Author&gt;Dikshit&lt;/Author&gt;&lt;Year&gt;2021&lt;/Year&gt;&lt;RecNum&gt;96&lt;/RecNum&gt;&lt;DisplayText&gt;Dikshit and Pandey (2021)&lt;/DisplayText&gt;&lt;record&gt;&lt;rec-number&gt;96&lt;/rec-number&gt;&lt;foreign-keys&gt;&lt;key app="EN" db-id="2t52ftddjzwsxoerapx5vrxm2fdzpaza5sva" timestamp="1752418543"&gt;96&lt;/key&gt;&lt;/foreign-keys&gt;&lt;ref-type name="Journal Article"&gt;17&lt;/ref-type&gt;&lt;contributors&gt;&lt;authors&gt;&lt;author&gt;Dikshit, Smita&lt;/author&gt;&lt;author&gt;Pandey, AC&lt;/author&gt;&lt;/authors&gt;&lt;/contributors&gt;&lt;titles&gt;&lt;title&gt;Role of financial inclusion in realising sustainable development goals (SDGs)&lt;/title&gt;&lt;secondary-title&gt;International journal of research in finance and management&lt;/secondary-title&gt;&lt;/titles&gt;&lt;periodical&gt;&lt;full-title&gt;International journal of research in finance and management&lt;/full-title&gt;&lt;/periodical&gt;&lt;pages&gt;35-39&lt;/pages&gt;&lt;volume&gt;4&lt;/volume&gt;&lt;number&gt;2&lt;/number&gt;&lt;dates&gt;&lt;year&gt;2021&lt;/year&gt;&lt;/dates&gt;&lt;urls&gt;&lt;/urls&gt;&lt;/record&gt;&lt;/Cite&gt;&lt;/EndNote&gt;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Dikshit and Pandey (2021)</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r>
              <w:rPr>
                <w:rFonts w:hint="default" w:ascii="Times New Roman" w:hAnsi="Times New Roman" w:eastAsia="Times New Roman" w:cs="Times New Roman"/>
                <w:color w:val="000000" w:themeColor="text1"/>
                <w:sz w:val="24"/>
                <w:szCs w:val="24"/>
                <w:u w:val="none"/>
                <w14:textFill>
                  <w14:solidFill>
                    <w14:schemeClr w14:val="tx1"/>
                  </w14:solidFill>
                </w14:textFill>
              </w:rPr>
              <w:t>,</w:t>
            </w:r>
          </w:p>
          <w:p w14:paraId="6709F146">
            <w:pPr>
              <w:spacing w:after="0" w:line="240" w:lineRule="auto"/>
              <w:jc w:val="both"/>
              <w:rPr>
                <w:rFonts w:hint="default" w:ascii="Times New Roman" w:hAnsi="Times New Roman" w:eastAsia="Times New Roman" w:cs="Times New Roman"/>
                <w:b/>
                <w:bCs/>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u w:val="none"/>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AuthorYear="1"&gt;&lt;Author&gt;Mpofu&lt;/Author&gt;&lt;Year&gt;2022&lt;/Year&gt;&lt;RecNum&gt;21&lt;/RecNum&gt;&lt;DisplayText&gt;Mpofu and Mhlanga (2022)&lt;/DisplayText&gt;&lt;record&gt;&lt;rec-number&gt;21&lt;/rec-number&gt;&lt;foreign-keys&gt;&lt;key app="EN" db-id="2t52ftddjzwsxoerapx5vrxm2fdzpaza5sva" timestamp="1752328731"&gt;21&lt;/key&gt;&lt;/foreign-keys&gt;&lt;ref-type name="Journal Article"&gt;17&lt;/ref-type&gt;&lt;contributors&gt;&lt;authors&gt;&lt;author&gt;Mpofu, Favourate Y&lt;/author&gt;&lt;author&gt;Mhlanga, David&lt;/author&gt;&lt;/authors&gt;&lt;/contributors&gt;&lt;titles&gt;&lt;title&gt;Digital financial inclusion, digital financial services tax and financial inclusion in the fourth industrial revolution era in Africa&lt;/title&gt;&lt;secondary-title&gt;Economies&lt;/secondary-title&gt;&lt;/titles&gt;&lt;periodical&gt;&lt;full-title&gt;Economies&lt;/full-title&gt;&lt;/periodical&gt;&lt;pages&gt;184&lt;/pages&gt;&lt;volume&gt;10&lt;/volume&gt;&lt;number&gt;8&lt;/number&gt;&lt;dates&gt;&lt;year&gt;2022&lt;/year&gt;&lt;/dates&gt;&lt;isbn&gt;2227-7099&lt;/isbn&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Mpofu and Mhlanga (2022)</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p w14:paraId="0379F7AE">
            <w:pPr>
              <w:spacing w:after="0" w:line="240" w:lineRule="auto"/>
              <w:jc w:val="both"/>
              <w:rPr>
                <w:rFonts w:hint="default" w:ascii="Times New Roman" w:hAnsi="Times New Roman" w:cs="Times New Roman"/>
                <w:sz w:val="24"/>
                <w:szCs w:val="24"/>
              </w:rPr>
            </w:pPr>
          </w:p>
        </w:tc>
      </w:tr>
      <w:tr w14:paraId="3955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1589" w:type="dxa"/>
          </w:tcPr>
          <w:p w14:paraId="47C7D9BB">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Technological Innovation </w:t>
            </w:r>
          </w:p>
        </w:tc>
        <w:tc>
          <w:tcPr>
            <w:tcW w:w="1836" w:type="dxa"/>
          </w:tcPr>
          <w:p w14:paraId="58F8BD77">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Development and adoption of new tech to boost productivity and growth.</w:t>
            </w:r>
          </w:p>
        </w:tc>
        <w:tc>
          <w:tcPr>
            <w:tcW w:w="2568" w:type="dxa"/>
          </w:tcPr>
          <w:p w14:paraId="59895299">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Patent Applications and Grants</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Digitization</w:t>
            </w:r>
            <w:r>
              <w:rPr>
                <w:rFonts w:hint="default" w:ascii="Times New Roman" w:hAnsi="Times New Roman" w:cs="Times New Roman"/>
                <w:sz w:val="24"/>
                <w:szCs w:val="24"/>
              </w:rPr>
              <w:t xml:space="preserve"> Index</w:t>
            </w:r>
            <w:r>
              <w:rPr>
                <w:rFonts w:hint="default" w:ascii="Times New Roman" w:hAnsi="Times New Roman" w:cs="Times New Roman"/>
                <w:sz w:val="24"/>
                <w:szCs w:val="24"/>
              </w:rPr>
              <w:br w:type="textWrapping"/>
            </w:r>
          </w:p>
        </w:tc>
        <w:tc>
          <w:tcPr>
            <w:tcW w:w="3488" w:type="dxa"/>
          </w:tcPr>
          <w:p w14:paraId="0432A5A8">
            <w:pPr>
              <w:spacing w:after="0" w:line="240" w:lineRule="auto"/>
              <w:jc w:val="both"/>
              <w:rPr>
                <w:rFonts w:hint="default" w:ascii="Times New Roman" w:hAnsi="Times New Roman" w:eastAsia="Times New Roman" w:cs="Times New Roman"/>
                <w:color w:val="000000" w:themeColor="text1"/>
                <w:sz w:val="24"/>
                <w:szCs w:val="24"/>
                <w:u w:val="single"/>
                <w14:textFill>
                  <w14:solidFill>
                    <w14:schemeClr w14:val="tx1"/>
                  </w14:solidFill>
                </w14:textFill>
              </w:rPr>
            </w:pPr>
            <w:r>
              <w:rPr>
                <w:rFonts w:hint="default" w:ascii="Times New Roman" w:hAnsi="Times New Roman" w:eastAsia="Times New Roman" w:cs="Times New Roman"/>
                <w:color w:val="0563C1"/>
                <w:sz w:val="24"/>
                <w:szCs w:val="24"/>
                <w:u w:val="none"/>
                <w:lang w:val="en-US"/>
              </w:rPr>
              <w:t xml:space="preserve"> </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AuthorYear="1"&gt;&lt;Author&gt;Bhavsar&lt;/Author&gt;&lt;Year&gt;2022&lt;/Year&gt;&lt;RecNum&gt;38&lt;/RecNum&gt;&lt;DisplayText&gt;Bhavsar and Samanta (2022)&lt;/DisplayText&gt;&lt;record&gt;&lt;rec-number&gt;38&lt;/rec-number&gt;&lt;foreign-keys&gt;&lt;key app="EN" db-id="2t52ftddjzwsxoerapx5vrxm2fdzpaza5sva" timestamp="1752332633"&gt;38&lt;/key&gt;&lt;/foreign-keys&gt;&lt;ref-type name="Conference Proceedings"&gt;10&lt;/ref-type&gt;&lt;contributors&gt;&lt;authors&gt;&lt;author&gt;Bhavsar, Vandana&lt;/author&gt;&lt;author&gt;Samanta, Pradeepta Kumar&lt;/author&gt;&lt;/authors&gt;&lt;/contributors&gt;&lt;titles&gt;&lt;title&gt;Sustainability of digital payments: Empirical evidence from India&lt;/title&gt;&lt;secondary-title&gt;2nd International Conference on Sustainability and Equity (ICSE-2021)&lt;/secondary-title&gt;&lt;/titles&gt;&lt;pages&gt;70-78&lt;/pages&gt;&lt;dates&gt;&lt;year&gt;2022&lt;/year&gt;&lt;/dates&gt;&lt;publisher&gt;Atlantis Press&lt;/publisher&gt;&lt;isbn&gt;9462395152&lt;/isbn&gt;&lt;urls&gt;&lt;/urls&gt;&lt;/record&gt;&lt;/Cite&gt;&lt;/EndNote&gt;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Bhavsar and Samanta (2022)</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p w14:paraId="2609CAFD">
            <w:pPr>
              <w:spacing w:after="0" w:line="240" w:lineRule="auto"/>
              <w:jc w:val="both"/>
              <w:rPr>
                <w:rFonts w:hint="default" w:ascii="Times New Roman" w:hAnsi="Times New Roman" w:eastAsia="Times New Roman" w:cs="Times New Roman"/>
                <w:color w:val="000000" w:themeColor="text1"/>
                <w:sz w:val="24"/>
                <w:szCs w:val="24"/>
                <w:u w:val="single"/>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Beirne and Fernandez (2023)</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p w14:paraId="60BD2526">
            <w:pPr>
              <w:spacing w:after="0" w:line="240" w:lineRule="auto"/>
              <w:jc w:val="both"/>
              <w:rPr>
                <w:rFonts w:hint="default" w:ascii="Times New Roman" w:hAnsi="Times New Roman" w:eastAsia="Times New Roman" w:cs="Times New Roman"/>
                <w:color w:val="000000" w:themeColor="text1"/>
                <w:sz w:val="24"/>
                <w:szCs w:val="24"/>
                <w:u w:val="single"/>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AuthorYear="1"&gt;&lt;Author&gt;Ghosh&lt;/Author&gt;&lt;Year&gt;2022&lt;/Year&gt;&lt;RecNum&gt;33&lt;/RecNum&gt;&lt;DisplayText&gt;Ghosh (2022)&lt;/DisplayText&gt;&lt;record&gt;&lt;rec-number&gt;33&lt;/rec-number&gt;&lt;foreign-keys&gt;&lt;key app="EN" db-id="2t52ftddjzwsxoerapx5vrxm2fdzpaza5sva" timestamp="1752331365"&gt;33&lt;/key&gt;&lt;/foreign-keys&gt;&lt;ref-type name="Journal Article"&gt;17&lt;/ref-type&gt;&lt;contributors&gt;&lt;authors&gt;&lt;author&gt;Ghosh, Saibal&lt;/author&gt;&lt;/authors&gt;&lt;/contributors&gt;&lt;titles&gt;&lt;title&gt;Gender and financial inclusion: does technology make a difference?&lt;/title&gt;&lt;secondary-title&gt;Gender, Technology and Development&lt;/secondary-title&gt;&lt;/titles&gt;&lt;periodical&gt;&lt;full-title&gt;Gender, Technology and Development&lt;/full-title&gt;&lt;/periodical&gt;&lt;pages&gt;195-213&lt;/pages&gt;&lt;volume&gt;26&lt;/volume&gt;&lt;number&gt;2&lt;/number&gt;&lt;dates&gt;&lt;year&gt;2022&lt;/year&gt;&lt;/dates&gt;&lt;isbn&gt;0971-8524&lt;/isbn&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Ghosh (2022)</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p w14:paraId="53470975">
            <w:pPr>
              <w:spacing w:after="0" w:line="240" w:lineRule="auto"/>
              <w:jc w:val="both"/>
              <w:rPr>
                <w:rFonts w:hint="default" w:ascii="Times New Roman" w:hAnsi="Times New Roman" w:cs="Times New Roman"/>
                <w:sz w:val="24"/>
                <w:szCs w:val="24"/>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AuthorYear="1"&gt;&lt;Author&gt;Kaur&lt;/Author&gt;&lt;Year&gt;2023&lt;/Year&gt;&lt;RecNum&gt;35&lt;/RecNum&gt;&lt;DisplayText&gt;Kaur, Sodhi et al. (2023)&lt;/DisplayText&gt;&lt;record&gt;&lt;rec-number&gt;35&lt;/rec-number&gt;&lt;foreign-keys&gt;&lt;key app="EN" db-id="2t52ftddjzwsxoerapx5vrxm2fdzpaza5sva" timestamp="1752331626"&gt;35&lt;/key&gt;&lt;/foreign-keys&gt;&lt;ref-type name="Book Section"&gt;5&lt;/ref-type&gt;&lt;contributors&gt;&lt;authors&gt;&lt;author&gt;Kaur, Harreet&lt;/author&gt;&lt;author&gt;Sodhi, Deepali&lt;/author&gt;&lt;author&gt;Aggarwal, Rashmi&lt;/author&gt;&lt;author&gt;Yadav, Uma Shankar&lt;/author&gt;&lt;/authors&gt;&lt;/contributors&gt;&lt;titles&gt;&lt;title&gt;Managing human resources in digital marketing&lt;/title&gt;&lt;secondary-title&gt;Digital transformation, strategic resilience, cyber security and risk management&lt;/secondary-title&gt;&lt;/titles&gt;&lt;pages&gt;155-162&lt;/pages&gt;&lt;dates&gt;&lt;year&gt;2023&lt;/year&gt;&lt;/dates&gt;&lt;publisher&gt;Emerald Publishing Limited&lt;/publisher&gt;&lt;isbn&gt;1569-3759&lt;/isbn&gt;&lt;urls&gt;&lt;/urls&gt;&lt;/record&gt;&lt;/Cite&gt;&lt;/EndNote&gt;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Kaur, Sodhi et al. (2023)</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tc>
      </w:tr>
      <w:tr w14:paraId="480B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3" w:hRule="atLeast"/>
        </w:trPr>
        <w:tc>
          <w:tcPr>
            <w:tcW w:w="1589" w:type="dxa"/>
          </w:tcPr>
          <w:p w14:paraId="023A76BB">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Financial Inclusion </w:t>
            </w:r>
          </w:p>
        </w:tc>
        <w:tc>
          <w:tcPr>
            <w:tcW w:w="1836" w:type="dxa"/>
          </w:tcPr>
          <w:p w14:paraId="17E9A580">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Access to and use of financial services for all, especially the </w:t>
            </w:r>
            <w:r>
              <w:rPr>
                <w:rFonts w:hint="default" w:ascii="Times New Roman" w:hAnsi="Times New Roman" w:cs="Times New Roman"/>
                <w:sz w:val="24"/>
                <w:szCs w:val="24"/>
                <w:lang w:val="en-US"/>
              </w:rPr>
              <w:t>undeserved</w:t>
            </w:r>
            <w:r>
              <w:rPr>
                <w:rFonts w:hint="default" w:ascii="Times New Roman" w:hAnsi="Times New Roman" w:cs="Times New Roman"/>
                <w:sz w:val="24"/>
                <w:szCs w:val="24"/>
              </w:rPr>
              <w:t>.</w:t>
            </w:r>
          </w:p>
        </w:tc>
        <w:tc>
          <w:tcPr>
            <w:tcW w:w="2568" w:type="dxa"/>
          </w:tcPr>
          <w:p w14:paraId="797ED081">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Bank Account Ownership</w:t>
            </w:r>
            <w:r>
              <w:rPr>
                <w:rFonts w:hint="default" w:ascii="Times New Roman" w:hAnsi="Times New Roman" w:cs="Times New Roman"/>
                <w:sz w:val="24"/>
                <w:szCs w:val="24"/>
              </w:rPr>
              <w:br w:type="textWrapping"/>
            </w:r>
          </w:p>
        </w:tc>
        <w:tc>
          <w:tcPr>
            <w:tcW w:w="3488" w:type="dxa"/>
          </w:tcPr>
          <w:p w14:paraId="1111CDC4">
            <w:pPr>
              <w:spacing w:after="0" w:line="240" w:lineRule="auto"/>
              <w:jc w:val="left"/>
              <w:rPr>
                <w:rFonts w:hint="default" w:ascii="Times New Roman" w:hAnsi="Times New Roman" w:eastAsia="Times New Roman" w:cs="Times New Roman"/>
                <w:color w:val="000000" w:themeColor="text1"/>
                <w:sz w:val="24"/>
                <w:szCs w:val="24"/>
                <w:u w:val="single"/>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AuthorYear="1"&gt;&lt;Author&gt;SINGH&lt;/Author&gt;&lt;Year&gt;2022&lt;/Year&gt;&lt;RecNum&gt;85&lt;/RecNum&gt;&lt;DisplayText&gt;SINGH, GAUTAM et al. (2022)&lt;/DisplayText&gt;&lt;record&gt;&lt;rec-number&gt;85&lt;/rec-number&gt;&lt;foreign-keys&gt;&lt;key app="EN" db-id="2t52ftddjzwsxoerapx5vrxm2fdzpaza5sva" timestamp="1752405783"&gt;85&lt;/key&gt;&lt;/foreign-keys&gt;&lt;ref-type name="Journal Article"&gt;17&lt;/ref-type&gt;&lt;contributors&gt;&lt;authors&gt;&lt;author&gt;SINGH, Saumya&lt;/author&gt;&lt;author&gt;GAUTAM, Rahul Singh&lt;/author&gt;&lt;author&gt;AGARWAL, Bhakti&lt;/author&gt;&lt;author&gt;PUSHP, Aman&lt;/author&gt;&lt;author&gt;BARGE, Prashant&lt;/author&gt;&lt;author&gt;RASTOGI, Shailesh&lt;/author&gt;&lt;/authors&gt;&lt;/contributors&gt;&lt;titles&gt;&lt;title&gt;Impacts of financial inclusion on sustainable development in India&lt;/title&gt;&lt;secondary-title&gt;The Journal of Asian Finance, Economics and Business&lt;/secondary-title&gt;&lt;/titles&gt;&lt;periodical&gt;&lt;full-title&gt;The Journal of Asian Finance, Economics and Business&lt;/full-title&gt;&lt;/periodical&gt;&lt;pages&gt;235-242&lt;/pages&gt;&lt;volume&gt;9&lt;/volume&gt;&lt;number&gt;10&lt;/number&gt;&lt;dates&gt;&lt;year&gt;2022&lt;/year&gt;&lt;/dates&gt;&lt;isbn&gt;2288-4637&lt;/isbn&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SINGH, GAUTAM et al. (2022)</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p w14:paraId="08011958">
            <w:pPr>
              <w:spacing w:after="0" w:line="240" w:lineRule="auto"/>
              <w:jc w:val="left"/>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AuthorYear="1"&gt;&lt;Author&gt;Soyemi&lt;/Author&gt;&lt;Year&gt;2020&lt;/Year&gt;&lt;RecNum&gt;45&lt;/RecNum&gt;&lt;DisplayText&gt;Soyemi, Olowofela et al. (2020)&lt;/DisplayText&gt;&lt;record&gt;&lt;rec-number&gt;45&lt;/rec-number&gt;&lt;foreign-keys&gt;&lt;key app="EN" db-id="2t52ftddjzwsxoerapx5vrxm2fdzpaza5sva" timestamp="1752334807"&gt;45&lt;/key&gt;&lt;/foreign-keys&gt;&lt;ref-type name="Journal Article"&gt;17&lt;/ref-type&gt;&lt;contributors&gt;&lt;authors&gt;&lt;author&gt;Soyemi, Kenny Ade’&lt;/author&gt;&lt;author&gt;Olowofela, Olusola Enitan&lt;/author&gt;&lt;author&gt;Yunusa, Lateef Adewale&lt;/author&gt;&lt;/authors&gt;&lt;/contributors&gt;&lt;titles&gt;&lt;title&gt;Financial inclusion and sustainable development in Nigeria&lt;/title&gt;&lt;secondary-title&gt;Journal of Economics and Management&lt;/secondary-title&gt;&lt;/titles&gt;&lt;periodical&gt;&lt;full-title&gt;Journal of Economics and Management&lt;/full-title&gt;&lt;/periodical&gt;&lt;pages&gt;105-131&lt;/pages&gt;&lt;number&gt;39&lt;/number&gt;&lt;dates&gt;&lt;year&gt;2020&lt;/year&gt;&lt;/dates&gt;&lt;isbn&gt;1732-1948&lt;/isbn&gt;&lt;urls&gt;&lt;/urls&gt;&lt;/record&gt;&lt;/Cite&gt;&lt;/EndNote&gt;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Soyemi, Olowofela et al. (2020)</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p w14:paraId="3823503A">
            <w:pPr>
              <w:spacing w:after="0" w:line="240" w:lineRule="auto"/>
              <w:jc w:val="left"/>
              <w:rPr>
                <w:rFonts w:hint="default" w:ascii="Times New Roman" w:hAnsi="Times New Roman" w:eastAsia="Times New Roman" w:cs="Times New Roman"/>
                <w:color w:val="000000" w:themeColor="text1"/>
                <w:sz w:val="24"/>
                <w:szCs w:val="24"/>
                <w:u w:val="single"/>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AuthorYear="1"&gt;&lt;Author&gt;Klapper&lt;/Author&gt;&lt;Year&gt;2016&lt;/Year&gt;&lt;RecNum&gt;97&lt;/RecNum&gt;&lt;DisplayText&gt;Klapper, El-Zoghbi et al. (2016)&lt;/DisplayText&gt;&lt;record&gt;&lt;rec-number&gt;97&lt;/rec-number&gt;&lt;foreign-keys&gt;&lt;key app="EN" db-id="2t52ftddjzwsxoerapx5vrxm2fdzpaza5sva" timestamp="1752419951"&gt;97&lt;/key&gt;&lt;/foreign-keys&gt;&lt;ref-type name="Journal Article"&gt;17&lt;/ref-type&gt;&lt;contributors&gt;&lt;authors&gt;&lt;author&gt;Klapper, Leora&lt;/author&gt;&lt;author&gt;El-Zoghbi, Mayada&lt;/author&gt;&lt;author&gt;Hess, Jake&lt;/author&gt;&lt;/authors&gt;&lt;/contributors&gt;&lt;titles&gt;&lt;title&gt;Achieving the sustainable development goals&lt;/title&gt;&lt;secondary-title&gt;The role of financial inclusion. Available online: http://www. ccgap. org. Accessed&lt;/secondary-title&gt;&lt;/titles&gt;&lt;periodical&gt;&lt;full-title&gt;The role of financial inclusion. Available online: http://www. ccgap. org. Accessed&lt;/full-title&gt;&lt;/periodical&gt;&lt;pages&gt;2016&lt;/pages&gt;&lt;volume&gt;23&lt;/volume&gt;&lt;number&gt;5&lt;/number&gt;&lt;dates&gt;&lt;year&gt;2016&lt;/year&gt;&lt;/dates&gt;&lt;urls&gt;&lt;/urls&gt;&lt;/record&gt;&lt;/Cite&gt;&lt;/EndNote&gt;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Klapper, El-Zoghbi et al. (2016)</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p>
          <w:p w14:paraId="3DC98E06">
            <w:pPr>
              <w:spacing w:before="100" w:beforeAutospacing="1" w:after="100" w:afterAutospacing="1" w:line="240" w:lineRule="auto"/>
              <w:jc w:val="left"/>
              <w:rPr>
                <w:rFonts w:hint="default" w:ascii="Times New Roman" w:hAnsi="Times New Roman" w:eastAsia="Times New Roman" w:cs="Times New Roman"/>
                <w:color w:val="000000" w:themeColor="text1"/>
                <w:sz w:val="24"/>
                <w:szCs w:val="24"/>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t xml:space="preserve"> </w:t>
            </w:r>
          </w:p>
          <w:p w14:paraId="785A448F">
            <w:pPr>
              <w:spacing w:after="0" w:line="240" w:lineRule="auto"/>
              <w:jc w:val="both"/>
              <w:rPr>
                <w:rFonts w:hint="default" w:ascii="Times New Roman" w:hAnsi="Times New Roman" w:cs="Times New Roman"/>
                <w:sz w:val="24"/>
                <w:szCs w:val="24"/>
              </w:rPr>
            </w:pPr>
          </w:p>
        </w:tc>
      </w:tr>
      <w:tr w14:paraId="71B0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7" w:hRule="atLeast"/>
        </w:trPr>
        <w:tc>
          <w:tcPr>
            <w:tcW w:w="1589" w:type="dxa"/>
          </w:tcPr>
          <w:p w14:paraId="6EE86759">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Zero Hunger (SDG 2)</w:t>
            </w:r>
          </w:p>
        </w:tc>
        <w:tc>
          <w:tcPr>
            <w:tcW w:w="1836" w:type="dxa"/>
          </w:tcPr>
          <w:p w14:paraId="64D1B252">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Ending hunger and ensuring food security and nutrition.</w:t>
            </w:r>
          </w:p>
        </w:tc>
        <w:tc>
          <w:tcPr>
            <w:tcW w:w="2568" w:type="dxa"/>
          </w:tcPr>
          <w:p w14:paraId="20110B4E">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Prevalence of Undernourishment</w:t>
            </w:r>
            <w:r>
              <w:rPr>
                <w:rFonts w:hint="default" w:ascii="Times New Roman" w:hAnsi="Times New Roman" w:cs="Times New Roman"/>
                <w:sz w:val="24"/>
                <w:szCs w:val="24"/>
              </w:rPr>
              <w:br w:type="textWrapping"/>
            </w:r>
          </w:p>
          <w:p w14:paraId="5BB2F0B1">
            <w:pPr>
              <w:spacing w:after="0" w:line="240" w:lineRule="auto"/>
              <w:jc w:val="left"/>
              <w:rPr>
                <w:rFonts w:hint="default" w:ascii="Times New Roman" w:hAnsi="Times New Roman" w:cs="Times New Roman"/>
                <w:sz w:val="24"/>
                <w:szCs w:val="24"/>
              </w:rPr>
            </w:pPr>
          </w:p>
        </w:tc>
        <w:tc>
          <w:tcPr>
            <w:tcW w:w="3488" w:type="dxa"/>
          </w:tcPr>
          <w:p w14:paraId="7AC8AEA2">
            <w:pPr>
              <w:spacing w:after="0" w:line="240" w:lineRule="auto"/>
              <w:jc w:val="left"/>
              <w:rPr>
                <w:rFonts w:hint="default" w:ascii="Times New Roman" w:hAnsi="Times New Roman" w:eastAsia="Times New Roman" w:cs="Times New Roman"/>
                <w:color w:val="000000" w:themeColor="text1"/>
                <w:sz w:val="24"/>
                <w:szCs w:val="24"/>
                <w:u w:val="single"/>
                <w14:textFill>
                  <w14:solidFill>
                    <w14:schemeClr w14:val="tx1"/>
                  </w14:solidFill>
                </w14:textFill>
              </w:rPr>
            </w:pP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AuthorYear="1"&gt;&lt;Author&gt;Valin&lt;/Author&gt;&lt;Year&gt;2021&lt;/Year&gt;&lt;RecNum&gt;99&lt;/RecNum&gt;&lt;DisplayText&gt;Valin, Hertel et al. (2021)&lt;/DisplayText&gt;&lt;record&gt;&lt;rec-number&gt;99&lt;/rec-number&gt;&lt;foreign-keys&gt;&lt;key app="EN" db-id="2t52ftddjzwsxoerapx5vrxm2fdzpaza5sva" timestamp="1752421199"&gt;99&lt;/key&gt;&lt;/foreign-keys&gt;&lt;ref-type name="Journal Article"&gt;17&lt;/ref-type&gt;&lt;contributors&gt;&lt;authors&gt;&lt;author&gt;Valin, Hugo&lt;/author&gt;&lt;author&gt;Hertel, Thomas&lt;/author&gt;&lt;author&gt;Bodirsky, B&lt;/author&gt;&lt;author&gt;Hasegawa, Tomoko&lt;/author&gt;&lt;author&gt;Stehfest, Elke&lt;/author&gt;&lt;/authors&gt;&lt;/contributors&gt;&lt;titles&gt;&lt;title&gt;Achieving zero hunger by 2030 a review of quantitative assessments of synergies and tradeoffs amongst the un sustainable development goals&lt;/title&gt;&lt;/titles&gt;&lt;dates&gt;&lt;year&gt;2021&lt;/year&gt;&lt;/dates&gt;&lt;urls&gt;&lt;/urls&gt;&lt;/record&gt;&lt;/Cite&gt;&lt;/EndNote&gt;</w:instrTex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Valin, Hertel et al. (2021)</w:t>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fldChar w:fldCharType="end"/>
            </w:r>
            <w:r>
              <w:rPr>
                <w:rFonts w:hint="default" w:ascii="Times New Roman" w:hAnsi="Times New Roman" w:eastAsia="Times New Roman" w:cs="Times New Roman"/>
                <w:color w:val="000000" w:themeColor="text1"/>
                <w:sz w:val="24"/>
                <w:szCs w:val="24"/>
                <w:u w:val="none"/>
                <w14:textFill>
                  <w14:solidFill>
                    <w14:schemeClr w14:val="tx1"/>
                  </w14:solidFill>
                </w14:textFill>
              </w:rPr>
              <w:t xml:space="preserve"> </w:t>
            </w:r>
          </w:p>
          <w:p w14:paraId="7FE0721C">
            <w:pPr>
              <w:spacing w:after="0" w:line="240" w:lineRule="auto"/>
              <w:jc w:val="left"/>
              <w:rPr>
                <w:rStyle w:val="11"/>
                <w:rFonts w:hint="default" w:ascii="Times New Roman" w:hAnsi="Times New Roman" w:eastAsia="Times New Roman" w:cs="Times New Roman"/>
                <w:sz w:val="24"/>
                <w:szCs w:val="24"/>
              </w:rPr>
            </w:pPr>
            <w:r>
              <w:rPr>
                <w:rFonts w:hint="default" w:ascii="Times New Roman" w:hAnsi="Times New Roman" w:eastAsia="Times New Roman" w:cs="Times New Roman"/>
                <w:color w:val="000000" w:themeColor="text1"/>
                <w:sz w:val="24"/>
                <w:szCs w:val="24"/>
                <w:u w:val="none"/>
                <w14:textFill>
                  <w14:solidFill>
                    <w14:schemeClr w14:val="tx1"/>
                  </w14:solidFill>
                </w14:textFill>
              </w:rPr>
              <w:t xml:space="preserve"> </w:t>
            </w:r>
            <w:r>
              <w:rPr>
                <w:rFonts w:hint="default" w:ascii="Times New Roman" w:hAnsi="Times New Roman" w:eastAsia="Times New Roman" w:cs="Times New Roman"/>
                <w:color w:val="000000" w:themeColor="text1"/>
                <w:sz w:val="24"/>
                <w:szCs w:val="24"/>
                <w:u w:val="none"/>
                <w14:textFill>
                  <w14:solidFill>
                    <w14:schemeClr w14:val="tx1"/>
                  </w14:solidFill>
                </w14:textFill>
              </w:rPr>
              <w:fldChar w:fldCharType="begin"/>
            </w:r>
            <w:r>
              <w:rPr>
                <w:rFonts w:hint="default" w:ascii="Times New Roman" w:hAnsi="Times New Roman" w:eastAsia="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AuthorYear="1"&gt;&lt;Author&gt;Atukunda&lt;/Author&gt;&lt;Year&gt;2021&lt;/Year&gt;&lt;RecNum&gt;98&lt;/RecNum&gt;&lt;DisplayText&gt;Atukunda, Eide et al. (2021)&lt;/DisplayText&gt;&lt;record&gt;&lt;rec-number&gt;98&lt;/rec-number&gt;&lt;foreign-keys&gt;&lt;key app="EN" db-id="2t52ftddjzwsxoerapx5vrxm2fdzpaza5sva" timestamp="1752420935"&gt;98&lt;/key&gt;&lt;/foreign-keys&gt;&lt;ref-type name="Journal Article"&gt;17&lt;/ref-type&gt;&lt;contributors&gt;&lt;authors&gt;&lt;author&gt;Atukunda, Prudence&lt;/author&gt;&lt;author&gt;Eide, Wenche Barth&lt;/author&gt;&lt;author&gt;Kardel, Kristin R&lt;/author&gt;&lt;author&gt;Iversen, Per Ole&lt;/author&gt;&lt;author&gt;Westerberg, Ane C&lt;/author&gt;&lt;/authors&gt;&lt;/contributors&gt;&lt;titles&gt;&lt;title&gt;Unlocking the potential for achievement of the UN Sustainable Development Goal 2–‘Zero Hunger’–in Africa: targets, strategies, synergies and challenges&lt;/title&gt;&lt;secondary-title&gt;Food &amp;amp; nutrition research&lt;/secondary-title&gt;&lt;/titles&gt;&lt;periodical&gt;&lt;full-title&gt;Food &amp;amp; nutrition research&lt;/full-title&gt;&lt;/periodical&gt;&lt;pages&gt;10.29219/fnr. v65. 7686&lt;/pages&gt;&lt;volume&gt;65&lt;/volume&gt;&lt;dates&gt;&lt;year&gt;2021&lt;/year&gt;&lt;/dates&gt;&lt;urls&gt;&lt;/urls&gt;&lt;/record&gt;&lt;/Cite&gt;&lt;/EndNote&gt;</w:instrText>
            </w:r>
            <w:r>
              <w:rPr>
                <w:rFonts w:hint="default" w:ascii="Times New Roman" w:hAnsi="Times New Roman" w:eastAsia="Times New Roman" w:cs="Times New Roman"/>
                <w:color w:val="000000" w:themeColor="text1"/>
                <w:sz w:val="24"/>
                <w:szCs w:val="24"/>
                <w:u w:val="none"/>
                <w14:textFill>
                  <w14:solidFill>
                    <w14:schemeClr w14:val="tx1"/>
                  </w14:solidFill>
                </w14:textFill>
              </w:rPr>
              <w:fldChar w:fldCharType="separate"/>
            </w:r>
            <w:r>
              <w:rPr>
                <w:rFonts w:hint="default" w:ascii="Times New Roman" w:hAnsi="Times New Roman" w:eastAsia="Times New Roman" w:cs="Times New Roman"/>
                <w:color w:val="000000" w:themeColor="text1"/>
                <w:sz w:val="24"/>
                <w:szCs w:val="24"/>
                <w:u w:val="none"/>
                <w:lang w:val="en-US" w:eastAsia="en-US" w:bidi="ar-SA"/>
                <w14:textFill>
                  <w14:solidFill>
                    <w14:schemeClr w14:val="tx1"/>
                  </w14:solidFill>
                </w14:textFill>
              </w:rPr>
              <w:t>Atukunda, Eide et al. (2021)</w:t>
            </w:r>
            <w:r>
              <w:rPr>
                <w:rFonts w:hint="default" w:ascii="Times New Roman" w:hAnsi="Times New Roman" w:eastAsia="Times New Roman" w:cs="Times New Roman"/>
                <w:color w:val="000000" w:themeColor="text1"/>
                <w:sz w:val="24"/>
                <w:szCs w:val="24"/>
                <w:u w:val="none"/>
                <w14:textFill>
                  <w14:solidFill>
                    <w14:schemeClr w14:val="tx1"/>
                  </w14:solidFill>
                </w14:textFill>
              </w:rPr>
              <w:fldChar w:fldCharType="end"/>
            </w:r>
          </w:p>
          <w:p w14:paraId="6086A6B6">
            <w:pPr>
              <w:spacing w:after="0" w:line="240" w:lineRule="auto"/>
              <w:jc w:val="left"/>
              <w:rPr>
                <w:rStyle w:val="11"/>
                <w:rFonts w:hint="default" w:ascii="Times New Roman" w:hAnsi="Times New Roman" w:eastAsia="Times New Roman" w:cs="Times New Roman"/>
                <w:sz w:val="24"/>
                <w:szCs w:val="24"/>
              </w:rPr>
            </w:pPr>
            <w:r>
              <w:rPr>
                <w:rFonts w:hint="default" w:ascii="Times New Roman" w:hAnsi="Times New Roman" w:eastAsia="Times New Roman" w:cs="Times New Roman"/>
                <w:color w:val="auto"/>
                <w:sz w:val="24"/>
                <w:szCs w:val="24"/>
                <w:u w:val="none"/>
                <w:lang w:val="en-US"/>
              </w:rPr>
              <w:t xml:space="preserve"> </w:t>
            </w:r>
            <w:r>
              <w:rPr>
                <w:rFonts w:hint="default" w:ascii="Times New Roman" w:hAnsi="Times New Roman" w:eastAsia="Times New Roman" w:cs="Times New Roman"/>
                <w:color w:val="auto"/>
                <w:sz w:val="24"/>
                <w:szCs w:val="24"/>
                <w:u w:val="none"/>
                <w:lang w:val="en-US"/>
              </w:rPr>
              <w:fldChar w:fldCharType="begin"/>
            </w:r>
            <w:r>
              <w:rPr>
                <w:rFonts w:hint="default" w:ascii="Times New Roman" w:hAnsi="Times New Roman" w:eastAsia="Times New Roman" w:cs="Times New Roman"/>
                <w:color w:val="auto"/>
                <w:sz w:val="24"/>
                <w:szCs w:val="24"/>
                <w:u w:val="none"/>
                <w:lang w:val="en-US"/>
              </w:rPr>
              <w:instrText xml:space="preserve"> ADDIN EN.CITE &lt;EndNote&gt;&lt;Cite AuthorYear="1"&gt;&lt;Author&gt;Manurung&lt;/Author&gt;&lt;Year&gt;2022&lt;/Year&gt;&lt;RecNum&gt;110&lt;/RecNum&gt;&lt;DisplayText&gt;Manurung, Maratno et al. (2022)&lt;/DisplayText&gt;&lt;record&gt;&lt;rec-number&gt;110&lt;/rec-number&gt;&lt;foreign-keys&gt;&lt;key app="EN" db-id="2t52ftddjzwsxoerapx5vrxm2fdzpaza5sva" timestamp="1752518647"&gt;110&lt;/key&gt;&lt;/foreign-keys&gt;&lt;ref-type name="Journal Article"&gt;17&lt;/ref-type&gt;&lt;contributors&gt;&lt;authors&gt;&lt;author&gt;Manurung, Elizabeth T&lt;/author&gt;&lt;author&gt;Maratno, Sylvia FE&lt;/author&gt;&lt;author&gt;Permatasari, Paulina&lt;/author&gt;&lt;author&gt;Rahman, Arif B&lt;/author&gt;&lt;author&gt;Qisthi, Reifa&lt;/author&gt;&lt;author&gt;Manurung, Elvy M&lt;/author&gt;&lt;/authors&gt;&lt;/contributors&gt;&lt;titles&gt;&lt;title&gt;Do Village Allocation Funds Contribute towards Alleviating Hunger among the Local Community (SDG# 2)? An Insight from Indonesia&lt;/title&gt;&lt;secondary-title&gt;Economies&lt;/secondary-title&gt;&lt;/titles&gt;&lt;periodical&gt;&lt;full-title&gt;Economies&lt;/full-title&gt;&lt;/periodical&gt;&lt;pages&gt;155&lt;/pages&gt;&lt;volume&gt;10&lt;/volume&gt;&lt;number&gt;7&lt;/number&gt;&lt;dates&gt;&lt;year&gt;2022&lt;/year&gt;&lt;/dates&gt;&lt;isbn&gt;2227-7099&lt;/isbn&gt;&lt;urls&gt;&lt;/urls&gt;&lt;/record&gt;&lt;/Cite&gt;&lt;/EndNote&gt;</w:instrText>
            </w:r>
            <w:r>
              <w:rPr>
                <w:rFonts w:hint="default" w:ascii="Times New Roman" w:hAnsi="Times New Roman" w:eastAsia="Times New Roman" w:cs="Times New Roman"/>
                <w:color w:val="auto"/>
                <w:sz w:val="24"/>
                <w:szCs w:val="24"/>
                <w:u w:val="none"/>
                <w:lang w:val="en-US"/>
              </w:rPr>
              <w:fldChar w:fldCharType="separate"/>
            </w:r>
            <w:r>
              <w:rPr>
                <w:rFonts w:hint="default" w:ascii="Times New Roman" w:hAnsi="Times New Roman" w:eastAsia="Times New Roman" w:cs="Times New Roman"/>
                <w:color w:val="auto"/>
                <w:sz w:val="24"/>
                <w:szCs w:val="24"/>
                <w:u w:val="none"/>
                <w:lang w:val="en-US" w:eastAsia="en-US" w:bidi="ar-SA"/>
              </w:rPr>
              <w:t>Manurung, Maratno et al. (2022)</w:t>
            </w:r>
            <w:r>
              <w:rPr>
                <w:rFonts w:hint="default" w:ascii="Times New Roman" w:hAnsi="Times New Roman" w:eastAsia="Times New Roman" w:cs="Times New Roman"/>
                <w:color w:val="auto"/>
                <w:sz w:val="24"/>
                <w:szCs w:val="24"/>
                <w:u w:val="none"/>
                <w:lang w:val="en-US"/>
              </w:rPr>
              <w:fldChar w:fldCharType="end"/>
            </w:r>
          </w:p>
          <w:p w14:paraId="28B68EC7">
            <w:pPr>
              <w:spacing w:after="0" w:line="240" w:lineRule="auto"/>
              <w:jc w:val="left"/>
              <w:rPr>
                <w:rFonts w:hint="default" w:ascii="Times New Roman" w:hAnsi="Times New Roman" w:cs="Times New Roman"/>
                <w:sz w:val="24"/>
                <w:szCs w:val="24"/>
              </w:rPr>
            </w:pPr>
            <w:r>
              <w:rPr>
                <w:rFonts w:hint="default" w:ascii="Times New Roman" w:hAnsi="Times New Roman" w:eastAsia="Times New Roman" w:cs="Times New Roman"/>
                <w:color w:val="auto"/>
                <w:sz w:val="24"/>
                <w:szCs w:val="24"/>
                <w:u w:val="none"/>
                <w:lang w:val="en-US"/>
              </w:rPr>
              <w:t xml:space="preserve"> </w:t>
            </w:r>
            <w:r>
              <w:rPr>
                <w:rFonts w:hint="default" w:ascii="Times New Roman" w:hAnsi="Times New Roman" w:eastAsia="Times New Roman" w:cs="Times New Roman"/>
                <w:color w:val="auto"/>
                <w:sz w:val="24"/>
                <w:szCs w:val="24"/>
                <w:u w:val="none"/>
                <w:lang w:val="en-US"/>
              </w:rPr>
              <w:fldChar w:fldCharType="begin"/>
            </w:r>
            <w:r>
              <w:rPr>
                <w:rFonts w:hint="default" w:ascii="Times New Roman" w:hAnsi="Times New Roman" w:eastAsia="Times New Roman" w:cs="Times New Roman"/>
                <w:color w:val="auto"/>
                <w:sz w:val="24"/>
                <w:szCs w:val="24"/>
                <w:u w:val="none"/>
                <w:lang w:val="en-US"/>
              </w:rPr>
              <w:instrText xml:space="preserve"> ADDIN EN.CITE &lt;EndNote&gt;&lt;Cite AuthorYear="1"&gt;&lt;Author&gt;Ogunyemi&lt;/Author&gt;&lt;Year&gt;2023&lt;/Year&gt;&lt;RecNum&gt;105&lt;/RecNum&gt;&lt;DisplayText&gt;Ogunyemi and Olubiyi (2023)&lt;/DisplayText&gt;&lt;record&gt;&lt;rec-number&gt;105&lt;/rec-number&gt;&lt;foreign-keys&gt;&lt;key app="EN" db-id="2t52ftddjzwsxoerapx5vrxm2fdzpaza5sva" timestamp="1752422071"&gt;105&lt;/key&gt;&lt;/foreign-keys&gt;&lt;ref-type name="Journal Article"&gt;17&lt;/ref-type&gt;&lt;contributors&gt;&lt;authors&gt;&lt;author&gt;Ogunyemi, Jesuye John&lt;/author&gt;&lt;author&gt;Olubiyi, Ifeoluwa Ayokunle&lt;/author&gt;&lt;/authors&gt;&lt;/contributors&gt;&lt;titles&gt;&lt;title&gt;Attaining SDG 2 (Zero Hunger) in Nigeria: The Role of the Plant Variety Protection Act 2021&lt;/title&gt;&lt;secondary-title&gt;ABUAD Law Journal&lt;/secondary-title&gt;&lt;/titles&gt;&lt;periodical&gt;&lt;full-title&gt;ABUAD Law Journal&lt;/full-title&gt;&lt;/periodical&gt;&lt;pages&gt;1-16&lt;/pages&gt;&lt;volume&gt;11&lt;/volume&gt;&lt;number&gt;1&lt;/number&gt;&lt;dates&gt;&lt;year&gt;2023&lt;/year&gt;&lt;/dates&gt;&lt;isbn&gt;2971-7027&lt;/isbn&gt;&lt;urls&gt;&lt;/urls&gt;&lt;/record&gt;&lt;/Cite&gt;&lt;/EndNote&gt;</w:instrText>
            </w:r>
            <w:r>
              <w:rPr>
                <w:rFonts w:hint="default" w:ascii="Times New Roman" w:hAnsi="Times New Roman" w:eastAsia="Times New Roman" w:cs="Times New Roman"/>
                <w:color w:val="auto"/>
                <w:sz w:val="24"/>
                <w:szCs w:val="24"/>
                <w:u w:val="none"/>
                <w:lang w:val="en-US"/>
              </w:rPr>
              <w:fldChar w:fldCharType="separate"/>
            </w:r>
            <w:r>
              <w:rPr>
                <w:rFonts w:hint="default" w:ascii="Times New Roman" w:hAnsi="Times New Roman" w:eastAsia="Times New Roman" w:cs="Times New Roman"/>
                <w:color w:val="auto"/>
                <w:sz w:val="24"/>
                <w:szCs w:val="24"/>
                <w:u w:val="none"/>
                <w:lang w:val="en-US" w:eastAsia="en-US" w:bidi="ar-SA"/>
              </w:rPr>
              <w:t>Ogunyemi and Olubiyi (2023)</w:t>
            </w:r>
            <w:r>
              <w:rPr>
                <w:rFonts w:hint="default" w:ascii="Times New Roman" w:hAnsi="Times New Roman" w:eastAsia="Times New Roman" w:cs="Times New Roman"/>
                <w:color w:val="auto"/>
                <w:sz w:val="24"/>
                <w:szCs w:val="24"/>
                <w:u w:val="none"/>
                <w:lang w:val="en-US"/>
              </w:rPr>
              <w:fldChar w:fldCharType="end"/>
            </w:r>
          </w:p>
        </w:tc>
      </w:tr>
      <w:tr w14:paraId="4EC7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1589" w:type="dxa"/>
          </w:tcPr>
          <w:p w14:paraId="7B82EF58">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Industry, Innovation, Infrastructure (SDG 9)</w:t>
            </w:r>
          </w:p>
        </w:tc>
        <w:tc>
          <w:tcPr>
            <w:tcW w:w="1836" w:type="dxa"/>
          </w:tcPr>
          <w:p w14:paraId="69250245">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Sustainable industrialization, innovation promotion, and infrastructure development.</w:t>
            </w:r>
          </w:p>
        </w:tc>
        <w:tc>
          <w:tcPr>
            <w:tcW w:w="2568" w:type="dxa"/>
          </w:tcPr>
          <w:p w14:paraId="4BD50248">
            <w:pPr>
              <w:spacing w:after="0" w:line="240" w:lineRule="auto"/>
              <w:jc w:val="left"/>
              <w:rPr>
                <w:rFonts w:hint="default" w:ascii="Times New Roman" w:hAnsi="Times New Roman" w:cs="Times New Roman"/>
                <w:sz w:val="24"/>
                <w:szCs w:val="24"/>
              </w:rPr>
            </w:pPr>
            <w:r>
              <w:rPr>
                <w:rFonts w:hint="default" w:ascii="Times New Roman" w:hAnsi="Times New Roman" w:cs="Times New Roman"/>
                <w:sz w:val="24"/>
                <w:szCs w:val="24"/>
              </w:rPr>
              <w:t>- R&amp;D Expenditure as % of GDP</w:t>
            </w:r>
            <w:r>
              <w:rPr>
                <w:rFonts w:hint="default" w:ascii="Times New Roman" w:hAnsi="Times New Roman" w:cs="Times New Roman"/>
                <w:sz w:val="24"/>
                <w:szCs w:val="24"/>
              </w:rPr>
              <w:br w:type="textWrapping"/>
            </w:r>
          </w:p>
        </w:tc>
        <w:tc>
          <w:tcPr>
            <w:tcW w:w="3488" w:type="dxa"/>
          </w:tcPr>
          <w:p w14:paraId="45C56F9A">
            <w:pPr>
              <w:spacing w:after="0" w:line="240" w:lineRule="auto"/>
              <w:jc w:val="left"/>
              <w:rPr>
                <w:rFonts w:hint="default" w:ascii="Times New Roman" w:hAnsi="Times New Roman" w:cs="Times New Roman"/>
                <w:color w:val="000000" w:themeColor="text1"/>
                <w:sz w:val="24"/>
                <w:szCs w:val="24"/>
                <w:u w:val="single"/>
                <w14:textFill>
                  <w14:solidFill>
                    <w14:schemeClr w14:val="tx1"/>
                  </w14:solidFill>
                </w14:textFill>
              </w:rPr>
            </w:pPr>
            <w:r>
              <w:rPr>
                <w:rFonts w:hint="default" w:ascii="Times New Roman" w:hAnsi="Times New Roman" w:cs="Times New Roman"/>
                <w:color w:val="000000" w:themeColor="text1"/>
                <w:sz w:val="24"/>
                <w:szCs w:val="24"/>
                <w:u w:val="none"/>
                <w14:textFill>
                  <w14:solidFill>
                    <w14:schemeClr w14:val="tx1"/>
                  </w14:solidFill>
                </w14:textFill>
              </w:rPr>
              <w:fldChar w:fldCharType="begin"/>
            </w:r>
            <w:r>
              <w:rPr>
                <w:rFonts w:hint="default" w:ascii="Times New Roman" w:hAnsi="Times New Roman" w:cs="Times New Roman"/>
                <w:color w:val="000000" w:themeColor="text1"/>
                <w:sz w:val="24"/>
                <w:szCs w:val="24"/>
                <w:u w:val="none"/>
                <w:lang w:val="en-US"/>
                <w14:textFill>
                  <w14:solidFill>
                    <w14:schemeClr w14:val="tx1"/>
                  </w14:solidFill>
                </w14:textFill>
              </w:rPr>
              <w:instrText xml:space="preserve"> ADDIN EN.CITE &lt;EndNote&gt;&lt;Cite AuthorYear="1"&gt;&lt;Author&gt;Jahanger&lt;/Author&gt;&lt;Year&gt;2024&lt;/Year&gt;&lt;RecNum&gt;75&lt;/RecNum&gt;&lt;DisplayText&gt;Jahanger, Balsalobre-Lorente et al. (2024)&lt;/DisplayText&gt;&lt;record&gt;&lt;rec-number&gt;75&lt;/rec-number&gt;&lt;foreign-keys&gt;&lt;key app="EN" db-id="2t52ftddjzwsxoerapx5vrxm2fdzpaza5sva" timestamp="1752394132"&gt;75&lt;/key&gt;&lt;/foreign-keys&gt;&lt;ref-type name="Journal Article"&gt;17&lt;/ref-type&gt;&lt;contributors&gt;&lt;authors&gt;&lt;author&gt;Jahanger, Atif&lt;/author&gt;&lt;author&gt;Balsalobre-Lorente, Daniel&lt;/author&gt;&lt;author&gt;Ali, Mumtaz&lt;/author&gt;&lt;author&gt;Samour, Ahmed&lt;/author&gt;&lt;author&gt;Abbas, Shujaat&lt;/author&gt;&lt;author&gt;Tursoy, Turgut&lt;/author&gt;&lt;author&gt;Joof, Foday&lt;/author&gt;&lt;/authors&gt;&lt;/contributors&gt;&lt;titles&gt;&lt;title&gt;Going away or going green in ASEAN countries: Testing the impact of green financing and energy on environmental sustainability&lt;/title&gt;&lt;secondary-title&gt;Energy &amp;amp; Environment&lt;/secondary-title&gt;&lt;/titles&gt;&lt;periodical&gt;&lt;full-title&gt;Energy &amp;amp; Environment&lt;/full-title&gt;&lt;/periodical&gt;&lt;pages&gt;3759-3784&lt;/pages&gt;&lt;volume&gt;35&lt;/volume&gt;&lt;number&gt;7&lt;/number&gt;&lt;dates&gt;&lt;year&gt;2024&lt;/year&gt;&lt;/dates&gt;&lt;isbn&gt;0958-305X&lt;/isbn&gt;&lt;urls&gt;&lt;/urls&gt;&lt;/record&gt;&lt;/Cite&gt;&lt;/EndNote&gt;</w:instrText>
            </w:r>
            <w:r>
              <w:rPr>
                <w:rFonts w:hint="default" w:ascii="Times New Roman" w:hAnsi="Times New Roman" w:cs="Times New Roman"/>
                <w:color w:val="000000" w:themeColor="text1"/>
                <w:sz w:val="24"/>
                <w:szCs w:val="24"/>
                <w:u w:val="none"/>
                <w14:textFill>
                  <w14:solidFill>
                    <w14:schemeClr w14:val="tx1"/>
                  </w14:solidFill>
                </w14:textFill>
              </w:rPr>
              <w:fldChar w:fldCharType="separate"/>
            </w:r>
            <w:r>
              <w:rPr>
                <w:rFonts w:hint="default" w:ascii="Times New Roman" w:hAnsi="Times New Roman" w:cs="Times New Roman" w:eastAsiaTheme="minorHAnsi"/>
                <w:color w:val="000000" w:themeColor="text1"/>
                <w:sz w:val="24"/>
                <w:szCs w:val="24"/>
                <w:u w:val="none"/>
                <w:lang w:val="en-US" w:eastAsia="en-US" w:bidi="ar-SA"/>
                <w14:textFill>
                  <w14:solidFill>
                    <w14:schemeClr w14:val="tx1"/>
                  </w14:solidFill>
                </w14:textFill>
              </w:rPr>
              <w:t>Jahanger, Balsalobre-Lorente et al. (2024)</w:t>
            </w:r>
            <w:r>
              <w:rPr>
                <w:rFonts w:hint="default" w:ascii="Times New Roman" w:hAnsi="Times New Roman" w:cs="Times New Roman"/>
                <w:color w:val="000000" w:themeColor="text1"/>
                <w:sz w:val="24"/>
                <w:szCs w:val="24"/>
                <w:u w:val="none"/>
                <w14:textFill>
                  <w14:solidFill>
                    <w14:schemeClr w14:val="tx1"/>
                  </w14:solidFill>
                </w14:textFill>
              </w:rPr>
              <w:fldChar w:fldCharType="end"/>
            </w:r>
          </w:p>
          <w:p w14:paraId="425752EB">
            <w:pPr>
              <w:spacing w:after="0" w:line="240" w:lineRule="auto"/>
              <w:jc w:val="left"/>
              <w:rPr>
                <w:rStyle w:val="11"/>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color w:val="auto"/>
                <w:sz w:val="24"/>
                <w:szCs w:val="24"/>
                <w:u w:val="none"/>
                <w:lang w:val="en-US"/>
              </w:rPr>
              <w:fldChar w:fldCharType="begin"/>
            </w:r>
            <w:r>
              <w:rPr>
                <w:rFonts w:hint="default" w:ascii="Times New Roman" w:hAnsi="Times New Roman" w:cs="Times New Roman"/>
                <w:color w:val="auto"/>
                <w:sz w:val="24"/>
                <w:szCs w:val="24"/>
                <w:u w:val="none"/>
                <w:lang w:val="en-US"/>
              </w:rPr>
              <w:instrText xml:space="preserve"> ADDIN EN.CITE &lt;EndNote&gt;&lt;Cite&gt;&lt;Author&gt;Naghavi&lt;/Author&gt;&lt;Year&gt;2024&lt;/Year&gt;&lt;RecNum&gt;108&lt;/RecNum&gt;&lt;DisplayText&gt;(Naghavi, Ong et al. 2024)&lt;/DisplayText&gt;&lt;record&gt;&lt;rec-number&gt;108&lt;/rec-number&gt;&lt;foreign-keys&gt;&lt;key app="EN" db-id="2t52ftddjzwsxoerapx5vrxm2fdzpaza5sva" timestamp="1752423180"&gt;108&lt;/key&gt;&lt;/foreign-keys&gt;&lt;ref-type name="Journal Article"&gt;17&lt;/ref-type&gt;&lt;contributors&gt;&lt;authors&gt;&lt;author&gt;Naghavi, Mohsen&lt;/author&gt;&lt;author&gt;Ong, Kanyin Liane&lt;/author&gt;&lt;author&gt;Aali, Amirali&lt;/author&gt;&lt;author&gt;Ababneh, Hazim S&lt;/author&gt;&lt;author&gt;Abate, Yohannes Habtegiorgis&lt;/author&gt;&lt;author&gt;Abbafati, Cristiana&lt;/author&gt;&lt;author&gt;Abbasgholizadeh, Rouzbeh&lt;/author&gt;&lt;author&gt;Abbasian, Mohammadreza&lt;/author&gt;&lt;author&gt;Abbasi-Kangevari, Mohsen&lt;/author&gt;&lt;author&gt;Abbastabar, Hedayat&lt;/author&gt;&lt;/authors&gt;&lt;/contributors&gt;&lt;titles&gt;&lt;title&gt;Global burden of 288 causes of death and life expectancy decomposition in 204 countries and territories and 811 subnational locations, 1990–2021: a systematic analysis for the Global Burden of Disease Study 2021&lt;/title&gt;&lt;secondary-title&gt;The Lancet&lt;/secondary-title&gt;&lt;/titles&gt;&lt;periodical&gt;&lt;full-title&gt;The Lancet&lt;/full-title&gt;&lt;/periodical&gt;&lt;pages&gt;2100-2132&lt;/pages&gt;&lt;volume&gt;403&lt;/volume&gt;&lt;number&gt;10440&lt;/number&gt;&lt;dates&gt;&lt;year&gt;2024&lt;/year&gt;&lt;/dates&gt;&lt;isbn&gt;0140-6736&lt;/isbn&gt;&lt;urls&gt;&lt;/urls&gt;&lt;/record&gt;&lt;/Cite&gt;&lt;/EndNote&gt;</w:instrText>
            </w:r>
            <w:r>
              <w:rPr>
                <w:rFonts w:hint="default" w:ascii="Times New Roman" w:hAnsi="Times New Roman" w:cs="Times New Roman"/>
                <w:color w:val="auto"/>
                <w:sz w:val="24"/>
                <w:szCs w:val="24"/>
                <w:u w:val="none"/>
                <w:lang w:val="en-US"/>
              </w:rPr>
              <w:fldChar w:fldCharType="separate"/>
            </w:r>
            <w:r>
              <w:rPr>
                <w:rFonts w:hint="default" w:ascii="Times New Roman" w:hAnsi="Times New Roman" w:eastAsia="Times New Roman" w:cs="Times New Roman"/>
                <w:color w:val="auto"/>
                <w:sz w:val="24"/>
                <w:szCs w:val="24"/>
                <w:u w:val="none"/>
                <w:lang w:val="en-US" w:eastAsia="en-US" w:bidi="ar-SA"/>
              </w:rPr>
              <w:t>(Naghavi, Ong et al. 2024)</w:t>
            </w:r>
            <w:r>
              <w:rPr>
                <w:rFonts w:hint="default" w:ascii="Times New Roman" w:hAnsi="Times New Roman" w:cs="Times New Roman"/>
                <w:color w:val="auto"/>
                <w:sz w:val="24"/>
                <w:szCs w:val="24"/>
                <w:u w:val="none"/>
                <w:lang w:val="en-US"/>
              </w:rPr>
              <w:fldChar w:fldCharType="end"/>
            </w:r>
          </w:p>
          <w:p w14:paraId="2B14D165">
            <w:pPr>
              <w:spacing w:after="0" w:line="240" w:lineRule="auto"/>
              <w:jc w:val="left"/>
              <w:rPr>
                <w:rFonts w:hint="default" w:ascii="Times New Roman" w:hAnsi="Times New Roman" w:cs="Times New Roman"/>
                <w:sz w:val="24"/>
                <w:szCs w:val="24"/>
              </w:rPr>
            </w:pPr>
            <w:r>
              <w:rPr>
                <w:rFonts w:hint="default" w:ascii="Times New Roman" w:hAnsi="Times New Roman" w:eastAsia="Times New Roman" w:cs="Times New Roman"/>
                <w:color w:val="auto"/>
                <w:sz w:val="24"/>
                <w:szCs w:val="24"/>
                <w:u w:val="none"/>
                <w:lang w:val="en-US"/>
              </w:rPr>
              <w:fldChar w:fldCharType="begin"/>
            </w:r>
            <w:r>
              <w:rPr>
                <w:rFonts w:hint="default" w:ascii="Times New Roman" w:hAnsi="Times New Roman" w:eastAsia="Times New Roman" w:cs="Times New Roman"/>
                <w:color w:val="auto"/>
                <w:sz w:val="24"/>
                <w:szCs w:val="24"/>
                <w:u w:val="none"/>
                <w:lang w:val="en-US"/>
              </w:rPr>
              <w:instrText xml:space="preserve"> ADDIN EN.CITE &lt;EndNote&gt;&lt;Cite AuthorYear="1"&gt;&lt;Author&gt;Grodzicki&lt;/Author&gt;&lt;Year&gt;2024&lt;/Year&gt;&lt;RecNum&gt;107&lt;/RecNum&gt;&lt;DisplayText&gt;Grodzicki and Jankiewicz (2024)&lt;/DisplayText&gt;&lt;record&gt;&lt;rec-number&gt;107&lt;/rec-number&gt;&lt;foreign-keys&gt;&lt;key app="EN" db-id="2t52ftddjzwsxoerapx5vrxm2fdzpaza5sva" timestamp="1752422892"&gt;107&lt;/key&gt;&lt;/foreign-keys&gt;&lt;ref-type name="Journal Article"&gt;17&lt;/ref-type&gt;&lt;contributors&gt;&lt;authors&gt;&lt;author&gt;Grodzicki, Tomasz&lt;/author&gt;&lt;author&gt;Jankiewicz, Mateusz&lt;/author&gt;&lt;/authors&gt;&lt;/contributors&gt;&lt;titles&gt;&lt;title&gt;Building resilient infrastructure, supporting sustainable industrialization, and fostering innovation (SDG 9) in selected European countries: spatial and taxonomic analysis&lt;/title&gt;&lt;secondary-title&gt;Bulletin of Geography. Socio-economic Series&lt;/secondary-title&gt;&lt;/titles&gt;&lt;periodical&gt;&lt;full-title&gt;Bulletin of Geography. Socio-economic Series&lt;/full-title&gt;&lt;/periodical&gt;&lt;pages&gt;85-97&lt;/pages&gt;&lt;number&gt;65&lt;/number&gt;&lt;dates&gt;&lt;year&gt;2024&lt;/year&gt;&lt;/dates&gt;&lt;isbn&gt;2083-8298&lt;/isbn&gt;&lt;urls&gt;&lt;/urls&gt;&lt;/record&gt;&lt;/Cite&gt;&lt;/EndNote&gt;</w:instrText>
            </w:r>
            <w:r>
              <w:rPr>
                <w:rFonts w:hint="default" w:ascii="Times New Roman" w:hAnsi="Times New Roman" w:eastAsia="Times New Roman" w:cs="Times New Roman"/>
                <w:color w:val="auto"/>
                <w:sz w:val="24"/>
                <w:szCs w:val="24"/>
                <w:u w:val="none"/>
                <w:lang w:val="en-US"/>
              </w:rPr>
              <w:fldChar w:fldCharType="separate"/>
            </w:r>
            <w:r>
              <w:rPr>
                <w:rFonts w:hint="default" w:ascii="Times New Roman" w:hAnsi="Times New Roman" w:eastAsia="Times New Roman" w:cs="Times New Roman"/>
                <w:color w:val="auto"/>
                <w:sz w:val="24"/>
                <w:szCs w:val="24"/>
                <w:u w:val="none"/>
                <w:lang w:val="en-US" w:eastAsia="en-US" w:bidi="ar-SA"/>
              </w:rPr>
              <w:t>Grodzicki and Jankiewicz (2024)</w:t>
            </w:r>
            <w:r>
              <w:rPr>
                <w:rFonts w:hint="default" w:ascii="Times New Roman" w:hAnsi="Times New Roman" w:eastAsia="Times New Roman" w:cs="Times New Roman"/>
                <w:color w:val="auto"/>
                <w:sz w:val="24"/>
                <w:szCs w:val="24"/>
                <w:u w:val="none"/>
                <w:lang w:val="en-US"/>
              </w:rPr>
              <w:fldChar w:fldCharType="end"/>
            </w:r>
          </w:p>
        </w:tc>
      </w:tr>
    </w:tbl>
    <w:p w14:paraId="2405D85C">
      <w:pPr>
        <w:jc w:val="both"/>
        <w:rPr>
          <w:rFonts w:hint="default" w:ascii="Times New Roman" w:hAnsi="Times New Roman"/>
          <w:sz w:val="24"/>
          <w:szCs w:val="24"/>
        </w:rPr>
      </w:pPr>
    </w:p>
    <w:p w14:paraId="5178FD42">
      <w:pPr>
        <w:jc w:val="both"/>
        <w:rPr>
          <w:rFonts w:hint="default" w:ascii="Times New Roman" w:hAnsi="Times New Roman"/>
          <w:sz w:val="24"/>
          <w:szCs w:val="24"/>
        </w:rPr>
      </w:pPr>
    </w:p>
    <w:p w14:paraId="08A64B8A">
      <w:pPr>
        <w:pStyle w:val="2"/>
        <w:numPr>
          <w:ilvl w:val="0"/>
          <w:numId w:val="23"/>
        </w:numPr>
        <w:ind w:left="360" w:leftChars="0" w:firstLineChars="0"/>
        <w:rPr>
          <w:rFonts w:hint="default" w:ascii="Times New Roman" w:hAnsi="Times New Roman" w:eastAsia="Times New Roman" w:cs="Times New Roman"/>
          <w:sz w:val="28"/>
          <w:szCs w:val="28"/>
        </w:rPr>
      </w:pPr>
      <w:bookmarkStart w:id="78" w:name="_Toc11633"/>
      <w:bookmarkStart w:id="79" w:name="_Toc19281"/>
      <w:r>
        <w:rPr>
          <w:rFonts w:hint="default" w:ascii="Times New Roman" w:hAnsi="Times New Roman" w:eastAsia="Times New Roman" w:cs="Times New Roman"/>
          <w:sz w:val="28"/>
          <w:szCs w:val="28"/>
        </w:rPr>
        <w:t>Estimation strategy</w:t>
      </w:r>
      <w:bookmarkEnd w:id="78"/>
      <w:bookmarkEnd w:id="79"/>
    </w:p>
    <w:p w14:paraId="0BAEAD1A">
      <w:pPr>
        <w:rPr>
          <w:rFonts w:hint="default"/>
        </w:rPr>
      </w:pPr>
    </w:p>
    <w:p w14:paraId="2E80F023">
      <w:pPr>
        <w:rPr>
          <w:rFonts w:hint="default" w:ascii="Times New Roman" w:hAnsi="Times New Roman" w:eastAsia="Times New Roman" w:cs="Times New Roman"/>
          <w:sz w:val="28"/>
          <w:szCs w:val="28"/>
          <w:lang w:val="en-US"/>
        </w:rPr>
      </w:pPr>
      <w:r>
        <w:rPr>
          <w:rFonts w:hint="default" w:ascii="Times New Roman" w:hAnsi="Times New Roman" w:eastAsia="Times New Roman" w:cs="Times New Roman"/>
          <w:sz w:val="28"/>
          <w:szCs w:val="28"/>
          <w:lang w:val="en-US"/>
        </w:rPr>
        <w:drawing>
          <wp:inline distT="0" distB="0" distL="114300" distR="114300">
            <wp:extent cx="5274310" cy="4181475"/>
            <wp:effectExtent l="0" t="0" r="13970" b="9525"/>
            <wp:docPr id="5" name="Picture 5" descr="Screenshot 2025-07-20 10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2025-07-20 102653"/>
                    <pic:cNvPicPr>
                      <a:picLocks noChangeAspect="1"/>
                    </pic:cNvPicPr>
                  </pic:nvPicPr>
                  <pic:blipFill>
                    <a:blip r:embed="rId10"/>
                    <a:stretch>
                      <a:fillRect/>
                    </a:stretch>
                  </pic:blipFill>
                  <pic:spPr>
                    <a:xfrm>
                      <a:off x="0" y="0"/>
                      <a:ext cx="5274310" cy="4181475"/>
                    </a:xfrm>
                    <a:prstGeom prst="rect">
                      <a:avLst/>
                    </a:prstGeom>
                  </pic:spPr>
                </pic:pic>
              </a:graphicData>
            </a:graphic>
          </wp:inline>
        </w:drawing>
      </w:r>
    </w:p>
    <w:p w14:paraId="3567DA5D">
      <w:pPr>
        <w:pStyle w:val="7"/>
        <w:rPr>
          <w:rFonts w:hint="default" w:ascii="Arial" w:hAnsi="Arial" w:eastAsia="Times New Roman" w:cs="Arial"/>
          <w:sz w:val="22"/>
          <w:szCs w:val="22"/>
        </w:rPr>
      </w:pPr>
      <w:r>
        <w:rPr>
          <w:sz w:val="22"/>
          <w:szCs w:val="22"/>
        </w:rPr>
        <w:t xml:space="preserve">Figure </w:t>
      </w:r>
      <w:r>
        <w:rPr>
          <w:sz w:val="22"/>
          <w:szCs w:val="22"/>
        </w:rPr>
        <w:fldChar w:fldCharType="begin"/>
      </w:r>
      <w:r>
        <w:rPr>
          <w:sz w:val="22"/>
          <w:szCs w:val="22"/>
        </w:rPr>
        <w:instrText xml:space="preserve"> SEQ Figure \* ARABIC </w:instrText>
      </w:r>
      <w:r>
        <w:rPr>
          <w:sz w:val="22"/>
          <w:szCs w:val="22"/>
        </w:rPr>
        <w:fldChar w:fldCharType="separate"/>
      </w:r>
      <w:r>
        <w:rPr>
          <w:sz w:val="22"/>
          <w:szCs w:val="22"/>
        </w:rPr>
        <w:t>1</w:t>
      </w:r>
      <w:r>
        <w:rPr>
          <w:sz w:val="22"/>
          <w:szCs w:val="22"/>
        </w:rPr>
        <w:fldChar w:fldCharType="end"/>
      </w:r>
      <w:bookmarkStart w:id="80" w:name="_Toc11166"/>
      <w:r>
        <w:rPr>
          <w:rFonts w:hint="default"/>
          <w:sz w:val="22"/>
          <w:szCs w:val="22"/>
          <w:lang w:val="en-US"/>
        </w:rPr>
        <w:t xml:space="preserve">: </w:t>
      </w:r>
      <w:r>
        <w:rPr>
          <w:rFonts w:hint="default" w:ascii="Arial" w:hAnsi="Arial" w:eastAsia="Times New Roman" w:cs="Arial"/>
          <w:sz w:val="22"/>
          <w:szCs w:val="22"/>
        </w:rPr>
        <w:t xml:space="preserve"> Phases and Important Econometric Techniques and Reference authors</w:t>
      </w:r>
      <w:bookmarkEnd w:id="80"/>
    </w:p>
    <w:p w14:paraId="5CCD041A">
      <w:pPr>
        <w:rPr>
          <w:rFonts w:hint="default"/>
        </w:rPr>
      </w:pPr>
    </w:p>
    <w:p w14:paraId="15CB27E0">
      <w:pPr>
        <w:pStyle w:val="3"/>
        <w:numPr>
          <w:ilvl w:val="0"/>
          <w:numId w:val="24"/>
        </w:numPr>
        <w:ind w:left="360" w:leftChars="0" w:firstLineChars="0"/>
        <w:rPr>
          <w:rFonts w:hint="default" w:ascii="Times New Roman" w:hAnsi="Times New Roman" w:cs="Times New Roman"/>
          <w:sz w:val="24"/>
          <w:szCs w:val="24"/>
        </w:rPr>
      </w:pPr>
      <w:bookmarkStart w:id="81" w:name="_Toc1188"/>
      <w:bookmarkStart w:id="82" w:name="_Toc12408"/>
      <w:r>
        <w:rPr>
          <w:rFonts w:hint="default" w:ascii="Times New Roman" w:hAnsi="Times New Roman" w:eastAsia="Times New Roman" w:cs="Times New Roman"/>
          <w:sz w:val="24"/>
          <w:szCs w:val="24"/>
        </w:rPr>
        <w:t>Phase 1: Cross-Sectional Dependence (CD) Test</w:t>
      </w:r>
      <w:bookmarkEnd w:id="81"/>
      <w:bookmarkEnd w:id="82"/>
      <w:r>
        <w:rPr>
          <w:rFonts w:hint="default" w:ascii="Times New Roman" w:hAnsi="Times New Roman" w:eastAsia="Times New Roman" w:cs="Times New Roman"/>
          <w:sz w:val="24"/>
          <w:szCs w:val="24"/>
        </w:rPr>
        <w:t xml:space="preserve"> </w:t>
      </w:r>
    </w:p>
    <w:p w14:paraId="3AE64234">
      <w:pPr>
        <w:rPr>
          <w:rFonts w:hint="default"/>
        </w:rPr>
      </w:pPr>
    </w:p>
    <w:p w14:paraId="015D79D1">
      <w:pPr>
        <w:ind w:firstLine="600" w:firstLineChars="250"/>
        <w:jc w:val="both"/>
        <w:rPr>
          <w:rFonts w:hint="default" w:ascii="Times New Roman" w:hAnsi="Times New Roman"/>
          <w:sz w:val="24"/>
          <w:szCs w:val="24"/>
        </w:rPr>
      </w:pPr>
      <w:r>
        <w:rPr>
          <w:rFonts w:hint="default" w:ascii="Times New Roman" w:hAnsi="Times New Roman"/>
          <w:sz w:val="24"/>
          <w:szCs w:val="24"/>
        </w:rPr>
        <w:t xml:space="preserve">Cross-sectional dependence (CD) is defined as the correlation amid units (e.g., a country, firm or individual) inside a panel dataset. The traditional econometric models presuppose independence within the cross-sections, whereas in the real-life settings, there may be a certain amount of interdependence between the cross-sectional units as a result of globalization, policy spillovers or macroeconomic connections, among others. This dependence may be found as a result of common shocks, </w:t>
      </w:r>
      <w:r>
        <w:rPr>
          <w:rFonts w:hint="default" w:ascii="Times New Roman" w:hAnsi="Times New Roman"/>
          <w:sz w:val="24"/>
          <w:szCs w:val="24"/>
          <w:lang w:val="en-US"/>
        </w:rPr>
        <w:t>observably</w:t>
      </w:r>
      <w:r>
        <w:rPr>
          <w:rFonts w:hint="default" w:ascii="Times New Roman" w:hAnsi="Times New Roman"/>
          <w:sz w:val="24"/>
          <w:szCs w:val="24"/>
        </w:rPr>
        <w:t xml:space="preserve"> conditions, or spatial relations.</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AuthorYear="1"&gt;&lt;Author&gt;Pesaran&lt;/Author&gt;&lt;Year&gt;2004&lt;/Year&gt;&lt;RecNum&gt;128&lt;/RecNum&gt;&lt;DisplayText&gt;Pesaran (2004)&lt;/DisplayText&gt;&lt;record&gt;&lt;rec-number&gt;128&lt;/rec-number&gt;&lt;foreign-keys&gt;&lt;key app="EN" db-id="2t52ftddjzwsxoerapx5vrxm2fdzpaza5sva" timestamp="1752919370"&gt;128&lt;/key&gt;&lt;/foreign-keys&gt;&lt;ref-type name="Journal Article"&gt;17&lt;/ref-type&gt;&lt;contributors&gt;&lt;authors&gt;&lt;author&gt;Pesaran, M Hashem&lt;/author&gt;&lt;/authors&gt;&lt;/contributors&gt;&lt;titles&gt;&lt;title&gt;General diagnostic tests for cross section dependence in panels. Cambridge Working Papers&lt;/title&gt;&lt;secondary-title&gt;Economics&lt;/secondary-title&gt;&lt;/titles&gt;&lt;periodical&gt;&lt;full-title&gt;Economics&lt;/full-title&gt;&lt;/periodical&gt;&lt;pages&gt;1&lt;/pages&gt;&lt;volume&gt;1240&lt;/volume&gt;&lt;number&gt;1&lt;/number&gt;&lt;dates&gt;&lt;year&gt;2004&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Pesaran (2004)</w:t>
      </w:r>
      <w:r>
        <w:rPr>
          <w:rFonts w:hint="default" w:ascii="Times New Roman" w:hAnsi="Times New Roman"/>
          <w:sz w:val="24"/>
          <w:szCs w:val="24"/>
          <w:lang w:val="en-US"/>
        </w:rPr>
        <w:fldChar w:fldCharType="end"/>
      </w:r>
      <w:r>
        <w:rPr>
          <w:rFonts w:hint="default" w:ascii="Times New Roman" w:hAnsi="Times New Roman"/>
          <w:sz w:val="24"/>
          <w:szCs w:val="24"/>
        </w:rPr>
        <w:t xml:space="preserve"> developed a CD test that is an advanced statistical test experimented in identifying such dependencies in extensive panels. It is a more polished process than the previous methods have been, eliminating the weaknesses in sampling size and performance.</w:t>
      </w:r>
    </w:p>
    <w:p w14:paraId="1CCB6E2D">
      <w:pPr>
        <w:pStyle w:val="12"/>
        <w:jc w:val="both"/>
        <w:rPr>
          <w:rFonts w:ascii="Times New Roman" w:hAnsi="Times New Roman" w:cs="Times New Roman"/>
          <w:b/>
          <w:bCs/>
          <w:sz w:val="24"/>
          <w:szCs w:val="24"/>
          <w:u w:val="single"/>
        </w:rPr>
      </w:pPr>
      <w:r>
        <w:rPr>
          <w:b/>
          <w:bCs/>
          <w:u w:val="single"/>
        </w:rPr>
        <w:t xml:space="preserve">The Equation for </w:t>
      </w:r>
      <w:r>
        <w:rPr>
          <w:b/>
          <w:bCs/>
          <w:color w:val="auto"/>
          <w:u w:val="single"/>
          <w:lang w:val="en-US"/>
        </w:rPr>
        <w:t xml:space="preserve"> </w:t>
      </w:r>
      <w:r>
        <w:rPr>
          <w:b/>
          <w:bCs/>
          <w:color w:val="auto"/>
          <w:u w:val="single"/>
          <w:lang w:val="en-US"/>
        </w:rPr>
        <w:fldChar w:fldCharType="begin"/>
      </w:r>
      <w:r>
        <w:rPr>
          <w:b/>
          <w:bCs/>
          <w:color w:val="auto"/>
          <w:u w:val="single"/>
          <w:lang w:val="en-US"/>
        </w:rPr>
        <w:instrText xml:space="preserve"> ADDIN EN.CITE &lt;EndNote&gt;&lt;Cite AuthorYear="1"&gt;&lt;Author&gt;Pesaran&lt;/Author&gt;&lt;Year&gt;2004&lt;/Year&gt;&lt;RecNum&gt;128&lt;/RecNum&gt;&lt;DisplayText&gt;Pesaran (2004)&lt;/DisplayText&gt;&lt;record&gt;&lt;rec-number&gt;128&lt;/rec-number&gt;&lt;foreign-keys&gt;&lt;key app="EN" db-id="2t52ftddjzwsxoerapx5vrxm2fdzpaza5sva" timestamp="1752919370"&gt;128&lt;/key&gt;&lt;/foreign-keys&gt;&lt;ref-type name="Journal Article"&gt;17&lt;/ref-type&gt;&lt;contributors&gt;&lt;authors&gt;&lt;author&gt;Pesaran, M Hashem&lt;/author&gt;&lt;/authors&gt;&lt;/contributors&gt;&lt;titles&gt;&lt;title&gt;General diagnostic tests for cross section dependence in panels. Cambridge Working Papers&lt;/title&gt;&lt;secondary-title&gt;Economics&lt;/secondary-title&gt;&lt;/titles&gt;&lt;periodical&gt;&lt;full-title&gt;Economics&lt;/full-title&gt;&lt;/periodical&gt;&lt;pages&gt;1&lt;/pages&gt;&lt;volume&gt;1240&lt;/volume&gt;&lt;number&gt;1&lt;/number&gt;&lt;dates&gt;&lt;year&gt;2004&lt;/year&gt;&lt;/dates&gt;&lt;urls&gt;&lt;/urls&gt;&lt;/record&gt;&lt;/Cite&gt;&lt;/EndNote&gt;</w:instrText>
      </w:r>
      <w:r>
        <w:rPr>
          <w:b/>
          <w:bCs/>
          <w:color w:val="auto"/>
          <w:u w:val="single"/>
          <w:lang w:val="en-US"/>
        </w:rPr>
        <w:fldChar w:fldCharType="separate"/>
      </w:r>
      <w:r>
        <w:rPr>
          <w:rFonts w:ascii="Times New Roman" w:hAnsi="Times New Roman" w:eastAsia="SimSun" w:cs="Times New Roman"/>
          <w:b/>
          <w:bCs/>
          <w:color w:val="auto"/>
          <w:kern w:val="0"/>
          <w:sz w:val="24"/>
          <w:szCs w:val="24"/>
          <w:u w:val="single"/>
          <w:lang w:val="en-US" w:eastAsia="zh-CN" w:bidi="ar"/>
        </w:rPr>
        <w:t>Pesaran (2004)</w:t>
      </w:r>
      <w:r>
        <w:rPr>
          <w:b/>
          <w:bCs/>
          <w:color w:val="auto"/>
          <w:u w:val="single"/>
          <w:lang w:val="en-US"/>
        </w:rPr>
        <w:fldChar w:fldCharType="end"/>
      </w:r>
      <w:r>
        <w:rPr>
          <w:b/>
          <w:bCs/>
          <w:u w:val="single"/>
        </w:rPr>
        <w:t xml:space="preserve"> is as follows:</w:t>
      </w:r>
    </w:p>
    <w:p w14:paraId="1B60A9FF">
      <w:pPr>
        <w:spacing w:before="100" w:beforeAutospacing="1" w:after="100" w:afterAutospacing="1" w:line="240" w:lineRule="auto"/>
        <w:jc w:val="both"/>
        <w:rPr>
          <w:rFonts w:ascii="Times New Roman" w:hAnsi="Times New Roman" w:cs="Times New Roman" w:eastAsiaTheme="minorEastAsia"/>
          <w:b/>
          <w:bCs/>
          <w:sz w:val="24"/>
          <w:szCs w:val="24"/>
        </w:rPr>
      </w:pPr>
      <w:r>
        <w:rPr>
          <w:rFonts w:ascii="Times New Roman" w:hAnsi="Times New Roman" w:cs="Times New Roman"/>
          <w:sz w:val="24"/>
          <w:szCs w:val="24"/>
        </w:rPr>
        <w:t xml:space="preserve">            </w:t>
      </w:r>
      <w:r>
        <w:rPr>
          <w:rFonts w:hint="default" w:ascii="Times New Roman" w:hAnsi="Times New Roman" w:cs="Times New Roman"/>
          <w:sz w:val="24"/>
          <w:szCs w:val="24"/>
        </w:rPr>
        <w:t xml:space="preserve">      CD = </w:t>
      </w:r>
      <m:oMath>
        <m:r>
          <m:rPr>
            <m:nor/>
            <m:sty m:val="b"/>
          </m:rPr>
          <w:rPr>
            <w:rFonts w:hint="default" w:ascii="Cambria Math" w:hAnsi="Cambria Math" w:cs="Times New Roman"/>
            <w:b/>
            <w:i w:val="0"/>
            <w:sz w:val="24"/>
            <w:szCs w:val="24"/>
          </w:rPr>
          <m:t xml:space="preserve">  </m:t>
        </m:r>
        <m:f>
          <m:fPr>
            <m:ctrlPr>
              <w:rPr>
                <w:rFonts w:hint="default" w:ascii="Cambria Math" w:hAnsi="Cambria Math" w:cs="Times New Roman"/>
                <w:b/>
                <w:bCs/>
                <w:i/>
                <w:sz w:val="24"/>
                <w:szCs w:val="24"/>
              </w:rPr>
            </m:ctrlPr>
          </m:fPr>
          <m:num>
            <m:rad>
              <m:radPr>
                <m:degHide m:val="1"/>
                <m:ctrlPr>
                  <w:rPr>
                    <w:rFonts w:hint="default" w:ascii="Cambria Math" w:hAnsi="Cambria Math" w:cs="Times New Roman"/>
                    <w:b/>
                    <w:bCs/>
                    <w:i/>
                    <w:sz w:val="24"/>
                    <w:szCs w:val="24"/>
                  </w:rPr>
                </m:ctrlPr>
              </m:radPr>
              <m:deg>
                <m:ctrlPr>
                  <w:rPr>
                    <w:rFonts w:hint="default" w:ascii="Cambria Math" w:hAnsi="Cambria Math" w:cs="Times New Roman"/>
                    <w:b/>
                    <w:bCs/>
                    <w:i/>
                    <w:sz w:val="24"/>
                    <w:szCs w:val="24"/>
                  </w:rPr>
                </m:ctrlPr>
              </m:deg>
              <m:e>
                <m:r>
                  <m:rPr>
                    <m:nor/>
                    <m:sty m:val="b"/>
                  </m:rPr>
                  <w:rPr>
                    <w:rFonts w:hint="default" w:ascii="Cambria Math" w:hAnsi="Cambria Math" w:cs="Times New Roman"/>
                    <w:b/>
                    <w:i w:val="0"/>
                    <w:sz w:val="24"/>
                    <w:szCs w:val="24"/>
                  </w:rPr>
                  <m:t>2</m:t>
                </m:r>
                <m:r>
                  <m:rPr>
                    <m:nor/>
                    <m:sty m:val="bi"/>
                  </m:rPr>
                  <w:rPr>
                    <w:rFonts w:hint="default" w:ascii="Cambria Math" w:hAnsi="Cambria Math" w:cs="Times New Roman"/>
                    <w:b/>
                    <w:i/>
                    <w:sz w:val="24"/>
                    <w:szCs w:val="24"/>
                  </w:rPr>
                  <m:t>T</m:t>
                </m:r>
                <m:ctrlPr>
                  <w:rPr>
                    <w:rFonts w:hint="default" w:ascii="Cambria Math" w:hAnsi="Cambria Math" w:cs="Times New Roman"/>
                    <w:b/>
                    <w:bCs/>
                    <w:i/>
                    <w:sz w:val="24"/>
                    <w:szCs w:val="24"/>
                  </w:rPr>
                </m:ctrlPr>
              </m:e>
            </m:rad>
            <m:ctrlPr>
              <w:rPr>
                <w:rFonts w:hint="default" w:ascii="Cambria Math" w:hAnsi="Cambria Math" w:cs="Times New Roman"/>
                <w:b/>
                <w:bCs/>
                <w:i/>
                <w:sz w:val="24"/>
                <w:szCs w:val="24"/>
              </w:rPr>
            </m:ctrlPr>
          </m:num>
          <m:den>
            <m:r>
              <m:rPr>
                <m:nor/>
                <m:sty m:val="bi"/>
              </m:rPr>
              <w:rPr>
                <w:rFonts w:hint="default" w:ascii="Cambria Math" w:hAnsi="Cambria Math" w:cs="Times New Roman"/>
                <w:b/>
                <w:i/>
                <w:sz w:val="24"/>
                <w:szCs w:val="24"/>
              </w:rPr>
              <m:t>N</m:t>
            </m:r>
            <m:d>
              <m:dPr>
                <m:ctrlPr>
                  <w:rPr>
                    <w:rFonts w:hint="default" w:ascii="Cambria Math" w:hAnsi="Cambria Math" w:cs="Times New Roman"/>
                    <w:b/>
                    <w:i/>
                    <w:sz w:val="24"/>
                    <w:szCs w:val="24"/>
                  </w:rPr>
                </m:ctrlPr>
              </m:dPr>
              <m:e>
                <m:r>
                  <m:rPr>
                    <m:nor/>
                    <m:sty m:val="bi"/>
                  </m:rPr>
                  <w:rPr>
                    <w:rFonts w:hint="default" w:ascii="Cambria Math" w:hAnsi="Cambria Math" w:cs="Times New Roman"/>
                    <w:b/>
                    <w:i/>
                    <w:sz w:val="24"/>
                    <w:szCs w:val="24"/>
                  </w:rPr>
                  <m:t>N</m:t>
                </m:r>
                <m:r>
                  <m:rPr>
                    <m:nor/>
                    <m:sty m:val="b"/>
                  </m:rPr>
                  <w:rPr>
                    <w:rFonts w:hint="default" w:ascii="Cambria Math" w:hAnsi="Cambria Math" w:cs="Times New Roman"/>
                    <w:b/>
                    <w:i w:val="0"/>
                    <w:sz w:val="24"/>
                    <w:szCs w:val="24"/>
                  </w:rPr>
                  <m:t>−1</m:t>
                </m:r>
                <m:ctrlPr>
                  <w:rPr>
                    <w:rFonts w:hint="default" w:ascii="Cambria Math" w:hAnsi="Cambria Math" w:cs="Times New Roman"/>
                    <w:b/>
                    <w:i/>
                    <w:sz w:val="24"/>
                    <w:szCs w:val="24"/>
                  </w:rPr>
                </m:ctrlPr>
              </m:e>
            </m:d>
            <m:ctrlPr>
              <w:rPr>
                <w:rFonts w:hint="default" w:ascii="Cambria Math" w:hAnsi="Cambria Math" w:cs="Times New Roman"/>
                <w:b/>
                <w:bCs/>
                <w:i/>
                <w:sz w:val="24"/>
                <w:szCs w:val="24"/>
              </w:rPr>
            </m:ctrlPr>
          </m:den>
        </m:f>
        <m:nary>
          <m:naryPr>
            <m:chr m:val="∑"/>
            <m:limLoc m:val="undOvr"/>
            <m:ctrlPr>
              <w:rPr>
                <w:rFonts w:hint="default" w:ascii="Cambria Math" w:hAnsi="Cambria Math" w:cs="Times New Roman"/>
                <w:b/>
                <w:bCs/>
                <w:i/>
                <w:sz w:val="24"/>
                <w:szCs w:val="24"/>
              </w:rPr>
            </m:ctrlPr>
          </m:naryPr>
          <m:sub>
            <m:r>
              <m:rPr>
                <m:nor/>
                <m:sty m:val="bi"/>
              </m:rPr>
              <w:rPr>
                <w:rFonts w:hint="default" w:ascii="Cambria Math" w:hAnsi="Cambria Math" w:cs="Times New Roman"/>
                <w:b/>
                <w:i/>
                <w:sz w:val="24"/>
                <w:szCs w:val="24"/>
              </w:rPr>
              <m:t>i</m:t>
            </m:r>
            <m:r>
              <m:rPr>
                <m:nor/>
                <m:sty m:val="b"/>
              </m:rPr>
              <w:rPr>
                <w:rFonts w:hint="default" w:ascii="Cambria Math" w:hAnsi="Cambria Math" w:cs="Times New Roman"/>
                <w:b/>
                <w:i w:val="0"/>
                <w:sz w:val="24"/>
                <w:szCs w:val="24"/>
              </w:rPr>
              <m:t>=1</m:t>
            </m:r>
            <m:ctrlPr>
              <w:rPr>
                <w:rFonts w:hint="default" w:ascii="Cambria Math" w:hAnsi="Cambria Math" w:cs="Times New Roman"/>
                <w:b/>
                <w:bCs/>
                <w:i/>
                <w:sz w:val="24"/>
                <w:szCs w:val="24"/>
              </w:rPr>
            </m:ctrlPr>
          </m:sub>
          <m:sup>
            <m:r>
              <m:rPr>
                <m:nor/>
                <m:sty m:val="bi"/>
              </m:rPr>
              <w:rPr>
                <w:rFonts w:hint="default" w:ascii="Cambria Math" w:hAnsi="Cambria Math" w:cs="Times New Roman"/>
                <w:b/>
                <w:i/>
                <w:sz w:val="24"/>
                <w:szCs w:val="24"/>
              </w:rPr>
              <m:t>N</m:t>
            </m:r>
            <m:r>
              <m:rPr>
                <m:nor/>
                <m:sty m:val="b"/>
              </m:rPr>
              <w:rPr>
                <w:rFonts w:hint="default" w:ascii="Cambria Math" w:hAnsi="Cambria Math" w:cs="Times New Roman"/>
                <w:b/>
                <w:i w:val="0"/>
                <w:sz w:val="24"/>
                <w:szCs w:val="24"/>
              </w:rPr>
              <m:t>−1</m:t>
            </m:r>
            <m:ctrlPr>
              <w:rPr>
                <w:rFonts w:hint="default" w:ascii="Cambria Math" w:hAnsi="Cambria Math" w:cs="Times New Roman"/>
                <w:b/>
                <w:bCs/>
                <w:i/>
                <w:sz w:val="24"/>
                <w:szCs w:val="24"/>
              </w:rPr>
            </m:ctrlPr>
          </m:sup>
          <m:e>
            <m:nary>
              <m:naryPr>
                <m:chr m:val="∑"/>
                <m:limLoc m:val="undOvr"/>
                <m:ctrlPr>
                  <w:rPr>
                    <w:rFonts w:hint="default" w:ascii="Cambria Math" w:hAnsi="Cambria Math" w:cs="Times New Roman"/>
                    <w:b/>
                    <w:bCs/>
                    <w:i/>
                    <w:sz w:val="24"/>
                    <w:szCs w:val="24"/>
                  </w:rPr>
                </m:ctrlPr>
              </m:naryPr>
              <m:sub>
                <m:r>
                  <m:rPr>
                    <m:nor/>
                    <m:sty m:val="bi"/>
                  </m:rPr>
                  <w:rPr>
                    <w:rFonts w:hint="default" w:ascii="Cambria Math" w:hAnsi="Cambria Math" w:cs="Times New Roman"/>
                    <w:b/>
                    <w:i/>
                    <w:sz w:val="24"/>
                    <w:szCs w:val="24"/>
                  </w:rPr>
                  <m:t>j</m:t>
                </m:r>
                <m:r>
                  <m:rPr>
                    <m:nor/>
                    <m:sty m:val="b"/>
                  </m:rPr>
                  <w:rPr>
                    <w:rFonts w:hint="default" w:ascii="Cambria Math" w:hAnsi="Cambria Math" w:cs="Times New Roman"/>
                    <w:b/>
                    <w:i w:val="0"/>
                    <w:sz w:val="24"/>
                    <w:szCs w:val="24"/>
                  </w:rPr>
                  <m:t>=</m:t>
                </m:r>
                <m:r>
                  <m:rPr>
                    <m:nor/>
                    <m:sty m:val="bi"/>
                  </m:rPr>
                  <w:rPr>
                    <w:rFonts w:hint="default" w:ascii="Cambria Math" w:hAnsi="Cambria Math" w:cs="Times New Roman"/>
                    <w:b/>
                    <w:i/>
                    <w:sz w:val="24"/>
                    <w:szCs w:val="24"/>
                  </w:rPr>
                  <m:t>i</m:t>
                </m:r>
                <m:r>
                  <m:rPr>
                    <m:nor/>
                    <m:sty m:val="b"/>
                  </m:rPr>
                  <w:rPr>
                    <w:rFonts w:hint="default" w:ascii="Cambria Math" w:hAnsi="Cambria Math" w:cs="Times New Roman"/>
                    <w:b/>
                    <w:i w:val="0"/>
                    <w:sz w:val="24"/>
                    <w:szCs w:val="24"/>
                  </w:rPr>
                  <m:t>+1</m:t>
                </m:r>
                <m:ctrlPr>
                  <w:rPr>
                    <w:rFonts w:hint="default" w:ascii="Cambria Math" w:hAnsi="Cambria Math" w:cs="Times New Roman"/>
                    <w:b/>
                    <w:bCs/>
                    <w:i/>
                    <w:sz w:val="24"/>
                    <w:szCs w:val="24"/>
                  </w:rPr>
                </m:ctrlPr>
              </m:sub>
              <m:sup>
                <m:r>
                  <m:rPr>
                    <m:nor/>
                    <m:sty m:val="bi"/>
                  </m:rPr>
                  <w:rPr>
                    <w:rFonts w:hint="default" w:ascii="Cambria Math" w:hAnsi="Cambria Math" w:cs="Times New Roman"/>
                    <w:b/>
                    <w:i/>
                    <w:sz w:val="24"/>
                    <w:szCs w:val="24"/>
                  </w:rPr>
                  <m:t>N</m:t>
                </m:r>
                <m:ctrlPr>
                  <w:rPr>
                    <w:rFonts w:hint="default" w:ascii="Cambria Math" w:hAnsi="Cambria Math" w:cs="Times New Roman"/>
                    <w:b/>
                    <w:bCs/>
                    <w:i/>
                    <w:sz w:val="24"/>
                    <w:szCs w:val="24"/>
                  </w:rPr>
                </m:ctrlPr>
              </m:sup>
              <m:e>
                <m:acc>
                  <m:accPr>
                    <m:ctrlPr>
                      <w:rPr>
                        <w:rFonts w:hint="default" w:ascii="Cambria Math" w:hAnsi="Cambria Math" w:cs="Times New Roman"/>
                        <w:b/>
                        <w:bCs/>
                        <w:i/>
                        <w:sz w:val="24"/>
                        <w:szCs w:val="24"/>
                      </w:rPr>
                    </m:ctrlPr>
                  </m:accPr>
                  <m:e>
                    <m:r>
                      <m:rPr>
                        <m:nor/>
                        <m:sty m:val="bi"/>
                      </m:rPr>
                      <w:rPr>
                        <w:rFonts w:hint="default" w:ascii="Cambria Math" w:hAnsi="Cambria Math" w:cs="Times New Roman"/>
                        <w:b/>
                        <w:i/>
                        <w:sz w:val="24"/>
                        <w:szCs w:val="24"/>
                      </w:rPr>
                      <m:t>ρ</m:t>
                    </m:r>
                    <m:r>
                      <m:rPr>
                        <m:nor/>
                        <m:sty m:val="b"/>
                      </m:rPr>
                      <w:rPr>
                        <w:rFonts w:hint="default" w:ascii="Cambria Math" w:hAnsi="Cambria Math" w:cs="Times New Roman"/>
                        <w:b/>
                        <w:i w:val="0"/>
                        <w:sz w:val="24"/>
                        <w:szCs w:val="24"/>
                      </w:rPr>
                      <m:t xml:space="preserve"> </m:t>
                    </m:r>
                    <m:ctrlPr>
                      <w:rPr>
                        <w:rFonts w:hint="default" w:ascii="Cambria Math" w:hAnsi="Cambria Math" w:cs="Times New Roman"/>
                        <w:b/>
                        <w:bCs/>
                        <w:i/>
                        <w:sz w:val="24"/>
                        <w:szCs w:val="24"/>
                      </w:rPr>
                    </m:ctrlPr>
                  </m:e>
                </m:acc>
                <m:ctrlPr>
                  <w:rPr>
                    <w:rFonts w:hint="default" w:ascii="Cambria Math" w:hAnsi="Cambria Math" w:cs="Times New Roman"/>
                    <w:b/>
                    <w:bCs/>
                    <w:i/>
                    <w:sz w:val="24"/>
                    <w:szCs w:val="24"/>
                  </w:rPr>
                </m:ctrlPr>
              </m:e>
            </m:nary>
            <m:ctrlPr>
              <w:rPr>
                <w:rFonts w:hint="default" w:ascii="Cambria Math" w:hAnsi="Cambria Math" w:cs="Times New Roman"/>
                <w:b/>
                <w:bCs/>
                <w:i/>
                <w:sz w:val="24"/>
                <w:szCs w:val="24"/>
              </w:rPr>
            </m:ctrlPr>
          </m:e>
        </m:nary>
        <m:r>
          <m:rPr>
            <m:nor/>
            <m:sty m:val="bi"/>
          </m:rPr>
          <w:rPr>
            <w:rFonts w:hint="default" w:ascii="Cambria Math" w:hAnsi="Cambria Math" w:cs="Times New Roman"/>
            <w:b/>
            <w:i/>
            <w:sz w:val="24"/>
            <w:szCs w:val="24"/>
          </w:rPr>
          <m:t>ij</m:t>
        </m:r>
        <m:r>
          <m:rPr>
            <m:nor/>
            <m:sty m:val="b"/>
          </m:rPr>
          <w:rPr>
            <w:rFonts w:hint="default" w:ascii="Cambria Math" w:hAnsi="Cambria Math" w:cs="Times New Roman"/>
            <w:b/>
            <w:i w:val="0"/>
            <w:sz w:val="24"/>
            <w:szCs w:val="24"/>
          </w:rPr>
          <m:t xml:space="preserve"> </m:t>
        </m:r>
      </m:oMath>
      <w:r>
        <w:rPr>
          <w:rFonts w:hint="default" w:ascii="Times New Roman" w:hAnsi="Times New Roman" w:cs="Times New Roman" w:eastAsiaTheme="minorEastAsia"/>
          <w:b/>
          <w:bCs/>
          <w:sz w:val="24"/>
          <w:szCs w:val="24"/>
        </w:rPr>
        <w:t xml:space="preserve">          </w:t>
      </w:r>
      <w:r>
        <w:rPr>
          <w:rFonts w:hint="default" w:ascii="Times New Roman" w:hAnsi="Times New Roman" w:cs="Times New Roman" w:eastAsiaTheme="minorEastAsia"/>
          <w:b/>
          <w:bCs/>
          <w:sz w:val="24"/>
          <w:szCs w:val="24"/>
          <w:lang w:val="en-US"/>
        </w:rPr>
        <w:t xml:space="preserve">                                      </w:t>
      </w:r>
      <w:r>
        <w:rPr>
          <w:rFonts w:hint="default" w:ascii="Times New Roman" w:hAnsi="Times New Roman" w:cs="Times New Roman" w:eastAsiaTheme="minorEastAsia"/>
          <w:b/>
          <w:bCs/>
          <w:sz w:val="24"/>
          <w:szCs w:val="24"/>
        </w:rPr>
        <w:t xml:space="preserve">   (1</w:t>
      </w:r>
      <w:r>
        <w:rPr>
          <w:rFonts w:ascii="Times New Roman" w:hAnsi="Times New Roman" w:cs="Times New Roman" w:eastAsiaTheme="minorEastAsia"/>
          <w:b/>
          <w:bCs/>
          <w:sz w:val="24"/>
          <w:szCs w:val="24"/>
        </w:rPr>
        <w:t>)</w:t>
      </w:r>
    </w:p>
    <w:p w14:paraId="7D9CD340">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where:</w:t>
      </w:r>
    </w:p>
    <w:p w14:paraId="04613637">
      <w:pPr>
        <w:numPr>
          <w:ilvl w:val="0"/>
          <w:numId w:val="25"/>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 is the number of cross-sectional units,</w:t>
      </w:r>
    </w:p>
    <w:p w14:paraId="3DECCAAD">
      <w:pPr>
        <w:numPr>
          <w:ilvl w:val="0"/>
          <w:numId w:val="25"/>
        </w:numPr>
        <w:spacing w:before="100" w:beforeAutospacing="1" w:after="100" w:afterAutospacing="1" w:line="240" w:lineRule="auto"/>
        <w:jc w:val="both"/>
        <w:rPr>
          <w:rFonts w:hint="default" w:ascii="Times New Roman" w:hAnsi="Times New Roman"/>
          <w:sz w:val="24"/>
          <w:szCs w:val="24"/>
        </w:rPr>
      </w:pPr>
      <w:r>
        <w:rPr>
          <w:rFonts w:ascii="Times New Roman" w:hAnsi="Times New Roman" w:eastAsia="Times New Roman" w:cs="Times New Roman"/>
          <w:sz w:val="24"/>
          <w:szCs w:val="24"/>
        </w:rPr>
        <w:t>T is the number of time periods,</w:t>
      </w:r>
    </w:p>
    <w:p w14:paraId="163D3437">
      <w:pPr>
        <w:numPr>
          <w:ilvl w:val="0"/>
          <w:numId w:val="25"/>
        </w:numPr>
        <w:spacing w:before="100" w:beforeAutospacing="1" w:after="100" w:afterAutospacing="1" w:line="240" w:lineRule="auto"/>
        <w:jc w:val="both"/>
        <w:rPr>
          <w:rFonts w:hint="default" w:ascii="Times New Roman" w:hAnsi="Times New Roman"/>
          <w:sz w:val="24"/>
          <w:szCs w:val="24"/>
        </w:rPr>
      </w:pPr>
      <m:oMath>
        <m:acc>
          <m:accPr>
            <m:ctrlPr>
              <w:rPr>
                <w:rFonts w:ascii="Cambria Math" w:hAnsi="Cambria Math" w:eastAsia="Times New Roman" w:cs="Times New Roman"/>
                <w:i/>
                <w:sz w:val="24"/>
                <w:szCs w:val="24"/>
              </w:rPr>
            </m:ctrlPr>
          </m:accPr>
          <m:e>
            <m:r>
              <m:rPr/>
              <w:rPr>
                <w:rFonts w:ascii="Cambria Math" w:hAnsi="Cambria Math" w:eastAsia="Times New Roman" w:cs="Times New Roman"/>
                <w:sz w:val="24"/>
                <w:szCs w:val="24"/>
              </w:rPr>
              <m:t>ρ</m:t>
            </m:r>
            <m:ctrlPr>
              <w:rPr>
                <w:rFonts w:ascii="Cambria Math" w:hAnsi="Cambria Math" w:eastAsia="Times New Roman" w:cs="Times New Roman"/>
                <w:i/>
                <w:sz w:val="24"/>
                <w:szCs w:val="24"/>
              </w:rPr>
            </m:ctrlPr>
          </m:e>
        </m:acc>
      </m:oMath>
      <w:r>
        <w:rPr>
          <w:rFonts w:ascii="Times New Roman" w:hAnsi="Times New Roman" w:eastAsia="Times New Roman" w:cs="Times New Roman"/>
          <w:sz w:val="24"/>
          <w:szCs w:val="24"/>
        </w:rPr>
        <w:t>ij  is the pairwise correlation coefficient of the residuals</w:t>
      </w:r>
    </w:p>
    <w:p w14:paraId="7CB5825D">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test statistic is some normalization of this average correlation that when the null hypothesis of no cross-sectional dependence is true, its distribution becomes a standard normal distribution. The significant test statistic gives evidence that null hypothesis may not hold with respect to the question that residuals are not correlated across units and this may results to biased or inefficient estimates unless well incorporated with the method of correcting. </w:t>
      </w:r>
    </w:p>
    <w:p w14:paraId="7B496CB4">
      <w:pPr>
        <w:jc w:val="both"/>
        <w:rPr>
          <w:rFonts w:hint="default" w:ascii="Times New Roman" w:hAnsi="Times New Roman"/>
          <w:sz w:val="24"/>
          <w:szCs w:val="24"/>
        </w:rPr>
      </w:pPr>
      <w:r>
        <w:rPr>
          <w:rFonts w:hint="default" w:ascii="Times New Roman" w:hAnsi="Times New Roman" w:cs="Times New Roman"/>
          <w:sz w:val="24"/>
          <w:szCs w:val="24"/>
        </w:rPr>
        <w:t>The CD test has special applications in large panel and assists in making econometric inference solid in panel data analysis</w:t>
      </w:r>
      <w:r>
        <w:rPr>
          <w:rFonts w:hint="default"/>
        </w:rPr>
        <w:t>.</w:t>
      </w:r>
      <w:r>
        <w:rPr>
          <w:rFonts w:hint="default" w:ascii="Times New Roman" w:hAnsi="Times New Roman"/>
          <w:sz w:val="24"/>
          <w:szCs w:val="24"/>
        </w:rPr>
        <w:t xml:space="preserve">The neglecting of cross-sectional dependence creates false statistical inferences, misleading estimations of coefficients and ineffective standard errors. Cross-sectional correlations are often high in many macroeconomic and financial panel data sets since such data sets are likely to share some common economic environments or even policy interactions. CD test is used to identify as to whether the dependence needs correction prior to panel data estimations. When CD is observed it implies that </w:t>
      </w:r>
      <w:r>
        <w:rPr>
          <w:rFonts w:hint="default" w:ascii="Times New Roman" w:hAnsi="Times New Roman"/>
          <w:sz w:val="24"/>
          <w:szCs w:val="24"/>
          <w:lang w:val="en-US"/>
        </w:rPr>
        <w:t>interdependence</w:t>
      </w:r>
      <w:r>
        <w:rPr>
          <w:rFonts w:hint="default" w:ascii="Times New Roman" w:hAnsi="Times New Roman"/>
          <w:sz w:val="24"/>
          <w:szCs w:val="24"/>
        </w:rPr>
        <w:t xml:space="preserve"> should be considered and methodologies as the Common Correlated Effects (CCE) estimator or the Spatial Econometric techniques should be used.</w:t>
      </w:r>
    </w:p>
    <w:p w14:paraId="7BAB8767">
      <w:pPr>
        <w:jc w:val="both"/>
        <w:rPr>
          <w:rFonts w:hint="default" w:ascii="Times New Roman" w:hAnsi="Times New Roman"/>
          <w:sz w:val="24"/>
          <w:szCs w:val="24"/>
        </w:rPr>
      </w:pPr>
      <w:r>
        <w:rPr>
          <w:rFonts w:hint="default" w:ascii="Times New Roman" w:hAnsi="Times New Roman"/>
          <w:sz w:val="24"/>
          <w:szCs w:val="24"/>
        </w:rPr>
        <w:t>Handles Bias of Panel Models: Most classic econometric estimators postulate the independence of the cross-sectional units but practically the macro-economic, financial or regional data is usually dependent. This should not be ignored so that it can give biased estimates. More Powerful than Traditional Tests: The tests of Juodis and Reese are more powerful than earlier tests (such as Pesaran, CD test), to declare a bigger panel with cross-sectional dependencies. Applicable to Large Panel Data Models In large cross-section small time scenarios, a typical problem of applied economics it is valid. Assists in Model Selection: Before moving on with other tests, it is important to establish the presence of cross sectional dependence and hence proper econometric methods should be utilized.</w:t>
      </w:r>
    </w:p>
    <w:p w14:paraId="689D7988">
      <w:pPr>
        <w:jc w:val="both"/>
        <w:rPr>
          <w:rFonts w:hint="default" w:ascii="Times New Roman" w:hAnsi="Times New Roman"/>
          <w:sz w:val="24"/>
          <w:szCs w:val="24"/>
        </w:rPr>
      </w:pPr>
    </w:p>
    <w:p w14:paraId="3FA4D4E1">
      <w:pPr>
        <w:pStyle w:val="3"/>
        <w:numPr>
          <w:ilvl w:val="0"/>
          <w:numId w:val="26"/>
        </w:numPr>
        <w:ind w:left="360" w:leftChars="0" w:firstLineChars="0"/>
        <w:rPr>
          <w:rFonts w:hint="default" w:ascii="Times New Roman" w:hAnsi="Times New Roman" w:cs="Times New Roman"/>
          <w:sz w:val="24"/>
          <w:szCs w:val="24"/>
        </w:rPr>
      </w:pPr>
      <w:bookmarkStart w:id="83" w:name="_Toc30942"/>
      <w:bookmarkStart w:id="84" w:name="_Toc29549"/>
      <w:r>
        <w:rPr>
          <w:rFonts w:hint="default" w:ascii="Times New Roman" w:hAnsi="Times New Roman" w:eastAsia="Times New Roman" w:cs="Times New Roman"/>
          <w:sz w:val="24"/>
          <w:szCs w:val="24"/>
        </w:rPr>
        <w:t>Phase 2: Slope of Heterogeneity (SH) Test</w:t>
      </w:r>
      <w:bookmarkEnd w:id="83"/>
      <w:bookmarkEnd w:id="84"/>
      <w:r>
        <w:rPr>
          <w:rFonts w:hint="default" w:ascii="Times New Roman" w:hAnsi="Times New Roman" w:eastAsia="Times New Roman" w:cs="Times New Roman"/>
          <w:sz w:val="24"/>
          <w:szCs w:val="24"/>
        </w:rPr>
        <w:t xml:space="preserve"> </w:t>
      </w:r>
    </w:p>
    <w:p w14:paraId="1122C96A">
      <w:pPr>
        <w:rPr>
          <w:rFonts w:hint="default"/>
        </w:rPr>
      </w:pPr>
    </w:p>
    <w:p w14:paraId="7F963A9B">
      <w:pPr>
        <w:ind w:firstLine="480" w:firstLineChars="200"/>
        <w:jc w:val="both"/>
        <w:rPr>
          <w:rFonts w:hint="default" w:ascii="Times New Roman" w:hAnsi="Times New Roman"/>
          <w:sz w:val="24"/>
          <w:szCs w:val="24"/>
        </w:rPr>
      </w:pPr>
      <w:r>
        <w:rPr>
          <w:rFonts w:hint="default" w:ascii="Times New Roman" w:hAnsi="Times New Roman"/>
          <w:sz w:val="24"/>
          <w:szCs w:val="24"/>
        </w:rPr>
        <w:t xml:space="preserve">Slope heterogeneity: a situation in which regression coefficients are allowed to vary over cross-sectional unit in a panel data. Conventional techniques usually imply homogeneity, i.e. that an estimate of one coefficient will be used across units. Such an assumption may be too restrictive in practice since economic relations often vary between countries, firms or geographic regions. SH test proposed by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AuthorYear="1"&gt;&lt;Author&gt;Bersvendsen&lt;/Author&gt;&lt;Year&gt;2021&lt;/Year&gt;&lt;RecNum&gt;126&lt;/RecNum&gt;&lt;DisplayText&gt;Bersvendsen and Ditzen (2021)&lt;/DisplayText&gt;&lt;record&gt;&lt;rec-number&gt;126&lt;/rec-number&gt;&lt;foreign-keys&gt;&lt;key app="EN" db-id="2t52ftddjzwsxoerapx5vrxm2fdzpaza5sva" timestamp="1752864351"&gt;126&lt;/key&gt;&lt;/foreign-keys&gt;&lt;ref-type name="Journal Article"&gt;17&lt;/ref-type&gt;&lt;contributors&gt;&lt;authors&gt;&lt;author&gt;Bersvendsen, Tore&lt;/author&gt;&lt;author&gt;Ditzen, Jan&lt;/author&gt;&lt;/authors&gt;&lt;/contributors&gt;&lt;titles&gt;&lt;title&gt;Testing for slope heterogeneity in Stata&lt;/title&gt;&lt;secondary-title&gt;The Stata Journal&lt;/secondary-title&gt;&lt;/titles&gt;&lt;periodical&gt;&lt;full-title&gt;The Stata Journal&lt;/full-title&gt;&lt;/periodical&gt;&lt;pages&gt;51-80&lt;/pages&gt;&lt;volume&gt;21&lt;/volume&gt;&lt;number&gt;1&lt;/number&gt;&lt;dates&gt;&lt;year&gt;2021&lt;/year&gt;&lt;/dates&gt;&lt;isbn&gt;1536-867X&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Bersvendsen and Ditzen (2021)</w:t>
      </w:r>
      <w:r>
        <w:rPr>
          <w:rFonts w:hint="default" w:ascii="Times New Roman" w:hAnsi="Times New Roman"/>
          <w:sz w:val="24"/>
          <w:szCs w:val="24"/>
          <w:lang w:val="en-US"/>
        </w:rPr>
        <w:fldChar w:fldCharType="end"/>
      </w:r>
      <w:r>
        <w:rPr>
          <w:rFonts w:hint="default" w:ascii="Times New Roman" w:hAnsi="Times New Roman"/>
          <w:sz w:val="24"/>
          <w:szCs w:val="24"/>
        </w:rPr>
        <w:t xml:space="preserve"> identifies the presence of heterogeneity in the slopes within the panel to enable the researchers to know which model (pooled or heterogeneous need to be applied). In facilitating variance within relationships, this test goes further in explaining structural differences between the units.</w:t>
      </w:r>
    </w:p>
    <w:p w14:paraId="5298371D">
      <w:pPr>
        <w:pStyle w:val="12"/>
        <w:jc w:val="both"/>
        <w:rPr>
          <w:rStyle w:val="23"/>
          <w:b/>
          <w:bCs/>
          <w:u w:val="single"/>
        </w:rPr>
      </w:pPr>
      <w:r>
        <w:rPr>
          <w:rStyle w:val="23"/>
          <w:b/>
          <w:bCs/>
          <w:u w:val="single"/>
          <w:vertAlign w:val="superscript"/>
        </w:rPr>
        <w:t>​</w:t>
      </w:r>
      <w:r>
        <w:rPr>
          <w:b/>
          <w:bCs/>
          <w:u w:val="single"/>
        </w:rPr>
        <w:t xml:space="preserve"> Equation for </w:t>
      </w:r>
      <w:r>
        <w:rPr>
          <w:b/>
          <w:bCs/>
          <w:color w:val="auto"/>
          <w:u w:val="single"/>
          <w:lang w:val="en-US"/>
        </w:rPr>
        <w:fldChar w:fldCharType="begin"/>
      </w:r>
      <w:r>
        <w:rPr>
          <w:b/>
          <w:bCs/>
          <w:color w:val="auto"/>
          <w:u w:val="single"/>
          <w:lang w:val="en-US"/>
        </w:rPr>
        <w:instrText xml:space="preserve"> ADDIN EN.CITE &lt;EndNote&gt;&lt;Cite AuthorYear="1"&gt;&lt;Author&gt;Bersvendsen&lt;/Author&gt;&lt;Year&gt;2021&lt;/Year&gt;&lt;RecNum&gt;126&lt;/RecNum&gt;&lt;DisplayText&gt;Bersvendsen and Ditzen (2021)&lt;/DisplayText&gt;&lt;record&gt;&lt;rec-number&gt;126&lt;/rec-number&gt;&lt;foreign-keys&gt;&lt;key app="EN" db-id="2t52ftddjzwsxoerapx5vrxm2fdzpaza5sva" timestamp="1752864351"&gt;126&lt;/key&gt;&lt;/foreign-keys&gt;&lt;ref-type name="Journal Article"&gt;17&lt;/ref-type&gt;&lt;contributors&gt;&lt;authors&gt;&lt;author&gt;Bersvendsen, Tore&lt;/author&gt;&lt;author&gt;Ditzen, Jan&lt;/author&gt;&lt;/authors&gt;&lt;/contributors&gt;&lt;titles&gt;&lt;title&gt;Testing for slope heterogeneity in Stata&lt;/title&gt;&lt;secondary-title&gt;The Stata Journal&lt;/secondary-title&gt;&lt;/titles&gt;&lt;periodical&gt;&lt;full-title&gt;The Stata Journal&lt;/full-title&gt;&lt;/periodical&gt;&lt;pages&gt;51-80&lt;/pages&gt;&lt;volume&gt;21&lt;/volume&gt;&lt;number&gt;1&lt;/number&gt;&lt;dates&gt;&lt;year&gt;2021&lt;/year&gt;&lt;/dates&gt;&lt;isbn&gt;1536-867X&lt;/isbn&gt;&lt;urls&gt;&lt;/urls&gt;&lt;/record&gt;&lt;/Cite&gt;&lt;/EndNote&gt;</w:instrText>
      </w:r>
      <w:r>
        <w:rPr>
          <w:b/>
          <w:bCs/>
          <w:color w:val="auto"/>
          <w:u w:val="single"/>
          <w:lang w:val="en-US"/>
        </w:rPr>
        <w:fldChar w:fldCharType="separate"/>
      </w:r>
      <w:r>
        <w:rPr>
          <w:rFonts w:ascii="Times New Roman" w:hAnsi="Times New Roman" w:eastAsia="SimSun" w:cs="Times New Roman"/>
          <w:b/>
          <w:bCs/>
          <w:color w:val="auto"/>
          <w:kern w:val="0"/>
          <w:sz w:val="24"/>
          <w:szCs w:val="24"/>
          <w:u w:val="single"/>
          <w:lang w:val="en-US" w:eastAsia="zh-CN" w:bidi="ar"/>
        </w:rPr>
        <w:t>Bersvendsen and Ditzen (2021)</w:t>
      </w:r>
      <w:r>
        <w:rPr>
          <w:b/>
          <w:bCs/>
          <w:color w:val="auto"/>
          <w:u w:val="single"/>
          <w:lang w:val="en-US"/>
        </w:rPr>
        <w:fldChar w:fldCharType="end"/>
      </w:r>
      <w:r>
        <w:rPr>
          <w:b/>
          <w:bCs/>
          <w:color w:val="auto"/>
          <w:u w:val="single"/>
        </w:rPr>
        <w:t xml:space="preserve"> </w:t>
      </w:r>
      <w:r>
        <w:rPr>
          <w:b/>
          <w:bCs/>
          <w:u w:val="single"/>
        </w:rPr>
        <w:t xml:space="preserve">is as follows: </w:t>
      </w:r>
    </w:p>
    <w:p w14:paraId="3F95E1B3">
      <w:pPr>
        <w:spacing w:before="100" w:beforeAutospacing="1" w:after="100" w:afterAutospacing="1" w:line="240" w:lineRule="auto"/>
        <w:ind w:firstLine="480" w:firstLineChars="200"/>
        <w:jc w:val="both"/>
        <w:rPr>
          <w:rStyle w:val="24"/>
          <w:rFonts w:ascii="Times New Roman" w:hAnsi="Times New Roman" w:cs="Times New Roman" w:eastAsiaTheme="minorEastAsia"/>
          <w:b/>
          <w:bCs/>
          <w:iCs/>
          <w:sz w:val="24"/>
          <w:szCs w:val="24"/>
        </w:rPr>
      </w:pPr>
      <m:oMath>
        <m:r>
          <m:rPr>
            <m:sty m:val="p"/>
          </m:rPr>
          <w:rPr>
            <w:rStyle w:val="23"/>
            <w:rFonts w:hint="default" w:ascii="Cambria Math" w:hAnsi="Cambria Math" w:cs="Times New Roman"/>
            <w:sz w:val="24"/>
            <w:szCs w:val="24"/>
            <w:vertAlign w:val="superscript"/>
          </w:rPr>
          <m:t>∆β=</m:t>
        </m:r>
        <m:sSup>
          <m:sSupPr>
            <m:ctrlPr>
              <w:rPr>
                <w:rStyle w:val="24"/>
                <w:rFonts w:ascii="Cambria Math" w:hAnsi="Cambria Math" w:cs="Times New Roman"/>
                <w:b w:val="0"/>
                <w:bCs/>
                <w:iCs/>
                <w:sz w:val="24"/>
                <w:szCs w:val="24"/>
              </w:rPr>
            </m:ctrlPr>
          </m:sSupPr>
          <m:e>
            <m:d>
              <m:dPr>
                <m:ctrlPr>
                  <w:rPr>
                    <w:rStyle w:val="23"/>
                    <w:rFonts w:ascii="Cambria Math" w:hAnsi="Cambria Math" w:cs="Times New Roman"/>
                    <w:b w:val="0"/>
                    <w:bCs/>
                    <w:iCs/>
                    <w:sz w:val="24"/>
                    <w:szCs w:val="24"/>
                    <w:vertAlign w:val="superscript"/>
                  </w:rPr>
                </m:ctrlPr>
              </m:dPr>
              <m:e>
                <m:acc>
                  <m:accPr>
                    <m:ctrlPr>
                      <w:rPr>
                        <w:rStyle w:val="23"/>
                        <w:rFonts w:ascii="Cambria Math" w:hAnsi="Cambria Math" w:cs="Times New Roman"/>
                        <w:b w:val="0"/>
                        <w:bCs/>
                        <w:iCs/>
                        <w:sz w:val="24"/>
                        <w:szCs w:val="24"/>
                        <w:vertAlign w:val="superscript"/>
                      </w:rPr>
                    </m:ctrlPr>
                  </m:accPr>
                  <m:e>
                    <m:r>
                      <m:rPr>
                        <m:sty m:val="p"/>
                      </m:rPr>
                      <w:rPr>
                        <w:rStyle w:val="23"/>
                        <w:rFonts w:hint="default" w:ascii="Cambria Math" w:hAnsi="Cambria Math" w:cs="Times New Roman"/>
                        <w:sz w:val="24"/>
                        <w:szCs w:val="24"/>
                        <w:vertAlign w:val="superscript"/>
                      </w:rPr>
                      <m:t xml:space="preserve">β </m:t>
                    </m:r>
                    <m:ctrlPr>
                      <w:rPr>
                        <w:rStyle w:val="23"/>
                        <w:rFonts w:ascii="Cambria Math" w:hAnsi="Cambria Math" w:cs="Times New Roman"/>
                        <w:b w:val="0"/>
                        <w:bCs/>
                        <w:iCs/>
                        <w:sz w:val="24"/>
                        <w:szCs w:val="24"/>
                        <w:vertAlign w:val="superscript"/>
                      </w:rPr>
                    </m:ctrlPr>
                  </m:e>
                </m:acc>
                <m:r>
                  <m:rPr>
                    <m:sty m:val="p"/>
                  </m:rPr>
                  <w:rPr>
                    <w:rStyle w:val="23"/>
                    <w:rFonts w:ascii="Cambria Math" w:hAnsi="Cambria Math" w:cs="Times New Roman"/>
                    <w:sz w:val="24"/>
                    <w:szCs w:val="24"/>
                    <w:vertAlign w:val="superscript"/>
                  </w:rPr>
                  <m:t>−</m:t>
                </m:r>
                <m:acc>
                  <m:accPr>
                    <m:chr m:val="̅"/>
                    <m:ctrlPr>
                      <w:rPr>
                        <w:rStyle w:val="23"/>
                        <w:rFonts w:ascii="Cambria Math" w:hAnsi="Cambria Math" w:cs="Times New Roman"/>
                        <w:b w:val="0"/>
                        <w:bCs/>
                        <w:iCs/>
                        <w:sz w:val="24"/>
                        <w:szCs w:val="24"/>
                        <w:vertAlign w:val="superscript"/>
                      </w:rPr>
                    </m:ctrlPr>
                  </m:accPr>
                  <m:e>
                    <m:r>
                      <m:rPr>
                        <m:sty m:val="p"/>
                      </m:rPr>
                      <w:rPr>
                        <w:rStyle w:val="23"/>
                        <w:rFonts w:hint="default" w:ascii="Cambria Math" w:hAnsi="Cambria Math" w:cs="Times New Roman"/>
                        <w:sz w:val="24"/>
                        <w:szCs w:val="24"/>
                        <w:vertAlign w:val="superscript"/>
                      </w:rPr>
                      <m:t>β</m:t>
                    </m:r>
                    <m:ctrlPr>
                      <w:rPr>
                        <w:rStyle w:val="23"/>
                        <w:rFonts w:ascii="Cambria Math" w:hAnsi="Cambria Math" w:cs="Times New Roman"/>
                        <w:b w:val="0"/>
                        <w:bCs/>
                        <w:iCs/>
                        <w:sz w:val="24"/>
                        <w:szCs w:val="24"/>
                        <w:vertAlign w:val="superscript"/>
                      </w:rPr>
                    </m:ctrlPr>
                  </m:e>
                </m:acc>
                <m:ctrlPr>
                  <w:rPr>
                    <w:rStyle w:val="23"/>
                    <w:rFonts w:ascii="Cambria Math" w:hAnsi="Cambria Math" w:cs="Times New Roman"/>
                    <w:b w:val="0"/>
                    <w:bCs/>
                    <w:iCs/>
                    <w:sz w:val="24"/>
                    <w:szCs w:val="24"/>
                    <w:vertAlign w:val="superscript"/>
                  </w:rPr>
                </m:ctrlPr>
              </m:e>
            </m:d>
            <m:ctrlPr>
              <w:rPr>
                <w:rStyle w:val="23"/>
                <w:rFonts w:ascii="Cambria Math" w:hAnsi="Cambria Math" w:cs="Times New Roman"/>
                <w:b w:val="0"/>
                <w:bCs/>
                <w:iCs/>
                <w:sz w:val="24"/>
                <w:szCs w:val="24"/>
                <w:vertAlign w:val="superscript"/>
              </w:rPr>
            </m:ctrlPr>
          </m:e>
          <m:sup>
            <m:r>
              <m:rPr>
                <m:sty m:val="p"/>
              </m:rPr>
              <w:rPr>
                <w:rStyle w:val="24"/>
                <w:rFonts w:ascii="Cambria Math" w:hAnsi="Cambria Math" w:cs="Times New Roman"/>
                <w:sz w:val="24"/>
                <w:szCs w:val="24"/>
              </w:rPr>
              <m:t>'</m:t>
            </m:r>
            <m:ctrlPr>
              <w:rPr>
                <w:rStyle w:val="24"/>
                <w:rFonts w:ascii="Cambria Math" w:hAnsi="Cambria Math" w:cs="Times New Roman"/>
                <w:b w:val="0"/>
                <w:bCs/>
                <w:iCs/>
                <w:sz w:val="24"/>
                <w:szCs w:val="24"/>
              </w:rPr>
            </m:ctrlPr>
          </m:sup>
        </m:sSup>
        <m:sSup>
          <m:sSupPr>
            <m:ctrlPr>
              <w:rPr>
                <w:rStyle w:val="24"/>
                <w:rFonts w:ascii="Cambria Math" w:hAnsi="Cambria Math" w:cs="Times New Roman"/>
                <w:b w:val="0"/>
                <w:bCs/>
                <w:iCs/>
                <w:sz w:val="24"/>
                <w:szCs w:val="24"/>
              </w:rPr>
            </m:ctrlPr>
          </m:sSupPr>
          <m:e>
            <m:r>
              <m:rPr>
                <m:sty m:val="p"/>
              </m:rPr>
              <w:rPr>
                <w:rStyle w:val="24"/>
                <w:rFonts w:ascii="Cambria Math" w:hAnsi="Cambria Math" w:cs="Times New Roman"/>
                <w:sz w:val="24"/>
                <w:szCs w:val="24"/>
              </w:rPr>
              <m:t>Ω</m:t>
            </m:r>
            <m:ctrlPr>
              <w:rPr>
                <w:rStyle w:val="24"/>
                <w:rFonts w:ascii="Cambria Math" w:hAnsi="Cambria Math" w:cs="Times New Roman"/>
                <w:b w:val="0"/>
                <w:bCs/>
                <w:iCs/>
                <w:sz w:val="24"/>
                <w:szCs w:val="24"/>
              </w:rPr>
            </m:ctrlPr>
          </m:e>
          <m:sup>
            <m:r>
              <m:rPr>
                <m:sty m:val="p"/>
              </m:rPr>
              <w:rPr>
                <w:rStyle w:val="24"/>
                <w:rFonts w:hint="default" w:ascii="Cambria Math" w:hAnsi="Cambria Math" w:cs="Times New Roman"/>
                <w:sz w:val="24"/>
                <w:szCs w:val="24"/>
              </w:rPr>
              <m:t xml:space="preserve">−1 </m:t>
            </m:r>
            <m:ctrlPr>
              <w:rPr>
                <w:rStyle w:val="24"/>
                <w:rFonts w:ascii="Cambria Math" w:hAnsi="Cambria Math" w:cs="Times New Roman"/>
                <w:b w:val="0"/>
                <w:bCs/>
                <w:iCs/>
                <w:sz w:val="24"/>
                <w:szCs w:val="24"/>
              </w:rPr>
            </m:ctrlPr>
          </m:sup>
        </m:sSup>
        <m:r>
          <m:rPr>
            <m:sty m:val="p"/>
          </m:rPr>
          <w:rPr>
            <w:rStyle w:val="24"/>
            <w:rFonts w:ascii="Cambria Math" w:hAnsi="Cambria Math" w:cs="Times New Roman"/>
            <w:sz w:val="24"/>
            <w:szCs w:val="24"/>
          </w:rPr>
          <m:t>(</m:t>
        </m:r>
        <m:acc>
          <m:accPr>
            <m:ctrlPr>
              <w:rPr>
                <w:rStyle w:val="24"/>
                <w:rFonts w:ascii="Cambria Math" w:hAnsi="Cambria Math" w:cs="Times New Roman"/>
                <w:b w:val="0"/>
                <w:bCs/>
                <w:iCs/>
                <w:sz w:val="24"/>
                <w:szCs w:val="24"/>
              </w:rPr>
            </m:ctrlPr>
          </m:accPr>
          <m:e>
            <m:sSub>
              <m:sSubPr>
                <m:ctrlPr>
                  <w:rPr>
                    <w:rStyle w:val="24"/>
                    <w:rFonts w:ascii="Cambria Math" w:hAnsi="Cambria Math" w:cs="Times New Roman"/>
                    <w:b w:val="0"/>
                    <w:bCs/>
                    <w:iCs/>
                    <w:sz w:val="24"/>
                    <w:szCs w:val="24"/>
                  </w:rPr>
                </m:ctrlPr>
              </m:sSubPr>
              <m:e>
                <m:r>
                  <m:rPr>
                    <m:sty m:val="p"/>
                  </m:rPr>
                  <w:rPr>
                    <w:rStyle w:val="24"/>
                    <w:rFonts w:hint="default" w:ascii="Cambria Math" w:hAnsi="Cambria Math" w:cs="Times New Roman"/>
                    <w:sz w:val="24"/>
                    <w:szCs w:val="24"/>
                  </w:rPr>
                  <m:t>β</m:t>
                </m:r>
                <m:ctrlPr>
                  <w:rPr>
                    <w:rStyle w:val="24"/>
                    <w:rFonts w:ascii="Cambria Math" w:hAnsi="Cambria Math" w:cs="Times New Roman"/>
                    <w:b w:val="0"/>
                    <w:bCs/>
                    <w:iCs/>
                    <w:sz w:val="24"/>
                    <w:szCs w:val="24"/>
                  </w:rPr>
                </m:ctrlPr>
              </m:e>
              <m:sub>
                <m:r>
                  <m:rPr>
                    <m:sty m:val="p"/>
                  </m:rPr>
                  <w:rPr>
                    <w:rStyle w:val="24"/>
                    <w:rFonts w:hint="default" w:ascii="Cambria Math" w:hAnsi="Cambria Math" w:cs="Times New Roman"/>
                    <w:sz w:val="24"/>
                    <w:szCs w:val="24"/>
                  </w:rPr>
                  <m:t>i</m:t>
                </m:r>
                <m:ctrlPr>
                  <w:rPr>
                    <w:rStyle w:val="24"/>
                    <w:rFonts w:ascii="Cambria Math" w:hAnsi="Cambria Math" w:cs="Times New Roman"/>
                    <w:b w:val="0"/>
                    <w:bCs/>
                    <w:iCs/>
                    <w:sz w:val="24"/>
                    <w:szCs w:val="24"/>
                  </w:rPr>
                </m:ctrlPr>
              </m:sub>
            </m:sSub>
            <m:ctrlPr>
              <w:rPr>
                <w:rStyle w:val="24"/>
                <w:rFonts w:ascii="Cambria Math" w:hAnsi="Cambria Math" w:cs="Times New Roman"/>
                <w:b w:val="0"/>
                <w:bCs/>
                <w:iCs/>
                <w:sz w:val="24"/>
                <w:szCs w:val="24"/>
              </w:rPr>
            </m:ctrlPr>
          </m:e>
        </m:acc>
        <m:r>
          <m:rPr>
            <m:sty m:val="p"/>
          </m:rPr>
          <w:rPr>
            <w:rStyle w:val="24"/>
            <w:rFonts w:ascii="Cambria Math" w:hAnsi="Cambria Math" w:cs="Times New Roman"/>
            <w:sz w:val="24"/>
            <w:szCs w:val="24"/>
          </w:rPr>
          <m:t xml:space="preserve">− </m:t>
        </m:r>
        <m:acc>
          <m:accPr>
            <m:chr m:val="̅"/>
            <m:ctrlPr>
              <w:rPr>
                <w:rStyle w:val="24"/>
                <w:rFonts w:ascii="Cambria Math" w:hAnsi="Cambria Math" w:cs="Times New Roman"/>
                <w:b w:val="0"/>
                <w:bCs/>
                <w:iCs/>
                <w:sz w:val="24"/>
                <w:szCs w:val="24"/>
              </w:rPr>
            </m:ctrlPr>
          </m:accPr>
          <m:e>
            <m:r>
              <m:rPr>
                <m:sty m:val="p"/>
              </m:rPr>
              <w:rPr>
                <w:rStyle w:val="24"/>
                <w:rFonts w:hint="default" w:ascii="Cambria Math" w:hAnsi="Cambria Math" w:cs="Times New Roman"/>
                <w:sz w:val="24"/>
                <w:szCs w:val="24"/>
              </w:rPr>
              <m:t>β</m:t>
            </m:r>
            <m:ctrlPr>
              <w:rPr>
                <w:rStyle w:val="24"/>
                <w:rFonts w:ascii="Cambria Math" w:hAnsi="Cambria Math" w:cs="Times New Roman"/>
                <w:b w:val="0"/>
                <w:bCs/>
                <w:iCs/>
                <w:sz w:val="24"/>
                <w:szCs w:val="24"/>
              </w:rPr>
            </m:ctrlPr>
          </m:e>
        </m:acc>
      </m:oMath>
      <w:r>
        <w:rPr>
          <w:rStyle w:val="24"/>
          <w:rFonts w:ascii="Times New Roman" w:hAnsi="Times New Roman" w:cs="Times New Roman" w:eastAsiaTheme="minorEastAsia"/>
          <w:b w:val="0"/>
          <w:bCs/>
          <w:iCs/>
          <w:sz w:val="24"/>
          <w:szCs w:val="24"/>
        </w:rPr>
        <w:t xml:space="preserve">) </w:t>
      </w:r>
      <m:oMath>
        <m:r>
          <m:rPr>
            <m:sty m:val="p"/>
          </m:rPr>
          <w:rPr>
            <w:rStyle w:val="24"/>
            <w:rFonts w:ascii="Cambria Math" w:hAnsi="Cambria Math" w:cs="Times New Roman" w:eastAsiaTheme="minorEastAsia"/>
            <w:sz w:val="24"/>
            <w:szCs w:val="24"/>
          </w:rPr>
          <m:t>~</m:t>
        </m:r>
        <m:sSubSup>
          <m:sSubSupPr>
            <m:ctrlPr>
              <w:rPr>
                <w:rStyle w:val="24"/>
                <w:rFonts w:ascii="Cambria Math" w:hAnsi="Cambria Math" w:cs="Times New Roman" w:eastAsiaTheme="minorEastAsia"/>
                <w:b w:val="0"/>
                <w:bCs/>
                <w:iCs/>
                <w:sz w:val="24"/>
                <w:szCs w:val="24"/>
              </w:rPr>
            </m:ctrlPr>
          </m:sSubSupPr>
          <m:e>
            <m:r>
              <m:rPr>
                <m:sty m:val="p"/>
              </m:rPr>
              <w:rPr>
                <w:rStyle w:val="24"/>
                <w:rFonts w:hint="default" w:ascii="Cambria Math" w:hAnsi="Cambria Math" w:cs="Times New Roman" w:eastAsiaTheme="minorEastAsia"/>
                <w:sz w:val="24"/>
                <w:szCs w:val="24"/>
              </w:rPr>
              <m:t>X</m:t>
            </m:r>
            <m:ctrlPr>
              <w:rPr>
                <w:rStyle w:val="24"/>
                <w:rFonts w:ascii="Cambria Math" w:hAnsi="Cambria Math" w:cs="Times New Roman" w:eastAsiaTheme="minorEastAsia"/>
                <w:b w:val="0"/>
                <w:bCs/>
                <w:iCs/>
                <w:sz w:val="24"/>
                <w:szCs w:val="24"/>
              </w:rPr>
            </m:ctrlPr>
          </m:e>
          <m:sub>
            <m:r>
              <m:rPr>
                <m:sty m:val="p"/>
              </m:rPr>
              <w:rPr>
                <w:rStyle w:val="24"/>
                <w:rFonts w:hint="default" w:ascii="Cambria Math" w:hAnsi="Cambria Math" w:cs="Times New Roman" w:eastAsiaTheme="minorEastAsia"/>
                <w:sz w:val="24"/>
                <w:szCs w:val="24"/>
              </w:rPr>
              <m:t>k</m:t>
            </m:r>
            <m:ctrlPr>
              <w:rPr>
                <w:rStyle w:val="24"/>
                <w:rFonts w:ascii="Cambria Math" w:hAnsi="Cambria Math" w:cs="Times New Roman" w:eastAsiaTheme="minorEastAsia"/>
                <w:b w:val="0"/>
                <w:bCs/>
                <w:iCs/>
                <w:sz w:val="24"/>
                <w:szCs w:val="24"/>
              </w:rPr>
            </m:ctrlPr>
          </m:sub>
          <m:sup>
            <m:r>
              <m:rPr>
                <m:sty m:val="p"/>
              </m:rPr>
              <w:rPr>
                <w:rStyle w:val="24"/>
                <w:rFonts w:hint="default" w:ascii="Cambria Math" w:hAnsi="Cambria Math" w:cs="Times New Roman" w:eastAsiaTheme="minorEastAsia"/>
                <w:sz w:val="24"/>
                <w:szCs w:val="24"/>
              </w:rPr>
              <m:t>2</m:t>
            </m:r>
            <m:ctrlPr>
              <w:rPr>
                <w:rStyle w:val="24"/>
                <w:rFonts w:ascii="Cambria Math" w:hAnsi="Cambria Math" w:cs="Times New Roman" w:eastAsiaTheme="minorEastAsia"/>
                <w:b w:val="0"/>
                <w:bCs/>
                <w:iCs/>
                <w:sz w:val="24"/>
                <w:szCs w:val="24"/>
              </w:rPr>
            </m:ctrlPr>
          </m:sup>
        </m:sSubSup>
      </m:oMath>
      <w:r>
        <w:rPr>
          <w:rStyle w:val="24"/>
          <w:rFonts w:ascii="Times New Roman" w:hAnsi="Times New Roman" w:cs="Times New Roman" w:eastAsiaTheme="minorEastAsia"/>
          <w:b w:val="0"/>
          <w:bCs/>
          <w:iCs/>
          <w:sz w:val="24"/>
          <w:szCs w:val="24"/>
        </w:rPr>
        <w:t xml:space="preserve"> </w:t>
      </w:r>
      <w:r>
        <w:rPr>
          <w:rStyle w:val="24"/>
          <w:rFonts w:ascii="Times New Roman" w:hAnsi="Times New Roman" w:cs="Times New Roman" w:eastAsiaTheme="minorEastAsia"/>
          <w:b/>
          <w:bCs/>
          <w:iCs/>
          <w:sz w:val="24"/>
          <w:szCs w:val="24"/>
        </w:rPr>
        <w:t xml:space="preserve">              </w:t>
      </w:r>
      <w:r>
        <w:rPr>
          <w:rStyle w:val="24"/>
          <w:rFonts w:hint="default" w:ascii="Times New Roman" w:hAnsi="Times New Roman" w:cs="Times New Roman" w:eastAsiaTheme="minorEastAsia"/>
          <w:b/>
          <w:bCs/>
          <w:iCs/>
          <w:sz w:val="24"/>
          <w:szCs w:val="24"/>
          <w:lang w:val="en-US"/>
        </w:rPr>
        <w:t xml:space="preserve">                                                </w:t>
      </w:r>
      <w:r>
        <w:rPr>
          <w:rStyle w:val="24"/>
          <w:rFonts w:ascii="Times New Roman" w:hAnsi="Times New Roman" w:cs="Times New Roman" w:eastAsiaTheme="minorEastAsia"/>
          <w:b/>
          <w:bCs/>
          <w:iCs/>
          <w:sz w:val="24"/>
          <w:szCs w:val="24"/>
        </w:rPr>
        <w:t xml:space="preserve">  (2)</w:t>
      </w:r>
    </w:p>
    <w:p w14:paraId="74006644">
      <w:pPr>
        <w:pStyle w:val="19"/>
        <w:numPr>
          <w:ilvl w:val="0"/>
          <w:numId w:val="27"/>
        </w:numPr>
        <w:spacing w:before="100" w:beforeAutospacing="1" w:after="100" w:afterAutospacing="1" w:line="240" w:lineRule="auto"/>
        <w:jc w:val="both"/>
        <w:rPr>
          <w:rStyle w:val="24"/>
          <w:rFonts w:ascii="Times New Roman" w:hAnsi="Times New Roman" w:cs="Times New Roman" w:eastAsiaTheme="minorEastAsia"/>
          <w:iCs/>
          <w:sz w:val="24"/>
          <w:szCs w:val="24"/>
        </w:rPr>
      </w:pPr>
      <m:oMath>
        <m:acc>
          <m:accPr>
            <m:ctrlPr>
              <w:rPr>
                <w:rStyle w:val="24"/>
                <w:rFonts w:ascii="Cambria Math" w:hAnsi="Cambria Math" w:cs="Times New Roman"/>
                <w:i/>
                <w:iCs/>
                <w:sz w:val="24"/>
                <w:szCs w:val="24"/>
              </w:rPr>
            </m:ctrlPr>
          </m:accPr>
          <m:e>
            <m:sSub>
              <m:sSubPr>
                <m:ctrlPr>
                  <w:rPr>
                    <w:rStyle w:val="24"/>
                    <w:rFonts w:ascii="Cambria Math" w:hAnsi="Cambria Math" w:cs="Times New Roman"/>
                    <w:i/>
                    <w:iCs/>
                    <w:sz w:val="24"/>
                    <w:szCs w:val="24"/>
                  </w:rPr>
                </m:ctrlPr>
              </m:sSubPr>
              <m:e>
                <m:r>
                  <m:rPr/>
                  <w:rPr>
                    <w:rStyle w:val="24"/>
                    <w:rFonts w:ascii="Cambria Math" w:hAnsi="Cambria Math" w:cs="Times New Roman"/>
                    <w:sz w:val="24"/>
                    <w:szCs w:val="24"/>
                  </w:rPr>
                  <m:t>β</m:t>
                </m:r>
                <m:ctrlPr>
                  <w:rPr>
                    <w:rStyle w:val="24"/>
                    <w:rFonts w:ascii="Cambria Math" w:hAnsi="Cambria Math" w:cs="Times New Roman"/>
                    <w:i/>
                    <w:iCs/>
                    <w:sz w:val="24"/>
                    <w:szCs w:val="24"/>
                  </w:rPr>
                </m:ctrlPr>
              </m:e>
              <m:sub>
                <m:r>
                  <m:rPr/>
                  <w:rPr>
                    <w:rStyle w:val="24"/>
                    <w:rFonts w:ascii="Cambria Math" w:hAnsi="Cambria Math" w:cs="Times New Roman"/>
                    <w:sz w:val="24"/>
                    <w:szCs w:val="24"/>
                  </w:rPr>
                  <m:t>i</m:t>
                </m:r>
                <m:ctrlPr>
                  <w:rPr>
                    <w:rStyle w:val="24"/>
                    <w:rFonts w:ascii="Cambria Math" w:hAnsi="Cambria Math" w:cs="Times New Roman"/>
                    <w:i/>
                    <w:iCs/>
                    <w:sz w:val="24"/>
                    <w:szCs w:val="24"/>
                  </w:rPr>
                </m:ctrlPr>
              </m:sub>
            </m:sSub>
            <m:ctrlPr>
              <w:rPr>
                <w:rStyle w:val="24"/>
                <w:rFonts w:ascii="Cambria Math" w:hAnsi="Cambria Math" w:cs="Times New Roman"/>
                <w:i/>
                <w:iCs/>
                <w:sz w:val="24"/>
                <w:szCs w:val="24"/>
              </w:rPr>
            </m:ctrlPr>
          </m:e>
        </m:acc>
      </m:oMath>
      <w:r>
        <w:rPr>
          <w:rStyle w:val="24"/>
          <w:rFonts w:ascii="Times New Roman" w:hAnsi="Times New Roman" w:cs="Times New Roman" w:eastAsiaTheme="minorEastAsia"/>
          <w:iCs/>
          <w:sz w:val="24"/>
          <w:szCs w:val="24"/>
        </w:rPr>
        <w:t xml:space="preserve"> = </w:t>
      </w:r>
      <w:r>
        <w:rPr>
          <w:rFonts w:ascii="Times New Roman" w:hAnsi="Times New Roman" w:cs="Times New Roman"/>
          <w:sz w:val="24"/>
          <w:szCs w:val="24"/>
        </w:rPr>
        <w:t xml:space="preserve">Estimated slope coefficients for unit </w:t>
      </w:r>
      <w:r>
        <w:rPr>
          <w:rStyle w:val="25"/>
          <w:rFonts w:ascii="Times New Roman" w:hAnsi="Times New Roman" w:cs="Times New Roman"/>
          <w:sz w:val="24"/>
          <w:szCs w:val="24"/>
        </w:rPr>
        <w:t>i</w:t>
      </w:r>
    </w:p>
    <w:p w14:paraId="4E604187">
      <w:pPr>
        <w:pStyle w:val="19"/>
        <w:numPr>
          <w:ilvl w:val="0"/>
          <w:numId w:val="27"/>
        </w:numPr>
        <w:spacing w:before="100" w:beforeAutospacing="1" w:after="100" w:afterAutospacing="1" w:line="240" w:lineRule="auto"/>
        <w:jc w:val="both"/>
        <w:rPr>
          <w:rFonts w:ascii="Times New Roman" w:hAnsi="Times New Roman" w:cs="Times New Roman"/>
          <w:sz w:val="24"/>
          <w:szCs w:val="24"/>
        </w:rPr>
      </w:pPr>
      <m:oMath>
        <m:acc>
          <m:accPr>
            <m:chr m:val="̅"/>
            <m:ctrlPr>
              <w:rPr>
                <w:rStyle w:val="24"/>
                <w:rFonts w:ascii="Cambria Math" w:hAnsi="Cambria Math" w:cs="Times New Roman"/>
                <w:i/>
                <w:iCs/>
                <w:sz w:val="24"/>
                <w:szCs w:val="24"/>
              </w:rPr>
            </m:ctrlPr>
          </m:accPr>
          <m:e>
            <m:r>
              <m:rPr/>
              <w:rPr>
                <w:rStyle w:val="24"/>
                <w:rFonts w:ascii="Cambria Math" w:hAnsi="Cambria Math" w:cs="Times New Roman"/>
                <w:sz w:val="24"/>
                <w:szCs w:val="24"/>
              </w:rPr>
              <m:t>β</m:t>
            </m:r>
            <m:ctrlPr>
              <w:rPr>
                <w:rStyle w:val="24"/>
                <w:rFonts w:ascii="Cambria Math" w:hAnsi="Cambria Math" w:cs="Times New Roman"/>
                <w:i/>
                <w:iCs/>
                <w:sz w:val="24"/>
                <w:szCs w:val="24"/>
              </w:rPr>
            </m:ctrlPr>
          </m:e>
        </m:acc>
      </m:oMath>
      <w:r>
        <w:rPr>
          <w:rStyle w:val="24"/>
          <w:rFonts w:ascii="Times New Roman" w:hAnsi="Times New Roman" w:cs="Times New Roman" w:eastAsiaTheme="minorEastAsia"/>
          <w:iCs/>
          <w:sz w:val="24"/>
          <w:szCs w:val="24"/>
        </w:rPr>
        <w:t xml:space="preserve"> =</w:t>
      </w:r>
      <w:r>
        <w:rPr>
          <w:rFonts w:ascii="Times New Roman" w:hAnsi="Times New Roman" w:cs="Times New Roman"/>
          <w:sz w:val="24"/>
          <w:szCs w:val="24"/>
        </w:rPr>
        <w:t>Mean slope coefficient across units</w:t>
      </w:r>
    </w:p>
    <w:p w14:paraId="5DBEB793">
      <w:pPr>
        <w:pStyle w:val="19"/>
        <w:numPr>
          <w:ilvl w:val="0"/>
          <w:numId w:val="27"/>
        </w:numPr>
        <w:spacing w:before="100" w:beforeAutospacing="1" w:after="100" w:afterAutospacing="1" w:line="240" w:lineRule="auto"/>
        <w:jc w:val="both"/>
        <w:rPr>
          <w:rStyle w:val="24"/>
          <w:rFonts w:ascii="Times New Roman" w:hAnsi="Times New Roman" w:cs="Times New Roman" w:eastAsiaTheme="minorEastAsia"/>
          <w:iCs/>
          <w:sz w:val="24"/>
          <w:szCs w:val="24"/>
        </w:rPr>
      </w:pPr>
      <w:r>
        <w:rPr>
          <w:rFonts w:ascii="Times New Roman" w:hAnsi="Times New Roman" w:cs="Times New Roman" w:eastAsiaTheme="minorEastAsia"/>
          <w:sz w:val="24"/>
          <w:szCs w:val="24"/>
        </w:rPr>
        <w:t xml:space="preserve">Ω = </w:t>
      </w:r>
      <w:r>
        <w:rPr>
          <w:rFonts w:ascii="Times New Roman" w:hAnsi="Times New Roman" w:cs="Times New Roman"/>
          <w:sz w:val="24"/>
          <w:szCs w:val="24"/>
        </w:rPr>
        <w:t xml:space="preserve">Variance-covariance matrix of </w:t>
      </w:r>
      <m:oMath>
        <m:acc>
          <m:accPr>
            <m:ctrlPr>
              <w:rPr>
                <w:rStyle w:val="24"/>
                <w:rFonts w:ascii="Cambria Math" w:hAnsi="Cambria Math" w:cs="Times New Roman"/>
                <w:i/>
                <w:iCs/>
                <w:sz w:val="24"/>
                <w:szCs w:val="24"/>
              </w:rPr>
            </m:ctrlPr>
          </m:accPr>
          <m:e>
            <m:sSub>
              <m:sSubPr>
                <m:ctrlPr>
                  <w:rPr>
                    <w:rStyle w:val="24"/>
                    <w:rFonts w:ascii="Cambria Math" w:hAnsi="Cambria Math" w:cs="Times New Roman"/>
                    <w:i/>
                    <w:iCs/>
                    <w:sz w:val="24"/>
                    <w:szCs w:val="24"/>
                  </w:rPr>
                </m:ctrlPr>
              </m:sSubPr>
              <m:e>
                <m:r>
                  <m:rPr/>
                  <w:rPr>
                    <w:rStyle w:val="24"/>
                    <w:rFonts w:ascii="Cambria Math" w:hAnsi="Cambria Math" w:cs="Times New Roman"/>
                    <w:sz w:val="24"/>
                    <w:szCs w:val="24"/>
                  </w:rPr>
                  <m:t>β</m:t>
                </m:r>
                <m:ctrlPr>
                  <w:rPr>
                    <w:rStyle w:val="24"/>
                    <w:rFonts w:ascii="Cambria Math" w:hAnsi="Cambria Math" w:cs="Times New Roman"/>
                    <w:i/>
                    <w:iCs/>
                    <w:sz w:val="24"/>
                    <w:szCs w:val="24"/>
                  </w:rPr>
                </m:ctrlPr>
              </m:e>
              <m:sub>
                <m:r>
                  <m:rPr/>
                  <w:rPr>
                    <w:rStyle w:val="24"/>
                    <w:rFonts w:ascii="Cambria Math" w:hAnsi="Cambria Math" w:cs="Times New Roman"/>
                    <w:sz w:val="24"/>
                    <w:szCs w:val="24"/>
                  </w:rPr>
                  <m:t>i</m:t>
                </m:r>
                <m:ctrlPr>
                  <w:rPr>
                    <w:rStyle w:val="24"/>
                    <w:rFonts w:ascii="Cambria Math" w:hAnsi="Cambria Math" w:cs="Times New Roman"/>
                    <w:i/>
                    <w:iCs/>
                    <w:sz w:val="24"/>
                    <w:szCs w:val="24"/>
                  </w:rPr>
                </m:ctrlPr>
              </m:sub>
            </m:sSub>
            <m:ctrlPr>
              <w:rPr>
                <w:rStyle w:val="24"/>
                <w:rFonts w:ascii="Cambria Math" w:hAnsi="Cambria Math" w:cs="Times New Roman"/>
                <w:i/>
                <w:iCs/>
                <w:sz w:val="24"/>
                <w:szCs w:val="24"/>
              </w:rPr>
            </m:ctrlPr>
          </m:e>
        </m:acc>
      </m:oMath>
    </w:p>
    <w:p w14:paraId="4C83773B">
      <w:pPr>
        <w:pStyle w:val="19"/>
        <w:numPr>
          <w:ilvl w:val="0"/>
          <w:numId w:val="27"/>
        </w:numPr>
        <w:spacing w:before="100" w:beforeAutospacing="1" w:after="100" w:afterAutospacing="1" w:line="240" w:lineRule="auto"/>
        <w:jc w:val="both"/>
        <w:rPr>
          <w:rFonts w:hint="default" w:ascii="Times New Roman" w:hAnsi="Times New Roman"/>
          <w:sz w:val="24"/>
          <w:szCs w:val="24"/>
        </w:rPr>
      </w:pPr>
      <w:r>
        <w:rPr>
          <w:rStyle w:val="24"/>
          <w:rFonts w:ascii="Times New Roman" w:hAnsi="Times New Roman" w:cs="Times New Roman" w:eastAsiaTheme="minorEastAsia"/>
          <w:iCs/>
          <w:sz w:val="24"/>
          <w:szCs w:val="24"/>
        </w:rPr>
        <w:t xml:space="preserve">K = </w:t>
      </w:r>
      <w:r>
        <w:rPr>
          <w:rFonts w:ascii="Times New Roman" w:hAnsi="Times New Roman" w:cs="Times New Roman"/>
          <w:sz w:val="24"/>
          <w:szCs w:val="24"/>
        </w:rPr>
        <w:t>Degrees of freedom</w:t>
      </w:r>
    </w:p>
    <w:p w14:paraId="3FD85D3A">
      <w:pPr>
        <w:jc w:val="both"/>
        <w:rPr>
          <w:rFonts w:hint="default" w:ascii="Times New Roman" w:hAnsi="Times New Roman"/>
          <w:sz w:val="24"/>
          <w:szCs w:val="24"/>
        </w:rPr>
      </w:pPr>
      <w:r>
        <w:rPr>
          <w:rFonts w:hint="default" w:ascii="Times New Roman" w:hAnsi="Times New Roman"/>
          <w:sz w:val="24"/>
          <w:szCs w:val="24"/>
        </w:rPr>
        <w:t>The test is basically a test to determine whether the differences between the individual coefficients can be considered to be significant. Rejection of the null hypothesis of homogeneity indicates that assumption of a common slope in all the units is not valid and that permitting heterogeneity can result in better and significant estimation outcome. The test is specially applied in a setting where the lines (including regions, nations, and firms) have structural, institutional, or contextual variations to react to specific describe variables.</w:t>
      </w:r>
    </w:p>
    <w:p w14:paraId="109F53AE">
      <w:pPr>
        <w:jc w:val="both"/>
        <w:rPr>
          <w:rFonts w:hint="default" w:ascii="Times New Roman" w:hAnsi="Times New Roman"/>
          <w:sz w:val="24"/>
          <w:szCs w:val="24"/>
        </w:rPr>
      </w:pPr>
      <w:r>
        <w:rPr>
          <w:rFonts w:hint="default" w:ascii="Times New Roman" w:hAnsi="Times New Roman"/>
          <w:sz w:val="24"/>
          <w:szCs w:val="24"/>
        </w:rPr>
        <w:t>This is in most cases in a real world situation where the economic relationship varies regionally/ entity wise. As an illustration, the effect of changes in the interest rate on inflation variations can be different in different countries because of differences in financial systems, policy or the reaction in the market. SH test is important in determining whether to use a fixed-coefficient model or refer to the heterogeneous coefficient models like the Mean Group (MG) or Pooled Mean Group (PMG) estimators. When heterogeneity is recognized, empirical modeling quality is enhanced and the recommendations made on policy are more specific to the cross-sections as opposed to treating the effects to be similar on all units.</w:t>
      </w:r>
    </w:p>
    <w:p w14:paraId="0B3C328D">
      <w:pPr>
        <w:jc w:val="both"/>
        <w:rPr>
          <w:rFonts w:hint="default" w:ascii="Times New Roman" w:hAnsi="Times New Roman"/>
          <w:sz w:val="24"/>
          <w:szCs w:val="24"/>
        </w:rPr>
      </w:pPr>
      <w:r>
        <w:rPr>
          <w:rFonts w:hint="default" w:ascii="Times New Roman" w:hAnsi="Times New Roman"/>
          <w:sz w:val="24"/>
          <w:szCs w:val="24"/>
        </w:rPr>
        <w:t>Plans Individual-Specific Variations: The traditional panel models allow the homogeneous slope coefficient across the cross-sections but the SH test helps the researchers to verify the heterogeneity of slopes. Avoids Erroneous Inferences: The disregard of slope heterogeneity may lead to a faulty policy advice especially in researches using diverse economies, industries or companies. Improves Model Flexibility: It offers information on which type of model, Mean Group (MG), Pooled Mean Group (PMG) or Dynamic Fixed Effects (DFE) model would be better. Important to Policy Implications: In the presence of slope heterogeneity, a universal policy would not be the right policy, so additional nuances may be in store in terms of policy recommendations.</w:t>
      </w:r>
    </w:p>
    <w:p w14:paraId="5F337105">
      <w:pPr>
        <w:jc w:val="both"/>
        <w:rPr>
          <w:rFonts w:hint="default" w:ascii="Times New Roman" w:hAnsi="Times New Roman"/>
          <w:sz w:val="24"/>
          <w:szCs w:val="24"/>
        </w:rPr>
      </w:pPr>
    </w:p>
    <w:p w14:paraId="3F2FF0F1">
      <w:pPr>
        <w:pStyle w:val="3"/>
        <w:numPr>
          <w:ilvl w:val="0"/>
          <w:numId w:val="28"/>
        </w:numPr>
        <w:ind w:left="360" w:leftChars="0" w:firstLineChars="0"/>
        <w:rPr>
          <w:rFonts w:hint="default" w:ascii="Times New Roman" w:hAnsi="Times New Roman" w:cs="Times New Roman"/>
          <w:sz w:val="24"/>
          <w:szCs w:val="24"/>
        </w:rPr>
      </w:pPr>
      <w:bookmarkStart w:id="85" w:name="_Toc6221"/>
      <w:bookmarkStart w:id="86" w:name="_Toc20313"/>
      <w:r>
        <w:rPr>
          <w:rFonts w:hint="default" w:ascii="Times New Roman" w:hAnsi="Times New Roman" w:eastAsia="Times New Roman" w:cs="Times New Roman"/>
          <w:sz w:val="24"/>
          <w:szCs w:val="24"/>
        </w:rPr>
        <w:t>Phase 3: Panel Unit Root Test</w:t>
      </w:r>
      <w:bookmarkEnd w:id="85"/>
      <w:bookmarkEnd w:id="86"/>
      <w:r>
        <w:rPr>
          <w:rFonts w:hint="default" w:ascii="Times New Roman" w:hAnsi="Times New Roman" w:eastAsia="Times New Roman" w:cs="Times New Roman"/>
          <w:sz w:val="24"/>
          <w:szCs w:val="24"/>
        </w:rPr>
        <w:t xml:space="preserve"> </w:t>
      </w:r>
    </w:p>
    <w:p w14:paraId="47322455">
      <w:pPr>
        <w:rPr>
          <w:rFonts w:hint="default"/>
        </w:rPr>
      </w:pPr>
    </w:p>
    <w:p w14:paraId="7C54F7F0">
      <w:pPr>
        <w:bidi w:val="0"/>
        <w:ind w:firstLine="480" w:firstLineChars="200"/>
        <w:jc w:val="both"/>
      </w:pPr>
      <w:r>
        <w:rPr>
          <w:rFonts w:hint="default" w:ascii="Times New Roman" w:hAnsi="Times New Roman" w:cs="Times New Roman"/>
          <w:sz w:val="24"/>
          <w:szCs w:val="24"/>
        </w:rPr>
        <w:t>Unit roots tests are tests that characterize whether a variable contained in time series is either stationary, i.e. mean-reverting, or has a unit root, i.e. a time series will take a random walk. Being unit root would imply that any alteration to the variable has permanent effects whereas being stationary would imply that the shock effect dies off with time.</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AuthorYear="1"&gt;&lt;Author&gt;Breuer&lt;/Author&gt;&lt;Year&gt;2002&lt;/Year&gt;&lt;RecNum&gt;125&lt;/RecNum&gt;&lt;DisplayText&gt;Breuer, McNown et al. (2002)&lt;/DisplayText&gt;&lt;record&gt;&lt;rec-number&gt;125&lt;/rec-number&gt;&lt;foreign-keys&gt;&lt;key app="EN" db-id="2t52ftddjzwsxoerapx5vrxm2fdzpaza5sva" timestamp="1752859331"&gt;125&lt;/key&gt;&lt;/foreign-keys&gt;&lt;ref-type name="Journal Article"&gt;17&lt;/ref-type&gt;&lt;contributors&gt;&lt;authors&gt;&lt;author&gt;Breuer, Janice Boucher&lt;/author&gt;&lt;author&gt;McNown, Robert&lt;/author&gt;&lt;author&gt;Wallace, Myles&lt;/author&gt;&lt;/authors&gt;&lt;/contributors&gt;&lt;titles&gt;&lt;title&gt;Series‐specific unit root tests with panel data&lt;/title&gt;&lt;secondary-title&gt;Oxford Bulletin of Economics and statistics&lt;/secondary-title&gt;&lt;/titles&gt;&lt;periodical&gt;&lt;full-title&gt;Oxford Bulletin of Economics and statistics&lt;/full-title&gt;&lt;/periodical&gt;&lt;pages&gt;527-546&lt;/pages&gt;&lt;volume&gt;64&lt;/volume&gt;&lt;number&gt;5&lt;/number&gt;&lt;dates&gt;&lt;year&gt;2002&lt;/year&gt;&lt;/dates&gt;&lt;isbn&gt;0305-9049&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Breuer, McNown et al. (2002)</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panel unit root test is a variation of the classical unit root tests because it allows the cross-sectional dependence into account. It is, hence, more relevant in a macro- and financial panel fashion where units are interdependent. Unit root tests are a significant topic of time series and panel data analysis. When a unit root is an unwanted suspect based on a variable, the regressions are bound to have spurious associations hence statistical inferences cannot be conclusive. The difference between the series which determine a better econometric methodology is whether it is non-stationary or stationary. In applied research, policy implications can be misleading in the event of wrong assumptions of stationery. </w:t>
      </w:r>
    </w:p>
    <w:p w14:paraId="5D8B9678">
      <w:pPr>
        <w:pStyle w:val="12"/>
        <w:jc w:val="both"/>
        <w:rPr>
          <w:b/>
          <w:bCs/>
          <w:u w:val="single"/>
        </w:rPr>
      </w:pPr>
      <w:r>
        <w:rPr>
          <w:b/>
          <w:bCs/>
          <w:u w:val="single"/>
        </w:rPr>
        <w:t xml:space="preserve">Equation for </w:t>
      </w:r>
      <w:r>
        <w:rPr>
          <w:b/>
          <w:bCs/>
          <w:color w:val="auto"/>
          <w:u w:val="single"/>
          <w:shd w:val="clear" w:color="auto" w:fill="FFFFFF"/>
        </w:rPr>
        <w:t xml:space="preserve">JB </w:t>
      </w:r>
      <w:r>
        <w:rPr>
          <w:b/>
          <w:bCs/>
          <w:color w:val="auto"/>
          <w:u w:val="single"/>
          <w:shd w:val="clear" w:color="auto" w:fill="FFFFFF"/>
          <w:lang w:val="en-US"/>
        </w:rPr>
        <w:t xml:space="preserve"> </w:t>
      </w:r>
      <w:r>
        <w:rPr>
          <w:b/>
          <w:bCs/>
          <w:color w:val="auto"/>
          <w:u w:val="single"/>
          <w:shd w:val="clear" w:color="auto" w:fill="FFFFFF"/>
          <w:lang w:val="en-US"/>
        </w:rPr>
        <w:fldChar w:fldCharType="begin"/>
      </w:r>
      <w:r>
        <w:rPr>
          <w:b/>
          <w:bCs/>
          <w:color w:val="auto"/>
          <w:u w:val="single"/>
          <w:shd w:val="clear" w:color="auto" w:fill="FFFFFF"/>
          <w:lang w:val="en-US"/>
        </w:rPr>
        <w:instrText xml:space="preserve"> ADDIN EN.CITE &lt;EndNote&gt;&lt;Cite AuthorYear="1"&gt;&lt;Author&gt;Breuer&lt;/Author&gt;&lt;Year&gt;2002&lt;/Year&gt;&lt;RecNum&gt;125&lt;/RecNum&gt;&lt;DisplayText&gt;Breuer, McNown et al. (2002)&lt;/DisplayText&gt;&lt;record&gt;&lt;rec-number&gt;125&lt;/rec-number&gt;&lt;foreign-keys&gt;&lt;key app="EN" db-id="2t52ftddjzwsxoerapx5vrxm2fdzpaza5sva" timestamp="1752859331"&gt;125&lt;/key&gt;&lt;/foreign-keys&gt;&lt;ref-type name="Journal Article"&gt;17&lt;/ref-type&gt;&lt;contributors&gt;&lt;authors&gt;&lt;author&gt;Breuer, Janice Boucher&lt;/author&gt;&lt;author&gt;McNown, Robert&lt;/author&gt;&lt;author&gt;Wallace, Myles&lt;/author&gt;&lt;/authors&gt;&lt;/contributors&gt;&lt;titles&gt;&lt;title&gt;Series‐specific unit root tests with panel data&lt;/title&gt;&lt;secondary-title&gt;Oxford Bulletin of Economics and statistics&lt;/secondary-title&gt;&lt;/titles&gt;&lt;periodical&gt;&lt;full-title&gt;Oxford Bulletin of Economics and statistics&lt;/full-title&gt;&lt;/periodical&gt;&lt;pages&gt;527-546&lt;/pages&gt;&lt;volume&gt;64&lt;/volume&gt;&lt;number&gt;5&lt;/number&gt;&lt;dates&gt;&lt;year&gt;2002&lt;/year&gt;&lt;/dates&gt;&lt;isbn&gt;0305-9049&lt;/isbn&gt;&lt;urls&gt;&lt;/urls&gt;&lt;/record&gt;&lt;/Cite&gt;&lt;/EndNote&gt;</w:instrText>
      </w:r>
      <w:r>
        <w:rPr>
          <w:b/>
          <w:bCs/>
          <w:color w:val="auto"/>
          <w:u w:val="single"/>
          <w:shd w:val="clear" w:color="auto" w:fill="FFFFFF"/>
          <w:lang w:val="en-US"/>
        </w:rPr>
        <w:fldChar w:fldCharType="separate"/>
      </w:r>
      <w:r>
        <w:rPr>
          <w:rFonts w:ascii="Times New Roman" w:hAnsi="Times New Roman" w:eastAsia="SimSun" w:cs="Times New Roman"/>
          <w:b/>
          <w:bCs/>
          <w:color w:val="auto"/>
          <w:kern w:val="0"/>
          <w:sz w:val="24"/>
          <w:szCs w:val="24"/>
          <w:u w:val="single"/>
          <w:shd w:val="clear" w:color="auto" w:fill="FFFFFF"/>
          <w:lang w:val="en-US" w:eastAsia="zh-CN" w:bidi="ar"/>
        </w:rPr>
        <w:t>Breuer, McNown et al. (2002)</w:t>
      </w:r>
      <w:r>
        <w:rPr>
          <w:b/>
          <w:bCs/>
          <w:color w:val="auto"/>
          <w:u w:val="single"/>
          <w:shd w:val="clear" w:color="auto" w:fill="FFFFFF"/>
          <w:lang w:val="en-US"/>
        </w:rPr>
        <w:fldChar w:fldCharType="end"/>
      </w:r>
      <w:r>
        <w:rPr>
          <w:b/>
          <w:bCs/>
          <w:color w:val="auto"/>
          <w:u w:val="single"/>
          <w:shd w:val="clear" w:color="auto" w:fill="FFFFFF"/>
        </w:rPr>
        <w:t xml:space="preserve"> </w:t>
      </w:r>
      <w:r>
        <w:rPr>
          <w:b/>
          <w:bCs/>
          <w:color w:val="006621"/>
          <w:u w:val="single"/>
          <w:shd w:val="clear" w:color="auto" w:fill="FFFFFF"/>
        </w:rPr>
        <w:t xml:space="preserve"> </w:t>
      </w:r>
      <w:r>
        <w:rPr>
          <w:b/>
          <w:bCs/>
          <w:u w:val="single"/>
        </w:rPr>
        <w:t>is as follows:</w:t>
      </w:r>
    </w:p>
    <w:p w14:paraId="32BE40C4">
      <w:pPr>
        <w:jc w:val="both"/>
        <w:rPr>
          <w:rFonts w:ascii="Times New Roman" w:hAnsi="Times New Roman" w:cs="Times New Roman" w:eastAsiaTheme="minorEastAsia"/>
          <w:sz w:val="24"/>
          <w:szCs w:val="24"/>
        </w:rPr>
      </w:pPr>
      <m:oMath>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r>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w:rPr>
                <w:rFonts w:ascii="Cambria Math" w:hAnsi="Cambria Math" w:cs="Times New Roman"/>
                <w:sz w:val="24"/>
                <w:szCs w:val="24"/>
              </w:rPr>
              <m:t>∝</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r>
          <m:rPr/>
          <w:rPr>
            <w:rFonts w:ascii="Cambria Math" w:hAnsi="Cambria Math" w:cs="Times New Roman"/>
            <w:sz w:val="24"/>
            <w:szCs w:val="24"/>
          </w:rPr>
          <m:t xml:space="preserve"> + </m:t>
        </m:r>
        <m:sSub>
          <m:sSubPr>
            <m:ctrlPr>
              <w:rPr>
                <w:rFonts w:ascii="Cambria Math" w:hAnsi="Cambria Math" w:cs="Times New Roman"/>
                <w:i/>
                <w:sz w:val="24"/>
                <w:szCs w:val="24"/>
              </w:rPr>
            </m:ctrlPr>
          </m:sSub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r>
          <m:rPr/>
          <w:rPr>
            <w:rFonts w:ascii="Cambria Math" w:hAnsi="Cambria Math" w:cs="Times New Roman"/>
            <w:sz w:val="24"/>
            <w:szCs w:val="24"/>
          </w:rPr>
          <m:t>γ</m:t>
        </m:r>
        <m:sSub>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Sub>
        <m:r>
          <m:rP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j=1</m:t>
            </m:r>
            <m:ctrlPr>
              <w:rPr>
                <w:rFonts w:ascii="Cambria Math" w:hAnsi="Cambria Math" w:cs="Times New Roman"/>
                <w:i/>
                <w:sz w:val="24"/>
                <w:szCs w:val="24"/>
              </w:rPr>
            </m:ctrlPr>
          </m:sub>
          <m:sup>
            <m:sSub>
              <m:sSubPr>
                <m:ctrlPr>
                  <w:rPr>
                    <w:rFonts w:ascii="Cambria Math" w:hAnsi="Cambria Math" w:cs="Times New Roman"/>
                    <w:i/>
                    <w:sz w:val="24"/>
                    <w:szCs w:val="24"/>
                  </w:rPr>
                </m:ctrlPr>
              </m:sSubPr>
              <m:e>
                <m:r>
                  <m:rPr/>
                  <w:rPr>
                    <w:rFonts w:ascii="Cambria Math" w:hAnsi="Cambria Math" w:cs="Times New Roman"/>
                    <w:sz w:val="24"/>
                    <w:szCs w:val="24"/>
                  </w:rPr>
                  <m:t>k</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ctrlPr>
              <w:rPr>
                <w:rFonts w:ascii="Cambria Math" w:hAnsi="Cambria Math" w:cs="Times New Roman"/>
                <w:i/>
                <w:sz w:val="24"/>
                <w:szCs w:val="24"/>
              </w:rPr>
            </m:ctrlPr>
          </m:sup>
          <m:e>
            <m:sSub>
              <m:sSubPr>
                <m:ctrlPr>
                  <w:rPr>
                    <w:rFonts w:ascii="Cambria Math" w:hAnsi="Cambria Math" w:cs="Times New Roman"/>
                    <w:i/>
                    <w:sz w:val="24"/>
                    <w:szCs w:val="24"/>
                  </w:rPr>
                </m:ctrlPr>
              </m:sSubPr>
              <m:e>
                <m:r>
                  <m:rPr/>
                  <w:rPr>
                    <w:rFonts w:ascii="Cambria Math" w:hAnsi="Cambria Math" w:cs="Times New Roman"/>
                    <w:sz w:val="24"/>
                    <w:szCs w:val="24"/>
                  </w:rPr>
                  <m:t>δ</m:t>
                </m:r>
                <m:ctrlPr>
                  <w:rPr>
                    <w:rFonts w:ascii="Cambria Math" w:hAnsi="Cambria Math" w:cs="Times New Roman"/>
                    <w:i/>
                    <w:sz w:val="24"/>
                    <w:szCs w:val="24"/>
                  </w:rPr>
                </m:ctrlPr>
              </m:e>
              <m:sub>
                <m:r>
                  <m:rPr/>
                  <w:rPr>
                    <w:rFonts w:ascii="Cambria Math" w:hAnsi="Cambria Math" w:cs="Times New Roman"/>
                    <w:sz w:val="24"/>
                    <w:szCs w:val="24"/>
                  </w:rPr>
                  <m:t>i,j</m:t>
                </m:r>
                <m:ctrlPr>
                  <w:rPr>
                    <w:rFonts w:ascii="Cambria Math" w:hAnsi="Cambria Math" w:cs="Times New Roman"/>
                    <w:i/>
                    <w:sz w:val="24"/>
                    <w:szCs w:val="24"/>
                  </w:rPr>
                </m:ctrlPr>
              </m:sub>
            </m:sSub>
            <m:sSub>
              <w:bookmarkStart w:id="87" w:name="_Hlk196161732"/>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i,t−j</m:t>
                </m:r>
                <w:bookmarkEnd w:id="87"/>
                <m:ctrlPr>
                  <w:rPr>
                    <w:rFonts w:ascii="Cambria Math" w:hAnsi="Cambria Math" w:cs="Times New Roman"/>
                    <w:i/>
                    <w:sz w:val="24"/>
                    <w:szCs w:val="24"/>
                  </w:rPr>
                </m:ctrlPr>
              </m:sub>
            </m:sSub>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u</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ctrlPr>
              <w:rPr>
                <w:rFonts w:ascii="Cambria Math" w:hAnsi="Cambria Math" w:cs="Times New Roman"/>
                <w:i/>
                <w:sz w:val="24"/>
                <w:szCs w:val="24"/>
              </w:rPr>
            </m:ctrlPr>
          </m:e>
        </m:nary>
      </m:oMath>
      <w:r>
        <w:rPr>
          <w:rFonts w:ascii="Times New Roman" w:hAnsi="Times New Roman" w:cs="Times New Roman" w:eastAsiaTheme="minorEastAsia"/>
          <w:sz w:val="24"/>
          <w:szCs w:val="24"/>
        </w:rPr>
        <w:t xml:space="preserve"> </w:t>
      </w:r>
      <w:r>
        <w:rPr>
          <w:rFonts w:hint="default" w:cs="Times New Roman" w:eastAsiaTheme="minorEastAsia"/>
          <w:sz w:val="24"/>
          <w:szCs w:val="24"/>
          <w:lang w:val="en-US"/>
        </w:rPr>
        <w:t xml:space="preserve">                                            </w:t>
      </w:r>
      <w:r>
        <w:rPr>
          <w:rFonts w:ascii="Times New Roman" w:hAnsi="Times New Roman" w:cs="Times New Roman" w:eastAsiaTheme="minorEastAsia"/>
          <w:b/>
          <w:bCs/>
          <w:sz w:val="24"/>
          <w:szCs w:val="24"/>
        </w:rPr>
        <w:t>(3)</w:t>
      </w:r>
      <w:r>
        <w:rPr>
          <w:rFonts w:ascii="Times New Roman" w:hAnsi="Times New Roman" w:cs="Times New Roman" w:eastAsiaTheme="minorEastAsia"/>
          <w:sz w:val="24"/>
          <w:szCs w:val="24"/>
        </w:rPr>
        <w:t xml:space="preserve">               </w:t>
      </w:r>
    </w:p>
    <w:p w14:paraId="47C77B2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Where:</w:t>
      </w:r>
    </w:p>
    <w:p w14:paraId="4ACBE90C">
      <w:pPr>
        <w:numPr>
          <w:ilvl w:val="0"/>
          <w:numId w:val="29"/>
        </w:numPr>
        <w:spacing w:before="100" w:beforeAutospacing="1" w:after="100" w:afterAutospacing="1" w:line="240" w:lineRule="auto"/>
        <w:jc w:val="both"/>
        <w:rPr>
          <w:rStyle w:val="25"/>
          <w:rFonts w:ascii="Times New Roman" w:hAnsi="Times New Roman" w:eastAsia="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r>
          <m:rPr/>
          <w:rPr>
            <w:rFonts w:ascii="Cambria Math" w:hAnsi="Cambria Math" w:cs="Times New Roman"/>
            <w:sz w:val="24"/>
            <w:szCs w:val="24"/>
          </w:rPr>
          <m:t>= t</m:t>
        </m:r>
        <m:r>
          <m:rPr>
            <m:sty m:val="p"/>
          </m:rPr>
          <w:rPr>
            <w:rFonts w:ascii="Cambria Math" w:hAnsi="Cambria Math" w:cs="Times New Roman"/>
            <w:sz w:val="24"/>
            <w:szCs w:val="24"/>
          </w:rPr>
          <m:t xml:space="preserve">he level of the series for cross−section </m:t>
        </m:r>
        <m:r>
          <m:rPr/>
          <w:rPr>
            <w:rStyle w:val="25"/>
            <w:rFonts w:ascii="Cambria Math" w:hAnsi="Cambria Math" w:cs="Times New Roman"/>
            <w:sz w:val="24"/>
            <w:szCs w:val="24"/>
          </w:rPr>
          <m:t>i</m:t>
        </m:r>
        <m:r>
          <m:rPr>
            <m:sty m:val="p"/>
          </m:rPr>
          <w:rPr>
            <w:rFonts w:ascii="Cambria Math" w:hAnsi="Cambria Math" w:cs="Times New Roman"/>
            <w:sz w:val="24"/>
            <w:szCs w:val="24"/>
          </w:rPr>
          <m:t xml:space="preserve"> at time </m:t>
        </m:r>
        <m:r>
          <m:rPr/>
          <w:rPr>
            <w:rStyle w:val="25"/>
            <w:rFonts w:ascii="Cambria Math" w:hAnsi="Cambria Math" w:cs="Times New Roman"/>
            <w:sz w:val="24"/>
            <w:szCs w:val="24"/>
          </w:rPr>
          <m:t>t</m:t>
        </m:r>
      </m:oMath>
    </w:p>
    <w:p w14:paraId="49FA2167">
      <w:pPr>
        <w:numPr>
          <w:ilvl w:val="0"/>
          <w:numId w:val="29"/>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r>
          <m:rPr/>
          <w:rPr>
            <w:rFonts w:ascii="Cambria Math" w:hAnsi="Cambria Math" w:cs="Times New Roman"/>
            <w:sz w:val="24"/>
            <w:szCs w:val="24"/>
          </w:rPr>
          <m:t>=</m:t>
        </m:r>
        <m:r>
          <m:rPr>
            <m:sty m:val="p"/>
          </m:rPr>
          <w:rPr>
            <w:rFonts w:ascii="Cambria Math" w:hAnsi="Cambria Math" w:cs="Times New Roman"/>
            <w:sz w:val="24"/>
            <w:szCs w:val="24"/>
          </w:rPr>
          <m:t xml:space="preserve">the first difference of </m:t>
        </m:r>
        <m:r>
          <m:rPr/>
          <w:rPr>
            <w:rStyle w:val="25"/>
            <w:rFonts w:ascii="Cambria Math" w:hAnsi="Cambria Math" w:cs="Times New Roman"/>
            <w:sz w:val="24"/>
            <w:szCs w:val="24"/>
          </w:rPr>
          <m:t>yi,t</m:t>
        </m:r>
      </m:oMath>
    </w:p>
    <w:p w14:paraId="6AD5CA3D">
      <w:pPr>
        <w:numPr>
          <w:ilvl w:val="0"/>
          <w:numId w:val="29"/>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r>
          <m:rPr/>
          <w:rPr>
            <w:rFonts w:ascii="Cambria Math" w:hAnsi="Cambria Math" w:cs="Times New Roman"/>
            <w:sz w:val="24"/>
            <w:szCs w:val="24"/>
          </w:rPr>
          <m:t xml:space="preserve">= </m:t>
        </m:r>
        <m:r>
          <m:rPr>
            <m:sty m:val="p"/>
          </m:rPr>
          <w:rPr>
            <w:rFonts w:ascii="Cambria Math" w:hAnsi="Cambria Math" w:cs="Times New Roman"/>
            <w:sz w:val="24"/>
            <w:szCs w:val="24"/>
          </w:rPr>
          <m:t>individual intercept</m:t>
        </m:r>
      </m:oMath>
    </w:p>
    <w:p w14:paraId="380CF67E">
      <w:pPr>
        <w:numPr>
          <w:ilvl w:val="0"/>
          <w:numId w:val="29"/>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r>
          <m:rPr/>
          <w:rPr>
            <w:rFonts w:ascii="Cambria Math" w:hAnsi="Cambria Math" w:cs="Times New Roman"/>
            <w:sz w:val="24"/>
            <w:szCs w:val="24"/>
          </w:rPr>
          <m:t>=</m:t>
        </m:r>
        <m:r>
          <m:rPr>
            <m:sty m:val="p"/>
          </m:rPr>
          <w:rPr>
            <w:rFonts w:ascii="Cambria Math" w:hAnsi="Cambria Math" w:cs="Times New Roman"/>
            <w:sz w:val="24"/>
            <w:szCs w:val="24"/>
          </w:rPr>
          <m:t>autoregressive coefficient for testing the unit root</m:t>
        </m:r>
      </m:oMath>
      <w:r>
        <w:rPr>
          <w:rFonts w:ascii="Times New Roman" w:hAnsi="Times New Roman" w:eastAsia="Times New Roman" w:cs="Times New Roman"/>
          <w:sz w:val="24"/>
          <w:szCs w:val="24"/>
        </w:rPr>
        <w:t xml:space="preserve"> </w:t>
      </w:r>
    </w:p>
    <w:p w14:paraId="5660E968">
      <w:pPr>
        <w:numPr>
          <w:ilvl w:val="0"/>
          <w:numId w:val="29"/>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δ</m:t>
            </m:r>
            <m:ctrlPr>
              <w:rPr>
                <w:rFonts w:ascii="Cambria Math" w:hAnsi="Cambria Math" w:cs="Times New Roman"/>
                <w:i/>
                <w:sz w:val="24"/>
                <w:szCs w:val="24"/>
              </w:rPr>
            </m:ctrlPr>
          </m:e>
          <m:sub>
            <m:r>
              <m:rPr/>
              <w:rPr>
                <w:rFonts w:ascii="Cambria Math" w:hAnsi="Cambria Math" w:cs="Times New Roman"/>
                <w:sz w:val="24"/>
                <w:szCs w:val="24"/>
              </w:rPr>
              <m:t>i,j</m:t>
            </m:r>
            <m:ctrlPr>
              <w:rPr>
                <w:rFonts w:ascii="Cambria Math" w:hAnsi="Cambria Math" w:cs="Times New Roman"/>
                <w:i/>
                <w:sz w:val="24"/>
                <w:szCs w:val="24"/>
              </w:rPr>
            </m:ctrlPr>
          </m:sub>
        </m:sSub>
        <m:r>
          <m:rPr/>
          <w:rPr>
            <w:rFonts w:ascii="Cambria Math" w:hAnsi="Cambria Math" w:cs="Times New Roman"/>
            <w:sz w:val="24"/>
            <w:szCs w:val="24"/>
          </w:rPr>
          <m:t>=</m:t>
        </m:r>
        <m:r>
          <m:rPr>
            <m:sty m:val="p"/>
          </m:rPr>
          <w:rPr>
            <w:rFonts w:ascii="Cambria Math" w:hAnsi="Cambria Math" w:cs="Times New Roman"/>
            <w:sz w:val="24"/>
            <w:szCs w:val="24"/>
          </w:rPr>
          <m:t>coefficients of lagged differences to control for serial correlation</m:t>
        </m:r>
        <m:r>
          <m:rPr/>
          <w:rPr>
            <w:rFonts w:ascii="Cambria Math" w:hAnsi="Cambria Math" w:cs="Times New Roman"/>
            <w:sz w:val="24"/>
            <w:szCs w:val="24"/>
          </w:rPr>
          <m:t xml:space="preserve"> </m:t>
        </m:r>
      </m:oMath>
    </w:p>
    <w:p w14:paraId="64591C02">
      <w:pPr>
        <w:numPr>
          <w:ilvl w:val="0"/>
          <w:numId w:val="29"/>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u</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it</m:t>
            </m:r>
            <m:ctrlPr>
              <w:rPr>
                <w:rFonts w:ascii="Cambria Math" w:hAnsi="Cambria Math" w:cs="Times New Roman" w:eastAsiaTheme="minorEastAsia"/>
                <w:i/>
                <w:sz w:val="24"/>
                <w:szCs w:val="24"/>
              </w:rPr>
            </m:ctrlPr>
          </m:sub>
        </m:sSub>
      </m:oMath>
      <w:r>
        <w:rPr>
          <w:rFonts w:ascii="Times New Roman" w:hAnsi="Times New Roman" w:eastAsia="Times New Roman" w:cs="Times New Roman"/>
          <w:sz w:val="24"/>
          <w:szCs w:val="24"/>
        </w:rPr>
        <w:t>= error term</w:t>
      </w:r>
    </w:p>
    <w:p w14:paraId="13357C3C">
      <w:pPr>
        <w:pStyle w:val="4"/>
        <w:ind w:left="360"/>
        <w:jc w:val="both"/>
        <w:rPr>
          <w:b w:val="0"/>
          <w:bCs w:val="0"/>
          <w:sz w:val="24"/>
          <w:szCs w:val="24"/>
          <w:u w:val="single"/>
        </w:rPr>
      </w:pPr>
      <w:bookmarkStart w:id="88" w:name="_Toc202685918"/>
      <w:bookmarkStart w:id="89" w:name="_Toc29291"/>
      <w:bookmarkStart w:id="90" w:name="_Toc31790"/>
      <w:bookmarkStart w:id="91" w:name="_Toc202870229"/>
      <w:bookmarkStart w:id="92" w:name="_Toc28557"/>
      <w:bookmarkStart w:id="93" w:name="_Toc202686286"/>
      <w:r>
        <w:rPr>
          <w:b w:val="0"/>
          <w:bCs w:val="0"/>
          <w:sz w:val="24"/>
          <w:szCs w:val="24"/>
          <w:u w:val="single"/>
        </w:rPr>
        <w:t>Null and Alternative Hypotheses (Series-specific):</w:t>
      </w:r>
      <w:bookmarkEnd w:id="88"/>
      <w:bookmarkEnd w:id="89"/>
      <w:bookmarkEnd w:id="90"/>
      <w:bookmarkEnd w:id="91"/>
      <w:bookmarkEnd w:id="92"/>
      <w:bookmarkEnd w:id="93"/>
    </w:p>
    <w:p w14:paraId="27B9A9B2">
      <w:pPr>
        <w:spacing w:before="100" w:beforeAutospacing="1" w:after="100" w:afterAutospacing="1"/>
        <w:ind w:left="360"/>
        <w:jc w:val="both"/>
        <w:rPr>
          <w:rStyle w:val="25"/>
          <w:rFonts w:hint="default" w:ascii="Times New Roman" w:hAnsi="Times New Roman" w:eastAsia="Times New Roman" w:cs="Times New Roman"/>
          <w:b w:val="0"/>
          <w:bCs w:val="0"/>
          <w:iCs/>
          <w:sz w:val="24"/>
          <w:szCs w:val="24"/>
        </w:rPr>
      </w:pPr>
      <m:oMathPara>
        <m:oMathParaPr>
          <m:jc m:val="left"/>
        </m:oMathParaPr>
        <m:oMath>
          <m:sSubSup>
            <m:sSubSupPr>
              <m:ctrlPr>
                <w:rPr>
                  <w:rStyle w:val="25"/>
                  <w:rFonts w:hint="default" w:ascii="Cambria Math" w:hAnsi="Cambria Math" w:cs="Times New Roman"/>
                  <w:b w:val="0"/>
                  <w:bCs w:val="0"/>
                  <w:iCs/>
                  <w:sz w:val="24"/>
                  <w:szCs w:val="24"/>
                </w:rPr>
              </m:ctrlPr>
            </m:sSubSupPr>
            <m:e>
              <m:r>
                <m:rPr>
                  <m:nor/>
                  <m:sty m:val="p"/>
                </m:rPr>
                <w:rPr>
                  <w:rStyle w:val="25"/>
                  <w:rFonts w:hint="default" w:ascii="Cambria Math" w:hAnsi="Cambria Math" w:cs="Times New Roman"/>
                  <w:b w:val="0"/>
                  <w:bCs w:val="0"/>
                  <w:i w:val="0"/>
                  <w:sz w:val="24"/>
                  <w:szCs w:val="24"/>
                </w:rPr>
                <m:t>H</m:t>
              </m:r>
              <m:ctrlPr>
                <w:rPr>
                  <w:rStyle w:val="25"/>
                  <w:rFonts w:hint="default" w:ascii="Cambria Math" w:hAnsi="Cambria Math" w:cs="Times New Roman"/>
                  <w:b w:val="0"/>
                  <w:bCs w:val="0"/>
                  <w:iCs/>
                  <w:sz w:val="24"/>
                  <w:szCs w:val="24"/>
                </w:rPr>
              </m:ctrlPr>
            </m:e>
            <m:sub>
              <m:r>
                <m:rPr>
                  <m:nor/>
                  <m:sty m:val="p"/>
                </m:rPr>
                <w:rPr>
                  <w:rStyle w:val="25"/>
                  <w:rFonts w:hint="default" w:ascii="Cambria Math" w:hAnsi="Cambria Math" w:cs="Times New Roman"/>
                  <w:b w:val="0"/>
                  <w:bCs w:val="0"/>
                  <w:i w:val="0"/>
                  <w:sz w:val="24"/>
                  <w:szCs w:val="24"/>
                </w:rPr>
                <m:t>0</m:t>
              </m:r>
              <m:ctrlPr>
                <w:rPr>
                  <w:rStyle w:val="25"/>
                  <w:rFonts w:hint="default" w:ascii="Cambria Math" w:hAnsi="Cambria Math" w:cs="Times New Roman"/>
                  <w:b w:val="0"/>
                  <w:bCs w:val="0"/>
                  <w:iCs/>
                  <w:sz w:val="24"/>
                  <w:szCs w:val="24"/>
                </w:rPr>
              </m:ctrlPr>
            </m:sub>
            <m:sup>
              <m:d>
                <m:dPr>
                  <m:ctrlPr>
                    <w:rPr>
                      <w:rStyle w:val="25"/>
                      <w:rFonts w:hint="default" w:ascii="Cambria Math" w:hAnsi="Cambria Math" w:cs="Times New Roman"/>
                      <w:b w:val="0"/>
                      <w:bCs w:val="0"/>
                      <w:iCs/>
                      <w:sz w:val="24"/>
                      <w:szCs w:val="24"/>
                    </w:rPr>
                  </m:ctrlPr>
                </m:dPr>
                <m:e>
                  <m:r>
                    <m:rPr>
                      <m:nor/>
                      <m:sty m:val="p"/>
                    </m:rPr>
                    <w:rPr>
                      <w:rStyle w:val="25"/>
                      <w:rFonts w:hint="default" w:ascii="Cambria Math" w:hAnsi="Cambria Math" w:cs="Times New Roman"/>
                      <w:b w:val="0"/>
                      <w:bCs w:val="0"/>
                      <w:i w:val="0"/>
                      <w:sz w:val="24"/>
                      <w:szCs w:val="24"/>
                    </w:rPr>
                    <m:t>i</m:t>
                  </m:r>
                  <m:ctrlPr>
                    <w:rPr>
                      <w:rStyle w:val="25"/>
                      <w:rFonts w:hint="default" w:ascii="Cambria Math" w:hAnsi="Cambria Math" w:cs="Times New Roman"/>
                      <w:b w:val="0"/>
                      <w:bCs w:val="0"/>
                      <w:iCs/>
                      <w:sz w:val="24"/>
                      <w:szCs w:val="24"/>
                    </w:rPr>
                  </m:ctrlPr>
                </m:e>
              </m:d>
              <m:ctrlPr>
                <w:rPr>
                  <w:rStyle w:val="25"/>
                  <w:rFonts w:hint="default" w:ascii="Cambria Math" w:hAnsi="Cambria Math" w:cs="Times New Roman"/>
                  <w:b w:val="0"/>
                  <w:bCs w:val="0"/>
                  <w:iCs/>
                  <w:sz w:val="24"/>
                  <w:szCs w:val="24"/>
                </w:rPr>
              </m:ctrlPr>
            </m:sup>
          </m:sSubSup>
          <m:r>
            <m:rPr>
              <m:nor/>
              <m:sty m:val="p"/>
            </m:rPr>
            <w:rPr>
              <w:rStyle w:val="25"/>
              <w:rFonts w:hint="default" w:ascii="Cambria Math" w:hAnsi="Cambria Math" w:cs="Times New Roman"/>
              <w:b w:val="0"/>
              <w:bCs w:val="0"/>
              <w:i w:val="0"/>
              <w:sz w:val="24"/>
              <w:szCs w:val="24"/>
            </w:rPr>
            <m:t xml:space="preserve">: </m:t>
          </m:r>
          <m:sSub>
            <m:sSubPr>
              <m:ctrlPr>
                <w:rPr>
                  <w:rStyle w:val="25"/>
                  <w:rFonts w:hint="default" w:ascii="Cambria Math" w:hAnsi="Cambria Math" w:cs="Times New Roman"/>
                  <w:b w:val="0"/>
                  <w:bCs w:val="0"/>
                  <w:iCs/>
                  <w:sz w:val="24"/>
                  <w:szCs w:val="24"/>
                </w:rPr>
              </m:ctrlPr>
            </m:sSubPr>
            <m:e>
              <m:r>
                <m:rPr>
                  <m:nor/>
                  <m:sty m:val="p"/>
                </m:rPr>
                <w:rPr>
                  <w:rStyle w:val="25"/>
                  <w:rFonts w:hint="default" w:ascii="Cambria Math" w:hAnsi="Cambria Math" w:cs="Times New Roman"/>
                  <w:b w:val="0"/>
                  <w:bCs w:val="0"/>
                  <w:i w:val="0"/>
                  <w:sz w:val="24"/>
                  <w:szCs w:val="24"/>
                </w:rPr>
                <m:t>β</m:t>
              </m:r>
              <m:ctrlPr>
                <w:rPr>
                  <w:rStyle w:val="25"/>
                  <w:rFonts w:hint="default" w:ascii="Cambria Math" w:hAnsi="Cambria Math" w:cs="Times New Roman"/>
                  <w:b w:val="0"/>
                  <w:bCs w:val="0"/>
                  <w:iCs/>
                  <w:sz w:val="24"/>
                  <w:szCs w:val="24"/>
                </w:rPr>
              </m:ctrlPr>
            </m:e>
            <m:sub>
              <m:r>
                <m:rPr>
                  <m:nor/>
                  <m:sty m:val="p"/>
                </m:rPr>
                <w:rPr>
                  <w:rStyle w:val="25"/>
                  <w:rFonts w:hint="default" w:ascii="Cambria Math" w:hAnsi="Cambria Math" w:cs="Times New Roman"/>
                  <w:b w:val="0"/>
                  <w:bCs w:val="0"/>
                  <w:i w:val="0"/>
                  <w:sz w:val="24"/>
                  <w:szCs w:val="24"/>
                </w:rPr>
                <m:t>i</m:t>
              </m:r>
              <m:ctrlPr>
                <w:rPr>
                  <w:rStyle w:val="25"/>
                  <w:rFonts w:hint="default" w:ascii="Cambria Math" w:hAnsi="Cambria Math" w:cs="Times New Roman"/>
                  <w:b w:val="0"/>
                  <w:bCs w:val="0"/>
                  <w:iCs/>
                  <w:sz w:val="24"/>
                  <w:szCs w:val="24"/>
                </w:rPr>
              </m:ctrlPr>
            </m:sub>
          </m:sSub>
          <m:r>
            <m:rPr>
              <m:nor/>
              <m:sty m:val="p"/>
            </m:rPr>
            <w:rPr>
              <w:rStyle w:val="25"/>
              <w:rFonts w:hint="default" w:ascii="Cambria Math" w:hAnsi="Cambria Math" w:cs="Times New Roman"/>
              <w:b w:val="0"/>
              <w:bCs w:val="0"/>
              <w:i w:val="0"/>
              <w:sz w:val="24"/>
              <w:szCs w:val="24"/>
            </w:rPr>
            <m:t xml:space="preserve">=0 </m:t>
          </m:r>
          <m:d>
            <m:dPr>
              <m:ctrlPr>
                <w:rPr>
                  <w:rStyle w:val="25"/>
                  <w:rFonts w:hint="default" w:ascii="Cambria Math" w:hAnsi="Cambria Math" w:cs="Times New Roman"/>
                  <w:b w:val="0"/>
                  <w:bCs w:val="0"/>
                  <w:iCs/>
                  <w:sz w:val="24"/>
                  <w:szCs w:val="24"/>
                </w:rPr>
              </m:ctrlPr>
            </m:dPr>
            <m:e>
              <m:r>
                <m:rPr>
                  <m:nor/>
                  <m:sty m:val="p"/>
                </m:rPr>
                <w:rPr>
                  <w:rStyle w:val="25"/>
                  <w:rFonts w:hint="default" w:ascii="Cambria Math" w:hAnsi="Cambria Math" w:cs="Times New Roman"/>
                  <w:b w:val="0"/>
                  <w:bCs w:val="0"/>
                  <w:i w:val="0"/>
                  <w:sz w:val="24"/>
                  <w:szCs w:val="24"/>
                </w:rPr>
                <m:t>unit root</m:t>
              </m:r>
              <m:ctrlPr>
                <w:rPr>
                  <w:rStyle w:val="25"/>
                  <w:rFonts w:hint="default" w:ascii="Cambria Math" w:hAnsi="Cambria Math" w:cs="Times New Roman"/>
                  <w:b w:val="0"/>
                  <w:bCs w:val="0"/>
                  <w:iCs/>
                  <w:sz w:val="24"/>
                  <w:szCs w:val="24"/>
                </w:rPr>
              </m:ctrlPr>
            </m:e>
          </m:d>
        </m:oMath>
      </m:oMathPara>
    </w:p>
    <w:p w14:paraId="00CBC74D">
      <w:pPr>
        <w:spacing w:before="100" w:beforeAutospacing="1" w:after="100" w:afterAutospacing="1"/>
        <w:ind w:left="360"/>
        <w:jc w:val="both"/>
        <w:rPr>
          <w:rStyle w:val="25"/>
          <w:rFonts w:hint="default" w:ascii="Times New Roman" w:hAnsi="Times New Roman" w:eastAsia="Times New Roman" w:cs="Times New Roman"/>
          <w:b w:val="0"/>
          <w:bCs w:val="0"/>
          <w:iCs/>
          <w:sz w:val="24"/>
          <w:szCs w:val="24"/>
        </w:rPr>
      </w:pPr>
      <m:oMathPara>
        <m:oMathParaPr>
          <m:jc m:val="left"/>
        </m:oMathParaPr>
        <m:oMath>
          <m:sSubSup>
            <m:sSubSupPr>
              <m:ctrlPr>
                <w:rPr>
                  <w:rStyle w:val="25"/>
                  <w:rFonts w:hint="default" w:ascii="Cambria Math" w:hAnsi="Cambria Math" w:eastAsia="Times New Roman" w:cs="Times New Roman"/>
                  <w:b w:val="0"/>
                  <w:bCs w:val="0"/>
                  <w:iCs/>
                  <w:sz w:val="24"/>
                  <w:szCs w:val="24"/>
                </w:rPr>
              </m:ctrlPr>
            </m:sSubSupPr>
            <m:e>
              <m:r>
                <m:rPr>
                  <m:nor/>
                  <m:sty m:val="p"/>
                </m:rPr>
                <w:rPr>
                  <w:rStyle w:val="25"/>
                  <w:rFonts w:hint="default" w:ascii="Cambria Math" w:hAnsi="Cambria Math" w:eastAsia="Times New Roman" w:cs="Times New Roman"/>
                  <w:b w:val="0"/>
                  <w:bCs w:val="0"/>
                  <w:i w:val="0"/>
                  <w:sz w:val="24"/>
                  <w:szCs w:val="24"/>
                </w:rPr>
                <m:t>H</m:t>
              </m:r>
              <m:ctrlPr>
                <w:rPr>
                  <w:rStyle w:val="25"/>
                  <w:rFonts w:hint="default" w:ascii="Cambria Math" w:hAnsi="Cambria Math" w:eastAsia="Times New Roman" w:cs="Times New Roman"/>
                  <w:b w:val="0"/>
                  <w:bCs w:val="0"/>
                  <w:iCs/>
                  <w:sz w:val="24"/>
                  <w:szCs w:val="24"/>
                </w:rPr>
              </m:ctrlPr>
            </m:e>
            <m:sub>
              <m:r>
                <m:rPr>
                  <m:nor/>
                  <m:sty m:val="p"/>
                </m:rPr>
                <w:rPr>
                  <w:rStyle w:val="25"/>
                  <w:rFonts w:hint="default" w:ascii="Cambria Math" w:hAnsi="Cambria Math" w:eastAsia="Times New Roman" w:cs="Times New Roman"/>
                  <w:b w:val="0"/>
                  <w:bCs w:val="0"/>
                  <w:i w:val="0"/>
                  <w:sz w:val="24"/>
                  <w:szCs w:val="24"/>
                </w:rPr>
                <m:t>A</m:t>
              </m:r>
              <m:ctrlPr>
                <w:rPr>
                  <w:rStyle w:val="25"/>
                  <w:rFonts w:hint="default" w:ascii="Cambria Math" w:hAnsi="Cambria Math" w:eastAsia="Times New Roman" w:cs="Times New Roman"/>
                  <w:b w:val="0"/>
                  <w:bCs w:val="0"/>
                  <w:iCs/>
                  <w:sz w:val="24"/>
                  <w:szCs w:val="24"/>
                </w:rPr>
              </m:ctrlPr>
            </m:sub>
            <m:sup>
              <m:d>
                <m:dPr>
                  <m:ctrlPr>
                    <w:rPr>
                      <w:rStyle w:val="25"/>
                      <w:rFonts w:hint="default" w:ascii="Cambria Math" w:hAnsi="Cambria Math" w:eastAsia="Times New Roman" w:cs="Times New Roman"/>
                      <w:b w:val="0"/>
                      <w:bCs w:val="0"/>
                      <w:sz w:val="24"/>
                      <w:szCs w:val="24"/>
                    </w:rPr>
                  </m:ctrlPr>
                </m:dPr>
                <m:e>
                  <m:r>
                    <m:rPr>
                      <m:nor/>
                      <m:sty m:val="p"/>
                    </m:rPr>
                    <w:rPr>
                      <w:rStyle w:val="25"/>
                      <w:rFonts w:hint="default" w:ascii="Cambria Math" w:hAnsi="Cambria Math" w:eastAsia="Times New Roman" w:cs="Times New Roman"/>
                      <w:b w:val="0"/>
                      <w:bCs w:val="0"/>
                      <w:i w:val="0"/>
                      <w:sz w:val="24"/>
                      <w:szCs w:val="24"/>
                    </w:rPr>
                    <m:t>i</m:t>
                  </m:r>
                  <m:ctrlPr>
                    <w:rPr>
                      <w:rStyle w:val="25"/>
                      <w:rFonts w:hint="default" w:ascii="Cambria Math" w:hAnsi="Cambria Math" w:eastAsia="Times New Roman" w:cs="Times New Roman"/>
                      <w:b w:val="0"/>
                      <w:bCs w:val="0"/>
                      <w:sz w:val="24"/>
                      <w:szCs w:val="24"/>
                    </w:rPr>
                  </m:ctrlPr>
                </m:e>
              </m:d>
              <m:ctrlPr>
                <w:rPr>
                  <w:rStyle w:val="25"/>
                  <w:rFonts w:hint="default" w:ascii="Cambria Math" w:hAnsi="Cambria Math" w:eastAsia="Times New Roman" w:cs="Times New Roman"/>
                  <w:b w:val="0"/>
                  <w:bCs w:val="0"/>
                  <w:iCs/>
                  <w:sz w:val="24"/>
                  <w:szCs w:val="24"/>
                </w:rPr>
              </m:ctrlPr>
            </m:sup>
          </m:sSubSup>
          <m:r>
            <m:rPr>
              <m:nor/>
              <m:sty m:val="p"/>
            </m:rPr>
            <w:rPr>
              <w:rStyle w:val="25"/>
              <w:rFonts w:hint="default" w:ascii="Cambria Math" w:hAnsi="Cambria Math" w:eastAsia="Times New Roman" w:cs="Times New Roman"/>
              <w:b w:val="0"/>
              <w:bCs w:val="0"/>
              <w:i w:val="0"/>
              <w:sz w:val="24"/>
              <w:szCs w:val="24"/>
            </w:rPr>
            <m:t xml:space="preserve">: </m:t>
          </m:r>
          <m:sSub>
            <m:sSubPr>
              <m:ctrlPr>
                <w:rPr>
                  <w:rStyle w:val="25"/>
                  <w:rFonts w:hint="default" w:ascii="Cambria Math" w:hAnsi="Cambria Math" w:eastAsia="Times New Roman" w:cs="Times New Roman"/>
                  <w:b w:val="0"/>
                  <w:bCs w:val="0"/>
                  <w:iCs/>
                  <w:sz w:val="24"/>
                  <w:szCs w:val="24"/>
                </w:rPr>
              </m:ctrlPr>
            </m:sSubPr>
            <m:e>
              <m:r>
                <m:rPr>
                  <m:nor/>
                  <m:sty m:val="p"/>
                </m:rPr>
                <w:rPr>
                  <w:rStyle w:val="25"/>
                  <w:rFonts w:hint="default" w:ascii="Cambria Math" w:hAnsi="Cambria Math" w:eastAsia="Times New Roman" w:cs="Times New Roman"/>
                  <w:b w:val="0"/>
                  <w:bCs w:val="0"/>
                  <w:i w:val="0"/>
                  <w:sz w:val="24"/>
                  <w:szCs w:val="24"/>
                </w:rPr>
                <m:t>β</m:t>
              </m:r>
              <m:ctrlPr>
                <w:rPr>
                  <w:rStyle w:val="25"/>
                  <w:rFonts w:hint="default" w:ascii="Cambria Math" w:hAnsi="Cambria Math" w:eastAsia="Times New Roman" w:cs="Times New Roman"/>
                  <w:b w:val="0"/>
                  <w:bCs w:val="0"/>
                  <w:iCs/>
                  <w:sz w:val="24"/>
                  <w:szCs w:val="24"/>
                </w:rPr>
              </m:ctrlPr>
            </m:e>
            <m:sub>
              <m:r>
                <m:rPr>
                  <m:nor/>
                  <m:sty m:val="p"/>
                </m:rPr>
                <w:rPr>
                  <w:rStyle w:val="25"/>
                  <w:rFonts w:hint="default" w:ascii="Cambria Math" w:hAnsi="Cambria Math" w:eastAsia="Times New Roman" w:cs="Times New Roman"/>
                  <w:b w:val="0"/>
                  <w:bCs w:val="0"/>
                  <w:i w:val="0"/>
                  <w:sz w:val="24"/>
                  <w:szCs w:val="24"/>
                </w:rPr>
                <m:t>i</m:t>
              </m:r>
              <m:ctrlPr>
                <w:rPr>
                  <w:rStyle w:val="25"/>
                  <w:rFonts w:hint="default" w:ascii="Cambria Math" w:hAnsi="Cambria Math" w:eastAsia="Times New Roman" w:cs="Times New Roman"/>
                  <w:b w:val="0"/>
                  <w:bCs w:val="0"/>
                  <w:iCs/>
                  <w:sz w:val="24"/>
                  <w:szCs w:val="24"/>
                </w:rPr>
              </m:ctrlPr>
            </m:sub>
          </m:sSub>
          <m:r>
            <m:rPr>
              <m:nor/>
              <m:sty m:val="p"/>
            </m:rPr>
            <w:rPr>
              <w:rStyle w:val="25"/>
              <w:rFonts w:hint="default" w:ascii="Cambria Math" w:hAnsi="Cambria Math" w:eastAsia="Times New Roman" w:cs="Times New Roman"/>
              <w:b w:val="0"/>
              <w:bCs w:val="0"/>
              <w:i w:val="0"/>
              <w:sz w:val="24"/>
              <w:szCs w:val="24"/>
            </w:rPr>
            <m:t xml:space="preserve">&lt;0 </m:t>
          </m:r>
          <m:d>
            <m:dPr>
              <m:ctrlPr>
                <w:rPr>
                  <w:rStyle w:val="25"/>
                  <w:rFonts w:hint="default" w:ascii="Cambria Math" w:hAnsi="Cambria Math" w:eastAsia="Times New Roman" w:cs="Times New Roman"/>
                  <w:b w:val="0"/>
                  <w:bCs w:val="0"/>
                  <w:sz w:val="24"/>
                  <w:szCs w:val="24"/>
                </w:rPr>
              </m:ctrlPr>
            </m:dPr>
            <m:e>
              <m:r>
                <m:rPr>
                  <m:nor/>
                  <m:sty m:val="p"/>
                </m:rPr>
                <w:rPr>
                  <w:rStyle w:val="25"/>
                  <w:rFonts w:hint="default" w:ascii="Cambria Math" w:hAnsi="Cambria Math" w:eastAsia="Times New Roman" w:cs="Times New Roman"/>
                  <w:b w:val="0"/>
                  <w:bCs w:val="0"/>
                  <w:i w:val="0"/>
                  <w:sz w:val="24"/>
                  <w:szCs w:val="24"/>
                </w:rPr>
                <m:t>stationary</m:t>
              </m:r>
              <m:ctrlPr>
                <w:rPr>
                  <w:rStyle w:val="25"/>
                  <w:rFonts w:hint="default" w:ascii="Cambria Math" w:hAnsi="Cambria Math" w:eastAsia="Times New Roman" w:cs="Times New Roman"/>
                  <w:b w:val="0"/>
                  <w:bCs w:val="0"/>
                  <w:sz w:val="24"/>
                  <w:szCs w:val="24"/>
                </w:rPr>
              </m:ctrlPr>
            </m:e>
          </m:d>
        </m:oMath>
      </m:oMathPara>
    </w:p>
    <w:p w14:paraId="6791C412">
      <w:pPr>
        <w:bidi w:val="0"/>
        <w:jc w:val="both"/>
        <w:rPr>
          <w:rFonts w:hint="default" w:ascii="Times New Roman" w:hAnsi="Times New Roman" w:cs="Times New Roman"/>
          <w:sz w:val="24"/>
          <w:szCs w:val="24"/>
        </w:rPr>
      </w:pPr>
      <w:r>
        <w:rPr>
          <w:rFonts w:hint="default" w:ascii="Times New Roman" w:hAnsi="Times New Roman" w:cs="Times New Roman"/>
          <w:sz w:val="24"/>
          <w:szCs w:val="24"/>
        </w:rPr>
        <w:t>They are tested on a series by series iii basis in the panel, via the SUR approach as a means of calculating efficient test statistics which takes into consideration the cross sectional correlation of the residuals. That procedure is referred to as a SURADF (Seemingly Unrelated Regression Augmented Dickey-Fuller) test. What makes it an advantage over other joint panel unit root tests is the fact that it does not only identify whether the entire group comprising the panel is stationary or not</w:t>
      </w:r>
      <w:r>
        <w:rPr>
          <w:rFonts w:hint="default" w:ascii="Times New Roman" w:hAnsi="Times New Roman" w:cs="Times New Roman"/>
          <w:sz w:val="24"/>
          <w:szCs w:val="24"/>
          <w:lang w:val="en-US"/>
        </w:rPr>
        <w:t>.</w:t>
      </w:r>
      <w:r>
        <w:rPr>
          <w:rFonts w:hint="default" w:ascii="Times New Roman" w:hAnsi="Times New Roman" w:cs="Times New Roman"/>
          <w:sz w:val="24"/>
          <w:szCs w:val="24"/>
        </w:rPr>
        <w:t>​</w:t>
      </w:r>
    </w:p>
    <w:p w14:paraId="1C24EE7E">
      <w:pPr>
        <w:bidi w:val="0"/>
        <w:jc w:val="both"/>
        <w:rPr>
          <w:rFonts w:hint="default" w:ascii="Times New Roman" w:hAnsi="Times New Roman" w:cs="Times New Roman"/>
          <w:sz w:val="24"/>
          <w:szCs w:val="24"/>
        </w:rPr>
      </w:pPr>
      <w:r>
        <w:rPr>
          <w:rFonts w:hint="default" w:ascii="Times New Roman" w:hAnsi="Times New Roman" w:cs="Times New Roman"/>
          <w:sz w:val="24"/>
          <w:szCs w:val="24"/>
        </w:rPr>
        <w:t>The Herwartz and Siedenburg test is critical to the time series forecasting and economic modeling in that it is determined how appropriate the transformations are and further calculations are determined. The increases the potency of findings on the explication that the variable is stationary or not using the unit root tests. In cases, where a series is not stationary then ordinary regressions then results are likely to yield spurious outcomes. Better Modeling: Assist in the determination of when to use difference model (non-stationary data), level model (stationary-data). Notes Cross-Sectional Dependence: It is also a unit-root test but with cross-section dependencies with precise results as compared to the ones earlier developed. Applicable in the Panel Size: The tool is also applicable in both the large and small scale panels thereby making it a very effective use in econometric modeler.</w:t>
      </w:r>
    </w:p>
    <w:p w14:paraId="56413AFF">
      <w:pPr>
        <w:bidi w:val="0"/>
        <w:jc w:val="both"/>
        <w:rPr>
          <w:rFonts w:hint="default" w:ascii="Times New Roman" w:hAnsi="Times New Roman" w:cs="Times New Roman"/>
          <w:sz w:val="24"/>
          <w:szCs w:val="24"/>
        </w:rPr>
      </w:pPr>
    </w:p>
    <w:p w14:paraId="3D1D1C80">
      <w:pPr>
        <w:pStyle w:val="3"/>
        <w:numPr>
          <w:ilvl w:val="0"/>
          <w:numId w:val="30"/>
        </w:numPr>
        <w:ind w:left="360" w:leftChars="0" w:firstLineChars="0"/>
        <w:rPr>
          <w:rFonts w:hint="default" w:ascii="Times New Roman" w:hAnsi="Times New Roman" w:eastAsia="Times New Roman" w:cs="Times New Roman"/>
          <w:sz w:val="24"/>
          <w:szCs w:val="24"/>
        </w:rPr>
      </w:pPr>
      <w:bookmarkStart w:id="94" w:name="_Toc10966"/>
      <w:bookmarkStart w:id="95" w:name="_Toc5535"/>
      <w:r>
        <w:rPr>
          <w:rFonts w:hint="default" w:ascii="Times New Roman" w:hAnsi="Times New Roman" w:eastAsia="Times New Roman" w:cs="Times New Roman"/>
          <w:sz w:val="24"/>
          <w:szCs w:val="24"/>
        </w:rPr>
        <w:t>Phase 4: Cointegration Test</w:t>
      </w:r>
      <w:bookmarkEnd w:id="94"/>
      <w:bookmarkEnd w:id="95"/>
      <w:r>
        <w:rPr>
          <w:rFonts w:hint="default" w:ascii="Times New Roman" w:hAnsi="Times New Roman" w:eastAsia="Times New Roman" w:cs="Times New Roman"/>
          <w:sz w:val="24"/>
          <w:szCs w:val="24"/>
        </w:rPr>
        <w:t xml:space="preserve"> </w:t>
      </w:r>
    </w:p>
    <w:p w14:paraId="409CC936">
      <w:pPr>
        <w:bidi w:val="0"/>
        <w:jc w:val="both"/>
        <w:rPr>
          <w:rFonts w:hint="default" w:ascii="Times New Roman" w:hAnsi="Times New Roman"/>
          <w:sz w:val="24"/>
          <w:szCs w:val="24"/>
        </w:rPr>
      </w:pPr>
    </w:p>
    <w:p w14:paraId="415704B1">
      <w:pPr>
        <w:bidi w:val="0"/>
        <w:ind w:firstLine="480" w:firstLineChars="200"/>
        <w:jc w:val="both"/>
        <w:rPr>
          <w:rFonts w:hint="default" w:ascii="Times New Roman" w:hAnsi="Times New Roman"/>
          <w:sz w:val="24"/>
          <w:szCs w:val="24"/>
        </w:rPr>
      </w:pPr>
      <w:r>
        <w:rPr>
          <w:rFonts w:hint="default" w:ascii="Times New Roman" w:hAnsi="Times New Roman"/>
          <w:sz w:val="24"/>
          <w:szCs w:val="24"/>
        </w:rPr>
        <w:t>The cointregation tests involve testing stability of long-run relationship of non-stationary variables. In an economic and financial setting, most of the macro economic variables tend to follow in the same direction, over time, on the basis of economic fundamentals. The advantage of the</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AuthorYear="1"&gt;&lt;Author&gt;Westerlund&lt;/Author&gt;&lt;Year&gt;2008&lt;/Year&gt;&lt;RecNum&gt;124&lt;/RecNum&gt;&lt;DisplayText&gt;Westerlund and Edgerton (2008)&lt;/DisplayText&gt;&lt;record&gt;&lt;rec-number&gt;124&lt;/rec-number&gt;&lt;foreign-keys&gt;&lt;key app="EN" db-id="2t52ftddjzwsxoerapx5vrxm2fdzpaza5sva" timestamp="1752856837"&gt;124&lt;/key&gt;&lt;/foreign-keys&gt;&lt;ref-type name="Journal Article"&gt;17&lt;/ref-type&gt;&lt;contributors&gt;&lt;authors&gt;&lt;author&gt;Westerlund, Joakim&lt;/author&gt;&lt;author&gt;Edgerton, David L&lt;/author&gt;&lt;/authors&gt;&lt;/contributors&gt;&lt;titles&gt;&lt;title&gt;A simple test for cointegration in dependent panels with structural breaks&lt;/title&gt;&lt;secondary-title&gt;Oxford Bulletin of Economics and statistics&lt;/secondary-title&gt;&lt;/titles&gt;&lt;periodical&gt;&lt;full-title&gt;Oxford Bulletin of Economics and statistics&lt;/full-title&gt;&lt;/periodical&gt;&lt;pages&gt;665-704&lt;/pages&gt;&lt;volume&gt;70&lt;/volume&gt;&lt;number&gt;5&lt;/number&gt;&lt;dates&gt;&lt;year&gt;2008&lt;/year&gt;&lt;/dates&gt;&lt;isbn&gt;0305-9049&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Westerlund and Edgerton (2008)</w:t>
      </w:r>
      <w:r>
        <w:rPr>
          <w:rFonts w:hint="default" w:ascii="Times New Roman" w:hAnsi="Times New Roman"/>
          <w:sz w:val="24"/>
          <w:szCs w:val="24"/>
          <w:lang w:val="en-US"/>
        </w:rPr>
        <w:fldChar w:fldCharType="end"/>
      </w:r>
      <w:r>
        <w:rPr>
          <w:rFonts w:hint="default" w:ascii="Times New Roman" w:hAnsi="Times New Roman"/>
          <w:sz w:val="24"/>
          <w:szCs w:val="24"/>
          <w:lang w:val="en-US"/>
        </w:rPr>
        <w:t xml:space="preserve"> </w:t>
      </w:r>
      <w:r>
        <w:rPr>
          <w:rFonts w:hint="default" w:ascii="Times New Roman" w:hAnsi="Times New Roman"/>
          <w:sz w:val="24"/>
          <w:szCs w:val="24"/>
        </w:rPr>
        <w:t>method is that structural break is considered, because with various policies, crises and technological innovations, economic relations can change. The test so adapted is especially useful when evaluating long term trends in the economy and financial time series.</w:t>
      </w:r>
    </w:p>
    <w:p w14:paraId="4EF134DD">
      <w:pPr>
        <w:pStyle w:val="12"/>
        <w:jc w:val="both"/>
        <w:rPr>
          <w:rFonts w:hint="default" w:ascii="Times New Roman" w:hAnsi="Times New Roman"/>
          <w:sz w:val="24"/>
          <w:szCs w:val="24"/>
          <w:lang w:val="en-US"/>
        </w:rPr>
      </w:pPr>
      <w:r>
        <w:rPr>
          <w:rFonts w:hint="default" w:ascii="Times New Roman" w:hAnsi="Times New Roman"/>
          <w:sz w:val="24"/>
          <w:szCs w:val="24"/>
        </w:rPr>
        <w:t xml:space="preserve">When it comes to macroeconomics and finance, the relationships between many variables (e.g. GDP and investment, exchange rates and inflation) are long-run. When variables are cointegrated, they move jointly with time implying an equilibrium type of relationship that still takes place even though there is short term volatility. Cointegration establishes the possibility to specify econometric models in levels, not in difference form, much information about long-term behaviour is not lost. The failure to recognize cointegration may lead to erroneous regression estimates and the wrong policy implications. This test is very crucial in engaging indirect proof approaches in the equilibrium models </w:t>
      </w:r>
      <w:r>
        <w:rPr>
          <w:rFonts w:hint="default" w:ascii="Times New Roman" w:hAnsi="Times New Roman"/>
          <w:sz w:val="24"/>
          <w:szCs w:val="24"/>
          <w:lang w:val="en-US"/>
        </w:rPr>
        <w:t>.</w:t>
      </w:r>
    </w:p>
    <w:p w14:paraId="57638D00">
      <w:pPr>
        <w:pStyle w:val="12"/>
        <w:jc w:val="both"/>
        <w:rPr>
          <w:rFonts w:hint="default" w:ascii="Times New Roman" w:hAnsi="Times New Roman"/>
          <w:sz w:val="24"/>
          <w:szCs w:val="24"/>
          <w:lang w:val="en-US"/>
        </w:rPr>
      </w:pPr>
    </w:p>
    <w:p w14:paraId="3DEA6D4C">
      <w:pPr>
        <w:pStyle w:val="12"/>
        <w:jc w:val="both"/>
      </w:pPr>
      <w:r>
        <w:rPr>
          <w:rFonts w:hint="default" w:ascii="Times New Roman" w:hAnsi="Times New Roman"/>
          <w:sz w:val="24"/>
          <w:szCs w:val="24"/>
        </w:rPr>
        <w:t xml:space="preserve"> </w:t>
      </w:r>
      <w:bookmarkStart w:id="96" w:name="_Hlk196166281"/>
      <w:r>
        <w:rPr>
          <w:b/>
          <w:bCs/>
          <w:u w:val="single"/>
        </w:rPr>
        <w:t>The Equation for</w:t>
      </w:r>
      <w:r>
        <w:rPr>
          <w:rFonts w:hint="default" w:ascii="Times New Roman" w:hAnsi="Times New Roman"/>
          <w:b/>
          <w:bCs/>
          <w:sz w:val="24"/>
          <w:szCs w:val="24"/>
          <w:u w:val="single"/>
          <w:lang w:val="en-US"/>
        </w:rPr>
        <w:fldChar w:fldCharType="begin"/>
      </w:r>
      <w:r>
        <w:rPr>
          <w:rFonts w:hint="default" w:ascii="Times New Roman" w:hAnsi="Times New Roman"/>
          <w:b/>
          <w:bCs/>
          <w:sz w:val="24"/>
          <w:szCs w:val="24"/>
          <w:u w:val="single"/>
          <w:lang w:val="en-US"/>
        </w:rPr>
        <w:instrText xml:space="preserve"> ADDIN EN.CITE &lt;EndNote&gt;&lt;Cite AuthorYear="1"&gt;&lt;Author&gt;Westerlund&lt;/Author&gt;&lt;Year&gt;2008&lt;/Year&gt;&lt;RecNum&gt;124&lt;/RecNum&gt;&lt;DisplayText&gt;Westerlund and Edgerton (2008)&lt;/DisplayText&gt;&lt;record&gt;&lt;rec-number&gt;124&lt;/rec-number&gt;&lt;foreign-keys&gt;&lt;key app="EN" db-id="2t52ftddjzwsxoerapx5vrxm2fdzpaza5sva" timestamp="1752856837"&gt;124&lt;/key&gt;&lt;/foreign-keys&gt;&lt;ref-type name="Journal Article"&gt;17&lt;/ref-type&gt;&lt;contributors&gt;&lt;authors&gt;&lt;author&gt;Westerlund, Joakim&lt;/author&gt;&lt;author&gt;Edgerton, David L&lt;/author&gt;&lt;/authors&gt;&lt;/contributors&gt;&lt;titles&gt;&lt;title&gt;A simple test for cointegration in dependent panels with structural breaks&lt;/title&gt;&lt;secondary-title&gt;Oxford Bulletin of Economics and statistics&lt;/secondary-title&gt;&lt;/titles&gt;&lt;periodical&gt;&lt;full-title&gt;Oxford Bulletin of Economics and statistics&lt;/full-title&gt;&lt;/periodical&gt;&lt;pages&gt;665-704&lt;/pages&gt;&lt;volume&gt;70&lt;/volume&gt;&lt;number&gt;5&lt;/number&gt;&lt;dates&gt;&lt;year&gt;2008&lt;/year&gt;&lt;/dates&gt;&lt;isbn&gt;0305-9049&lt;/isbn&gt;&lt;urls&gt;&lt;/urls&gt;&lt;/record&gt;&lt;/Cite&gt;&lt;/EndNote&gt;</w:instrText>
      </w:r>
      <w:r>
        <w:rPr>
          <w:rFonts w:hint="default" w:ascii="Times New Roman" w:hAnsi="Times New Roman"/>
          <w:b/>
          <w:bCs/>
          <w:sz w:val="24"/>
          <w:szCs w:val="24"/>
          <w:u w:val="single"/>
          <w:lang w:val="en-US"/>
        </w:rPr>
        <w:fldChar w:fldCharType="separate"/>
      </w:r>
      <w:r>
        <w:rPr>
          <w:rFonts w:hint="default" w:ascii="Times New Roman" w:hAnsi="Times New Roman" w:eastAsiaTheme="minorHAnsi" w:cstheme="minorBidi"/>
          <w:b/>
          <w:bCs/>
          <w:sz w:val="24"/>
          <w:szCs w:val="24"/>
          <w:u w:val="single"/>
          <w:lang w:val="en-US" w:eastAsia="en-US" w:bidi="ar-SA"/>
        </w:rPr>
        <w:t>Westerlund and Edgerton (2008)</w:t>
      </w:r>
      <w:r>
        <w:rPr>
          <w:rFonts w:hint="default" w:ascii="Times New Roman" w:hAnsi="Times New Roman"/>
          <w:b/>
          <w:bCs/>
          <w:sz w:val="24"/>
          <w:szCs w:val="24"/>
          <w:u w:val="single"/>
          <w:lang w:val="en-US"/>
        </w:rPr>
        <w:fldChar w:fldCharType="end"/>
      </w:r>
      <w:r>
        <w:rPr>
          <w:b/>
          <w:bCs/>
          <w:u w:val="single"/>
        </w:rPr>
        <w:t xml:space="preserve"> is as follows:</w:t>
      </w:r>
      <w:bookmarkEnd w:id="96"/>
    </w:p>
    <w:p w14:paraId="2BB83E4B">
      <w:pPr>
        <w:bidi w:val="0"/>
      </w:pPr>
      <m:oMath>
        <m:r>
          <m:rPr>
            <m:nor/>
            <m:sty m:val="p"/>
          </m:rPr>
          <w:rPr>
            <w:rFonts w:hint="default" w:ascii="Cambria Math" w:hAnsi="Cambria Math"/>
            <w:b w:val="0"/>
            <w:i w:val="0"/>
            <w:sz w:val="24"/>
            <w:szCs w:val="24"/>
          </w:rPr>
          <m:t>∆</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 xml:space="preserve"> y </m:t>
            </m:r>
            <m:ctrlPr>
              <w:rPr>
                <w:rFonts w:hint="default" w:ascii="Cambria Math" w:hAnsi="Cambria Math"/>
                <w:sz w:val="24"/>
                <w:szCs w:val="24"/>
              </w:rPr>
            </m:ctrlPr>
          </m:e>
          <m:sub>
            <m:r>
              <m:rPr>
                <m:nor/>
                <m:sty m:val="p"/>
              </m:rPr>
              <w:rPr>
                <w:rFonts w:hint="default" w:ascii="Cambria Math" w:hAnsi="Cambria Math"/>
                <w:b w:val="0"/>
                <w:i w:val="0"/>
                <w:sz w:val="24"/>
                <w:szCs w:val="24"/>
              </w:rPr>
              <m:t>it</m:t>
            </m:r>
            <m:ctrlPr>
              <w:rPr>
                <w:rFonts w:hint="default" w:ascii="Cambria Math" w:hAnsi="Cambria Math"/>
                <w:sz w:val="24"/>
                <w:szCs w:val="24"/>
              </w:rPr>
            </m:ctrlPr>
          </m:sub>
        </m:sSub>
        <m:r>
          <m:rPr>
            <m:nor/>
            <m:sty m:val="p"/>
          </m:rPr>
          <w:rPr>
            <w:rFonts w:hint="default" w:ascii="Cambria Math" w:hAnsi="Cambria Math"/>
            <w:b w:val="0"/>
            <w:i w:val="0"/>
            <w:sz w:val="24"/>
            <w:szCs w:val="24"/>
          </w:rPr>
          <m:t xml:space="preserve">= </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α</m:t>
            </m:r>
            <m:ctrlPr>
              <w:rPr>
                <w:rFonts w:hint="default" w:ascii="Cambria Math" w:hAnsi="Cambria Math"/>
                <w:sz w:val="24"/>
                <w:szCs w:val="24"/>
              </w:rPr>
            </m:ctrlPr>
          </m:e>
          <m:sub>
            <m:r>
              <m:rPr>
                <m:nor/>
                <m:sty m:val="p"/>
              </m:rPr>
              <w:rPr>
                <w:rFonts w:hint="default" w:ascii="Cambria Math" w:hAnsi="Cambria Math"/>
                <w:b w:val="0"/>
                <w:i w:val="0"/>
                <w:sz w:val="24"/>
                <w:szCs w:val="24"/>
              </w:rPr>
              <m:t>i</m:t>
            </m:r>
            <m:ctrlPr>
              <w:rPr>
                <w:rFonts w:hint="default" w:ascii="Cambria Math" w:hAnsi="Cambria Math"/>
                <w:sz w:val="24"/>
                <w:szCs w:val="24"/>
              </w:rPr>
            </m:ctrlPr>
          </m:sub>
        </m:sSub>
        <m:r>
          <m:rPr>
            <m:nor/>
            <m:sty m:val="p"/>
          </m:rPr>
          <w:rPr>
            <w:rFonts w:hint="default" w:ascii="Cambria Math" w:hAnsi="Cambria Math"/>
            <w:b w:val="0"/>
            <w:i w:val="0"/>
            <w:sz w:val="24"/>
            <w:szCs w:val="24"/>
          </w:rPr>
          <m:t xml:space="preserve">+ </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δ</m:t>
            </m:r>
            <m:ctrlPr>
              <w:rPr>
                <w:rFonts w:hint="default" w:ascii="Cambria Math" w:hAnsi="Cambria Math"/>
                <w:sz w:val="24"/>
                <w:szCs w:val="24"/>
              </w:rPr>
            </m:ctrlPr>
          </m:e>
          <m:sub>
            <m:r>
              <m:rPr>
                <m:nor/>
                <m:sty m:val="p"/>
              </m:rPr>
              <w:rPr>
                <w:rFonts w:hint="default" w:ascii="Cambria Math" w:hAnsi="Cambria Math"/>
                <w:b w:val="0"/>
                <w:i w:val="0"/>
                <w:sz w:val="24"/>
                <w:szCs w:val="24"/>
              </w:rPr>
              <m:t>i</m:t>
            </m:r>
            <m:ctrlPr>
              <w:rPr>
                <w:rFonts w:hint="default" w:ascii="Cambria Math" w:hAnsi="Cambria Math"/>
                <w:sz w:val="24"/>
                <w:szCs w:val="24"/>
              </w:rPr>
            </m:ctrlPr>
          </m:sub>
        </m:sSub>
        <m:r>
          <m:rPr>
            <m:nor/>
            <m:sty m:val="p"/>
          </m:rPr>
          <w:rPr>
            <w:rFonts w:hint="default" w:ascii="Cambria Math" w:hAnsi="Cambria Math"/>
            <w:b w:val="0"/>
            <w:i w:val="0"/>
            <w:sz w:val="24"/>
            <w:szCs w:val="24"/>
          </w:rPr>
          <m:t xml:space="preserve"> t+ </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π</m:t>
            </m:r>
            <m:ctrlPr>
              <w:rPr>
                <w:rFonts w:hint="default" w:ascii="Cambria Math" w:hAnsi="Cambria Math"/>
                <w:sz w:val="24"/>
                <w:szCs w:val="24"/>
              </w:rPr>
            </m:ctrlPr>
          </m:e>
          <m:sub>
            <m:r>
              <m:rPr>
                <m:nor/>
                <m:sty m:val="p"/>
              </m:rPr>
              <w:rPr>
                <w:rFonts w:hint="default" w:ascii="Cambria Math" w:hAnsi="Cambria Math"/>
                <w:b w:val="0"/>
                <w:i w:val="0"/>
                <w:sz w:val="24"/>
                <w:szCs w:val="24"/>
              </w:rPr>
              <m:t>i</m:t>
            </m:r>
            <m:ctrlPr>
              <w:rPr>
                <w:rFonts w:hint="default" w:ascii="Cambria Math" w:hAnsi="Cambria Math"/>
                <w:sz w:val="24"/>
                <w:szCs w:val="24"/>
              </w:rPr>
            </m:ctrlPr>
          </m:sub>
        </m:sSub>
        <m:r>
          <m:rPr>
            <m:nor/>
            <m:sty m:val="p"/>
          </m:rPr>
          <w:rPr>
            <w:rFonts w:hint="default" w:ascii="Cambria Math" w:hAnsi="Cambria Math"/>
            <w:b w:val="0"/>
            <w:i w:val="0"/>
            <w:sz w:val="24"/>
            <w:szCs w:val="24"/>
          </w:rPr>
          <m:t xml:space="preserve"> </m:t>
        </m:r>
        <m:d>
          <m:dPr>
            <m:ctrlPr>
              <w:rPr>
                <w:rFonts w:hint="default" w:ascii="Cambria Math" w:hAnsi="Cambria Math"/>
                <w:sz w:val="24"/>
                <w:szCs w:val="24"/>
              </w:rPr>
            </m:ctrlPr>
          </m:dPr>
          <m:e>
            <m:sSub>
              <m:sSubPr>
                <m:ctrlPr>
                  <w:rPr>
                    <w:rFonts w:hint="default" w:ascii="Cambria Math" w:hAnsi="Cambria Math"/>
                    <w:sz w:val="24"/>
                    <w:szCs w:val="24"/>
                  </w:rPr>
                </m:ctrlPr>
              </m:sSubPr>
              <m:e>
                <m:r>
                  <m:rPr>
                    <m:nor/>
                    <m:sty m:val="p"/>
                  </m:rPr>
                  <w:rPr>
                    <w:rFonts w:hint="default" w:ascii="Cambria Math" w:hAnsi="Cambria Math"/>
                    <w:b w:val="0"/>
                    <w:i w:val="0"/>
                    <w:sz w:val="24"/>
                    <w:szCs w:val="24"/>
                  </w:rPr>
                  <m:t xml:space="preserve"> y </m:t>
                </m:r>
                <m:ctrlPr>
                  <w:rPr>
                    <w:rFonts w:hint="default" w:ascii="Cambria Math" w:hAnsi="Cambria Math"/>
                    <w:sz w:val="24"/>
                    <w:szCs w:val="24"/>
                  </w:rPr>
                </m:ctrlPr>
              </m:e>
              <m:sub>
                <m:r>
                  <m:rPr>
                    <m:nor/>
                    <m:sty m:val="p"/>
                  </m:rPr>
                  <w:rPr>
                    <w:rFonts w:hint="default" w:ascii="Cambria Math" w:hAnsi="Cambria Math"/>
                    <w:b w:val="0"/>
                    <w:i w:val="0"/>
                    <w:sz w:val="24"/>
                    <w:szCs w:val="24"/>
                  </w:rPr>
                  <m:t>it−1</m:t>
                </m:r>
                <m:ctrlPr>
                  <w:rPr>
                    <w:rFonts w:hint="default" w:ascii="Cambria Math" w:hAnsi="Cambria Math"/>
                    <w:sz w:val="24"/>
                    <w:szCs w:val="24"/>
                  </w:rPr>
                </m:ctrlPr>
              </m:sub>
            </m:sSub>
            <m:r>
              <m:rPr>
                <m:nor/>
                <m:sty m:val="p"/>
              </m:rPr>
              <w:rPr>
                <w:rFonts w:hint="default" w:ascii="Cambria Math" w:hAnsi="Cambria Math"/>
                <w:b w:val="0"/>
                <w:i w:val="0"/>
                <w:sz w:val="24"/>
                <w:szCs w:val="24"/>
              </w:rPr>
              <m:t xml:space="preserve">− </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β</m:t>
                </m:r>
                <m:ctrlPr>
                  <w:rPr>
                    <w:rFonts w:hint="default" w:ascii="Cambria Math" w:hAnsi="Cambria Math"/>
                    <w:sz w:val="24"/>
                    <w:szCs w:val="24"/>
                  </w:rPr>
                </m:ctrlPr>
              </m:e>
              <m:sub>
                <m:r>
                  <m:rPr>
                    <m:nor/>
                    <m:sty m:val="p"/>
                  </m:rPr>
                  <w:rPr>
                    <w:rFonts w:hint="default" w:ascii="Cambria Math" w:hAnsi="Cambria Math"/>
                    <w:b w:val="0"/>
                    <w:i w:val="0"/>
                    <w:sz w:val="24"/>
                    <w:szCs w:val="24"/>
                  </w:rPr>
                  <m:t>i</m:t>
                </m:r>
                <m:ctrlPr>
                  <w:rPr>
                    <w:rFonts w:hint="default" w:ascii="Cambria Math" w:hAnsi="Cambria Math"/>
                    <w:sz w:val="24"/>
                    <w:szCs w:val="24"/>
                  </w:rPr>
                </m:ctrlPr>
              </m:sub>
            </m:sSub>
            <m:sSub>
              <m:sSubPr>
                <m:ctrlPr>
                  <w:rPr>
                    <w:rFonts w:hint="default" w:ascii="Cambria Math" w:hAnsi="Cambria Math"/>
                    <w:sz w:val="24"/>
                    <w:szCs w:val="24"/>
                  </w:rPr>
                </m:ctrlPr>
              </m:sSubPr>
              <m:e>
                <m:r>
                  <m:rPr>
                    <m:nor/>
                    <m:sty m:val="p"/>
                  </m:rPr>
                  <w:rPr>
                    <w:rFonts w:hint="default" w:ascii="Cambria Math" w:hAnsi="Cambria Math"/>
                    <w:b w:val="0"/>
                    <w:i w:val="0"/>
                    <w:sz w:val="24"/>
                    <w:szCs w:val="24"/>
                  </w:rPr>
                  <m:t>x</m:t>
                </m:r>
                <m:ctrlPr>
                  <w:rPr>
                    <w:rFonts w:hint="default" w:ascii="Cambria Math" w:hAnsi="Cambria Math"/>
                    <w:sz w:val="24"/>
                    <w:szCs w:val="24"/>
                  </w:rPr>
                </m:ctrlPr>
              </m:e>
              <m:sub>
                <m:r>
                  <m:rPr>
                    <m:nor/>
                    <m:sty m:val="p"/>
                  </m:rPr>
                  <w:rPr>
                    <w:rFonts w:hint="default" w:ascii="Cambria Math" w:hAnsi="Cambria Math"/>
                    <w:b w:val="0"/>
                    <w:i w:val="0"/>
                    <w:sz w:val="24"/>
                    <w:szCs w:val="24"/>
                  </w:rPr>
                  <m:t>it−1</m:t>
                </m:r>
                <m:ctrlPr>
                  <w:rPr>
                    <w:rFonts w:hint="default" w:ascii="Cambria Math" w:hAnsi="Cambria Math"/>
                    <w:sz w:val="24"/>
                    <w:szCs w:val="24"/>
                  </w:rPr>
                </m:ctrlPr>
              </m:sub>
            </m:sSub>
            <m:ctrlPr>
              <w:rPr>
                <w:rFonts w:hint="default" w:ascii="Cambria Math" w:hAnsi="Cambria Math"/>
                <w:sz w:val="24"/>
                <w:szCs w:val="24"/>
              </w:rPr>
            </m:ctrlPr>
          </m:e>
        </m:d>
        <m:r>
          <m:rPr>
            <m:nor/>
            <m:sty m:val="p"/>
          </m:rPr>
          <w:rPr>
            <w:rFonts w:hint="default" w:ascii="Cambria Math" w:hAnsi="Cambria Math"/>
            <w:b w:val="0"/>
            <w:i w:val="0"/>
            <w:sz w:val="24"/>
            <w:szCs w:val="24"/>
          </w:rPr>
          <m:t>+</m:t>
        </m:r>
        <m:r>
          <m:rPr>
            <m:nor/>
            <m:sty m:val="p"/>
          </m:rPr>
          <w:rPr>
            <w:rFonts w:hint="default" w:ascii="Cambria Math" w:hAnsi="Cambria Math"/>
            <w:b w:val="0"/>
            <w:i w:val="0"/>
            <w:sz w:val="24"/>
            <w:szCs w:val="24"/>
            <w:lang w:val="en-US"/>
          </w:rPr>
          <m:t xml:space="preserve"> </m:t>
        </m:r>
        <m:nary>
          <m:naryPr>
            <m:chr m:val="∑"/>
            <m:limLoc m:val="undOvr"/>
            <m:ctrlPr>
              <w:rPr>
                <w:rFonts w:hint="default" w:ascii="Cambria Math" w:hAnsi="Cambria Math"/>
                <w:sz w:val="24"/>
                <w:szCs w:val="24"/>
              </w:rPr>
            </m:ctrlPr>
          </m:naryPr>
          <m:sub>
            <m:r>
              <m:rPr>
                <m:nor/>
                <m:sty m:val="p"/>
              </m:rPr>
              <w:rPr>
                <w:rFonts w:hint="default" w:ascii="Cambria Math" w:hAnsi="Cambria Math"/>
                <w:b w:val="0"/>
                <w:i w:val="0"/>
                <w:sz w:val="24"/>
                <w:szCs w:val="24"/>
              </w:rPr>
              <m:t>j−1</m:t>
            </m:r>
            <m:ctrlPr>
              <w:rPr>
                <w:rFonts w:hint="default" w:ascii="Cambria Math" w:hAnsi="Cambria Math"/>
                <w:sz w:val="24"/>
                <w:szCs w:val="24"/>
              </w:rPr>
            </m:ctrlPr>
          </m:sub>
          <m:sup>
            <m:r>
              <m:rPr>
                <m:nor/>
                <m:sty m:val="p"/>
              </m:rPr>
              <w:rPr>
                <w:rFonts w:hint="default" w:ascii="Cambria Math" w:hAnsi="Cambria Math"/>
                <w:b w:val="0"/>
                <w:i w:val="0"/>
                <w:sz w:val="24"/>
                <w:szCs w:val="24"/>
              </w:rPr>
              <m:t>p</m:t>
            </m:r>
            <m:ctrlPr>
              <w:rPr>
                <w:rFonts w:hint="default" w:ascii="Cambria Math" w:hAnsi="Cambria Math"/>
                <w:sz w:val="24"/>
                <w:szCs w:val="24"/>
              </w:rPr>
            </m:ctrlPr>
          </m:sup>
          <m:e>
            <m:sSub>
              <m:sSubPr>
                <m:ctrlPr>
                  <w:rPr>
                    <w:rFonts w:hint="default" w:ascii="Cambria Math" w:hAnsi="Cambria Math"/>
                    <w:sz w:val="24"/>
                    <w:szCs w:val="24"/>
                  </w:rPr>
                </m:ctrlPr>
              </m:sSubPr>
              <m:e>
                <m:r>
                  <m:rPr>
                    <m:nor/>
                    <m:sty m:val="p"/>
                  </m:rPr>
                  <w:rPr>
                    <w:rFonts w:hint="default" w:ascii="Cambria Math" w:hAnsi="Cambria Math"/>
                    <w:b w:val="0"/>
                    <w:i w:val="0"/>
                    <w:sz w:val="24"/>
                    <w:szCs w:val="24"/>
                  </w:rPr>
                  <m:t>γ</m:t>
                </m:r>
                <m:ctrlPr>
                  <w:rPr>
                    <w:rFonts w:hint="default" w:ascii="Cambria Math" w:hAnsi="Cambria Math"/>
                    <w:sz w:val="24"/>
                    <w:szCs w:val="24"/>
                  </w:rPr>
                </m:ctrlPr>
              </m:e>
              <m:sub>
                <m:r>
                  <m:rPr>
                    <m:nor/>
                    <m:sty m:val="p"/>
                  </m:rPr>
                  <w:rPr>
                    <w:rFonts w:hint="default" w:ascii="Cambria Math" w:hAnsi="Cambria Math"/>
                    <w:b w:val="0"/>
                    <w:i w:val="0"/>
                    <w:sz w:val="24"/>
                    <w:szCs w:val="24"/>
                  </w:rPr>
                  <m:t>ij</m:t>
                </m:r>
                <m:ctrlPr>
                  <w:rPr>
                    <w:rFonts w:hint="default" w:ascii="Cambria Math" w:hAnsi="Cambria Math"/>
                    <w:sz w:val="24"/>
                    <w:szCs w:val="24"/>
                  </w:rPr>
                </m:ctrlPr>
              </m:sub>
            </m:sSub>
            <m:r>
              <m:rPr>
                <m:nor/>
                <m:sty m:val="p"/>
              </m:rPr>
              <w:rPr>
                <w:rFonts w:hint="default" w:ascii="Cambria Math" w:hAnsi="Cambria Math"/>
                <w:b w:val="0"/>
                <w:i w:val="0"/>
                <w:sz w:val="24"/>
                <w:szCs w:val="24"/>
              </w:rPr>
              <m:t>∆</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 xml:space="preserve"> y </m:t>
                </m:r>
                <m:ctrlPr>
                  <w:rPr>
                    <w:rFonts w:hint="default" w:ascii="Cambria Math" w:hAnsi="Cambria Math"/>
                    <w:sz w:val="24"/>
                    <w:szCs w:val="24"/>
                  </w:rPr>
                </m:ctrlPr>
              </m:e>
              <m:sub>
                <m:r>
                  <m:rPr>
                    <m:nor/>
                    <m:sty m:val="p"/>
                  </m:rPr>
                  <w:rPr>
                    <w:rFonts w:hint="default" w:ascii="Cambria Math" w:hAnsi="Cambria Math"/>
                    <w:b w:val="0"/>
                    <w:i w:val="0"/>
                    <w:sz w:val="24"/>
                    <w:szCs w:val="24"/>
                  </w:rPr>
                  <m:t>it−j</m:t>
                </m:r>
                <m:ctrlPr>
                  <w:rPr>
                    <w:rFonts w:hint="default" w:ascii="Cambria Math" w:hAnsi="Cambria Math"/>
                    <w:sz w:val="24"/>
                    <w:szCs w:val="24"/>
                  </w:rPr>
                </m:ctrlPr>
              </m:sub>
            </m:sSub>
            <m:ctrlPr>
              <w:rPr>
                <w:rFonts w:hint="default" w:ascii="Cambria Math" w:hAnsi="Cambria Math"/>
                <w:sz w:val="24"/>
                <w:szCs w:val="24"/>
              </w:rPr>
            </m:ctrlPr>
          </m:e>
        </m:nary>
        <m:r>
          <m:rPr>
            <m:nor/>
            <m:sty m:val="p"/>
          </m:rPr>
          <w:rPr>
            <w:rFonts w:hint="default" w:ascii="Cambria Math" w:hAnsi="Cambria Math"/>
            <w:b w:val="0"/>
            <w:i w:val="0"/>
            <w:sz w:val="24"/>
            <w:szCs w:val="24"/>
          </w:rPr>
          <m:t xml:space="preserve">+ </m:t>
        </m:r>
        <m:nary>
          <m:naryPr>
            <m:chr m:val="∑"/>
            <m:limLoc m:val="undOvr"/>
            <m:ctrlPr>
              <w:rPr>
                <w:rFonts w:hint="default" w:ascii="Cambria Math" w:hAnsi="Cambria Math"/>
                <w:sz w:val="24"/>
                <w:szCs w:val="24"/>
              </w:rPr>
            </m:ctrlPr>
          </m:naryPr>
          <m:sub>
            <m:r>
              <m:rPr>
                <m:nor/>
                <m:sty m:val="p"/>
              </m:rPr>
              <w:rPr>
                <w:rFonts w:hint="default" w:ascii="Cambria Math" w:hAnsi="Cambria Math"/>
                <w:b w:val="0"/>
                <w:i w:val="0"/>
                <w:sz w:val="24"/>
                <w:szCs w:val="24"/>
              </w:rPr>
              <m:t>j−0</m:t>
            </m:r>
            <m:ctrlPr>
              <w:rPr>
                <w:rFonts w:hint="default" w:ascii="Cambria Math" w:hAnsi="Cambria Math"/>
                <w:sz w:val="24"/>
                <w:szCs w:val="24"/>
              </w:rPr>
            </m:ctrlPr>
          </m:sub>
          <m:sup>
            <m:r>
              <m:rPr>
                <m:nor/>
                <m:sty m:val="p"/>
              </m:rPr>
              <w:rPr>
                <w:rFonts w:hint="default" w:ascii="Cambria Math" w:hAnsi="Cambria Math"/>
                <w:b w:val="0"/>
                <w:i w:val="0"/>
                <w:sz w:val="24"/>
                <w:szCs w:val="24"/>
              </w:rPr>
              <m:t>q</m:t>
            </m:r>
            <m:ctrlPr>
              <w:rPr>
                <w:rFonts w:hint="default" w:ascii="Cambria Math" w:hAnsi="Cambria Math"/>
                <w:sz w:val="24"/>
                <w:szCs w:val="24"/>
              </w:rPr>
            </m:ctrlPr>
          </m:sup>
          <m:e>
            <m:sSub>
              <m:sSubPr>
                <m:ctrlPr>
                  <w:rPr>
                    <w:rFonts w:hint="default" w:ascii="Cambria Math" w:hAnsi="Cambria Math"/>
                    <w:sz w:val="24"/>
                    <w:szCs w:val="24"/>
                  </w:rPr>
                </m:ctrlPr>
              </m:sSubPr>
              <m:e>
                <m:r>
                  <m:rPr>
                    <m:nor/>
                    <m:sty m:val="p"/>
                  </m:rPr>
                  <w:rPr>
                    <w:rFonts w:hint="default" w:ascii="Cambria Math" w:hAnsi="Cambria Math"/>
                    <w:b w:val="0"/>
                    <w:i w:val="0"/>
                    <w:sz w:val="24"/>
                    <w:szCs w:val="24"/>
                  </w:rPr>
                  <m:t>∅</m:t>
                </m:r>
                <m:ctrlPr>
                  <w:rPr>
                    <w:rFonts w:hint="default" w:ascii="Cambria Math" w:hAnsi="Cambria Math"/>
                    <w:sz w:val="24"/>
                    <w:szCs w:val="24"/>
                  </w:rPr>
                </m:ctrlPr>
              </m:e>
              <m:sub>
                <m:r>
                  <m:rPr>
                    <m:nor/>
                    <m:sty m:val="p"/>
                  </m:rPr>
                  <w:rPr>
                    <w:rFonts w:hint="default" w:ascii="Cambria Math" w:hAnsi="Cambria Math"/>
                    <w:b w:val="0"/>
                    <w:i w:val="0"/>
                    <w:sz w:val="24"/>
                    <w:szCs w:val="24"/>
                  </w:rPr>
                  <m:t>ij</m:t>
                </m:r>
                <m:ctrlPr>
                  <w:rPr>
                    <w:rFonts w:hint="default" w:ascii="Cambria Math" w:hAnsi="Cambria Math"/>
                    <w:sz w:val="24"/>
                    <w:szCs w:val="24"/>
                  </w:rPr>
                </m:ctrlPr>
              </m:sub>
            </m:sSub>
            <m:ctrlPr>
              <w:rPr>
                <w:rFonts w:hint="default" w:ascii="Cambria Math" w:hAnsi="Cambria Math"/>
                <w:sz w:val="24"/>
                <w:szCs w:val="24"/>
              </w:rPr>
            </m:ctrlPr>
          </m:e>
        </m:nary>
        <m:r>
          <m:rPr>
            <m:nor/>
            <m:sty m:val="p"/>
          </m:rPr>
          <w:rPr>
            <w:rFonts w:hint="default" w:ascii="Cambria Math" w:hAnsi="Cambria Math"/>
            <w:b w:val="0"/>
            <w:i w:val="0"/>
            <w:sz w:val="24"/>
            <w:szCs w:val="24"/>
          </w:rPr>
          <m:t>∆</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x</m:t>
            </m:r>
            <m:ctrlPr>
              <w:rPr>
                <w:rFonts w:hint="default" w:ascii="Cambria Math" w:hAnsi="Cambria Math"/>
                <w:sz w:val="24"/>
                <w:szCs w:val="24"/>
              </w:rPr>
            </m:ctrlPr>
          </m:e>
          <m:sub>
            <m:r>
              <m:rPr>
                <m:nor/>
                <m:sty m:val="p"/>
              </m:rPr>
              <w:rPr>
                <w:rFonts w:hint="default" w:ascii="Cambria Math" w:hAnsi="Cambria Math"/>
                <w:b w:val="0"/>
                <w:i w:val="0"/>
                <w:sz w:val="24"/>
                <w:szCs w:val="24"/>
              </w:rPr>
              <m:t>it−j</m:t>
            </m:r>
            <m:ctrlPr>
              <w:rPr>
                <w:rFonts w:hint="default" w:ascii="Cambria Math" w:hAnsi="Cambria Math"/>
                <w:sz w:val="24"/>
                <w:szCs w:val="24"/>
              </w:rPr>
            </m:ctrlP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 xml:space="preserve"> ε</m:t>
            </m:r>
            <m:ctrlPr>
              <w:rPr>
                <w:rFonts w:ascii="Cambria Math" w:hAnsi="Cambria Math"/>
                <w:sz w:val="24"/>
                <w:szCs w:val="24"/>
              </w:rPr>
            </m:ctrlPr>
          </m:e>
          <m:sub>
            <m:r>
              <m:rPr>
                <m:sty m:val="p"/>
              </m:rPr>
              <w:rPr>
                <w:rFonts w:ascii="Cambria Math" w:hAnsi="Cambria Math"/>
                <w:sz w:val="24"/>
                <w:szCs w:val="24"/>
              </w:rPr>
              <m:t>it</m:t>
            </m:r>
            <m:ctrlPr>
              <w:rPr>
                <w:rFonts w:ascii="Cambria Math" w:hAnsi="Cambria Math"/>
                <w:sz w:val="24"/>
                <w:szCs w:val="24"/>
              </w:rPr>
            </m:ctrlPr>
          </m:sub>
        </m:sSub>
      </m:oMath>
      <w:r>
        <w:t xml:space="preserve">  </w:t>
      </w:r>
      <w:r>
        <w:rPr>
          <w:rFonts w:hint="default"/>
          <w:lang w:val="en-US"/>
        </w:rPr>
        <w:t xml:space="preserve">     </w:t>
      </w:r>
      <w:r>
        <w:t xml:space="preserve"> </w:t>
      </w:r>
      <w:r>
        <w:rPr>
          <w:b/>
          <w:bCs/>
          <w:sz w:val="24"/>
          <w:szCs w:val="24"/>
        </w:rPr>
        <w:t>(4)</w:t>
      </w:r>
    </w:p>
    <w:p w14:paraId="322D82AF">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Where:</w:t>
      </w:r>
    </w:p>
    <w:p w14:paraId="16FB422D">
      <w:pPr>
        <w:numPr>
          <w:ilvl w:val="0"/>
          <w:numId w:val="31"/>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 xml:space="preserve"> y </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it</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xml:space="preserve">= Dependent variable </w:t>
      </w:r>
    </w:p>
    <w:p w14:paraId="40268094">
      <w:pPr>
        <w:numPr>
          <w:ilvl w:val="0"/>
          <w:numId w:val="31"/>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x</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it</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xml:space="preserve"> = Vector of independent variables </w:t>
      </w:r>
    </w:p>
    <w:p w14:paraId="46F15B5B">
      <w:pPr>
        <w:numPr>
          <w:ilvl w:val="0"/>
          <w:numId w:val="31"/>
        </w:numPr>
        <w:spacing w:before="100" w:beforeAutospacing="1" w:after="100" w:afterAutospacing="1" w:line="240" w:lineRule="auto"/>
        <w:jc w:val="both"/>
        <w:rPr>
          <w:rFonts w:hint="default" w:ascii="Times New Roman" w:hAnsi="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π</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 Speed of adjustment</w:t>
      </w:r>
    </w:p>
    <w:p w14:paraId="567F653C">
      <w:pPr>
        <w:numPr>
          <w:ilvl w:val="0"/>
          <w:numId w:val="31"/>
        </w:numPr>
        <w:spacing w:before="100" w:beforeAutospacing="1" w:after="100" w:afterAutospacing="1" w:line="240" w:lineRule="auto"/>
        <w:jc w:val="both"/>
        <w:rPr>
          <w:rFonts w:hint="default" w:ascii="Times New Roman" w:hAnsi="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oMath>
      <w:r>
        <w:rPr>
          <w:rFonts w:ascii="Times New Roman" w:hAnsi="Times New Roman" w:eastAsia="Times New Roman" w:cs="Times New Roman"/>
          <w:sz w:val="24"/>
          <w:szCs w:val="24"/>
        </w:rPr>
        <w:t>= Cointegration vector</w:t>
      </w:r>
    </w:p>
    <w:p w14:paraId="1CB0CB2A">
      <w:pPr>
        <w:bidi w:val="0"/>
        <w:jc w:val="both"/>
        <w:rPr>
          <w:rFonts w:hint="default" w:ascii="Times New Roman" w:hAnsi="Times New Roman" w:eastAsia="SimSun" w:cs="Times New Roman"/>
          <w:sz w:val="24"/>
          <w:szCs w:val="24"/>
          <w:lang w:val="en-US"/>
        </w:rPr>
      </w:pPr>
      <w:r>
        <w:rPr>
          <w:rFonts w:hint="default" w:ascii="Times New Roman" w:hAnsi="Times New Roman" w:eastAsia="SimSun"/>
          <w:sz w:val="24"/>
          <w:szCs w:val="24"/>
        </w:rPr>
        <w:t>The rates of adjustment term indicates the speed by which the deviations to the long run path are corrected in the</w:t>
      </w:r>
      <w:r>
        <w:rPr>
          <w:rFonts w:hint="default" w:ascii="Times New Roman" w:hAnsi="Times New Roman" w:eastAsia="SimSun" w:cs="Times New Roman"/>
          <w:sz w:val="24"/>
          <w:szCs w:val="24"/>
        </w:rPr>
        <w:t xml:space="preserve"> long run. A very high negative adjustment coefficient means that the system comes out of equilibrium but recovers quickly and it will stand by the fact that there is cointegration between the variables. The method is especially useful where cross-sectional heterogeneity and shock structural change are likely combined, offering a more powerful and pliable framework to long-run analysis of panel data</w:t>
      </w:r>
      <w:r>
        <w:rPr>
          <w:rFonts w:hint="default" w:ascii="Times New Roman" w:hAnsi="Times New Roman" w:eastAsia="SimSun" w:cs="Times New Roman"/>
          <w:sz w:val="24"/>
          <w:szCs w:val="24"/>
          <w:lang w:val="en-US"/>
        </w:rPr>
        <w:t xml:space="preserve">. </w:t>
      </w:r>
    </w:p>
    <w:p w14:paraId="27297156">
      <w:pPr>
        <w:bidi w:val="0"/>
        <w:jc w:val="both"/>
        <w:rPr>
          <w:rFonts w:hint="default" w:ascii="Times New Roman" w:hAnsi="Times New Roman"/>
          <w:sz w:val="24"/>
          <w:szCs w:val="24"/>
        </w:rPr>
      </w:pPr>
      <w:r>
        <w:rPr>
          <w:rFonts w:hint="default" w:ascii="Times New Roman" w:hAnsi="Times New Roman"/>
          <w:sz w:val="24"/>
          <w:szCs w:val="24"/>
        </w:rPr>
        <w:t>Long-Run Equilibrium Relationships Tests: Assists to establish whether there is some stable long-term relationship between economic variables despite short-term changes. Resistant to Structural Breaks: This method is robust to structural breaks whereas, most past cointegration tests are not. This is also important to economic and financial time series. Cross-sectionally Dependent: Makes sure that cross-sectional dependencies do not affect results. Directs Long-Run Policies: In case of cointegration, the effects of policies (being implemented in one of the variables) could have an effect on the others over the long term which is very important especially in fiscal, monetary and trade policies.</w:t>
      </w:r>
    </w:p>
    <w:p w14:paraId="78C7D255">
      <w:pPr>
        <w:bidi w:val="0"/>
        <w:jc w:val="both"/>
        <w:rPr>
          <w:rFonts w:hint="default" w:ascii="Times New Roman" w:hAnsi="Times New Roman"/>
          <w:sz w:val="24"/>
          <w:szCs w:val="24"/>
        </w:rPr>
      </w:pPr>
    </w:p>
    <w:p w14:paraId="180758EA">
      <w:pPr>
        <w:pStyle w:val="3"/>
        <w:numPr>
          <w:ilvl w:val="0"/>
          <w:numId w:val="32"/>
        </w:numPr>
        <w:ind w:left="360" w:leftChars="0" w:firstLineChars="0"/>
        <w:rPr>
          <w:rFonts w:hint="default" w:ascii="Times New Roman" w:hAnsi="Times New Roman" w:cs="Times New Roman"/>
          <w:sz w:val="24"/>
          <w:szCs w:val="24"/>
        </w:rPr>
      </w:pPr>
      <w:bookmarkStart w:id="97" w:name="_Toc13304"/>
      <w:bookmarkStart w:id="98" w:name="_Toc20686"/>
      <w:r>
        <w:rPr>
          <w:rFonts w:hint="default" w:ascii="Times New Roman" w:hAnsi="Times New Roman" w:eastAsia="Times New Roman" w:cs="Times New Roman"/>
          <w:sz w:val="24"/>
          <w:szCs w:val="24"/>
        </w:rPr>
        <w:t>Phase 5: Cross-Sectional ARDL (CS-ARDL)</w:t>
      </w:r>
      <w:bookmarkEnd w:id="97"/>
      <w:bookmarkEnd w:id="98"/>
      <w:r>
        <w:rPr>
          <w:rFonts w:hint="default" w:ascii="Times New Roman" w:hAnsi="Times New Roman" w:eastAsia="Times New Roman" w:cs="Times New Roman"/>
          <w:sz w:val="24"/>
          <w:szCs w:val="24"/>
        </w:rPr>
        <w:t xml:space="preserve"> </w:t>
      </w:r>
    </w:p>
    <w:p w14:paraId="6BEDF5B8">
      <w:pPr>
        <w:rPr>
          <w:rFonts w:hint="default"/>
        </w:rPr>
      </w:pPr>
    </w:p>
    <w:p w14:paraId="6E7F5185">
      <w:pPr>
        <w:bidi w:val="0"/>
        <w:ind w:firstLine="480" w:firstLineChars="200"/>
        <w:jc w:val="both"/>
        <w:rPr>
          <w:rFonts w:hint="default" w:ascii="Times New Roman" w:hAnsi="Times New Roman"/>
          <w:sz w:val="24"/>
          <w:szCs w:val="24"/>
        </w:rPr>
      </w:pPr>
      <w:r>
        <w:rPr>
          <w:rFonts w:hint="default" w:ascii="Times New Roman" w:hAnsi="Times New Roman"/>
          <w:sz w:val="24"/>
          <w:szCs w:val="24"/>
        </w:rPr>
        <w:t>Cross-Sectional Autoregressive Distributed Lag (CS-ARDL) is the panel data estimating model that aimed at testing both short and long terms for the dynamic movements of variables and the cross-sectional dependence.</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AuthorYear="1"&gt;&lt;Author&gt;Chudik&lt;/Author&gt;&lt;Year&gt;2015&lt;/Year&gt;&lt;RecNum&gt;123&lt;/RecNum&gt;&lt;DisplayText&gt;Chudik and Pesaran (2015)&lt;/DisplayText&gt;&lt;record&gt;&lt;rec-number&gt;123&lt;/rec-number&gt;&lt;foreign-keys&gt;&lt;key app="EN" db-id="2t52ftddjzwsxoerapx5vrxm2fdzpaza5sva" timestamp="1752856674"&gt;123&lt;/key&gt;&lt;/foreign-keys&gt;&lt;ref-type name="Journal Article"&gt;17&lt;/ref-type&gt;&lt;contributors&gt;&lt;authors&gt;&lt;author&gt;Chudik, Alexander&lt;/author&gt;&lt;author&gt;Pesaran, M Hashem&lt;/author&gt;&lt;/authors&gt;&lt;/contributors&gt;&lt;titles&gt;&lt;title&gt;Common correlated effects estimation of heterogeneous dynamic panel data models with weakly exogenous regressors&lt;/title&gt;&lt;secondary-title&gt;Journal of econometrics&lt;/secondary-title&gt;&lt;/titles&gt;&lt;periodical&gt;&lt;full-title&gt;Journal of econometrics&lt;/full-title&gt;&lt;/periodical&gt;&lt;pages&gt;393-420&lt;/pages&gt;&lt;volume&gt;188&lt;/volume&gt;&lt;number&gt;2&lt;/number&gt;&lt;dates&gt;&lt;year&gt;2015&lt;/year&gt;&lt;/dates&gt;&lt;isbn&gt;0304-4076&lt;/isbn&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Chudik and Pesaran (2015)</w:t>
      </w:r>
      <w:r>
        <w:rPr>
          <w:rFonts w:hint="default" w:ascii="Times New Roman" w:hAnsi="Times New Roman"/>
          <w:sz w:val="24"/>
          <w:szCs w:val="24"/>
          <w:lang w:val="en-US"/>
        </w:rPr>
        <w:fldChar w:fldCharType="end"/>
      </w:r>
      <w:r>
        <w:rPr>
          <w:rFonts w:hint="default" w:ascii="Times New Roman" w:hAnsi="Times New Roman"/>
          <w:sz w:val="24"/>
          <w:szCs w:val="24"/>
        </w:rPr>
        <w:t xml:space="preserve"> The dependence across sections particularly occurs in the real-world economies and macroeconomic or development contexts where nations or regions can affect each other by means of the trade, financial or appended scientific tendencies. ARDL models have a propensity of giving biased results in such circumstances and this is where CS-ARDL offers a better alternative.</w:t>
      </w:r>
    </w:p>
    <w:p w14:paraId="03BED157">
      <w:pPr>
        <w:bidi w:val="0"/>
        <w:jc w:val="both"/>
        <w:rPr>
          <w:rFonts w:hint="default" w:ascii="Times New Roman" w:hAnsi="Times New Roman"/>
          <w:sz w:val="24"/>
          <w:szCs w:val="24"/>
        </w:rPr>
      </w:pPr>
      <w:r>
        <w:rPr>
          <w:rFonts w:hint="default" w:ascii="Times New Roman" w:hAnsi="Times New Roman"/>
          <w:sz w:val="24"/>
          <w:szCs w:val="24"/>
        </w:rPr>
        <w:t>CS-ARDL models are of special interest in cases where variables under consideration are multiscale and available in more than a single country and such are digital payments, technological innovation, and financial inclusion, which may have a consequence on major development objectives such as zero hunger or industrial innovation. The model includes cross-sectional averages and lagged dependencies variables and independent variables in order to absorb standard shocks and reduce bias.</w:t>
      </w:r>
    </w:p>
    <w:p w14:paraId="072ECF7C">
      <w:pPr>
        <w:spacing w:before="100" w:beforeAutospacing="1" w:after="100" w:afterAutospacing="1" w:line="240" w:lineRule="auto"/>
        <w:jc w:val="both"/>
        <w:outlineLvl w:val="2"/>
        <w:rPr>
          <w:rFonts w:ascii="Times New Roman" w:hAnsi="Times New Roman" w:eastAsia="Times New Roman" w:cs="Times New Roman"/>
          <w:b/>
          <w:bCs/>
          <w:sz w:val="24"/>
          <w:szCs w:val="24"/>
          <w:u w:val="single"/>
        </w:rPr>
      </w:pPr>
      <w:bookmarkStart w:id="99" w:name="_Toc202870233"/>
      <w:bookmarkStart w:id="100" w:name="_Toc202686290"/>
      <w:bookmarkStart w:id="101" w:name="_Toc8298"/>
      <w:bookmarkStart w:id="102" w:name="_Toc19953"/>
      <w:bookmarkStart w:id="103" w:name="_Toc12755"/>
      <w:bookmarkStart w:id="104" w:name="_Toc12600"/>
      <w:bookmarkStart w:id="105" w:name="_Toc202685922"/>
      <w:bookmarkStart w:id="106" w:name="_Toc31106"/>
      <w:bookmarkStart w:id="107" w:name="_Toc202684868"/>
      <w:bookmarkStart w:id="108" w:name="_Toc21627"/>
      <w:r>
        <w:rPr>
          <w:rFonts w:ascii="Times New Roman" w:hAnsi="Times New Roman" w:eastAsia="Times New Roman" w:cs="Times New Roman"/>
          <w:b/>
          <w:bCs/>
          <w:sz w:val="24"/>
          <w:szCs w:val="24"/>
          <w:u w:val="single"/>
        </w:rPr>
        <w:t xml:space="preserve">CS-ARDL </w:t>
      </w:r>
      <w:bookmarkStart w:id="109" w:name="_Hlk196165633"/>
      <w:r>
        <w:rPr>
          <w:rFonts w:ascii="Times New Roman" w:hAnsi="Times New Roman" w:eastAsia="Times New Roman" w:cs="Times New Roman"/>
          <w:b/>
          <w:bCs/>
          <w:sz w:val="24"/>
          <w:szCs w:val="24"/>
          <w:u w:val="single"/>
        </w:rPr>
        <w:t>fundamental equation</w:t>
      </w:r>
      <w:bookmarkEnd w:id="109"/>
      <w:r>
        <w:rPr>
          <w:rFonts w:ascii="Times New Roman" w:hAnsi="Times New Roman" w:eastAsia="Times New Roman" w:cs="Times New Roman"/>
          <w:b/>
          <w:bCs/>
          <w:sz w:val="24"/>
          <w:szCs w:val="24"/>
          <w:u w:val="single"/>
        </w:rPr>
        <w:t>:</w:t>
      </w:r>
      <w:bookmarkEnd w:id="99"/>
      <w:bookmarkEnd w:id="100"/>
      <w:bookmarkEnd w:id="101"/>
      <w:bookmarkEnd w:id="102"/>
      <w:bookmarkEnd w:id="103"/>
      <w:bookmarkEnd w:id="104"/>
      <w:bookmarkEnd w:id="105"/>
      <w:bookmarkEnd w:id="106"/>
      <w:bookmarkEnd w:id="107"/>
      <w:bookmarkEnd w:id="108"/>
    </w:p>
    <w:p w14:paraId="1E8948AD">
      <w:pPr>
        <w:spacing w:before="100" w:beforeAutospacing="1" w:after="100" w:afterAutospacing="1" w:line="240" w:lineRule="auto"/>
        <w:jc w:val="both"/>
        <w:outlineLvl w:val="2"/>
        <w:rPr>
          <w:rFonts w:ascii="Times New Roman" w:hAnsi="Times New Roman" w:eastAsia="Times New Roman" w:cs="Times New Roman"/>
          <w:b/>
          <w:bCs/>
          <w:sz w:val="24"/>
          <w:szCs w:val="24"/>
        </w:rPr>
      </w:pPr>
      <m:oMath>
        <w:bookmarkStart w:id="110" w:name="_Toc202684869"/>
        <w:bookmarkStart w:id="111" w:name="_Toc202685923"/>
        <w:bookmarkStart w:id="112" w:name="_Toc202686291"/>
        <w:bookmarkStart w:id="113" w:name="_Toc202870234"/>
        <w:bookmarkStart w:id="114" w:name="_Toc25918"/>
        <w:bookmarkStart w:id="115" w:name="_Toc22150"/>
        <w:bookmarkStart w:id="116" w:name="_Toc2138"/>
        <w:bookmarkStart w:id="117" w:name="_Toc24019"/>
        <w:bookmarkStart w:id="118" w:name="_Toc18686"/>
        <w:bookmarkStart w:id="119" w:name="_Toc18936"/>
        <m:r>
          <m:rPr>
            <m:sty m:val="bi"/>
          </m:rPr>
          <w:rPr>
            <w:rFonts w:ascii="Cambria Math" w:hAnsi="Cambria Math" w:eastAsia="Times New Roman" w:cs="Times New Roman"/>
            <w:sz w:val="24"/>
            <w:szCs w:val="24"/>
          </w:rPr>
          <m:t>∆</m:t>
        </m:r>
        <m:sSub>
          <m:sSubPr>
            <m:ctrlPr>
              <w:rPr>
                <w:rFonts w:ascii="Cambria Math" w:hAnsi="Cambria Math" w:eastAsia="Times New Roman" w:cs="Times New Roman"/>
                <w:b/>
                <w:bCs/>
                <w:i/>
                <w:sz w:val="24"/>
                <w:szCs w:val="24"/>
              </w:rPr>
            </m:ctrlPr>
          </m:sSubPr>
          <m:e>
            <m:r>
              <m:rPr>
                <m:sty m:val="bi"/>
              </m:rPr>
              <w:rPr>
                <w:rFonts w:ascii="Cambria Math" w:hAnsi="Cambria Math" w:eastAsia="Times New Roman" w:cs="Times New Roman"/>
                <w:sz w:val="24"/>
                <w:szCs w:val="24"/>
              </w:rPr>
              <m:t>FS</m:t>
            </m:r>
            <m:ctrlPr>
              <w:rPr>
                <w:rFonts w:ascii="Cambria Math" w:hAnsi="Cambria Math" w:eastAsia="Times New Roman" w:cs="Times New Roman"/>
                <w:b/>
                <w:bCs/>
                <w:i/>
                <w:sz w:val="24"/>
                <w:szCs w:val="24"/>
              </w:rPr>
            </m:ctrlPr>
          </m:e>
          <m:sub>
            <m:r>
              <m:rPr>
                <m:sty m:val="bi"/>
              </m:rPr>
              <w:rPr>
                <w:rFonts w:ascii="Cambria Math" w:hAnsi="Cambria Math" w:eastAsia="Times New Roman" w:cs="Times New Roman"/>
                <w:sz w:val="24"/>
                <w:szCs w:val="24"/>
              </w:rPr>
              <m:t>it</m:t>
            </m:r>
            <m:ctrlPr>
              <w:rPr>
                <w:rFonts w:ascii="Cambria Math" w:hAnsi="Cambria Math" w:eastAsia="Times New Roman" w:cs="Times New Roman"/>
                <w:b/>
                <w:bCs/>
                <w:i/>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w:bookmarkStart w:id="120" w:name="_Hlk196080710"/>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p−1</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P</m:t>
            </m:r>
            <m:ctrlPr>
              <w:rPr>
                <w:rFonts w:ascii="Cambria Math" w:hAnsi="Cambria Math" w:eastAsia="Times New Roman" w:cs="Times New Roman"/>
                <w:iCs/>
                <w:sz w:val="24"/>
                <w:szCs w:val="24"/>
              </w:rPr>
            </m:ctrlPr>
          </m:sup>
          <m:e>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ip</m:t>
                </m:r>
                <w:bookmarkEnd w:id="120"/>
                <m:ctrlPr>
                  <w:rPr>
                    <w:rFonts w:ascii="Cambria Math" w:hAnsi="Cambria Math" w:eastAsia="Times New Roman" w:cs="Times New Roman"/>
                    <w:iCs/>
                    <w:sz w:val="24"/>
                    <w:szCs w:val="24"/>
                  </w:rPr>
                </m:ctrlPr>
              </m:sub>
            </m:sSub>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FS</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it−p</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q−0</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Q</m:t>
            </m:r>
            <m:ctrlPr>
              <w:rPr>
                <w:rFonts w:ascii="Cambria Math" w:hAnsi="Cambria Math" w:eastAsia="Times New Roman" w:cs="Times New Roman"/>
                <w:iCs/>
                <w:sz w:val="24"/>
                <w:szCs w:val="24"/>
              </w:rPr>
            </m:ctrlPr>
          </m:sup>
          <m:e>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X</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γ</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m:t>
            </m:r>
            <m:ctrlPr>
              <w:rPr>
                <w:rFonts w:ascii="Cambria Math" w:hAnsi="Cambria Math" w:eastAsia="Times New Roman" w:cs="Times New Roman"/>
                <w:iCs/>
                <w:sz w:val="24"/>
                <w:szCs w:val="24"/>
              </w:rPr>
            </m:ctrlPr>
          </m:sub>
        </m:sSub>
        <m:sSub>
          <m:sSubPr>
            <m:ctrlPr>
              <w:rPr>
                <w:rFonts w:ascii="Cambria Math" w:hAnsi="Cambria Math" w:eastAsia="Times New Roman" w:cs="Times New Roman"/>
                <w:iCs/>
                <w:sz w:val="24"/>
                <w:szCs w:val="24"/>
              </w:rPr>
            </m:ctrlPr>
          </m:sSubPr>
          <m:e>
            <m:acc>
              <m:accPr>
                <m:chr m:val="̅"/>
                <m:ctrlPr>
                  <w:rPr>
                    <w:rFonts w:ascii="Cambria Math" w:hAnsi="Cambria Math" w:eastAsia="Times New Roman" w:cs="Times New Roman"/>
                    <w:iCs/>
                    <w:sz w:val="24"/>
                    <w:szCs w:val="24"/>
                  </w:rPr>
                </m:ctrlPr>
              </m:accPr>
              <m:e>
                <m:r>
                  <m:rPr>
                    <m:sty m:val="p"/>
                  </m:rPr>
                  <w:rPr>
                    <w:rFonts w:ascii="Cambria Math" w:hAnsi="Cambria Math" w:eastAsia="Times New Roman" w:cs="Times New Roman"/>
                    <w:sz w:val="24"/>
                    <w:szCs w:val="24"/>
                  </w:rPr>
                  <m:t>F</m:t>
                </m:r>
                <m:ctrlPr>
                  <w:rPr>
                    <w:rFonts w:ascii="Cambria Math" w:hAnsi="Cambria Math" w:eastAsia="Times New Roman" w:cs="Times New Roman"/>
                    <w:iCs/>
                    <w:sz w:val="24"/>
                    <w:szCs w:val="24"/>
                  </w:rPr>
                </m:ctrlPr>
              </m:e>
            </m:acc>
            <m:r>
              <m:rPr>
                <m:sty m:val="p"/>
              </m:rPr>
              <w:rPr>
                <w:rFonts w:ascii="Cambria Math" w:hAnsi="Cambria Math" w:eastAsia="Times New Roman" w:cs="Times New Roman"/>
                <w:sz w:val="24"/>
                <w:szCs w:val="24"/>
              </w:rPr>
              <m:t>S</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t−1</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μ</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m:t>
            </m:r>
            <w:bookmarkEnd w:id="110"/>
            <w:bookmarkEnd w:id="111"/>
            <w:bookmarkEnd w:id="112"/>
            <m:ctrlPr>
              <w:rPr>
                <w:rFonts w:ascii="Cambria Math" w:hAnsi="Cambria Math" w:eastAsia="Times New Roman" w:cs="Times New Roman"/>
                <w:iCs/>
                <w:sz w:val="24"/>
                <w:szCs w:val="24"/>
              </w:rPr>
            </m:ctrlPr>
          </m:sub>
        </m:sSub>
      </m:oMath>
      <w:r>
        <w:rPr>
          <w:rFonts w:ascii="Times New Roman" w:hAnsi="Times New Roman" w:eastAsia="Times New Roman" w:cs="Times New Roman"/>
          <w:iCs/>
          <w:sz w:val="24"/>
          <w:szCs w:val="24"/>
        </w:rPr>
        <w:t xml:space="preserve">    </w:t>
      </w:r>
      <w:r>
        <w:rPr>
          <w:rFonts w:hint="default" w:ascii="Times New Roman" w:hAnsi="Times New Roman" w:eastAsia="Times New Roman" w:cs="Times New Roman"/>
          <w:iCs/>
          <w:sz w:val="24"/>
          <w:szCs w:val="24"/>
          <w:lang w:val="en-US"/>
        </w:rPr>
        <w:t xml:space="preserve">               </w:t>
      </w:r>
      <w:r>
        <w:rPr>
          <w:rFonts w:ascii="Times New Roman" w:hAnsi="Times New Roman" w:eastAsia="Times New Roman" w:cs="Times New Roman"/>
          <w:iCs/>
          <w:sz w:val="24"/>
          <w:szCs w:val="24"/>
        </w:rPr>
        <w:t xml:space="preserve">   </w:t>
      </w:r>
      <w:r>
        <w:rPr>
          <w:rFonts w:ascii="Times New Roman" w:hAnsi="Times New Roman" w:eastAsia="Times New Roman" w:cs="Times New Roman"/>
          <w:b/>
          <w:bCs/>
          <w:iCs/>
          <w:sz w:val="24"/>
          <w:szCs w:val="24"/>
        </w:rPr>
        <w:t>(5)</w:t>
      </w:r>
      <w:bookmarkEnd w:id="113"/>
      <w:bookmarkEnd w:id="114"/>
      <w:bookmarkEnd w:id="115"/>
      <w:bookmarkEnd w:id="116"/>
      <w:bookmarkEnd w:id="117"/>
      <w:bookmarkEnd w:id="118"/>
      <w:bookmarkEnd w:id="119"/>
    </w:p>
    <w:p w14:paraId="3C2F2775">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Where:</w:t>
      </w:r>
    </w:p>
    <w:p w14:paraId="78098E64">
      <w:pPr>
        <w:numPr>
          <w:ilvl w:val="0"/>
          <w:numId w:val="33"/>
        </w:numPr>
        <w:spacing w:before="100" w:beforeAutospacing="1" w:after="100" w:afterAutospacing="1" w:line="240" w:lineRule="auto"/>
        <w:jc w:val="both"/>
        <w:rPr>
          <w:rFonts w:ascii="Times New Roman" w:hAnsi="Times New Roman" w:eastAsia="Times New Roman" w:cs="Times New Roman"/>
          <w:sz w:val="24"/>
          <w:szCs w:val="24"/>
        </w:rPr>
      </w:pPr>
      <m:oMath>
        <m:r>
          <m:rPr>
            <m:sty m:val="bi"/>
          </m:rPr>
          <w:rPr>
            <w:rFonts w:ascii="Cambria Math" w:hAnsi="Cambria Math" w:eastAsia="Times New Roman" w:cs="Times New Roman"/>
            <w:sz w:val="24"/>
            <w:szCs w:val="24"/>
          </w:rPr>
          <m:t>∆</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FS</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m:t>
            </m:r>
            <m:ctrlPr>
              <w:rPr>
                <w:rFonts w:ascii="Cambria Math" w:hAnsi="Cambria Math" w:eastAsia="Times New Roman" w:cs="Times New Roman"/>
                <w:iCs/>
                <w:sz w:val="24"/>
                <w:szCs w:val="24"/>
              </w:rPr>
            </m:ctrlPr>
          </m:sub>
        </m:sSub>
        <m:r>
          <m:rPr>
            <m:sty m:val="bi"/>
          </m:rPr>
          <w:rPr>
            <w:rFonts w:ascii="Cambria Math" w:hAnsi="Cambria Math" w:eastAsia="Times New Roman" w:cs="Times New Roman"/>
            <w:sz w:val="24"/>
            <w:szCs w:val="24"/>
          </w:rPr>
          <m:t xml:space="preserve">= </m:t>
        </m:r>
      </m:oMath>
      <w:r>
        <w:rPr>
          <w:rFonts w:ascii="Times New Roman" w:hAnsi="Times New Roman" w:eastAsia="Times New Roman" w:cs="Times New Roman"/>
          <w:sz w:val="24"/>
          <w:szCs w:val="24"/>
        </w:rPr>
        <w:t xml:space="preserve">Change in the dependent variable </w:t>
      </w:r>
    </w:p>
    <w:p w14:paraId="21A878D5">
      <w:pPr>
        <w:numPr>
          <w:ilvl w:val="0"/>
          <w:numId w:val="33"/>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X</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it−q</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oMath>
      <w:r>
        <w:rPr>
          <w:rFonts w:ascii="Times New Roman" w:hAnsi="Times New Roman" w:eastAsia="Times New Roman" w:cs="Times New Roman"/>
          <w:sz w:val="24"/>
          <w:szCs w:val="24"/>
        </w:rPr>
        <w:t xml:space="preserve"> Lagged independent variables </w:t>
      </w:r>
    </w:p>
    <w:p w14:paraId="57304970">
      <w:pPr>
        <w:numPr>
          <w:ilvl w:val="0"/>
          <w:numId w:val="33"/>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acc>
              <m:accPr>
                <m:chr m:val="̅"/>
                <m:ctrlPr>
                  <w:rPr>
                    <w:rFonts w:ascii="Cambria Math" w:hAnsi="Cambria Math" w:eastAsia="Times New Roman" w:cs="Times New Roman"/>
                    <w:iCs/>
                    <w:sz w:val="24"/>
                    <w:szCs w:val="24"/>
                  </w:rPr>
                </m:ctrlPr>
              </m:accPr>
              <m:e>
                <m:r>
                  <m:rPr>
                    <m:sty m:val="p"/>
                  </m:rPr>
                  <w:rPr>
                    <w:rFonts w:ascii="Cambria Math" w:hAnsi="Cambria Math" w:eastAsia="Times New Roman" w:cs="Times New Roman"/>
                    <w:sz w:val="24"/>
                    <w:szCs w:val="24"/>
                  </w:rPr>
                  <m:t>F</m:t>
                </m:r>
                <m:ctrlPr>
                  <w:rPr>
                    <w:rFonts w:ascii="Cambria Math" w:hAnsi="Cambria Math" w:eastAsia="Times New Roman" w:cs="Times New Roman"/>
                    <w:iCs/>
                    <w:sz w:val="24"/>
                    <w:szCs w:val="24"/>
                  </w:rPr>
                </m:ctrlPr>
              </m:e>
            </m:acc>
            <m:r>
              <m:rPr>
                <m:sty m:val="p"/>
              </m:rPr>
              <w:rPr>
                <w:rFonts w:ascii="Cambria Math" w:hAnsi="Cambria Math" w:eastAsia="Times New Roman" w:cs="Times New Roman"/>
                <w:sz w:val="24"/>
                <w:szCs w:val="24"/>
              </w:rPr>
              <m:t>S</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t−1</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m:t>
        </m:r>
      </m:oMath>
      <w:r>
        <w:rPr>
          <w:rFonts w:ascii="Times New Roman" w:hAnsi="Times New Roman" w:eastAsia="Times New Roman" w:cs="Times New Roman"/>
          <w:sz w:val="24"/>
          <w:szCs w:val="24"/>
        </w:rPr>
        <w:t xml:space="preserve"> Cross-sectional average of lagged FS </w:t>
      </w:r>
    </w:p>
    <w:p w14:paraId="727E2128">
      <w:pPr>
        <w:numPr>
          <w:ilvl w:val="0"/>
          <w:numId w:val="33"/>
        </w:numPr>
        <w:spacing w:before="100" w:beforeAutospacing="1" w:after="100" w:afterAutospacing="1" w:line="240" w:lineRule="auto"/>
        <w:jc w:val="both"/>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 </m:t>
        </m:r>
      </m:oMath>
      <w:r>
        <w:rPr>
          <w:rFonts w:ascii="Times New Roman" w:hAnsi="Times New Roman" w:eastAsia="Times New Roman" w:cs="Times New Roman"/>
          <w:sz w:val="24"/>
          <w:szCs w:val="24"/>
        </w:rPr>
        <w:t xml:space="preserve"> Unit-specific intercept</w:t>
      </w:r>
    </w:p>
    <w:p w14:paraId="2225555B">
      <w:pPr>
        <w:numPr>
          <w:ilvl w:val="0"/>
          <w:numId w:val="33"/>
        </w:numPr>
        <w:spacing w:before="100" w:beforeAutospacing="1" w:after="100" w:afterAutospacing="1" w:line="240" w:lineRule="auto"/>
        <w:jc w:val="both"/>
        <w:rPr>
          <w:rFonts w:hint="default" w:ascii="Times New Roman" w:hAnsi="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μ</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oMath>
      <w:r>
        <w:rPr>
          <w:rFonts w:ascii="Times New Roman" w:hAnsi="Times New Roman" w:eastAsia="Times New Roman" w:cs="Times New Roman"/>
          <w:sz w:val="24"/>
          <w:szCs w:val="24"/>
        </w:rPr>
        <w:t>Error term</w:t>
      </w:r>
    </w:p>
    <w:p w14:paraId="2C9DDC42">
      <w:pPr>
        <w:bidi w:val="0"/>
        <w:jc w:val="both"/>
        <w:rPr>
          <w:rFonts w:hint="default" w:ascii="Times New Roman" w:hAnsi="Times New Roman"/>
          <w:sz w:val="24"/>
          <w:szCs w:val="24"/>
        </w:rPr>
      </w:pPr>
      <w:r>
        <w:rPr>
          <w:rFonts w:hint="default" w:ascii="Times New Roman" w:hAnsi="Times New Roman"/>
          <w:sz w:val="24"/>
          <w:szCs w:val="24"/>
        </w:rPr>
        <w:t>It estimates the variation in the dependent variable as a characteristic of previous value of the dependant variable and the past values of the independent variables, it also reflects cross-sectional means to capture the unwatched shared components, which have the probability of impacting on all the units. This model may incorporate these cross-sectional averages to avoid bias that may be caused by the correlation of shocks or spillover effects between units. The equation can take into consideration the heterogeneity in units in terms of individual intercepts and lag structures, hence flexible to a wide range of panel set ups. Altogether, the CS-ARDL model yields the stable and coherent results in case of the presence of the cross-sectional dependence and heterogeneity.</w:t>
      </w:r>
    </w:p>
    <w:p w14:paraId="2FC39309">
      <w:pPr>
        <w:bidi w:val="0"/>
        <w:jc w:val="both"/>
        <w:rPr>
          <w:rFonts w:hint="default" w:ascii="Times New Roman" w:hAnsi="Times New Roman"/>
          <w:sz w:val="24"/>
          <w:szCs w:val="24"/>
        </w:rPr>
      </w:pPr>
      <w:r>
        <w:rPr>
          <w:rFonts w:hint="default" w:ascii="Times New Roman" w:hAnsi="Times New Roman"/>
          <w:sz w:val="24"/>
          <w:szCs w:val="24"/>
        </w:rPr>
        <w:t>Catches both Short and Long-run Inferences By contrast with the static models, CS-ARDL estimates short runs and long runs in a single framework. Cross-Sectional Dependence Controls By adding cross-sectional means, the model adjusts to the common factors not observed in the data which can be influenced globally or regionally at a macro level, e.g. global economic shocks or regional policy trends. Mixed Integration Orders Compatible with Mixed Integration Orders Variables need not be stationary or of equal order of integration (e.g., I(0) or I(1)), which gives flexibility in modeling panel data. Enhances Policy Expertise aids in the evaluation of policy implications regarding alterations in one economic motive (e.g., technological discovery) and long-term results such as poverty control or industrial development in various nations. Best suited to Global and Regional Studies Can be particularly useful when big panels are involved that comprise of economically or geographically related nations or regions.</w:t>
      </w:r>
    </w:p>
    <w:p w14:paraId="6EB580AD">
      <w:pPr>
        <w:pStyle w:val="19"/>
        <w:spacing w:before="100" w:beforeAutospacing="1" w:after="100" w:afterAutospacing="1" w:line="240" w:lineRule="auto"/>
        <w:ind w:left="0" w:leftChars="0" w:firstLine="0" w:firstLineChars="0"/>
        <w:jc w:val="both"/>
        <w:outlineLvl w:val="2"/>
        <w:rPr>
          <w:rFonts w:ascii="Times New Roman" w:hAnsi="Times New Roman" w:cs="Times New Roman"/>
          <w:b/>
          <w:bCs/>
          <w:sz w:val="24"/>
          <w:szCs w:val="24"/>
          <w:u w:val="single"/>
        </w:rPr>
      </w:pPr>
      <w:bookmarkStart w:id="121" w:name="_Toc202685924"/>
      <w:bookmarkStart w:id="122" w:name="_Toc3588"/>
      <w:bookmarkStart w:id="123" w:name="_Toc11406"/>
      <w:bookmarkStart w:id="124" w:name="_Toc6205"/>
      <w:bookmarkStart w:id="125" w:name="_Toc4049"/>
      <w:bookmarkStart w:id="126" w:name="_Toc202870235"/>
      <w:bookmarkStart w:id="127" w:name="_Toc202686292"/>
      <w:bookmarkStart w:id="128" w:name="_Toc11907"/>
      <w:bookmarkStart w:id="129" w:name="_Toc202684870"/>
      <w:bookmarkStart w:id="130" w:name="_Toc10431"/>
      <w:bookmarkStart w:id="131" w:name="_Hlk202256622"/>
      <w:r>
        <w:rPr>
          <w:rFonts w:ascii="Times New Roman" w:hAnsi="Times New Roman" w:cs="Times New Roman"/>
          <w:b/>
          <w:bCs/>
          <w:sz w:val="24"/>
          <w:szCs w:val="24"/>
          <w:u w:val="single"/>
        </w:rPr>
        <w:t>CS-ARDL Equation</w:t>
      </w:r>
      <w:bookmarkStart w:id="132" w:name="_Hlk202258752"/>
      <w:r>
        <w:rPr>
          <w:rFonts w:ascii="Times New Roman" w:hAnsi="Times New Roman" w:cs="Times New Roman"/>
          <w:b/>
          <w:bCs/>
          <w:color w:val="auto"/>
          <w:sz w:val="24"/>
          <w:szCs w:val="24"/>
          <w:u w:val="single"/>
          <w:lang w:val="en-US"/>
        </w:rPr>
        <w:t xml:space="preserve"> </w:t>
      </w:r>
      <w:r>
        <w:rPr>
          <w:rFonts w:ascii="Times New Roman" w:hAnsi="Times New Roman" w:cs="Times New Roman"/>
          <w:b/>
          <w:bCs/>
          <w:color w:val="auto"/>
          <w:sz w:val="24"/>
          <w:szCs w:val="24"/>
          <w:u w:val="single"/>
          <w:lang w:val="en-US"/>
        </w:rPr>
        <w:fldChar w:fldCharType="begin"/>
      </w:r>
      <w:r>
        <w:rPr>
          <w:rFonts w:ascii="Times New Roman" w:hAnsi="Times New Roman" w:cs="Times New Roman"/>
          <w:b/>
          <w:bCs/>
          <w:color w:val="auto"/>
          <w:sz w:val="24"/>
          <w:szCs w:val="24"/>
          <w:u w:val="single"/>
          <w:lang w:val="en-US"/>
        </w:rPr>
        <w:instrText xml:space="preserve"> ADDIN EN.CITE &lt;EndNote&gt;&lt;Cite AuthorYear="1"&gt;&lt;Author&gt;Ismail&lt;/Author&gt;&lt;Year&gt;2024&lt;/Year&gt;&lt;RecNum&gt;122&lt;/RecNum&gt;&lt;DisplayText&gt;Ismail and Scholar (2024)&lt;/DisplayText&gt;&lt;record&gt;&lt;rec-number&gt;122&lt;/rec-number&gt;&lt;foreign-keys&gt;&lt;key app="EN" db-id="2t52ftddjzwsxoerapx5vrxm2fdzpaza5sva" timestamp="1752856104"&gt;122&lt;/key&gt;&lt;/foreign-keys&gt;&lt;ref-type name="Journal Article"&gt;17&lt;/ref-type&gt;&lt;contributors&gt;&lt;authors&gt;&lt;author&gt;Ismail, Muhammad&lt;/author&gt;&lt;author&gt;Scholar, Mphil&lt;/author&gt;&lt;/authors&gt;&lt;/contributors&gt;&lt;titles&gt;&lt;title&gt;The Impact of Climate Change on Zero Hunger in South Asia&lt;/title&gt;&lt;/titles&gt;&lt;dates&gt;&lt;year&gt;2024&lt;/year&gt;&lt;/dates&gt;&lt;urls&gt;&lt;/urls&gt;&lt;/record&gt;&lt;/Cite&gt;&lt;/EndNote&gt;</w:instrText>
      </w:r>
      <w:r>
        <w:rPr>
          <w:rFonts w:ascii="Times New Roman" w:hAnsi="Times New Roman" w:cs="Times New Roman"/>
          <w:b/>
          <w:bCs/>
          <w:color w:val="auto"/>
          <w:sz w:val="24"/>
          <w:szCs w:val="24"/>
          <w:u w:val="single"/>
          <w:lang w:val="en-US"/>
        </w:rPr>
        <w:fldChar w:fldCharType="separate"/>
      </w:r>
      <w:r>
        <w:rPr>
          <w:rFonts w:ascii="Times New Roman" w:hAnsi="Times New Roman" w:cs="Times New Roman" w:eastAsiaTheme="minorHAnsi"/>
          <w:b/>
          <w:bCs/>
          <w:color w:val="auto"/>
          <w:sz w:val="24"/>
          <w:szCs w:val="24"/>
          <w:u w:val="single"/>
          <w:lang w:val="en-US" w:eastAsia="en-US" w:bidi="ar-SA"/>
        </w:rPr>
        <w:t>Ismail and Scholar (2024)</w:t>
      </w:r>
      <w:r>
        <w:rPr>
          <w:rFonts w:ascii="Times New Roman" w:hAnsi="Times New Roman" w:cs="Times New Roman"/>
          <w:b/>
          <w:bCs/>
          <w:color w:val="auto"/>
          <w:sz w:val="24"/>
          <w:szCs w:val="24"/>
          <w:u w:val="single"/>
          <w:lang w:val="en-US"/>
        </w:rPr>
        <w:fldChar w:fldCharType="end"/>
      </w:r>
      <w:r>
        <w:rPr>
          <w:rFonts w:ascii="Times New Roman" w:hAnsi="Times New Roman" w:cs="Times New Roman"/>
          <w:b/>
          <w:bCs/>
          <w:color w:val="auto"/>
          <w:sz w:val="24"/>
          <w:szCs w:val="24"/>
          <w:u w:val="single"/>
        </w:rPr>
        <w:t>,</w:t>
      </w:r>
      <w:bookmarkEnd w:id="132"/>
      <w:r>
        <w:rPr>
          <w:rFonts w:ascii="Times New Roman" w:hAnsi="Times New Roman" w:cs="Times New Roman"/>
          <w:b/>
          <w:bCs/>
          <w:sz w:val="24"/>
          <w:szCs w:val="24"/>
          <w:u w:val="single"/>
        </w:rPr>
        <w:t xml:space="preserve"> for SDG 2:</w:t>
      </w:r>
      <w:bookmarkEnd w:id="121"/>
      <w:bookmarkEnd w:id="122"/>
      <w:bookmarkEnd w:id="123"/>
      <w:bookmarkEnd w:id="124"/>
      <w:bookmarkEnd w:id="125"/>
      <w:bookmarkEnd w:id="126"/>
      <w:bookmarkEnd w:id="127"/>
      <w:bookmarkEnd w:id="128"/>
      <w:bookmarkEnd w:id="129"/>
      <w:bookmarkEnd w:id="130"/>
    </w:p>
    <w:p w14:paraId="306184E3">
      <w:pPr>
        <w:pStyle w:val="19"/>
        <w:spacing w:before="100" w:beforeAutospacing="1" w:after="100" w:afterAutospacing="1" w:line="240" w:lineRule="auto"/>
        <w:ind w:left="0" w:leftChars="0" w:firstLine="0" w:firstLineChars="0"/>
        <w:jc w:val="both"/>
        <w:outlineLvl w:val="2"/>
        <w:rPr>
          <w:rFonts w:ascii="Times New Roman" w:hAnsi="Times New Roman" w:cs="Times New Roman"/>
          <w:sz w:val="24"/>
          <w:szCs w:val="24"/>
        </w:rPr>
      </w:pPr>
    </w:p>
    <w:p w14:paraId="665C2F18">
      <w:pPr>
        <w:pStyle w:val="19"/>
        <w:spacing w:before="100" w:beforeAutospacing="1" w:after="100" w:afterAutospacing="1" w:line="240" w:lineRule="auto"/>
        <w:jc w:val="both"/>
        <w:outlineLvl w:val="2"/>
        <w:rPr>
          <w:rFonts w:ascii="Times New Roman" w:hAnsi="Times New Roman" w:eastAsia="Times New Roman" w:cs="Times New Roman"/>
          <w:b/>
          <w:bCs/>
          <w:iCs/>
          <w:sz w:val="24"/>
          <w:szCs w:val="24"/>
        </w:rPr>
      </w:pPr>
      <m:oMath>
        <w:bookmarkStart w:id="133" w:name="_Toc202685925"/>
        <w:bookmarkStart w:id="134" w:name="_Toc202684871"/>
        <w:bookmarkStart w:id="135" w:name="_Toc202686293"/>
        <w:bookmarkStart w:id="136" w:name="_Toc24843"/>
        <w:bookmarkStart w:id="137" w:name="_Toc17797"/>
        <w:bookmarkStart w:id="138" w:name="_Toc30269"/>
        <w:bookmarkStart w:id="139" w:name="_Toc12850"/>
        <w:bookmarkStart w:id="140" w:name="_Toc202870236"/>
        <w:bookmarkStart w:id="141" w:name="_Toc2929"/>
        <w:bookmarkStart w:id="142" w:name="_Toc10791"/>
        <m:r>
          <m:rPr>
            <m:sty m:val="bi"/>
          </m:rPr>
          <w:rPr>
            <w:rFonts w:ascii="Cambria Math" w:hAnsi="Cambria Math" w:eastAsia="Times New Roman" w:cs="Times New Roman"/>
            <w:sz w:val="24"/>
            <w:szCs w:val="24"/>
          </w:rPr>
          <m:t>∆</m:t>
        </m:r>
        <m:sSub>
          <m:sSubPr>
            <m:ctrlPr>
              <w:rPr>
                <w:rFonts w:ascii="Cambria Math" w:hAnsi="Cambria Math" w:eastAsia="Times New Roman" w:cs="Times New Roman"/>
                <w:b/>
                <w:bCs/>
                <w:i/>
                <w:sz w:val="24"/>
                <w:szCs w:val="24"/>
              </w:rPr>
            </m:ctrlPr>
          </m:sSubPr>
          <m:e>
            <m:r>
              <m:rPr>
                <m:sty m:val="p"/>
              </m:rPr>
              <w:rPr>
                <w:rFonts w:hint="default" w:ascii="Cambria Math" w:hAnsi="Cambria Math" w:eastAsia="Times New Roman" w:cs="Times New Roman"/>
                <w:sz w:val="24"/>
                <w:szCs w:val="24"/>
              </w:rPr>
              <m:t>ZH</m:t>
            </m:r>
            <m:ctrlPr>
              <w:rPr>
                <w:rFonts w:ascii="Cambria Math" w:hAnsi="Cambria Math" w:eastAsia="Times New Roman" w:cs="Times New Roman"/>
                <w:b/>
                <w:bCs/>
                <w:i/>
                <w:sz w:val="24"/>
                <w:szCs w:val="24"/>
              </w:rPr>
            </m:ctrlPr>
          </m:e>
          <m:sub>
            <m:r>
              <m:rPr>
                <m:sty m:val="bi"/>
              </m:rPr>
              <w:rPr>
                <w:rFonts w:ascii="Cambria Math" w:hAnsi="Cambria Math" w:eastAsia="Times New Roman" w:cs="Times New Roman"/>
                <w:sz w:val="24"/>
                <w:szCs w:val="24"/>
              </w:rPr>
              <m:t>it</m:t>
            </m:r>
            <m:ctrlPr>
              <w:rPr>
                <w:rFonts w:ascii="Cambria Math" w:hAnsi="Cambria Math" w:eastAsia="Times New Roman" w:cs="Times New Roman"/>
                <w:b/>
                <w:bCs/>
                <w:i/>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p−1</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P</m:t>
            </m:r>
            <w:bookmarkStart w:id="143" w:name="_Hlk202866639"/>
            <m:ctrlPr>
              <w:rPr>
                <w:rFonts w:ascii="Cambria Math" w:hAnsi="Cambria Math" w:eastAsia="Times New Roman" w:cs="Times New Roman"/>
                <w:iCs/>
                <w:sz w:val="24"/>
                <w:szCs w:val="24"/>
              </w:rPr>
            </m:ctrlPr>
          </m:sup>
          <m:e>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φ</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ip</m:t>
                </m:r>
                <w:bookmarkEnd w:id="143"/>
                <m:ctrlPr>
                  <w:rPr>
                    <w:rFonts w:ascii="Cambria Math" w:hAnsi="Cambria Math" w:eastAsia="Times New Roman" w:cs="Times New Roman"/>
                    <w:iCs/>
                    <w:sz w:val="24"/>
                    <w:szCs w:val="24"/>
                  </w:rPr>
                </m:ctrlPr>
              </m:sub>
            </m:sSub>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ZH</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i,t−p</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q−0</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Q</m:t>
            </m:r>
            <m:ctrlPr>
              <w:rPr>
                <w:rFonts w:ascii="Cambria Math" w:hAnsi="Cambria Math" w:eastAsia="Times New Roman" w:cs="Times New Roman"/>
                <w:iCs/>
                <w:sz w:val="24"/>
                <w:szCs w:val="24"/>
              </w:rPr>
            </m:ctrlPr>
          </m:sup>
          <m:e>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1iq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DP</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r>
          <m:rPr>
            <m:sty m:val="p"/>
          </m:rPr>
          <w:rPr>
            <w:rFonts w:hint="default" w:ascii="Cambria Math" w:hAnsi="Cambria Math" w:eastAsia="Times New Roman" w:cs="Times New Roman"/>
            <w:sz w:val="24"/>
            <w:szCs w:val="24"/>
            <w:lang w:val="en-US"/>
          </w:rPr>
          <m:t xml:space="preserve">              </m:t>
        </m:r>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q−0</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Q</m:t>
            </m:r>
            <m:ctrlPr>
              <w:rPr>
                <w:rFonts w:ascii="Cambria Math" w:hAnsi="Cambria Math" w:eastAsia="Times New Roman" w:cs="Times New Roman"/>
                <w:iCs/>
                <w:sz w:val="24"/>
                <w:szCs w:val="24"/>
              </w:rPr>
            </m:ctrlPr>
          </m:sup>
          <m:e>
            <m:sSub>
              <m:sSubPr>
                <m:ctrlPr>
                  <w:rPr>
                    <w:rFonts w:ascii="Cambria Math" w:hAnsi="Cambria Math" w:eastAsia="Times New Roman" w:cs="Times New Roman"/>
                    <w:sz w:val="24"/>
                    <w:szCs w:val="24"/>
                  </w:rPr>
                </m:ctrlPr>
              </m:sSubPr>
              <m:e>
                <m:r>
                  <m:rPr/>
                  <w:rPr>
                    <w:rFonts w:ascii="Cambria Math" w:hAnsi="Cambria Math" w:eastAsia="Times New Roman" w:cs="Times New Roman"/>
                    <w:sz w:val="24"/>
                    <w:szCs w:val="24"/>
                  </w:rPr>
                  <m:t>θ</m:t>
                </m:r>
                <m:ctrlPr>
                  <w:rPr>
                    <w:rFonts w:ascii="Cambria Math" w:hAnsi="Cambria Math" w:eastAsia="Times New Roman" w:cs="Times New Roman"/>
                    <w:sz w:val="24"/>
                    <w:szCs w:val="24"/>
                  </w:rPr>
                </m:ctrlPr>
              </m:e>
              <m:sub>
                <m:r>
                  <m:rPr/>
                  <w:rPr>
                    <w:rFonts w:ascii="Cambria Math" w:hAnsi="Cambria Math" w:eastAsia="Times New Roman" w:cs="Times New Roman"/>
                    <w:sz w:val="24"/>
                    <w:szCs w:val="24"/>
                  </w:rPr>
                  <m:t>2iq</m:t>
                </m:r>
                <m:ctrlPr>
                  <w:rPr>
                    <w:rFonts w:ascii="Cambria Math" w:hAnsi="Cambria Math" w:eastAsia="Times New Roman" w:cs="Times New Roman"/>
                    <w:sz w:val="24"/>
                    <w:szCs w:val="24"/>
                  </w:rPr>
                </m:ctrlPr>
              </m:sub>
            </m:sSub>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TI</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q−0</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Q</m:t>
            </m:r>
            <m:ctrlPr>
              <w:rPr>
                <w:rFonts w:ascii="Cambria Math" w:hAnsi="Cambria Math" w:eastAsia="Times New Roman" w:cs="Times New Roman"/>
                <w:iCs/>
                <w:sz w:val="24"/>
                <w:szCs w:val="24"/>
              </w:rPr>
            </m:ctrlPr>
          </m:sup>
          <m:e>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3iq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FI</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γ</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m:t>
            </m:r>
            <m:ctrlPr>
              <w:rPr>
                <w:rFonts w:ascii="Cambria Math" w:hAnsi="Cambria Math" w:eastAsia="Times New Roman" w:cs="Times New Roman"/>
                <w:iCs/>
                <w:sz w:val="24"/>
                <w:szCs w:val="24"/>
              </w:rPr>
            </m:ctrlPr>
          </m:sub>
        </m:sSub>
        <m:sSub>
          <w:bookmarkStart w:id="144" w:name="_Hlk202257537"/>
          <m:sSubPr>
            <m:ctrlPr>
              <w:rPr>
                <w:rFonts w:ascii="Cambria Math" w:hAnsi="Cambria Math" w:eastAsia="Times New Roman" w:cs="Times New Roman"/>
                <w:iCs/>
                <w:sz w:val="24"/>
                <w:szCs w:val="24"/>
              </w:rPr>
            </m:ctrlPr>
          </m:sSubPr>
          <m:e>
            <m:acc>
              <m:accPr>
                <m:chr m:val="̅"/>
                <m:ctrlPr>
                  <w:rPr>
                    <w:rFonts w:ascii="Cambria Math" w:hAnsi="Cambria Math" w:eastAsia="Times New Roman" w:cs="Times New Roman"/>
                    <w:iCs/>
                    <w:sz w:val="24"/>
                    <w:szCs w:val="24"/>
                  </w:rPr>
                </m:ctrlPr>
              </m:accPr>
              <m:e>
                <m:r>
                  <m:rPr>
                    <m:sty m:val="p"/>
                  </m:rPr>
                  <w:rPr>
                    <w:rFonts w:ascii="Cambria Math" w:hAnsi="Cambria Math" w:eastAsia="Times New Roman" w:cs="Times New Roman"/>
                    <w:sz w:val="24"/>
                    <w:szCs w:val="24"/>
                  </w:rPr>
                  <m:t>ZH</m:t>
                </m:r>
                <m:ctrlPr>
                  <w:rPr>
                    <w:rFonts w:ascii="Cambria Math" w:hAnsi="Cambria Math" w:eastAsia="Times New Roman" w:cs="Times New Roman"/>
                    <w:iCs/>
                    <w:sz w:val="24"/>
                    <w:szCs w:val="24"/>
                  </w:rPr>
                </m:ctrlPr>
              </m:e>
            </m:acc>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t−1</m:t>
            </m:r>
            <w:bookmarkEnd w:id="144"/>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μ</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m:t>
            </m:r>
            <w:bookmarkEnd w:id="133"/>
            <w:bookmarkEnd w:id="134"/>
            <w:bookmarkEnd w:id="135"/>
            <m:ctrlPr>
              <w:rPr>
                <w:rFonts w:ascii="Cambria Math" w:hAnsi="Cambria Math" w:eastAsia="Times New Roman" w:cs="Times New Roman"/>
                <w:iCs/>
                <w:sz w:val="24"/>
                <w:szCs w:val="24"/>
              </w:rPr>
            </m:ctrlPr>
          </m:sub>
        </m:sSub>
      </m:oMath>
      <w:r>
        <w:rPr>
          <w:rFonts w:ascii="Times New Roman" w:hAnsi="Times New Roman" w:eastAsia="Times New Roman" w:cs="Times New Roman"/>
          <w:b/>
          <w:bCs/>
          <w:iCs/>
          <w:sz w:val="24"/>
          <w:szCs w:val="24"/>
        </w:rPr>
        <w:t xml:space="preserve">      </w:t>
      </w:r>
      <w:r>
        <w:rPr>
          <w:rFonts w:hint="default" w:ascii="Times New Roman" w:hAnsi="Times New Roman" w:eastAsia="Times New Roman" w:cs="Times New Roman"/>
          <w:b/>
          <w:bCs/>
          <w:iCs/>
          <w:sz w:val="24"/>
          <w:szCs w:val="24"/>
          <w:lang w:val="en-US"/>
        </w:rPr>
        <w:t xml:space="preserve">                </w:t>
      </w:r>
      <w:r>
        <w:rPr>
          <w:rFonts w:ascii="Times New Roman" w:hAnsi="Times New Roman" w:eastAsia="Times New Roman" w:cs="Times New Roman"/>
          <w:b/>
          <w:bCs/>
          <w:iCs/>
          <w:sz w:val="24"/>
          <w:szCs w:val="24"/>
        </w:rPr>
        <w:t>(6)</w:t>
      </w:r>
      <w:bookmarkEnd w:id="136"/>
      <w:bookmarkEnd w:id="137"/>
      <w:bookmarkEnd w:id="138"/>
      <w:bookmarkEnd w:id="139"/>
    </w:p>
    <w:p w14:paraId="59A1A9AE">
      <w:pPr>
        <w:pStyle w:val="19"/>
        <w:spacing w:before="100" w:beforeAutospacing="1" w:after="100" w:afterAutospacing="1" w:line="240" w:lineRule="auto"/>
        <w:jc w:val="both"/>
        <w:outlineLvl w:val="2"/>
        <w:rPr>
          <w:rFonts w:ascii="Times New Roman" w:hAnsi="Times New Roman" w:eastAsia="Times New Roman" w:cs="Times New Roman"/>
          <w:b/>
          <w:bCs/>
          <w:iCs/>
          <w:sz w:val="24"/>
          <w:szCs w:val="24"/>
        </w:rPr>
      </w:pPr>
      <w:r>
        <w:rPr>
          <w:rFonts w:hint="default" w:ascii="Times New Roman" w:hAnsi="Times New Roman" w:eastAsia="Times New Roman" w:cs="Times New Roman"/>
          <w:b/>
          <w:bCs/>
          <w:iCs/>
          <w:sz w:val="24"/>
          <w:szCs w:val="24"/>
          <w:lang w:val="en-US"/>
        </w:rPr>
        <w:t xml:space="preserve">                                                                </w:t>
      </w:r>
      <w:bookmarkEnd w:id="140"/>
      <w:bookmarkEnd w:id="141"/>
      <w:bookmarkEnd w:id="142"/>
    </w:p>
    <w:bookmarkEnd w:id="131"/>
    <w:p w14:paraId="5DD927C1">
      <w:pPr>
        <w:pStyle w:val="12"/>
        <w:rPr>
          <w:u w:val="single"/>
        </w:rPr>
      </w:pPr>
      <w:r>
        <w:rPr>
          <w:u w:val="single"/>
        </w:rPr>
        <w:t>Let’s define</w:t>
      </w:r>
    </w:p>
    <w:p w14:paraId="6ED708B4">
      <w:pPr>
        <w:pStyle w:val="12"/>
        <w:numPr>
          <w:ilvl w:val="0"/>
          <w:numId w:val="34"/>
        </w:numPr>
      </w:pPr>
      <m:oMath>
        <m:sSub>
          <m:sSubPr>
            <m:ctrlPr>
              <w:rPr>
                <w:rFonts w:ascii="Cambria Math" w:hAnsi="Cambria Math"/>
                <w:iCs/>
              </w:rPr>
            </m:ctrlPr>
          </m:sSubPr>
          <m:e>
            <m:r>
              <m:rPr>
                <m:sty m:val="p"/>
              </m:rPr>
              <w:rPr>
                <w:rFonts w:ascii="Cambria Math" w:hAnsi="Cambria Math"/>
              </w:rPr>
              <m:t>ZH</m:t>
            </m:r>
            <m:ctrlPr>
              <w:rPr>
                <w:rFonts w:ascii="Cambria Math" w:hAnsi="Cambria Math"/>
                <w:iCs/>
              </w:rPr>
            </m:ctrlPr>
          </m:e>
          <m:sub>
            <m:r>
              <m:rPr>
                <m:sty m:val="p"/>
              </m:rPr>
              <w:rPr>
                <w:rFonts w:ascii="Cambria Math" w:hAnsi="Cambria Math"/>
              </w:rPr>
              <m:t>it</m:t>
            </m:r>
            <m:ctrlPr>
              <w:rPr>
                <w:rFonts w:ascii="Cambria Math" w:hAnsi="Cambria Math"/>
                <w:iCs/>
              </w:rPr>
            </m:ctrlPr>
          </m:sub>
        </m:sSub>
      </m:oMath>
      <w:r>
        <w:t xml:space="preserve">= Zero Hunger index for country </w:t>
      </w:r>
      <w:r>
        <w:rPr>
          <w:rStyle w:val="25"/>
        </w:rPr>
        <w:t>i</w:t>
      </w:r>
      <w:r>
        <w:t xml:space="preserve"> at time </w:t>
      </w:r>
      <w:r>
        <w:rPr>
          <w:rStyle w:val="25"/>
        </w:rPr>
        <w:t>t</w:t>
      </w:r>
    </w:p>
    <w:p w14:paraId="27D8E622">
      <w:pPr>
        <w:pStyle w:val="12"/>
        <w:numPr>
          <w:ilvl w:val="0"/>
          <w:numId w:val="34"/>
        </w:numPr>
      </w:pPr>
      <m:oMath>
        <m:sSub>
          <m:sSubPr>
            <m:ctrlPr>
              <w:rPr>
                <w:rFonts w:ascii="Cambria Math" w:hAnsi="Cambria Math"/>
                <w:iCs/>
              </w:rPr>
            </m:ctrlPr>
          </m:sSubPr>
          <m:e>
            <m:r>
              <m:rPr>
                <m:sty m:val="p"/>
              </m:rPr>
              <w:rPr>
                <w:rFonts w:ascii="Cambria Math" w:hAnsi="Cambria Math"/>
              </w:rPr>
              <m:t>X</m:t>
            </m:r>
            <m:ctrlPr>
              <w:rPr>
                <w:rFonts w:ascii="Cambria Math" w:hAnsi="Cambria Math"/>
                <w:iCs/>
              </w:rPr>
            </m:ctrlPr>
          </m:e>
          <m:sub>
            <m:r>
              <m:rPr>
                <m:sty m:val="p"/>
              </m:rPr>
              <w:rPr>
                <w:rFonts w:ascii="Cambria Math" w:hAnsi="Cambria Math"/>
              </w:rPr>
              <m:t>it</m:t>
            </m:r>
            <m:ctrlPr>
              <w:rPr>
                <w:rFonts w:ascii="Cambria Math" w:hAnsi="Cambria Math"/>
                <w:iCs/>
              </w:rPr>
            </m:ctrlPr>
          </m:sub>
        </m:sSub>
      </m:oMath>
      <w:r>
        <w:t>= your chosen independent variables</w:t>
      </w:r>
    </w:p>
    <w:p w14:paraId="122E6261">
      <w:pPr>
        <w:pStyle w:val="12"/>
      </w:pPr>
      <w:r>
        <w:t>where:</w:t>
      </w:r>
    </w:p>
    <w:p w14:paraId="1880E388">
      <w:pPr>
        <w:pStyle w:val="12"/>
        <w:numPr>
          <w:ilvl w:val="0"/>
          <w:numId w:val="35"/>
        </w:numPr>
      </w:pPr>
      <m:oMath>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rPr>
                  <m:t>ZH</m:t>
                </m:r>
                <m:ctrlPr>
                  <w:rPr>
                    <w:rFonts w:ascii="Cambria Math" w:hAnsi="Cambria Math"/>
                    <w:iCs/>
                  </w:rPr>
                </m:ctrlPr>
              </m:e>
            </m:acc>
            <m:ctrlPr>
              <w:rPr>
                <w:rFonts w:ascii="Cambria Math" w:hAnsi="Cambria Math"/>
                <w:iCs/>
              </w:rPr>
            </m:ctrlPr>
          </m:e>
          <m:sub>
            <m:r>
              <m:rPr>
                <m:sty m:val="p"/>
              </m:rPr>
              <w:rPr>
                <w:rFonts w:ascii="Cambria Math" w:hAnsi="Cambria Math"/>
              </w:rPr>
              <m:t>t−1</m:t>
            </m:r>
            <m:ctrlPr>
              <w:rPr>
                <w:rFonts w:ascii="Cambria Math" w:hAnsi="Cambria Math"/>
                <w:iCs/>
              </w:rPr>
            </m:ctrlPr>
          </m:sub>
        </m:sSub>
      </m:oMath>
      <w:r>
        <w:t xml:space="preserve"> = cross-sectional average of lagged Zero Hunger</w:t>
      </w:r>
    </w:p>
    <w:p w14:paraId="23A5860A">
      <w:pPr>
        <w:pStyle w:val="12"/>
        <w:numPr>
          <w:ilvl w:val="0"/>
          <w:numId w:val="35"/>
        </w:numPr>
      </w:pPr>
      <m:oMath>
        <m:sSub>
          <m:sSubPr>
            <m:ctrlPr>
              <w:rPr>
                <w:rFonts w:ascii="Cambria Math" w:hAnsi="Cambria Math"/>
                <w:iCs/>
              </w:rPr>
            </m:ctrlPr>
          </m:sSubPr>
          <m:e>
            <m:r>
              <m:rPr>
                <m:sty m:val="p"/>
              </m:rPr>
              <w:rPr>
                <w:rFonts w:ascii="Cambria Math" w:hAnsi="Cambria Math"/>
              </w:rPr>
              <m:t>∝</m:t>
            </m:r>
            <m:ctrlPr>
              <w:rPr>
                <w:rFonts w:ascii="Cambria Math" w:hAnsi="Cambria Math"/>
                <w:iCs/>
              </w:rPr>
            </m:ctrlPr>
          </m:e>
          <m:sub>
            <m:r>
              <m:rPr>
                <m:sty m:val="p"/>
              </m:rPr>
              <w:rPr>
                <w:rFonts w:ascii="Cambria Math" w:hAnsi="Cambria Math"/>
              </w:rPr>
              <m:t>i</m:t>
            </m:r>
            <m:ctrlPr>
              <w:rPr>
                <w:rFonts w:ascii="Cambria Math" w:hAnsi="Cambria Math"/>
                <w:iCs/>
              </w:rPr>
            </m:ctrlPr>
          </m:sub>
        </m:sSub>
      </m:oMath>
      <w:r>
        <w:t xml:space="preserve"> = Unit-specific fixed effect</w:t>
      </w:r>
    </w:p>
    <w:p w14:paraId="2013F8DD">
      <w:pPr>
        <w:pStyle w:val="12"/>
        <w:numPr>
          <w:ilvl w:val="0"/>
          <w:numId w:val="35"/>
        </w:numPr>
      </w:pPr>
      <m:oMath>
        <m:sSub>
          <m:sSubPr>
            <m:ctrlPr>
              <w:rPr>
                <w:rFonts w:ascii="Cambria Math" w:hAnsi="Cambria Math"/>
                <w:iCs/>
              </w:rPr>
            </m:ctrlPr>
          </m:sSubPr>
          <m:e>
            <m:r>
              <m:rPr>
                <m:sty m:val="p"/>
              </m:rPr>
              <w:rPr>
                <w:rFonts w:ascii="Cambria Math" w:hAnsi="Cambria Math"/>
              </w:rPr>
              <m:t>μ</m:t>
            </m:r>
            <m:ctrlPr>
              <w:rPr>
                <w:rFonts w:ascii="Cambria Math" w:hAnsi="Cambria Math"/>
                <w:iCs/>
              </w:rPr>
            </m:ctrlPr>
          </m:e>
          <m:sub>
            <m:r>
              <m:rPr>
                <m:sty m:val="p"/>
              </m:rPr>
              <w:rPr>
                <w:rFonts w:ascii="Cambria Math" w:hAnsi="Cambria Math"/>
              </w:rPr>
              <m:t>it</m:t>
            </m:r>
            <m:ctrlPr>
              <w:rPr>
                <w:rFonts w:ascii="Cambria Math" w:hAnsi="Cambria Math"/>
                <w:iCs/>
              </w:rPr>
            </m:ctrlPr>
          </m:sub>
        </m:sSub>
      </m:oMath>
      <w:r>
        <w:t>= error</w:t>
      </w:r>
    </w:p>
    <w:p w14:paraId="10D09352">
      <w:pPr>
        <w:pStyle w:val="19"/>
        <w:numPr>
          <w:ilvl w:val="0"/>
          <w:numId w:val="35"/>
        </w:numPr>
        <w:spacing w:before="100" w:beforeAutospacing="1" w:after="100" w:afterAutospacing="1" w:line="240" w:lineRule="auto"/>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φ</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ip</m:t>
            </m:r>
            <m:ctrlPr>
              <w:rPr>
                <w:rFonts w:ascii="Cambria Math" w:hAnsi="Cambria Math" w:eastAsia="Times New Roman" w:cs="Times New Roman"/>
                <w:iCs/>
                <w:sz w:val="24"/>
                <w:szCs w:val="24"/>
              </w:rPr>
            </m:ctrlPr>
          </m:sub>
        </m:sSub>
      </m:oMath>
      <w:r>
        <w:rPr>
          <w:rFonts w:ascii="Times New Roman" w:hAnsi="Times New Roman" w:eastAsia="Times New Roman" w:cs="Times New Roman"/>
          <w:sz w:val="24"/>
          <w:szCs w:val="24"/>
        </w:rPr>
        <w:t xml:space="preserve"> = Lagged coefficients of the dependent variable</w:t>
      </w:r>
    </w:p>
    <w:p w14:paraId="2CB06F81">
      <w:pPr>
        <w:pStyle w:val="19"/>
        <w:numPr>
          <w:ilvl w:val="0"/>
          <w:numId w:val="35"/>
        </w:numPr>
        <w:spacing w:before="100" w:beforeAutospacing="1" w:after="100" w:afterAutospacing="1" w:line="240" w:lineRule="auto"/>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1iq</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2iq</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3iq</m:t>
            </m:r>
            <m:ctrlPr>
              <w:rPr>
                <w:rFonts w:ascii="Cambria Math" w:hAnsi="Cambria Math" w:eastAsia="Times New Roman" w:cs="Times New Roman"/>
                <w:iCs/>
                <w:sz w:val="24"/>
                <w:szCs w:val="24"/>
              </w:rPr>
            </m:ctrlPr>
          </m:sub>
        </m:sSub>
      </m:oMath>
      <w:r>
        <w:rPr>
          <w:rFonts w:ascii="Times New Roman" w:hAnsi="Times New Roman" w:eastAsia="Times New Roman" w:cs="Times New Roman"/>
          <w:sz w:val="24"/>
          <w:szCs w:val="24"/>
        </w:rPr>
        <w:t xml:space="preserve"> = Coefficients of the independent variables</w:t>
      </w:r>
    </w:p>
    <w:p w14:paraId="07B282FB">
      <w:pPr>
        <w:pStyle w:val="19"/>
        <w:numPr>
          <w:ilvl w:val="0"/>
          <w:numId w:val="35"/>
        </w:numPr>
        <w:spacing w:before="100" w:beforeAutospacing="1" w:after="100" w:afterAutospacing="1" w:line="240" w:lineRule="auto"/>
        <w:rPr>
          <w:rFonts w:ascii="Times New Roman" w:hAnsi="Times New Roman" w:eastAsia="Times New Roman" w:cs="Times New Roman"/>
          <w:sz w:val="24"/>
          <w:szCs w:val="24"/>
        </w:rPr>
      </w:pPr>
      <m:oMath>
        <m:sSub>
          <w:bookmarkStart w:id="145" w:name="_Hlk202866707"/>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DP</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 xml:space="preserve">i,t </m:t>
            </m:r>
            <w:bookmarkEnd w:id="145"/>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m:t>
        </m:r>
      </m:oMath>
      <w:r>
        <w:rPr>
          <w:rFonts w:ascii="Times New Roman" w:hAnsi="Times New Roman" w:eastAsia="Times New Roman" w:cs="Times New Roman"/>
          <w:iCs/>
          <w:sz w:val="24"/>
          <w:szCs w:val="24"/>
        </w:rPr>
        <w:t xml:space="preserve"> </w:t>
      </w:r>
      <w:r>
        <w:rPr>
          <w:rFonts w:ascii="Times New Roman" w:hAnsi="Times New Roman" w:eastAsia="Times New Roman" w:cs="Times New Roman"/>
          <w:sz w:val="24"/>
          <w:szCs w:val="24"/>
        </w:rPr>
        <w:t xml:space="preserve">Digital Payment </w:t>
      </w:r>
    </w:p>
    <w:p w14:paraId="665785DD">
      <w:pPr>
        <w:pStyle w:val="19"/>
        <w:numPr>
          <w:ilvl w:val="0"/>
          <w:numId w:val="35"/>
        </w:numPr>
        <w:spacing w:before="100" w:beforeAutospacing="1" w:after="100" w:afterAutospacing="1" w:line="240" w:lineRule="auto"/>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TI</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 xml:space="preserve">i,t </m:t>
            </m:r>
            <m:ctrlPr>
              <w:rPr>
                <w:rFonts w:ascii="Cambria Math" w:hAnsi="Cambria Math" w:eastAsia="Times New Roman" w:cs="Times New Roman"/>
                <w:iCs/>
                <w:sz w:val="24"/>
                <w:szCs w:val="24"/>
              </w:rPr>
            </m:ctrlPr>
          </m:sub>
        </m:sSub>
      </m:oMath>
      <w:r>
        <w:rPr>
          <w:rFonts w:ascii="Times New Roman" w:hAnsi="Times New Roman" w:eastAsia="Times New Roman" w:cs="Times New Roman"/>
          <w:sz w:val="24"/>
          <w:szCs w:val="24"/>
        </w:rPr>
        <w:t xml:space="preserve"> = Technological Innovation</w:t>
      </w:r>
    </w:p>
    <w:p w14:paraId="0D291359">
      <w:pPr>
        <w:pStyle w:val="19"/>
        <w:numPr>
          <w:ilvl w:val="0"/>
          <w:numId w:val="35"/>
        </w:numPr>
        <w:spacing w:before="100" w:beforeAutospacing="1" w:after="100" w:afterAutospacing="1" w:line="240" w:lineRule="auto"/>
        <w:rPr>
          <w:rFonts w:hint="default" w:ascii="Times New Roman" w:hAnsi="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FI</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oMath>
      <w:r>
        <w:rPr>
          <w:rFonts w:ascii="Times New Roman" w:hAnsi="Times New Roman" w:eastAsia="Times New Roman" w:cs="Times New Roman"/>
          <w:iCs/>
          <w:sz w:val="24"/>
          <w:szCs w:val="24"/>
        </w:rPr>
        <w:t xml:space="preserve">= </w:t>
      </w:r>
      <w:r>
        <w:rPr>
          <w:rFonts w:ascii="Times New Roman" w:hAnsi="Times New Roman" w:eastAsia="Times New Roman" w:cs="Times New Roman"/>
          <w:sz w:val="24"/>
          <w:szCs w:val="24"/>
        </w:rPr>
        <w:t>Financial Inclusion</w:t>
      </w:r>
    </w:p>
    <w:p w14:paraId="6386CEA4">
      <w:pPr>
        <w:bidi w:val="0"/>
        <w:jc w:val="both"/>
        <w:rPr>
          <w:rFonts w:hint="default" w:ascii="Times New Roman" w:hAnsi="Times New Roman"/>
          <w:sz w:val="24"/>
          <w:szCs w:val="24"/>
        </w:rPr>
      </w:pPr>
      <w:r>
        <w:rPr>
          <w:rFonts w:hint="default" w:ascii="Times New Roman" w:hAnsi="Times New Roman"/>
          <w:sz w:val="24"/>
          <w:szCs w:val="24"/>
        </w:rPr>
        <w:t xml:space="preserve">The model uses one year lags of the dependent and independent variables and cross-country average to allow control of unobserved common factors and country cross-country cross-dependencies. This is a way of taking into consideration the dynamics of each country as well as common global shocks. Structural variations across countries are also captured by incorporation of unit-specific set fixed effects. All in all, the model is a broad and strong framework to evaluate the impact of the advancement of digital finance and technology in enhancing the goal of putting an end to hunger with correction of </w:t>
      </w:r>
      <w:r>
        <w:rPr>
          <w:rFonts w:hint="default" w:ascii="Times New Roman" w:hAnsi="Times New Roman"/>
          <w:sz w:val="24"/>
          <w:szCs w:val="24"/>
          <w:lang w:val="en-US"/>
        </w:rPr>
        <w:t>homogeneity</w:t>
      </w:r>
      <w:r>
        <w:rPr>
          <w:rFonts w:hint="default" w:ascii="Times New Roman" w:hAnsi="Times New Roman"/>
          <w:sz w:val="24"/>
          <w:szCs w:val="24"/>
        </w:rPr>
        <w:t xml:space="preserve"> and cross-sectional dependence.</w:t>
      </w:r>
    </w:p>
    <w:p w14:paraId="2DB1EEC2">
      <w:pPr>
        <w:pStyle w:val="19"/>
        <w:spacing w:before="100" w:beforeAutospacing="1" w:after="100" w:afterAutospacing="1" w:line="240" w:lineRule="auto"/>
        <w:jc w:val="both"/>
        <w:outlineLvl w:val="2"/>
        <w:rPr>
          <w:rFonts w:ascii="Times New Roman" w:hAnsi="Times New Roman" w:eastAsia="Times New Roman" w:cs="Times New Roman"/>
          <w:b/>
          <w:sz w:val="24"/>
          <w:szCs w:val="24"/>
        </w:rPr>
      </w:pPr>
    </w:p>
    <w:p w14:paraId="7E337838">
      <w:pPr>
        <w:pStyle w:val="19"/>
        <w:spacing w:before="100" w:beforeAutospacing="1" w:after="100" w:afterAutospacing="1" w:line="240" w:lineRule="auto"/>
        <w:ind w:left="0" w:leftChars="0" w:firstLine="0" w:firstLineChars="0"/>
        <w:jc w:val="both"/>
        <w:outlineLvl w:val="2"/>
        <w:rPr>
          <w:rFonts w:ascii="Times New Roman" w:hAnsi="Times New Roman" w:cs="Times New Roman"/>
          <w:b/>
          <w:bCs/>
          <w:sz w:val="24"/>
          <w:szCs w:val="24"/>
          <w:u w:val="single"/>
        </w:rPr>
      </w:pPr>
      <w:bookmarkStart w:id="146" w:name="_Toc202685926"/>
      <w:bookmarkStart w:id="147" w:name="_Toc202870237"/>
      <w:bookmarkStart w:id="148" w:name="_Toc2666"/>
      <w:bookmarkStart w:id="149" w:name="_Toc1323"/>
      <w:bookmarkStart w:id="150" w:name="_Toc17197"/>
      <w:bookmarkStart w:id="151" w:name="_Toc202684872"/>
      <w:bookmarkStart w:id="152" w:name="_Toc10255"/>
      <w:bookmarkStart w:id="153" w:name="_Toc727"/>
      <w:bookmarkStart w:id="154" w:name="_Toc202686294"/>
      <w:bookmarkStart w:id="155" w:name="_Toc11046"/>
      <w:r>
        <w:rPr>
          <w:rFonts w:ascii="Times New Roman" w:hAnsi="Times New Roman" w:cs="Times New Roman"/>
          <w:b/>
          <w:bCs/>
          <w:sz w:val="24"/>
          <w:szCs w:val="24"/>
          <w:u w:val="single"/>
        </w:rPr>
        <w:t>CS</w:t>
      </w:r>
      <w:r>
        <w:rPr>
          <w:rFonts w:ascii="Times New Roman" w:hAnsi="Times New Roman" w:cs="Times New Roman"/>
          <w:b/>
          <w:bCs/>
          <w:sz w:val="24"/>
          <w:szCs w:val="24"/>
          <w:u w:val="single"/>
        </w:rPr>
        <w:noBreakHyphen/>
      </w:r>
      <w:r>
        <w:rPr>
          <w:rFonts w:ascii="Times New Roman" w:hAnsi="Times New Roman" w:cs="Times New Roman"/>
          <w:b/>
          <w:bCs/>
          <w:sz w:val="24"/>
          <w:szCs w:val="24"/>
          <w:u w:val="single"/>
        </w:rPr>
        <w:t>ARDL equation</w:t>
      </w:r>
      <w:r>
        <w:rPr>
          <w:rFonts w:hint="default" w:ascii="Times New Roman" w:hAnsi="Times New Roman" w:cs="Times New Roman"/>
          <w:b/>
          <w:bCs/>
          <w:sz w:val="24"/>
          <w:szCs w:val="24"/>
          <w:u w:val="single"/>
          <w:lang w:val="en-US"/>
        </w:rPr>
        <w:t xml:space="preserve"> </w:t>
      </w:r>
      <w:r>
        <w:rPr>
          <w:rFonts w:ascii="Times New Roman" w:hAnsi="Times New Roman" w:cs="Times New Roman"/>
          <w:b/>
          <w:bCs/>
          <w:color w:val="auto"/>
          <w:sz w:val="24"/>
          <w:szCs w:val="24"/>
          <w:u w:val="single"/>
          <w:lang w:val="en-US"/>
        </w:rPr>
        <w:fldChar w:fldCharType="begin"/>
      </w:r>
      <w:r>
        <w:rPr>
          <w:rFonts w:ascii="Times New Roman" w:hAnsi="Times New Roman" w:cs="Times New Roman"/>
          <w:b/>
          <w:bCs/>
          <w:color w:val="auto"/>
          <w:sz w:val="24"/>
          <w:szCs w:val="24"/>
          <w:u w:val="single"/>
          <w:lang w:val="en-US"/>
        </w:rPr>
        <w:instrText xml:space="preserve"> ADDIN EN.CITE &lt;EndNote&gt;&lt;Cite AuthorYear="1"&gt;&lt;Author&gt;Ismail&lt;/Author&gt;&lt;Year&gt;2024&lt;/Year&gt;&lt;RecNum&gt;122&lt;/RecNum&gt;&lt;DisplayText&gt;Ismail and Scholar (2024)&lt;/DisplayText&gt;&lt;record&gt;&lt;rec-number&gt;122&lt;/rec-number&gt;&lt;foreign-keys&gt;&lt;key app="EN" db-id="2t52ftddjzwsxoerapx5vrxm2fdzpaza5sva" timestamp="1752856104"&gt;122&lt;/key&gt;&lt;/foreign-keys&gt;&lt;ref-type name="Journal Article"&gt;17&lt;/ref-type&gt;&lt;contributors&gt;&lt;authors&gt;&lt;author&gt;Ismail, Muhammad&lt;/author&gt;&lt;author&gt;Scholar, Mphil&lt;/author&gt;&lt;/authors&gt;&lt;/contributors&gt;&lt;titles&gt;&lt;title&gt;The Impact of Climate Change on Zero Hunger in South Asia&lt;/title&gt;&lt;/titles&gt;&lt;dates&gt;&lt;year&gt;2024&lt;/year&gt;&lt;/dates&gt;&lt;urls&gt;&lt;/urls&gt;&lt;/record&gt;&lt;/Cite&gt;&lt;/EndNote&gt;</w:instrText>
      </w:r>
      <w:r>
        <w:rPr>
          <w:rFonts w:ascii="Times New Roman" w:hAnsi="Times New Roman" w:cs="Times New Roman"/>
          <w:b/>
          <w:bCs/>
          <w:color w:val="auto"/>
          <w:sz w:val="24"/>
          <w:szCs w:val="24"/>
          <w:u w:val="single"/>
          <w:lang w:val="en-US"/>
        </w:rPr>
        <w:fldChar w:fldCharType="separate"/>
      </w:r>
      <w:r>
        <w:rPr>
          <w:rFonts w:ascii="Times New Roman" w:hAnsi="Times New Roman" w:cs="Times New Roman" w:eastAsiaTheme="minorHAnsi"/>
          <w:b/>
          <w:bCs/>
          <w:color w:val="auto"/>
          <w:sz w:val="24"/>
          <w:szCs w:val="24"/>
          <w:u w:val="single"/>
          <w:lang w:val="en-US" w:eastAsia="en-US" w:bidi="ar-SA"/>
        </w:rPr>
        <w:t>Ismail and Scholar (2024)</w:t>
      </w:r>
      <w:r>
        <w:rPr>
          <w:rFonts w:ascii="Times New Roman" w:hAnsi="Times New Roman" w:cs="Times New Roman"/>
          <w:b/>
          <w:bCs/>
          <w:color w:val="auto"/>
          <w:sz w:val="24"/>
          <w:szCs w:val="24"/>
          <w:u w:val="single"/>
          <w:lang w:val="en-US"/>
        </w:rPr>
        <w:fldChar w:fldCharType="end"/>
      </w:r>
      <w:r>
        <w:rPr>
          <w:rFonts w:ascii="Times New Roman" w:hAnsi="Times New Roman" w:cs="Times New Roman"/>
          <w:b/>
          <w:bCs/>
          <w:sz w:val="24"/>
          <w:szCs w:val="24"/>
          <w:u w:val="single"/>
        </w:rPr>
        <w:t xml:space="preserve"> for SDG 9:</w:t>
      </w:r>
      <w:bookmarkEnd w:id="146"/>
      <w:bookmarkEnd w:id="147"/>
      <w:bookmarkEnd w:id="148"/>
      <w:bookmarkEnd w:id="149"/>
      <w:bookmarkEnd w:id="150"/>
      <w:bookmarkEnd w:id="151"/>
      <w:bookmarkEnd w:id="152"/>
      <w:bookmarkEnd w:id="153"/>
      <w:bookmarkEnd w:id="154"/>
      <w:bookmarkEnd w:id="155"/>
    </w:p>
    <w:p w14:paraId="22268BBA">
      <w:pPr>
        <w:pStyle w:val="19"/>
        <w:spacing w:before="100" w:beforeAutospacing="1" w:after="100" w:afterAutospacing="1" w:line="240" w:lineRule="auto"/>
        <w:ind w:left="0" w:leftChars="0" w:firstLine="0" w:firstLineChars="0"/>
        <w:jc w:val="both"/>
        <w:outlineLvl w:val="2"/>
        <w:rPr>
          <w:rFonts w:ascii="Times New Roman" w:hAnsi="Times New Roman" w:cs="Times New Roman"/>
          <w:sz w:val="24"/>
          <w:szCs w:val="24"/>
        </w:rPr>
      </w:pPr>
    </w:p>
    <w:p w14:paraId="2E1B5925">
      <w:pPr>
        <w:pStyle w:val="19"/>
        <w:spacing w:before="100" w:beforeAutospacing="1" w:after="100" w:afterAutospacing="1" w:line="240" w:lineRule="auto"/>
        <w:jc w:val="both"/>
        <w:outlineLvl w:val="2"/>
        <w:rPr>
          <w:rFonts w:ascii="Times New Roman" w:hAnsi="Times New Roman" w:eastAsia="Times New Roman" w:cs="Times New Roman"/>
          <w:iCs/>
          <w:sz w:val="24"/>
          <w:szCs w:val="24"/>
        </w:rPr>
      </w:pPr>
      <m:oMath>
        <w:bookmarkStart w:id="156" w:name="_Toc202684873"/>
        <w:bookmarkStart w:id="157" w:name="_Toc202685927"/>
        <w:bookmarkStart w:id="158" w:name="_Toc202686295"/>
        <w:bookmarkStart w:id="159" w:name="_Toc32178"/>
        <w:bookmarkStart w:id="160" w:name="_Toc1802"/>
        <w:bookmarkStart w:id="161" w:name="_Toc202870238"/>
        <w:bookmarkStart w:id="162" w:name="_Toc21159"/>
        <w:bookmarkStart w:id="163" w:name="_Toc357"/>
        <w:bookmarkStart w:id="164" w:name="_Toc27619"/>
        <w:bookmarkStart w:id="165" w:name="_Toc9472"/>
        <m:r>
          <m:rPr>
            <m:sty m:val="bi"/>
          </m:rPr>
          <w:rPr>
            <w:rFonts w:ascii="Cambria Math" w:hAnsi="Cambria Math" w:eastAsia="Times New Roman" w:cs="Times New Roman"/>
            <w:sz w:val="24"/>
            <w:szCs w:val="24"/>
          </w:rPr>
          <m:t>∆</m:t>
        </m:r>
        <m:sSub>
          <m:sSubPr>
            <m:ctrlPr>
              <w:rPr>
                <w:rFonts w:ascii="Cambria Math" w:hAnsi="Cambria Math" w:eastAsia="Times New Roman" w:cs="Times New Roman"/>
                <w:b w:val="0"/>
                <w:bCs w:val="0"/>
                <w:i w:val="0"/>
                <w:iCs/>
                <w:sz w:val="24"/>
                <w:szCs w:val="24"/>
              </w:rPr>
            </m:ctrlPr>
          </m:sSubPr>
          <m:e>
            <m:r>
              <m:rPr>
                <m:sty m:val="p"/>
              </m:rPr>
              <w:rPr>
                <w:rFonts w:hint="default" w:ascii="Cambria Math" w:hAnsi="Cambria Math" w:eastAsia="Times New Roman" w:cs="Times New Roman"/>
                <w:sz w:val="24"/>
                <w:szCs w:val="24"/>
              </w:rPr>
              <m:t>II</m:t>
            </m:r>
            <m:ctrlPr>
              <w:rPr>
                <w:rFonts w:ascii="Cambria Math" w:hAnsi="Cambria Math" w:eastAsia="Times New Roman" w:cs="Times New Roman"/>
                <w:b w:val="0"/>
                <w:bCs w:val="0"/>
                <w:i w:val="0"/>
                <w:iCs/>
                <w:sz w:val="24"/>
                <w:szCs w:val="24"/>
              </w:rPr>
            </m:ctrlPr>
          </m:e>
          <m:sub>
            <m:r>
              <m:rPr>
                <m:sty m:val="p"/>
              </m:rPr>
              <w:rPr>
                <w:rFonts w:hint="default" w:ascii="Cambria Math" w:hAnsi="Cambria Math" w:eastAsia="Times New Roman" w:cs="Times New Roman"/>
                <w:sz w:val="24"/>
                <w:szCs w:val="24"/>
              </w:rPr>
              <m:t>it</m:t>
            </m:r>
            <m:ctrlPr>
              <w:rPr>
                <w:rFonts w:ascii="Cambria Math" w:hAnsi="Cambria Math" w:eastAsia="Times New Roman" w:cs="Times New Roman"/>
                <w:b w:val="0"/>
                <w:bCs w:val="0"/>
                <w:i w:val="0"/>
                <w:iCs/>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p−1</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P</m:t>
            </m:r>
            <m:ctrlPr>
              <w:rPr>
                <w:rFonts w:ascii="Cambria Math" w:hAnsi="Cambria Math" w:eastAsia="Times New Roman" w:cs="Times New Roman"/>
                <w:iCs/>
                <w:sz w:val="24"/>
                <w:szCs w:val="24"/>
              </w:rPr>
            </m:ctrlPr>
          </m:sup>
          <m:e>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ip</m:t>
                </m:r>
                <m:ctrlPr>
                  <w:rPr>
                    <w:rFonts w:ascii="Cambria Math" w:hAnsi="Cambria Math" w:eastAsia="Times New Roman" w:cs="Times New Roman"/>
                    <w:iCs/>
                    <w:sz w:val="24"/>
                    <w:szCs w:val="24"/>
                  </w:rPr>
                </m:ctrlPr>
              </m:sub>
            </m:sSub>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II</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i,t−p</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Cs/>
                <w:sz w:val="24"/>
                <w:szCs w:val="24"/>
              </w:rPr>
            </m:ctrlPr>
          </m:naryPr>
          <m:sub>
            <m:r>
              <m:rPr>
                <m:sty m:val="p"/>
              </m:rPr>
              <w:rPr>
                <w:rFonts w:ascii="Cambria Math" w:hAnsi="Cambria Math" w:eastAsia="Times New Roman" w:cs="Times New Roman"/>
                <w:sz w:val="24"/>
                <w:szCs w:val="24"/>
              </w:rPr>
              <m:t>q−0</m:t>
            </m:r>
            <m:ctrlPr>
              <w:rPr>
                <w:rFonts w:ascii="Cambria Math" w:hAnsi="Cambria Math" w:eastAsia="Times New Roman" w:cs="Times New Roman"/>
                <w:iCs/>
                <w:sz w:val="24"/>
                <w:szCs w:val="24"/>
              </w:rPr>
            </m:ctrlPr>
          </m:sub>
          <m:sup>
            <m:r>
              <m:rPr>
                <m:sty m:val="p"/>
              </m:rPr>
              <w:rPr>
                <w:rFonts w:ascii="Cambria Math" w:hAnsi="Cambria Math" w:eastAsia="Times New Roman" w:cs="Times New Roman"/>
                <w:sz w:val="24"/>
                <w:szCs w:val="24"/>
              </w:rPr>
              <m:t>Q</m:t>
            </m:r>
            <m:ctrlPr>
              <w:rPr>
                <w:rFonts w:ascii="Cambria Math" w:hAnsi="Cambria Math" w:eastAsia="Times New Roman" w:cs="Times New Roman"/>
                <w:iCs/>
                <w:sz w:val="24"/>
                <w:szCs w:val="24"/>
              </w:rPr>
            </m:ctrlPr>
          </m:sup>
          <m:e>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1iq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ctrlPr>
              <w:rPr>
                <w:rFonts w:ascii="Cambria Math" w:hAnsi="Cambria Math" w:eastAsia="Times New Roman" w:cs="Times New Roman"/>
                <w:iCs/>
                <w:sz w:val="24"/>
                <w:szCs w:val="24"/>
              </w:rPr>
            </m:ctrlPr>
          </m:e>
        </m:nary>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DP</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i,t−q</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sz w:val="24"/>
                <w:szCs w:val="24"/>
              </w:rPr>
            </m:ctrlPr>
          </m:sSubPr>
          <m:e>
            <m:r>
              <m:rPr/>
              <w:rPr>
                <w:rFonts w:ascii="Cambria Math" w:hAnsi="Cambria Math" w:eastAsia="Times New Roman" w:cs="Times New Roman"/>
                <w:sz w:val="24"/>
                <w:szCs w:val="24"/>
              </w:rPr>
              <m:t>θ</m:t>
            </m:r>
            <m:ctrlPr>
              <w:rPr>
                <w:rFonts w:ascii="Cambria Math" w:hAnsi="Cambria Math" w:eastAsia="Times New Roman" w:cs="Times New Roman"/>
                <w:sz w:val="24"/>
                <w:szCs w:val="24"/>
              </w:rPr>
            </m:ctrlPr>
          </m:e>
          <m:sub>
            <m:r>
              <m:rPr/>
              <w:rPr>
                <w:rFonts w:ascii="Cambria Math" w:hAnsi="Cambria Math" w:eastAsia="Times New Roman" w:cs="Times New Roman"/>
                <w:sz w:val="24"/>
                <w:szCs w:val="24"/>
              </w:rPr>
              <m:t>2iq</m:t>
            </m:r>
            <m:ctrlPr>
              <w:rPr>
                <w:rFonts w:ascii="Cambria Math" w:hAnsi="Cambria Math" w:eastAsia="Times New Roman" w:cs="Times New Roman"/>
                <w:sz w:val="24"/>
                <w:szCs w:val="24"/>
              </w:rPr>
            </m:ctrlPr>
          </m:sub>
        </m:sSub>
        <m:sSub>
          <m:sSubPr>
            <m:ctrlPr>
              <w:rPr>
                <w:rFonts w:ascii="Cambria Math" w:hAnsi="Cambria Math" w:eastAsia="Times New Roman" w:cs="Times New Roman"/>
                <w:sz w:val="24"/>
                <w:szCs w:val="24"/>
              </w:rPr>
            </m:ctrlPr>
          </m:sSubPr>
          <m:e>
            <m:r>
              <m:rPr>
                <m:sty m:val="p"/>
              </m:rPr>
              <w:rPr>
                <w:rFonts w:ascii="Cambria Math" w:hAnsi="Cambria Math" w:eastAsia="Times New Roman" w:cs="Times New Roman"/>
                <w:sz w:val="24"/>
                <w:szCs w:val="24"/>
              </w:rPr>
              <m:t>∆TI</m:t>
            </m:r>
            <m:ctrlPr>
              <w:rPr>
                <w:rFonts w:ascii="Cambria Math" w:hAnsi="Cambria Math" w:eastAsia="Times New Roman" w:cs="Times New Roman"/>
                <w:sz w:val="24"/>
                <w:szCs w:val="24"/>
              </w:rPr>
            </m:ctrlPr>
          </m:e>
          <m:sub>
            <m:r>
              <m:rPr/>
              <w:rPr>
                <w:rFonts w:ascii="Cambria Math" w:hAnsi="Cambria Math" w:eastAsia="Times New Roman" w:cs="Times New Roman"/>
                <w:sz w:val="24"/>
                <w:szCs w:val="24"/>
              </w:rPr>
              <m:t>i,t−q</m:t>
            </m:r>
            <m:ctrlPr>
              <w:rPr>
                <w:rFonts w:ascii="Cambria Math" w:hAnsi="Cambria Math" w:eastAsia="Times New Roman" w:cs="Times New Roman"/>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sz w:val="24"/>
                <w:szCs w:val="24"/>
              </w:rPr>
            </m:ctrlPr>
          </m:sSubPr>
          <m:e>
            <m:r>
              <m:rPr/>
              <w:rPr>
                <w:rFonts w:ascii="Cambria Math" w:hAnsi="Cambria Math" w:eastAsia="Times New Roman" w:cs="Times New Roman"/>
                <w:sz w:val="24"/>
                <w:szCs w:val="24"/>
              </w:rPr>
              <m:t>θ</m:t>
            </m:r>
            <m:ctrlPr>
              <w:rPr>
                <w:rFonts w:ascii="Cambria Math" w:hAnsi="Cambria Math" w:eastAsia="Times New Roman" w:cs="Times New Roman"/>
                <w:sz w:val="24"/>
                <w:szCs w:val="24"/>
              </w:rPr>
            </m:ctrlPr>
          </m:e>
          <m:sub>
            <m:r>
              <m:rPr/>
              <w:rPr>
                <w:rFonts w:ascii="Cambria Math" w:hAnsi="Cambria Math" w:eastAsia="Times New Roman" w:cs="Times New Roman"/>
                <w:sz w:val="24"/>
                <w:szCs w:val="24"/>
              </w:rPr>
              <m:t>3iq</m:t>
            </m:r>
            <m:ctrlPr>
              <w:rPr>
                <w:rFonts w:ascii="Cambria Math" w:hAnsi="Cambria Math" w:eastAsia="Times New Roman" w:cs="Times New Roman"/>
                <w:sz w:val="24"/>
                <w:szCs w:val="24"/>
              </w:rPr>
            </m:ctrlPr>
          </m:sub>
        </m:sSub>
        <m:sSub>
          <m:sSubPr>
            <m:ctrlPr>
              <w:rPr>
                <w:rFonts w:ascii="Cambria Math" w:hAnsi="Cambria Math" w:eastAsia="Times New Roman" w:cs="Times New Roman"/>
                <w:sz w:val="24"/>
                <w:szCs w:val="24"/>
              </w:rPr>
            </m:ctrlPr>
          </m:sSubPr>
          <m:e>
            <m:r>
              <m:rPr>
                <m:sty m:val="p"/>
              </m:rPr>
              <w:rPr>
                <w:rFonts w:ascii="Cambria Math" w:hAnsi="Cambria Math" w:eastAsia="Times New Roman" w:cs="Times New Roman"/>
                <w:sz w:val="24"/>
                <w:szCs w:val="24"/>
              </w:rPr>
              <m:t>∆FI</m:t>
            </m:r>
            <m:ctrlPr>
              <w:rPr>
                <w:rFonts w:ascii="Cambria Math" w:hAnsi="Cambria Math" w:eastAsia="Times New Roman" w:cs="Times New Roman"/>
                <w:sz w:val="24"/>
                <w:szCs w:val="24"/>
              </w:rPr>
            </m:ctrlPr>
          </m:e>
          <m:sub>
            <m:r>
              <m:rPr/>
              <w:rPr>
                <w:rFonts w:ascii="Cambria Math" w:hAnsi="Cambria Math" w:eastAsia="Times New Roman" w:cs="Times New Roman"/>
                <w:sz w:val="24"/>
                <w:szCs w:val="24"/>
              </w:rPr>
              <m:t>i,t−q</m:t>
            </m:r>
            <m:ctrlPr>
              <w:rPr>
                <w:rFonts w:ascii="Cambria Math" w:hAnsi="Cambria Math" w:eastAsia="Times New Roman" w:cs="Times New Roman"/>
                <w:sz w:val="24"/>
                <w:szCs w:val="24"/>
              </w:rPr>
            </m:ctrlPr>
          </m:sub>
        </m:sSub>
        <m:r>
          <m:rPr>
            <m:sty m:val="p"/>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γ</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m:t>
            </m:r>
            <m:ctrlPr>
              <w:rPr>
                <w:rFonts w:ascii="Cambria Math" w:hAnsi="Cambria Math" w:eastAsia="Times New Roman" w:cs="Times New Roman"/>
                <w:iCs/>
                <w:sz w:val="24"/>
                <w:szCs w:val="24"/>
              </w:rPr>
            </m:ctrlPr>
          </m:sub>
        </m:sSub>
        <m:sSub>
          <m:sSubPr>
            <m:ctrlPr>
              <w:rPr>
                <w:rFonts w:ascii="Cambria Math" w:hAnsi="Cambria Math" w:eastAsia="Times New Roman" w:cs="Times New Roman"/>
                <w:iCs/>
                <w:sz w:val="24"/>
                <w:szCs w:val="24"/>
              </w:rPr>
            </m:ctrlPr>
          </m:sSubPr>
          <m:e>
            <m:acc>
              <m:accPr>
                <m:chr m:val="̅"/>
                <m:ctrlPr>
                  <w:rPr>
                    <w:rFonts w:ascii="Cambria Math" w:hAnsi="Cambria Math" w:eastAsia="Times New Roman" w:cs="Times New Roman"/>
                    <w:iCs/>
                    <w:sz w:val="24"/>
                    <w:szCs w:val="24"/>
                  </w:rPr>
                </m:ctrlPr>
              </m:accPr>
              <m:e>
                <m:r>
                  <m:rPr>
                    <m:sty m:val="p"/>
                  </m:rPr>
                  <w:rPr>
                    <w:rFonts w:ascii="Cambria Math" w:hAnsi="Cambria Math" w:eastAsia="Times New Roman" w:cs="Times New Roman"/>
                    <w:sz w:val="24"/>
                    <w:szCs w:val="24"/>
                  </w:rPr>
                  <m:t>II</m:t>
                </m:r>
                <m:ctrlPr>
                  <w:rPr>
                    <w:rFonts w:ascii="Cambria Math" w:hAnsi="Cambria Math" w:eastAsia="Times New Roman" w:cs="Times New Roman"/>
                    <w:iCs/>
                    <w:sz w:val="24"/>
                    <w:szCs w:val="24"/>
                  </w:rPr>
                </m:ctrlPr>
              </m:e>
            </m:acc>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t−1</m:t>
            </m:r>
            <m:ctrlPr>
              <w:rPr>
                <w:rFonts w:ascii="Cambria Math" w:hAnsi="Cambria Math" w:eastAsia="Times New Roman" w:cs="Times New Roman"/>
                <w:iCs/>
                <w:sz w:val="24"/>
                <w:szCs w:val="24"/>
              </w:rPr>
            </m:ctrlPr>
          </m:sub>
        </m:sSub>
        <m:r>
          <m:rPr>
            <m:sty m:val="p"/>
          </m:rPr>
          <w:rPr>
            <w:rFonts w:ascii="Cambria Math" w:hAnsi="Cambria Math" w:eastAsia="Times New Roman" w:cs="Times New Roman"/>
            <w:sz w:val="24"/>
            <w:szCs w:val="24"/>
          </w:rPr>
          <m:t>+</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μ</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m:t>
            </m:r>
            <w:bookmarkEnd w:id="156"/>
            <w:bookmarkEnd w:id="157"/>
            <w:bookmarkEnd w:id="158"/>
            <m:ctrlPr>
              <w:rPr>
                <w:rFonts w:ascii="Cambria Math" w:hAnsi="Cambria Math" w:eastAsia="Times New Roman" w:cs="Times New Roman"/>
                <w:iCs/>
                <w:sz w:val="24"/>
                <w:szCs w:val="24"/>
              </w:rPr>
            </m:ctrlPr>
          </m:sub>
        </m:sSub>
      </m:oMath>
      <w:r>
        <w:rPr>
          <w:rFonts w:ascii="Times New Roman" w:hAnsi="Times New Roman" w:eastAsia="Times New Roman" w:cs="Times New Roman"/>
          <w:b/>
          <w:bCs/>
          <w:iCs/>
          <w:sz w:val="24"/>
          <w:szCs w:val="24"/>
        </w:rPr>
        <w:t xml:space="preserve">       </w:t>
      </w:r>
      <w:r>
        <w:rPr>
          <w:rFonts w:hint="default" w:ascii="Times New Roman" w:hAnsi="Times New Roman" w:eastAsia="Times New Roman" w:cs="Times New Roman"/>
          <w:b/>
          <w:bCs/>
          <w:iCs/>
          <w:sz w:val="24"/>
          <w:szCs w:val="24"/>
          <w:lang w:val="en-US"/>
        </w:rPr>
        <w:t xml:space="preserve">                                                                </w:t>
      </w:r>
      <w:r>
        <w:rPr>
          <w:rFonts w:ascii="Times New Roman" w:hAnsi="Times New Roman" w:eastAsia="Times New Roman" w:cs="Times New Roman"/>
          <w:b/>
          <w:bCs/>
          <w:iCs/>
          <w:sz w:val="24"/>
          <w:szCs w:val="24"/>
        </w:rPr>
        <w:t>(7)</w:t>
      </w:r>
      <w:bookmarkEnd w:id="159"/>
      <w:bookmarkEnd w:id="160"/>
      <w:bookmarkEnd w:id="161"/>
      <w:bookmarkEnd w:id="162"/>
      <w:bookmarkEnd w:id="163"/>
      <w:bookmarkEnd w:id="164"/>
      <w:bookmarkEnd w:id="165"/>
    </w:p>
    <w:p w14:paraId="1B83F9B7">
      <w:pPr>
        <w:pStyle w:val="12"/>
      </w:pPr>
      <w:r>
        <w:t>Where:</w:t>
      </w:r>
    </w:p>
    <w:p w14:paraId="310FA8F7">
      <w:pPr>
        <w:pStyle w:val="12"/>
        <w:numPr>
          <w:ilvl w:val="0"/>
          <w:numId w:val="36"/>
        </w:numPr>
      </w:pPr>
      <m:oMath>
        <m:sSub>
          <m:sSubPr>
            <m:ctrlPr>
              <w:rPr>
                <w:rFonts w:ascii="Cambria Math" w:hAnsi="Cambria Math"/>
                <w:iCs/>
              </w:rPr>
            </m:ctrlPr>
          </m:sSubPr>
          <m:e>
            <m:acc>
              <m:accPr>
                <m:chr m:val="̅"/>
                <m:ctrlPr>
                  <w:rPr>
                    <w:rFonts w:ascii="Cambria Math" w:hAnsi="Cambria Math"/>
                    <w:iCs/>
                  </w:rPr>
                </m:ctrlPr>
              </m:accPr>
              <m:e>
                <m:r>
                  <m:rPr>
                    <m:sty m:val="p"/>
                  </m:rPr>
                  <w:rPr>
                    <w:rFonts w:ascii="Cambria Math" w:hAnsi="Cambria Math"/>
                  </w:rPr>
                  <m:t>II</m:t>
                </m:r>
                <m:ctrlPr>
                  <w:rPr>
                    <w:rFonts w:ascii="Cambria Math" w:hAnsi="Cambria Math"/>
                    <w:iCs/>
                  </w:rPr>
                </m:ctrlPr>
              </m:e>
            </m:acc>
            <m:ctrlPr>
              <w:rPr>
                <w:rFonts w:ascii="Cambria Math" w:hAnsi="Cambria Math"/>
                <w:iCs/>
              </w:rPr>
            </m:ctrlPr>
          </m:e>
          <m:sub>
            <m:r>
              <m:rPr>
                <m:sty m:val="p"/>
              </m:rPr>
              <w:rPr>
                <w:rFonts w:ascii="Cambria Math" w:hAnsi="Cambria Math"/>
              </w:rPr>
              <m:t>t−1</m:t>
            </m:r>
            <m:ctrlPr>
              <w:rPr>
                <w:rFonts w:ascii="Cambria Math" w:hAnsi="Cambria Math"/>
                <w:iCs/>
              </w:rPr>
            </m:ctrlPr>
          </m:sub>
        </m:sSub>
      </m:oMath>
      <w:r>
        <w:t xml:space="preserve"> is the cross-sectional average lagged industry-innovation-infrastructure variable</w:t>
      </w:r>
    </w:p>
    <w:p w14:paraId="40D1CA25">
      <w:pPr>
        <w:pStyle w:val="12"/>
        <w:numPr>
          <w:ilvl w:val="0"/>
          <w:numId w:val="36"/>
        </w:numPr>
      </w:pPr>
      <m:oMath>
        <m:sSub>
          <m:sSubPr>
            <m:ctrlPr>
              <w:rPr>
                <w:rFonts w:ascii="Cambria Math" w:hAnsi="Cambria Math"/>
                <w:iCs/>
              </w:rPr>
            </m:ctrlPr>
          </m:sSubPr>
          <m:e>
            <m:r>
              <m:rPr>
                <m:sty m:val="p"/>
              </m:rPr>
              <w:rPr>
                <w:rFonts w:ascii="Cambria Math" w:hAnsi="Cambria Math"/>
              </w:rPr>
              <m:t>X</m:t>
            </m:r>
            <m:ctrlPr>
              <w:rPr>
                <w:rFonts w:ascii="Cambria Math" w:hAnsi="Cambria Math"/>
                <w:iCs/>
              </w:rPr>
            </m:ctrlPr>
          </m:e>
          <m:sub>
            <m:r>
              <m:rPr>
                <m:sty m:val="p"/>
              </m:rPr>
              <w:rPr>
                <w:rFonts w:ascii="Cambria Math" w:hAnsi="Cambria Math"/>
              </w:rPr>
              <m:t>it</m:t>
            </m:r>
            <m:ctrlPr>
              <w:rPr>
                <w:rFonts w:ascii="Cambria Math" w:hAnsi="Cambria Math"/>
                <w:iCs/>
              </w:rPr>
            </m:ctrlPr>
          </m:sub>
        </m:sSub>
      </m:oMath>
      <w:r>
        <w:t xml:space="preserve"> = FDI, R&amp;D, trade openness, ICT</w:t>
      </w:r>
    </w:p>
    <w:p w14:paraId="4B44D30B">
      <w:pPr>
        <w:pStyle w:val="12"/>
        <w:numPr>
          <w:ilvl w:val="0"/>
          <w:numId w:val="36"/>
        </w:numPr>
      </w:pPr>
      <m:oMath>
        <m:sSub>
          <m:sSubPr>
            <m:ctrlPr>
              <w:rPr>
                <w:rFonts w:ascii="Cambria Math" w:hAnsi="Cambria Math"/>
                <w:iCs/>
              </w:rPr>
            </m:ctrlPr>
          </m:sSubPr>
          <m:e>
            <m:r>
              <m:rPr>
                <m:sty m:val="p"/>
              </m:rPr>
              <w:rPr>
                <w:rFonts w:ascii="Cambria Math" w:hAnsi="Cambria Math"/>
              </w:rPr>
              <m:t>∝</m:t>
            </m:r>
            <m:ctrlPr>
              <w:rPr>
                <w:rFonts w:ascii="Cambria Math" w:hAnsi="Cambria Math"/>
                <w:iCs/>
              </w:rPr>
            </m:ctrlPr>
          </m:e>
          <m:sub>
            <m:r>
              <m:rPr>
                <m:sty m:val="p"/>
              </m:rPr>
              <w:rPr>
                <w:rFonts w:ascii="Cambria Math" w:hAnsi="Cambria Math"/>
              </w:rPr>
              <m:t>i</m:t>
            </m:r>
            <m:ctrlPr>
              <w:rPr>
                <w:rFonts w:ascii="Cambria Math" w:hAnsi="Cambria Math"/>
                <w:iCs/>
              </w:rPr>
            </m:ctrlPr>
          </m:sub>
        </m:sSub>
      </m:oMath>
      <w:r>
        <w:t xml:space="preserve"> = Individual fixed effect</w:t>
      </w:r>
    </w:p>
    <w:p w14:paraId="0CF6A8A7">
      <w:pPr>
        <w:pStyle w:val="12"/>
        <w:numPr>
          <w:ilvl w:val="0"/>
          <w:numId w:val="36"/>
        </w:numPr>
      </w:pPr>
      <m:oMath>
        <m:sSub>
          <m:sSubPr>
            <m:ctrlPr>
              <w:rPr>
                <w:rFonts w:ascii="Cambria Math" w:hAnsi="Cambria Math"/>
                <w:iCs/>
              </w:rPr>
            </m:ctrlPr>
          </m:sSubPr>
          <m:e>
            <m:r>
              <m:rPr>
                <m:sty m:val="p"/>
              </m:rPr>
              <w:rPr>
                <w:rFonts w:ascii="Cambria Math" w:hAnsi="Cambria Math"/>
              </w:rPr>
              <m:t>∅</m:t>
            </m:r>
            <m:ctrlPr>
              <w:rPr>
                <w:rFonts w:ascii="Cambria Math" w:hAnsi="Cambria Math"/>
                <w:iCs/>
              </w:rPr>
            </m:ctrlPr>
          </m:e>
          <m:sub>
            <m:r>
              <m:rPr>
                <m:sty m:val="p"/>
              </m:rPr>
              <w:rPr>
                <w:rFonts w:ascii="Cambria Math" w:hAnsi="Cambria Math"/>
              </w:rPr>
              <m:t>ip</m:t>
            </m:r>
            <m:ctrlPr>
              <w:rPr>
                <w:rFonts w:ascii="Cambria Math" w:hAnsi="Cambria Math"/>
                <w:iCs/>
              </w:rPr>
            </m:ctrlPr>
          </m:sub>
        </m:sSub>
        <m:r>
          <m:rPr/>
          <w:rPr>
            <w:rFonts w:ascii="Cambria Math" w:hAnsi="Cambria Math"/>
          </w:rPr>
          <m:t xml:space="preserve">  </m:t>
        </m:r>
      </m:oMath>
      <w:r>
        <w:t>= Coefficients for lagged differences of the dependent variable</w:t>
      </w:r>
    </w:p>
    <w:p w14:paraId="6DDC1D3D">
      <w:pPr>
        <w:pStyle w:val="12"/>
        <w:numPr>
          <w:ilvl w:val="0"/>
          <w:numId w:val="36"/>
        </w:numPr>
      </w:pPr>
      <m:oMath>
        <m:sSub>
          <m:sSubPr>
            <m:ctrlPr>
              <w:rPr>
                <w:rFonts w:ascii="Cambria Math" w:hAnsi="Cambria Math"/>
                <w:iCs/>
              </w:rPr>
            </m:ctrlPr>
          </m:sSubPr>
          <m:e>
            <m:r>
              <m:rPr>
                <m:sty m:val="p"/>
              </m:rPr>
              <w:rPr>
                <w:rFonts w:ascii="Cambria Math" w:hAnsi="Cambria Math"/>
              </w:rPr>
              <m:t>μ</m:t>
            </m:r>
            <m:ctrlPr>
              <w:rPr>
                <w:rFonts w:ascii="Cambria Math" w:hAnsi="Cambria Math"/>
                <w:iCs/>
              </w:rPr>
            </m:ctrlPr>
          </m:e>
          <m:sub>
            <m:r>
              <m:rPr>
                <m:sty m:val="p"/>
              </m:rPr>
              <w:rPr>
                <w:rFonts w:ascii="Cambria Math" w:hAnsi="Cambria Math"/>
              </w:rPr>
              <m:t>it</m:t>
            </m:r>
            <m:ctrlPr>
              <w:rPr>
                <w:rFonts w:ascii="Cambria Math" w:hAnsi="Cambria Math"/>
                <w:iCs/>
              </w:rPr>
            </m:ctrlPr>
          </m:sub>
        </m:sSub>
      </m:oMath>
      <w:r>
        <w:t xml:space="preserve"> = error term</w:t>
      </w:r>
    </w:p>
    <w:p w14:paraId="2C43800B">
      <w:pPr>
        <w:pStyle w:val="19"/>
        <w:numPr>
          <w:ilvl w:val="0"/>
          <w:numId w:val="36"/>
        </w:numPr>
        <w:spacing w:before="100" w:beforeAutospacing="1" w:after="100" w:afterAutospacing="1" w:line="240" w:lineRule="auto"/>
        <w:rPr>
          <w:rFonts w:ascii="Times New Roman" w:hAnsi="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1iq</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2iq</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θ</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3iq</m:t>
            </m:r>
            <m:ctrlPr>
              <w:rPr>
                <w:rFonts w:ascii="Cambria Math" w:hAnsi="Cambria Math" w:eastAsia="Times New Roman" w:cs="Times New Roman"/>
                <w:iCs/>
                <w:sz w:val="24"/>
                <w:szCs w:val="24"/>
              </w:rPr>
            </m:ctrlPr>
          </m:sub>
        </m:sSub>
      </m:oMath>
      <w:r>
        <w:rPr>
          <w:rFonts w:eastAsiaTheme="minorEastAsia"/>
          <w:iCs/>
          <w:sz w:val="24"/>
          <w:szCs w:val="24"/>
        </w:rPr>
        <w:t xml:space="preserve">= </w:t>
      </w:r>
      <w:r>
        <w:t>Coefficients for lagged differences of each independent variable</w:t>
      </w:r>
    </w:p>
    <w:p w14:paraId="00AB01BB">
      <w:pPr>
        <w:pStyle w:val="19"/>
        <w:numPr>
          <w:ilvl w:val="0"/>
          <w:numId w:val="36"/>
        </w:numPr>
        <w:spacing w:before="100" w:beforeAutospacing="1" w:after="100" w:afterAutospacing="1" w:line="240" w:lineRule="auto"/>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DP</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 xml:space="preserve">i,t−q </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m:t>
        </m:r>
      </m:oMath>
      <w:r>
        <w:rPr>
          <w:rFonts w:ascii="Times New Roman" w:hAnsi="Times New Roman" w:eastAsia="Times New Roman" w:cs="Times New Roman"/>
          <w:iCs/>
          <w:sz w:val="24"/>
          <w:szCs w:val="24"/>
        </w:rPr>
        <w:t xml:space="preserve"> </w:t>
      </w:r>
      <w:r>
        <w:rPr>
          <w:rFonts w:ascii="Times New Roman" w:hAnsi="Times New Roman" w:eastAsia="Times New Roman" w:cs="Times New Roman"/>
          <w:sz w:val="24"/>
          <w:szCs w:val="24"/>
        </w:rPr>
        <w:t xml:space="preserve">Digital Payment </w:t>
      </w:r>
    </w:p>
    <w:p w14:paraId="3B6E18BC">
      <w:pPr>
        <w:pStyle w:val="19"/>
        <w:numPr>
          <w:ilvl w:val="0"/>
          <w:numId w:val="36"/>
        </w:numPr>
        <w:spacing w:before="100" w:beforeAutospacing="1" w:after="100" w:afterAutospacing="1" w:line="240" w:lineRule="auto"/>
        <w:rPr>
          <w:rFonts w:ascii="Times New Roman" w:hAnsi="Times New Roman" w:eastAsia="Times New Roman" w:cs="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TI</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 xml:space="preserve">i,t−q </m:t>
            </m:r>
            <m:ctrlPr>
              <w:rPr>
                <w:rFonts w:ascii="Cambria Math" w:hAnsi="Cambria Math" w:eastAsia="Times New Roman" w:cs="Times New Roman"/>
                <w:iCs/>
                <w:sz w:val="24"/>
                <w:szCs w:val="24"/>
              </w:rPr>
            </m:ctrlPr>
          </m:sub>
        </m:sSub>
      </m:oMath>
      <w:r>
        <w:rPr>
          <w:rFonts w:ascii="Times New Roman" w:hAnsi="Times New Roman" w:eastAsia="Times New Roman" w:cs="Times New Roman"/>
          <w:sz w:val="24"/>
          <w:szCs w:val="24"/>
        </w:rPr>
        <w:t xml:space="preserve"> = Technological Innovation</w:t>
      </w:r>
    </w:p>
    <w:p w14:paraId="2C18F8EF">
      <w:pPr>
        <w:pStyle w:val="19"/>
        <w:numPr>
          <w:ilvl w:val="0"/>
          <w:numId w:val="36"/>
        </w:numPr>
        <w:spacing w:before="100" w:beforeAutospacing="1" w:after="100" w:afterAutospacing="1" w:line="240" w:lineRule="auto"/>
        <w:rPr>
          <w:rFonts w:hint="default" w:ascii="Times New Roman" w:hAnsi="Times New Roman"/>
          <w:sz w:val="24"/>
          <w:szCs w:val="24"/>
        </w:rPr>
      </w:pPr>
      <m:oMath>
        <m:sSub>
          <m:sSubPr>
            <m:ctrlPr>
              <w:rPr>
                <w:rFonts w:ascii="Cambria Math" w:hAnsi="Cambria Math" w:eastAsia="Times New Roman" w:cs="Times New Roman"/>
                <w:iCs/>
                <w:sz w:val="24"/>
                <w:szCs w:val="24"/>
              </w:rPr>
            </m:ctrlPr>
          </m:sSubPr>
          <m:e>
            <m:r>
              <m:rPr>
                <m:sty m:val="p"/>
              </m:rPr>
              <w:rPr>
                <w:rFonts w:ascii="Cambria Math" w:hAnsi="Cambria Math" w:eastAsia="Times New Roman" w:cs="Times New Roman"/>
                <w:sz w:val="24"/>
                <w:szCs w:val="24"/>
              </w:rPr>
              <m:t>FI</m:t>
            </m:r>
            <m:ctrlPr>
              <w:rPr>
                <w:rFonts w:ascii="Cambria Math" w:hAnsi="Cambria Math" w:eastAsia="Times New Roman" w:cs="Times New Roman"/>
                <w:iCs/>
                <w:sz w:val="24"/>
                <w:szCs w:val="24"/>
              </w:rPr>
            </m:ctrlPr>
          </m:e>
          <m:sub>
            <m:r>
              <m:rPr>
                <m:sty m:val="p"/>
              </m:rPr>
              <w:rPr>
                <w:rFonts w:ascii="Cambria Math" w:hAnsi="Cambria Math" w:eastAsia="Times New Roman" w:cs="Times New Roman"/>
                <w:sz w:val="24"/>
                <w:szCs w:val="24"/>
              </w:rPr>
              <m:t>i,t−q</m:t>
            </m:r>
            <m:ctrlPr>
              <w:rPr>
                <w:rFonts w:ascii="Cambria Math" w:hAnsi="Cambria Math" w:eastAsia="Times New Roman" w:cs="Times New Roman"/>
                <w:iCs/>
                <w:sz w:val="24"/>
                <w:szCs w:val="24"/>
              </w:rPr>
            </m:ctrlPr>
          </m:sub>
        </m:sSub>
        <m:r>
          <m:rPr/>
          <w:rPr>
            <w:rFonts w:ascii="Cambria Math" w:hAnsi="Cambria Math" w:eastAsia="Times New Roman" w:cs="Times New Roman"/>
            <w:sz w:val="24"/>
            <w:szCs w:val="24"/>
          </w:rPr>
          <m:t xml:space="preserve">  </m:t>
        </m:r>
      </m:oMath>
      <w:r>
        <w:rPr>
          <w:rFonts w:ascii="Times New Roman" w:hAnsi="Times New Roman" w:eastAsia="Times New Roman" w:cs="Times New Roman"/>
          <w:iCs/>
          <w:sz w:val="24"/>
          <w:szCs w:val="24"/>
        </w:rPr>
        <w:t xml:space="preserve">= </w:t>
      </w:r>
      <w:r>
        <w:rPr>
          <w:rFonts w:ascii="Times New Roman" w:hAnsi="Times New Roman" w:eastAsia="Times New Roman" w:cs="Times New Roman"/>
          <w:sz w:val="24"/>
          <w:szCs w:val="24"/>
        </w:rPr>
        <w:t>Financial Inclusion</w:t>
      </w:r>
    </w:p>
    <w:p w14:paraId="5426A43B">
      <w:pPr>
        <w:bidi w:val="0"/>
        <w:jc w:val="both"/>
        <w:rPr>
          <w:rFonts w:hint="default" w:ascii="Times New Roman" w:hAnsi="Times New Roman"/>
          <w:sz w:val="24"/>
          <w:szCs w:val="24"/>
        </w:rPr>
      </w:pPr>
      <w:r>
        <w:rPr>
          <w:rFonts w:hint="default" w:ascii="Times New Roman" w:hAnsi="Times New Roman"/>
          <w:sz w:val="24"/>
          <w:szCs w:val="24"/>
        </w:rPr>
        <w:t>The inclusion of difference of the dependent variable and independent variable in a lag with cross-sectional averages constructively enables the model to account short-run variations and long-run equilibrium relationships, as well as horrors cross-sectional dependence. This can be done by including fixed effects at the country level into the model, which will enable considering country-level heterogeneity, and hence ignoring structural differences at the economy level. This specification offers a sound econometric model to comprehend the role of digital and financial technologies, as well as the overall global economy aspects, in sustainable industrial development and innovation progress of countries in the direction of SDG 9.</w:t>
      </w:r>
    </w:p>
    <w:p w14:paraId="48116DFE">
      <w:pPr>
        <w:pStyle w:val="3"/>
        <w:numPr>
          <w:ilvl w:val="0"/>
          <w:numId w:val="37"/>
        </w:numPr>
        <w:ind w:left="360" w:leftChars="0" w:firstLineChars="0"/>
        <w:rPr>
          <w:rFonts w:hint="default" w:ascii="Times New Roman" w:hAnsi="Times New Roman" w:eastAsia="Times New Roman" w:cs="Times New Roman"/>
          <w:sz w:val="24"/>
          <w:szCs w:val="24"/>
        </w:rPr>
      </w:pPr>
      <w:bookmarkStart w:id="166" w:name="_Toc3390"/>
      <w:bookmarkStart w:id="167" w:name="_Toc20222"/>
      <w:r>
        <w:rPr>
          <w:rFonts w:hint="default" w:ascii="Times New Roman" w:hAnsi="Times New Roman" w:eastAsia="Times New Roman" w:cs="Times New Roman"/>
          <w:sz w:val="24"/>
          <w:szCs w:val="24"/>
        </w:rPr>
        <w:t>Phase 6: Nonlinear ARDL</w:t>
      </w:r>
      <w:bookmarkEnd w:id="166"/>
      <w:bookmarkEnd w:id="167"/>
    </w:p>
    <w:p w14:paraId="19FAE7A8">
      <w:pPr>
        <w:rPr>
          <w:rFonts w:hint="default" w:ascii="Times New Roman" w:hAnsi="Times New Roman" w:cs="Times New Roman"/>
          <w:sz w:val="24"/>
          <w:szCs w:val="24"/>
        </w:rPr>
      </w:pPr>
    </w:p>
    <w:p w14:paraId="3FAC1E1E">
      <w:pPr>
        <w:bidi w:val="0"/>
        <w:ind w:firstLine="480" w:firstLineChars="200"/>
        <w:jc w:val="both"/>
        <w:rPr>
          <w:rFonts w:hint="default" w:ascii="Times New Roman" w:hAnsi="Times New Roman"/>
          <w:sz w:val="24"/>
          <w:szCs w:val="24"/>
        </w:rPr>
      </w:pPr>
      <w:r>
        <w:rPr>
          <w:rFonts w:hint="default" w:ascii="Times New Roman" w:hAnsi="Times New Roman"/>
          <w:sz w:val="24"/>
          <w:szCs w:val="24"/>
        </w:rPr>
        <w:t xml:space="preserve">As opposed to the ordinary ARDL, the Nonlinear ARDL model permits the relations between the independent and dependent variables to be asymmetrical. In nonlinear ARDL, in contrast with linear models whereby the impact of explanatory variables is assumed to be </w:t>
      </w:r>
      <w:r>
        <w:rPr>
          <w:rFonts w:hint="default" w:ascii="Times New Roman" w:hAnsi="Times New Roman"/>
          <w:sz w:val="24"/>
          <w:szCs w:val="24"/>
          <w:lang w:val="en-US"/>
        </w:rPr>
        <w:t>homogeneous</w:t>
      </w:r>
      <w:r>
        <w:rPr>
          <w:rFonts w:hint="default" w:ascii="Times New Roman" w:hAnsi="Times New Roman"/>
          <w:sz w:val="24"/>
          <w:szCs w:val="24"/>
        </w:rPr>
        <w:t xml:space="preserve">, circumstances do exist where the two slopes in the impacts of a negative and positive shift in an independent variable to the dependent variable have to be distinguished. Although in the NARDL model that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AuthorYear="1"&gt;&lt;Author&gt;Jiranyakul&lt;/Author&gt;&lt;Year&gt;2020&lt;/Year&gt;&lt;RecNum&gt;5&lt;/RecNum&gt;&lt;DisplayText&gt;Jiranyakul (2020)&lt;/DisplayText&gt;&lt;record&gt;&lt;rec-number&gt;5&lt;/rec-number&gt;&lt;foreign-keys&gt;&lt;key app="EN" db-id="2t52ftddjzwsxoerapx5vrxm2fdzpaza5sva" timestamp="1751961537"&gt;5&lt;/key&gt;&lt;/foreign-keys&gt;&lt;ref-type name="Journal Article"&gt;17&lt;/ref-type&gt;&lt;contributors&gt;&lt;authors&gt;&lt;author&gt;Jiranyakul, Komain&lt;/author&gt;&lt;/authors&gt;&lt;/contributors&gt;&lt;titles&gt;&lt;title&gt;Government Expenditures and Economic Growth: A Cointegration Analysis for Thailand under the Floating Exchange Rate Regime&lt;/title&gt;&lt;/titles&gt;&lt;dates&gt;&lt;year&gt;2020&lt;/year&gt;&lt;/dates&gt;&lt;urls&gt;&lt;/urls&gt;&lt;/record&gt;&lt;/Cite&gt;&lt;/EndNote&gt;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Jiranyakul (2020)</w:t>
      </w:r>
      <w:r>
        <w:rPr>
          <w:rFonts w:hint="default" w:ascii="Times New Roman" w:hAnsi="Times New Roman"/>
          <w:sz w:val="24"/>
          <w:szCs w:val="24"/>
          <w:lang w:val="en-US"/>
        </w:rPr>
        <w:fldChar w:fldCharType="end"/>
      </w:r>
      <w:r>
        <w:rPr>
          <w:rFonts w:hint="default" w:ascii="Times New Roman" w:hAnsi="Times New Roman"/>
          <w:sz w:val="24"/>
          <w:szCs w:val="24"/>
        </w:rPr>
        <w:t xml:space="preserve"> found especially dependent in his research in macroeconomic research situations in which the economic theory or empirical data implies that the effects of shocks can be asymmetrical. This enables to capture </w:t>
      </w:r>
      <w:r>
        <w:rPr>
          <w:rFonts w:hint="default" w:ascii="Times New Roman" w:hAnsi="Times New Roman"/>
          <w:sz w:val="24"/>
          <w:szCs w:val="24"/>
          <w:lang w:val="en-US"/>
        </w:rPr>
        <w:t>nonlinear</w:t>
      </w:r>
      <w:r>
        <w:rPr>
          <w:rFonts w:hint="default" w:ascii="Times New Roman" w:hAnsi="Times New Roman"/>
          <w:sz w:val="24"/>
          <w:szCs w:val="24"/>
        </w:rPr>
        <w:t xml:space="preserve"> which means that is able to give more realistic and detailed information about economic relationships as compared to the linear alternatives.</w:t>
      </w:r>
    </w:p>
    <w:p w14:paraId="77A2C3CE">
      <w:pPr>
        <w:bidi w:val="0"/>
        <w:jc w:val="both"/>
        <w:rPr>
          <w:rFonts w:hint="default" w:ascii="Times New Roman" w:hAnsi="Times New Roman"/>
          <w:sz w:val="24"/>
          <w:szCs w:val="24"/>
        </w:rPr>
      </w:pPr>
      <w:r>
        <w:rPr>
          <w:rFonts w:hint="default" w:ascii="Times New Roman" w:hAnsi="Times New Roman"/>
          <w:sz w:val="24"/>
          <w:szCs w:val="24"/>
        </w:rPr>
        <w:t>There are numerous economic and financial relations that will be asymmetric in nature. An example is a decrease or increase in oil price can have varying effects on the inflation rate than a reduction of equal value. These asymmetries cannot be reflected in the standard linear models and so the conclusions remain incomplete. Nonlinear ARDL is better because it can model effects of both positive and negative shocks separately which enables better policies and new insights into the economic processes.</w:t>
      </w:r>
    </w:p>
    <w:p w14:paraId="69252697">
      <w:pPr>
        <w:pStyle w:val="19"/>
        <w:ind w:left="0" w:leftChars="0" w:firstLine="0" w:firstLineChars="0"/>
        <w:jc w:val="both"/>
        <w:rPr>
          <w:rFonts w:ascii="Times New Roman" w:hAnsi="Times New Roman" w:cs="Times New Roman"/>
          <w:b/>
          <w:bCs/>
          <w:sz w:val="24"/>
          <w:szCs w:val="24"/>
          <w:u w:val="single"/>
        </w:rPr>
      </w:pPr>
      <w:r>
        <w:rPr>
          <w:rFonts w:ascii="Times New Roman" w:hAnsi="Times New Roman" w:cs="Times New Roman"/>
          <w:b/>
          <w:bCs/>
          <w:sz w:val="24"/>
          <w:szCs w:val="24"/>
          <w:u w:val="single"/>
        </w:rPr>
        <w:t>The Equation for</w:t>
      </w:r>
      <w:bookmarkStart w:id="168" w:name="_Hlk196166528"/>
      <w:r>
        <w:rPr>
          <w:rFonts w:ascii="Times New Roman" w:hAnsi="Times New Roman" w:cs="Times New Roman"/>
          <w:b/>
          <w:bCs/>
          <w:color w:val="auto"/>
          <w:sz w:val="24"/>
          <w:szCs w:val="24"/>
          <w:u w:val="single"/>
          <w:lang w:val="en-US"/>
        </w:rPr>
        <w:t xml:space="preserve"> </w:t>
      </w:r>
      <w:r>
        <w:rPr>
          <w:rFonts w:ascii="Times New Roman" w:hAnsi="Times New Roman" w:cs="Times New Roman"/>
          <w:b/>
          <w:bCs/>
          <w:color w:val="auto"/>
          <w:sz w:val="24"/>
          <w:szCs w:val="24"/>
          <w:u w:val="single"/>
          <w:lang w:val="en-US"/>
        </w:rPr>
        <w:fldChar w:fldCharType="begin"/>
      </w:r>
      <w:r>
        <w:rPr>
          <w:rFonts w:ascii="Times New Roman" w:hAnsi="Times New Roman" w:cs="Times New Roman"/>
          <w:b/>
          <w:bCs/>
          <w:color w:val="auto"/>
          <w:sz w:val="24"/>
          <w:szCs w:val="24"/>
          <w:u w:val="single"/>
          <w:lang w:val="en-US"/>
        </w:rPr>
        <w:instrText xml:space="preserve"> ADDIN EN.CITE &lt;EndNote&gt;&lt;Cite AuthorYear="1"&gt;&lt;Author&gt;Shin&lt;/Author&gt;&lt;Year&gt;2014&lt;/Year&gt;&lt;RecNum&gt;119&lt;/RecNum&gt;&lt;DisplayText&gt;Shin, Yu et al. (2014)&lt;/DisplayText&gt;&lt;record&gt;&lt;rec-number&gt;119&lt;/rec-number&gt;&lt;foreign-keys&gt;&lt;key app="EN" db-id="2t52ftddjzwsxoerapx5vrxm2fdzpaza5sva" timestamp="1752854343"&gt;119&lt;/key&gt;&lt;/foreign-keys&gt;&lt;ref-type name="Book Section"&gt;5&lt;/ref-type&gt;&lt;contributors&gt;&lt;authors&gt;&lt;author&gt;Shin, Yongcheol&lt;/author&gt;&lt;author&gt;Yu, Byungchul&lt;/author&gt;&lt;author&gt;Greenwood-Nimmo, Matthew&lt;/author&gt;&lt;/authors&gt;&lt;/contributors&gt;&lt;titles&gt;&lt;title&gt;Modelling asymmetric cointegration and dynamic multipliers in a nonlinear ARDL framework&lt;/title&gt;&lt;secondary-title&gt;Festschrift in honor of Peter Schmidt: Econometric methods and applications&lt;/secondary-title&gt;&lt;/titles&gt;&lt;pages&gt;281-314&lt;/pages&gt;&lt;dates&gt;&lt;year&gt;2014&lt;/year&gt;&lt;/dates&gt;&lt;publisher&gt;Springer&lt;/publisher&gt;&lt;urls&gt;&lt;/urls&gt;&lt;/record&gt;&lt;/Cite&gt;&lt;/EndNote&gt;</w:instrText>
      </w:r>
      <w:r>
        <w:rPr>
          <w:rFonts w:ascii="Times New Roman" w:hAnsi="Times New Roman" w:cs="Times New Roman"/>
          <w:b/>
          <w:bCs/>
          <w:color w:val="auto"/>
          <w:sz w:val="24"/>
          <w:szCs w:val="24"/>
          <w:u w:val="single"/>
          <w:lang w:val="en-US"/>
        </w:rPr>
        <w:fldChar w:fldCharType="separate"/>
      </w:r>
      <w:r>
        <w:rPr>
          <w:rFonts w:ascii="Times New Roman" w:hAnsi="Times New Roman" w:cs="Times New Roman" w:eastAsiaTheme="minorHAnsi"/>
          <w:b/>
          <w:bCs/>
          <w:color w:val="auto"/>
          <w:sz w:val="24"/>
          <w:szCs w:val="24"/>
          <w:u w:val="single"/>
          <w:lang w:val="en-US" w:eastAsia="en-US" w:bidi="ar-SA"/>
        </w:rPr>
        <w:t>Shin, Yu et al. (2014)</w:t>
      </w:r>
      <w:r>
        <w:rPr>
          <w:rFonts w:ascii="Times New Roman" w:hAnsi="Times New Roman" w:cs="Times New Roman"/>
          <w:b/>
          <w:bCs/>
          <w:color w:val="auto"/>
          <w:sz w:val="24"/>
          <w:szCs w:val="24"/>
          <w:u w:val="single"/>
          <w:lang w:val="en-US"/>
        </w:rPr>
        <w:fldChar w:fldCharType="end"/>
      </w:r>
      <w:r>
        <w:rPr>
          <w:rFonts w:ascii="Times New Roman" w:hAnsi="Times New Roman" w:cs="Times New Roman"/>
          <w:b/>
          <w:bCs/>
          <w:color w:val="auto"/>
          <w:sz w:val="24"/>
          <w:szCs w:val="24"/>
          <w:u w:val="single"/>
        </w:rPr>
        <w:t>,</w:t>
      </w:r>
      <w:bookmarkEnd w:id="168"/>
      <w:r>
        <w:rPr>
          <w:rFonts w:ascii="Times New Roman" w:hAnsi="Times New Roman" w:cs="Times New Roman"/>
          <w:b/>
          <w:bCs/>
          <w:sz w:val="24"/>
          <w:szCs w:val="24"/>
          <w:u w:val="single"/>
        </w:rPr>
        <w:t xml:space="preserve"> is as follows:</w:t>
      </w:r>
    </w:p>
    <w:p w14:paraId="122BE378">
      <w:pPr>
        <w:pStyle w:val="19"/>
        <w:ind w:left="0" w:leftChars="0" w:firstLine="1080" w:firstLineChars="450"/>
        <w:jc w:val="both"/>
        <w:rPr>
          <w:rFonts w:hAnsi="Cambria Math" w:cs="Times New Roman"/>
          <w:i/>
          <w:sz w:val="24"/>
          <w:szCs w:val="24"/>
        </w:rPr>
      </w:pPr>
      <m:oMathPara>
        <m:oMath>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FS</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 xml:space="preserve"> α</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r>
            <m:rP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j−1</m:t>
              </m:r>
              <m:ctrlPr>
                <w:rPr>
                  <w:rFonts w:ascii="Cambria Math" w:hAnsi="Cambria Math" w:cs="Times New Roman"/>
                  <w:i/>
                  <w:sz w:val="24"/>
                  <w:szCs w:val="24"/>
                </w:rPr>
              </m:ctrlPr>
            </m:sub>
            <m:sup>
              <m:r>
                <m:rPr/>
                <w:rPr>
                  <w:rFonts w:ascii="Cambria Math" w:hAnsi="Cambria Math" w:cs="Times New Roman"/>
                  <w:sz w:val="24"/>
                  <w:szCs w:val="24"/>
                </w:rPr>
                <m:t>p</m:t>
              </m:r>
              <m:ctrlPr>
                <w:rPr>
                  <w:rFonts w:ascii="Cambria Math" w:hAnsi="Cambria Math" w:cs="Times New Roman"/>
                  <w:i/>
                  <w:sz w:val="24"/>
                  <w:szCs w:val="24"/>
                </w:rPr>
              </m:ctrlPr>
            </m:sup>
            <m:e>
              <m:sSub>
                <m:sSubPr>
                  <m:ctrlPr>
                    <w:rPr>
                      <w:rFonts w:ascii="Cambria Math" w:hAnsi="Cambria Math" w:cs="Times New Roman"/>
                      <w:i/>
                      <w:sz w:val="24"/>
                      <w:szCs w:val="24"/>
                    </w:rPr>
                  </m:ctrlPr>
                </m:sSubPr>
                <m:e>
                  <m:r>
                    <m:rPr/>
                    <w:rPr>
                      <w:rFonts w:ascii="Cambria Math" w:hAnsi="Cambria Math" w:cs="Times New Roman"/>
                      <w:sz w:val="24"/>
                      <w:szCs w:val="24"/>
                    </w:rPr>
                    <m:t>∅</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ctrlPr>
                <w:rPr>
                  <w:rFonts w:ascii="Cambria Math" w:hAnsi="Cambria Math" w:cs="Times New Roman"/>
                  <w:i/>
                  <w:sz w:val="24"/>
                  <w:szCs w:val="24"/>
                </w:rPr>
              </m:ctrlPr>
            </m:e>
          </m:nary>
          <m:sSub>
            <m:sSubPr>
              <m:ctrlPr>
                <w:rPr>
                  <w:rFonts w:ascii="Cambria Math" w:hAnsi="Cambria Math" w:cs="Times New Roman"/>
                  <w:i/>
                  <w:sz w:val="24"/>
                  <w:szCs w:val="24"/>
                </w:rPr>
              </m:ctrlPr>
            </m:sSubPr>
            <m:e>
              <m:r>
                <m:rPr/>
                <w:rPr>
                  <w:rFonts w:ascii="Cambria Math" w:hAnsi="Cambria Math" w:cs="Times New Roman"/>
                  <w:sz w:val="24"/>
                  <w:szCs w:val="24"/>
                </w:rPr>
                <m:t>∆ FS</m:t>
              </m:r>
              <m:ctrlPr>
                <w:rPr>
                  <w:rFonts w:ascii="Cambria Math" w:hAnsi="Cambria Math" w:cs="Times New Roman"/>
                  <w:i/>
                  <w:sz w:val="24"/>
                  <w:szCs w:val="24"/>
                </w:rPr>
              </m:ctrlPr>
            </m:e>
            <m:sub>
              <m:r>
                <m:rPr/>
                <w:rPr>
                  <w:rFonts w:ascii="Cambria Math" w:hAnsi="Cambria Math" w:cs="Times New Roman"/>
                  <w:sz w:val="24"/>
                  <w:szCs w:val="24"/>
                </w:rPr>
                <m:t>it−j</m:t>
              </m:r>
              <m:ctrlPr>
                <w:rPr>
                  <w:rFonts w:ascii="Cambria Math" w:hAnsi="Cambria Math" w:cs="Times New Roman"/>
                  <w:i/>
                  <w:sz w:val="24"/>
                  <w:szCs w:val="24"/>
                </w:rPr>
              </m:ctrlPr>
            </m:sub>
          </m:sSub>
          <m:r>
            <m:rP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k−0</m:t>
              </m:r>
              <m:ctrlPr>
                <w:rPr>
                  <w:rFonts w:ascii="Cambria Math" w:hAnsi="Cambria Math" w:cs="Times New Roman"/>
                  <w:i/>
                  <w:sz w:val="24"/>
                  <w:szCs w:val="24"/>
                </w:rPr>
              </m:ctrlPr>
            </m:sub>
            <m:sup>
              <m:r>
                <m:rPr/>
                <w:rPr>
                  <w:rFonts w:ascii="Cambria Math" w:hAnsi="Cambria Math" w:cs="Times New Roman"/>
                  <w:sz w:val="24"/>
                  <w:szCs w:val="24"/>
                </w:rPr>
                <m:t>q</m:t>
              </m:r>
              <m:ctrlPr>
                <w:rPr>
                  <w:rFonts w:ascii="Cambria Math" w:hAnsi="Cambria Math" w:cs="Times New Roman"/>
                  <w:i/>
                  <w:sz w:val="24"/>
                  <w:szCs w:val="24"/>
                </w:rPr>
              </m:ctrlPr>
            </m:sup>
            <m:e>
              <m:r>
                <m:rPr/>
                <w:rPr>
                  <w:rFonts w:ascii="Cambria Math" w:hAnsi="Cambria Math" w:cs="Times New Roman"/>
                  <w:sz w:val="24"/>
                  <w:szCs w:val="24"/>
                </w:rPr>
                <m:t>(</m:t>
              </m:r>
              <m:ctrlPr>
                <w:rPr>
                  <w:rFonts w:ascii="Cambria Math" w:hAnsi="Cambria Math" w:cs="Times New Roman"/>
                  <w:i/>
                  <w:sz w:val="24"/>
                  <w:szCs w:val="24"/>
                </w:rPr>
              </m:ctrlPr>
            </m:e>
          </m:nary>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θ</m:t>
              </m:r>
              <m:ctrlPr>
                <w:rPr>
                  <w:rFonts w:ascii="Cambria Math" w:hAnsi="Cambria Math" w:cs="Times New Roman"/>
                  <w:i/>
                  <w:sz w:val="24"/>
                  <w:szCs w:val="24"/>
                </w:rPr>
              </m:ctrlPr>
            </m:e>
            <m:sub>
              <m:r>
                <m:rPr/>
                <w:rPr>
                  <w:rFonts w:ascii="Cambria Math" w:hAnsi="Cambria Math" w:cs="Times New Roman"/>
                  <w:sz w:val="24"/>
                  <w:szCs w:val="24"/>
                </w:rPr>
                <m:t>k</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m:t>
          </m:r>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it−k</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m:t>
          </m:r>
          <m:sSubSup>
            <m:sSubSupPr>
              <m:ctrlPr>
                <w:rPr>
                  <w:rFonts w:ascii="Cambria Math" w:hAnsi="Cambria Math" w:cs="Times New Roman"/>
                  <w:i/>
                  <w:sz w:val="24"/>
                  <w:szCs w:val="24"/>
                </w:rPr>
              </m:ctrlPr>
            </m:sSubSupPr>
            <m:e>
              <m:r>
                <m:rPr/>
                <w:rPr>
                  <w:rFonts w:ascii="Cambria Math" w:hAnsi="Cambria Math" w:cs="Times New Roman"/>
                  <w:sz w:val="24"/>
                  <w:szCs w:val="24"/>
                </w:rPr>
                <m:t xml:space="preserve"> θ</m:t>
              </m:r>
              <m:ctrlPr>
                <w:rPr>
                  <w:rFonts w:ascii="Cambria Math" w:hAnsi="Cambria Math" w:cs="Times New Roman"/>
                  <w:i/>
                  <w:sz w:val="24"/>
                  <w:szCs w:val="24"/>
                </w:rPr>
              </m:ctrlPr>
            </m:e>
            <m:sub>
              <m:r>
                <m:rPr/>
                <w:rPr>
                  <w:rFonts w:ascii="Cambria Math" w:hAnsi="Cambria Math" w:cs="Times New Roman"/>
                  <w:sz w:val="24"/>
                  <w:szCs w:val="24"/>
                </w:rPr>
                <m:t>k</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it−k</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oMath>
      </m:oMathPara>
    </w:p>
    <w:p w14:paraId="6C92A975">
      <w:pPr>
        <w:pStyle w:val="19"/>
        <w:ind w:left="0" w:leftChars="0" w:firstLine="1080" w:firstLineChars="450"/>
        <w:jc w:val="both"/>
        <w:rPr>
          <w:rFonts w:ascii="Times New Roman" w:hAnsi="Times New Roman" w:cs="Times New Roman"/>
          <w:sz w:val="24"/>
          <w:szCs w:val="24"/>
        </w:rPr>
      </w:pPr>
      <m:oMath>
        <m:r>
          <m:rPr/>
          <w:rPr>
            <w:rFonts w:hint="default" w:ascii="Cambria Math" w:hAnsi="Cambria Math" w:cs="Times New Roman"/>
            <w:sz w:val="24"/>
            <w:szCs w:val="24"/>
            <w:lang w:val="en-US"/>
          </w:rPr>
          <m:t xml:space="preserve">                          </m:t>
        </m:r>
        <m:r>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w:rPr>
                <w:rFonts w:ascii="Cambria Math" w:hAnsi="Cambria Math" w:cs="Times New Roman"/>
                <w:sz w:val="24"/>
                <w:szCs w:val="24"/>
              </w:rPr>
              <m:t>γ</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w:rPr>
                    <w:rFonts w:ascii="Cambria Math" w:hAnsi="Cambria Math" w:cs="Times New Roman"/>
                    <w:sz w:val="24"/>
                    <w:szCs w:val="24"/>
                  </w:rPr>
                  <m:t>FS</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Sub>
            <m:r>
              <m:rPr/>
              <w:rPr>
                <w:rFonts w:ascii="Cambria Math" w:hAnsi="Cambria Math" w:cs="Times New Roman"/>
                <w:sz w:val="24"/>
                <w:szCs w:val="24"/>
              </w:rPr>
              <m:t xml:space="preserve">− </m:t>
            </m:r>
            <m:sSup>
              <m:sSupPr>
                <m:ctrlPr>
                  <w:rPr>
                    <w:rFonts w:ascii="Cambria Math" w:hAnsi="Cambria Math" w:cs="Times New Roman"/>
                    <w:i/>
                    <w:sz w:val="24"/>
                    <w:szCs w:val="24"/>
                  </w:rPr>
                </m:ctrlPr>
              </m:sSupPr>
              <m:e>
                <m:r>
                  <m:rPr/>
                  <w:rPr>
                    <w:rFonts w:ascii="Cambria Math" w:hAnsi="Cambria Math" w:cs="Times New Roman"/>
                    <w:sz w:val="24"/>
                    <w:szCs w:val="24"/>
                  </w:rPr>
                  <m:t>β</m:t>
                </m:r>
                <m:ctrlPr>
                  <w:rPr>
                    <w:rFonts w:ascii="Cambria Math" w:hAnsi="Cambria Math" w:cs="Times New Roman"/>
                    <w:i/>
                    <w:sz w:val="24"/>
                    <w:szCs w:val="24"/>
                  </w:rPr>
                </m:ctrlPr>
              </m:e>
              <m:sup>
                <m:r>
                  <m:rPr/>
                  <w:rPr>
                    <w:rFonts w:ascii="Cambria Math" w:hAnsi="Cambria Math" w:cs="Times New Roman"/>
                    <w:sz w:val="24"/>
                    <w:szCs w:val="24"/>
                  </w:rPr>
                  <m:t>+</m:t>
                </m:r>
                <m:ctrlPr>
                  <w:rPr>
                    <w:rFonts w:ascii="Cambria Math" w:hAnsi="Cambria Math" w:cs="Times New Roman"/>
                    <w:i/>
                    <w:sz w:val="24"/>
                    <w:szCs w:val="24"/>
                  </w:rPr>
                </m:ctrlPr>
              </m:sup>
            </m:sSup>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sSup>
              <m:sSupPr>
                <m:ctrlPr>
                  <w:rPr>
                    <w:rFonts w:ascii="Cambria Math" w:hAnsi="Cambria Math" w:cs="Times New Roman"/>
                    <w:i/>
                    <w:sz w:val="24"/>
                    <w:szCs w:val="24"/>
                  </w:rPr>
                </m:ctrlPr>
              </m:sSupPr>
              <m:e>
                <m:r>
                  <m:rPr/>
                  <w:rPr>
                    <w:rFonts w:ascii="Cambria Math" w:hAnsi="Cambria Math" w:cs="Times New Roman"/>
                    <w:sz w:val="24"/>
                    <w:szCs w:val="24"/>
                  </w:rPr>
                  <m:t>β</m:t>
                </m:r>
                <m:ctrlPr>
                  <w:rPr>
                    <w:rFonts w:ascii="Cambria Math" w:hAnsi="Cambria Math" w:cs="Times New Roman"/>
                    <w:i/>
                    <w:sz w:val="24"/>
                    <w:szCs w:val="24"/>
                  </w:rPr>
                </m:ctrlPr>
              </m:e>
              <m:sup>
                <m:r>
                  <m:rPr/>
                  <w:rPr>
                    <w:rFonts w:ascii="Cambria Math" w:hAnsi="Cambria Math" w:cs="Times New Roman"/>
                    <w:sz w:val="24"/>
                    <w:szCs w:val="24"/>
                  </w:rPr>
                  <m:t>−</m:t>
                </m:r>
                <m:ctrlPr>
                  <w:rPr>
                    <w:rFonts w:ascii="Cambria Math" w:hAnsi="Cambria Math" w:cs="Times New Roman"/>
                    <w:i/>
                    <w:sz w:val="24"/>
                    <w:szCs w:val="24"/>
                  </w:rPr>
                </m:ctrlPr>
              </m:sup>
            </m:sSup>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ctrlPr>
              <w:rPr>
                <w:rFonts w:ascii="Cambria Math" w:hAnsi="Cambria Math" w:cs="Times New Roman"/>
                <w:i/>
                <w:sz w:val="24"/>
                <w:szCs w:val="24"/>
              </w:rPr>
            </m:ctrlPr>
          </m:e>
        </m:d>
        <m:r>
          <m:rPr/>
          <w:rPr>
            <w:rFonts w:ascii="Cambria Math" w:hAnsi="Cambria Math" w:cs="Times New Roman"/>
            <w:sz w:val="24"/>
            <w:szCs w:val="24"/>
          </w:rPr>
          <m:t xml:space="preserve">+ </m:t>
        </m:r>
        <w:bookmarkStart w:id="169" w:name="_Hlk196164623"/>
        <m:sSub>
          <m:sSubPr>
            <m:ctrlPr>
              <w:rPr>
                <w:rFonts w:ascii="Cambria Math" w:hAnsi="Cambria Math" w:cs="Times New Roman"/>
                <w:i/>
                <w:sz w:val="24"/>
                <w:szCs w:val="24"/>
              </w:rPr>
            </m:ctrlPr>
          </m:sSubPr>
          <m:e>
            <m:r>
              <m:rPr/>
              <w:rPr>
                <w:rFonts w:ascii="Cambria Math" w:hAnsi="Cambria Math" w:cs="Times New Roman"/>
                <w:sz w:val="24"/>
                <w:szCs w:val="24"/>
              </w:rPr>
              <m:t>ε</m:t>
            </m:r>
            <m:ctrlPr>
              <w:rPr>
                <w:rFonts w:ascii="Cambria Math" w:hAnsi="Cambria Math" w:cs="Times New Roman"/>
                <w:i/>
                <w:sz w:val="24"/>
                <w:szCs w:val="24"/>
              </w:rPr>
            </m:ctrlPr>
          </m:e>
          <m:sub>
            <m:r>
              <m:rPr/>
              <w:rPr>
                <w:rFonts w:ascii="Cambria Math" w:hAnsi="Cambria Math" w:cs="Times New Roman"/>
                <w:sz w:val="24"/>
                <w:szCs w:val="24"/>
              </w:rPr>
              <m:t>it</m:t>
            </m:r>
            <w:bookmarkEnd w:id="169"/>
            <m:ctrlPr>
              <w:rPr>
                <w:rFonts w:ascii="Cambria Math" w:hAnsi="Cambria Math" w:cs="Times New Roman"/>
                <w:i/>
                <w:sz w:val="24"/>
                <w:szCs w:val="24"/>
              </w:rPr>
            </m:ctrlPr>
          </m:sub>
        </m:sSub>
      </m:oMath>
      <w:r>
        <w:rPr>
          <w:rFonts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lang w:val="en-US"/>
        </w:rPr>
        <w:t xml:space="preserve">       </w:t>
      </w:r>
      <w:r>
        <w:rPr>
          <w:rFonts w:ascii="Times New Roman" w:hAnsi="Times New Roman" w:cs="Times New Roman" w:eastAsiaTheme="minorEastAsia"/>
          <w:sz w:val="24"/>
          <w:szCs w:val="24"/>
        </w:rPr>
        <w:t xml:space="preserve">    </w:t>
      </w:r>
      <w:r>
        <w:rPr>
          <w:rFonts w:ascii="Times New Roman" w:hAnsi="Times New Roman" w:cs="Times New Roman" w:eastAsiaTheme="minorEastAsia"/>
          <w:b/>
          <w:bCs/>
          <w:sz w:val="24"/>
          <w:szCs w:val="24"/>
        </w:rPr>
        <w:t>(8)</w:t>
      </w:r>
    </w:p>
    <w:p w14:paraId="72709AF4">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Where:</w:t>
      </w:r>
    </w:p>
    <w:p w14:paraId="64F58769">
      <w:pPr>
        <w:numPr>
          <w:ilvl w:val="0"/>
          <w:numId w:val="38"/>
        </w:num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cs="Times New Roman" w:eastAsiaTheme="minorEastAsia"/>
          <w:sz w:val="24"/>
          <w:szCs w:val="24"/>
        </w:rPr>
        <w:t xml:space="preserve"> </w:t>
      </w:r>
      <m:oMath>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s−1</m:t>
            </m:r>
            <m:ctrlPr>
              <w:rPr>
                <w:rFonts w:ascii="Cambria Math" w:hAnsi="Cambria Math" w:cs="Times New Roman"/>
                <w:i/>
                <w:sz w:val="24"/>
                <w:szCs w:val="24"/>
              </w:rPr>
            </m:ctrlPr>
          </m:sub>
          <m:sup>
            <m:r>
              <m:rPr/>
              <w:rPr>
                <w:rFonts w:ascii="Cambria Math" w:hAnsi="Cambria Math" w:cs="Times New Roman"/>
                <w:sz w:val="24"/>
                <w:szCs w:val="24"/>
              </w:rPr>
              <m:t>t</m:t>
            </m:r>
            <m:ctrlPr>
              <w:rPr>
                <w:rFonts w:ascii="Cambria Math" w:hAnsi="Cambria Math" w:cs="Times New Roman"/>
                <w:i/>
                <w:sz w:val="24"/>
                <w:szCs w:val="24"/>
              </w:rPr>
            </m:ctrlPr>
          </m:sup>
          <m:e>
            <m:r>
              <m:rPr>
                <m:sty m:val="p"/>
              </m:rPr>
              <w:rPr>
                <w:rFonts w:ascii="Cambria Math" w:hAnsi="Cambria Math" w:cs="Times New Roman"/>
                <w:sz w:val="24"/>
                <w:szCs w:val="24"/>
              </w:rPr>
              <m:t>max⁡</m:t>
            </m:r>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 xml:space="preserve">is, </m:t>
                </m:r>
                <m:ctrlPr>
                  <w:rPr>
                    <w:rFonts w:ascii="Cambria Math" w:hAnsi="Cambria Math" w:cs="Times New Roman"/>
                    <w:i/>
                    <w:sz w:val="24"/>
                    <w:szCs w:val="24"/>
                  </w:rPr>
                </m:ctrlPr>
              </m:sub>
            </m:sSub>
            <m:ctrlPr>
              <w:rPr>
                <w:rFonts w:ascii="Cambria Math" w:hAnsi="Cambria Math" w:cs="Times New Roman"/>
                <w:i/>
                <w:sz w:val="24"/>
                <w:szCs w:val="24"/>
              </w:rPr>
            </m:ctrlPr>
          </m:e>
        </m:nary>
        <m:r>
          <m:rPr/>
          <w:rPr>
            <w:rFonts w:ascii="Cambria Math" w:hAnsi="Cambria Math" w:cs="Times New Roman"/>
            <w:sz w:val="24"/>
            <w:szCs w:val="24"/>
          </w:rPr>
          <m:t xml:space="preserve">0) , </m:t>
        </m:r>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s−1</m:t>
            </m:r>
            <m:ctrlPr>
              <w:rPr>
                <w:rFonts w:ascii="Cambria Math" w:hAnsi="Cambria Math" w:cs="Times New Roman"/>
                <w:i/>
                <w:sz w:val="24"/>
                <w:szCs w:val="24"/>
              </w:rPr>
            </m:ctrlPr>
          </m:sub>
          <m:sup>
            <m:r>
              <m:rPr/>
              <w:rPr>
                <w:rFonts w:ascii="Cambria Math" w:hAnsi="Cambria Math" w:cs="Times New Roman"/>
                <w:sz w:val="24"/>
                <w:szCs w:val="24"/>
              </w:rPr>
              <m:t>t</m:t>
            </m:r>
            <m:ctrlPr>
              <w:rPr>
                <w:rFonts w:ascii="Cambria Math" w:hAnsi="Cambria Math" w:cs="Times New Roman"/>
                <w:i/>
                <w:sz w:val="24"/>
                <w:szCs w:val="24"/>
              </w:rPr>
            </m:ctrlPr>
          </m:sup>
          <m:e>
            <m:r>
              <m:rPr>
                <m:sty m:val="p"/>
              </m:rPr>
              <w:rPr>
                <w:rFonts w:ascii="Cambria Math" w:hAnsi="Cambria Math" w:cs="Times New Roman"/>
                <w:sz w:val="24"/>
                <w:szCs w:val="24"/>
              </w:rPr>
              <m:t>min⁡</m:t>
            </m:r>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 xml:space="preserve">is, </m:t>
                </m:r>
                <m:ctrlPr>
                  <w:rPr>
                    <w:rFonts w:ascii="Cambria Math" w:hAnsi="Cambria Math" w:cs="Times New Roman"/>
                    <w:i/>
                    <w:sz w:val="24"/>
                    <w:szCs w:val="24"/>
                  </w:rPr>
                </m:ctrlPr>
              </m:sub>
            </m:sSub>
            <m:ctrlPr>
              <w:rPr>
                <w:rFonts w:ascii="Cambria Math" w:hAnsi="Cambria Math" w:cs="Times New Roman"/>
                <w:i/>
                <w:sz w:val="24"/>
                <w:szCs w:val="24"/>
              </w:rPr>
            </m:ctrlPr>
          </m:e>
        </m:nary>
      </m:oMath>
      <w:r>
        <w:rPr>
          <w:rFonts w:ascii="Times New Roman" w:hAnsi="Times New Roman" w:cs="Times New Roman" w:eastAsiaTheme="minorEastAsia"/>
          <w:sz w:val="24"/>
          <w:szCs w:val="24"/>
        </w:rPr>
        <w:t xml:space="preserve">0)   </w:t>
      </w:r>
    </w:p>
    <w:p w14:paraId="3A58C241">
      <w:pPr>
        <w:numPr>
          <w:ilvl w:val="0"/>
          <w:numId w:val="38"/>
        </w:numPr>
        <w:spacing w:before="100" w:beforeAutospacing="1" w:after="100" w:afterAutospacing="1" w:line="240" w:lineRule="auto"/>
        <w:jc w:val="both"/>
        <w:rPr>
          <w:rFonts w:ascii="Times New Roman" w:hAnsi="Times New Roman" w:eastAsia="Times New Roman" w:cs="Times New Roman"/>
          <w:sz w:val="24"/>
          <w:szCs w:val="24"/>
        </w:rPr>
      </w:pPr>
      <m:oMath>
        <m:sSup>
          <m:sSupPr>
            <m:ctrlPr>
              <w:rPr>
                <w:rFonts w:ascii="Cambria Math" w:hAnsi="Cambria Math" w:eastAsia="Times New Roman" w:cs="Times New Roman"/>
                <w:i/>
                <w:sz w:val="24"/>
                <w:szCs w:val="24"/>
              </w:rPr>
            </m:ctrlPr>
          </m:sSupPr>
          <m:e>
            <m:r>
              <m:rPr/>
              <w:rPr>
                <w:rFonts w:ascii="Cambria Math" w:hAnsi="Cambria Math" w:eastAsia="Times New Roman" w:cs="Times New Roman"/>
                <w:sz w:val="24"/>
                <w:szCs w:val="24"/>
              </w:rPr>
              <m:t>θ</m:t>
            </m:r>
            <m:ctrlPr>
              <w:rPr>
                <w:rFonts w:ascii="Cambria Math" w:hAnsi="Cambria Math" w:eastAsia="Times New Roman" w:cs="Times New Roman"/>
                <w:i/>
                <w:sz w:val="24"/>
                <w:szCs w:val="24"/>
              </w:rPr>
            </m:ctrlPr>
          </m:e>
          <m:sup>
            <m:r>
              <m:rPr/>
              <w:rPr>
                <w:rFonts w:ascii="Cambria Math" w:hAnsi="Cambria Math" w:eastAsia="Times New Roman" w:cs="Times New Roman"/>
                <w:sz w:val="24"/>
                <w:szCs w:val="24"/>
              </w:rPr>
              <m:t>+</m:t>
            </m:r>
            <m:ctrlPr>
              <w:rPr>
                <w:rFonts w:ascii="Cambria Math" w:hAnsi="Cambria Math" w:eastAsia="Times New Roman" w:cs="Times New Roman"/>
                <w:i/>
                <w:sz w:val="24"/>
                <w:szCs w:val="24"/>
              </w:rPr>
            </m:ctrlPr>
          </m:sup>
        </m:sSup>
        <m:r>
          <m:rPr/>
          <w:rPr>
            <w:rFonts w:ascii="Cambria Math" w:hAnsi="Cambria Math" w:eastAsia="Times New Roman" w:cs="Times New Roman"/>
            <w:sz w:val="24"/>
            <w:szCs w:val="24"/>
          </w:rPr>
          <m:t xml:space="preserve">, </m:t>
        </m:r>
        <m:sSup>
          <m:sSupPr>
            <m:ctrlPr>
              <w:rPr>
                <w:rFonts w:ascii="Cambria Math" w:hAnsi="Cambria Math" w:eastAsia="Times New Roman" w:cs="Times New Roman"/>
                <w:i/>
                <w:sz w:val="24"/>
                <w:szCs w:val="24"/>
              </w:rPr>
            </m:ctrlPr>
          </m:sSupPr>
          <m:e>
            <m:r>
              <m:rPr/>
              <w:rPr>
                <w:rFonts w:ascii="Cambria Math" w:hAnsi="Cambria Math" w:eastAsia="Times New Roman" w:cs="Times New Roman"/>
                <w:sz w:val="24"/>
                <w:szCs w:val="24"/>
              </w:rPr>
              <m:t>θ</m:t>
            </m:r>
            <m:ctrlPr>
              <w:rPr>
                <w:rFonts w:ascii="Cambria Math" w:hAnsi="Cambria Math" w:eastAsia="Times New Roman" w:cs="Times New Roman"/>
                <w:i/>
                <w:sz w:val="24"/>
                <w:szCs w:val="24"/>
              </w:rPr>
            </m:ctrlPr>
          </m:e>
          <m:sup>
            <m:r>
              <m:rPr/>
              <w:rPr>
                <w:rFonts w:ascii="Cambria Math" w:hAnsi="Cambria Math" w:eastAsia="Times New Roman" w:cs="Times New Roman"/>
                <w:sz w:val="24"/>
                <w:szCs w:val="24"/>
              </w:rPr>
              <m:t>−</m:t>
            </m:r>
            <m:ctrlPr>
              <w:rPr>
                <w:rFonts w:ascii="Cambria Math" w:hAnsi="Cambria Math" w:eastAsia="Times New Roman" w:cs="Times New Roman"/>
                <w:i/>
                <w:sz w:val="24"/>
                <w:szCs w:val="24"/>
              </w:rPr>
            </m:ctrlPr>
          </m:sup>
        </m:sSup>
      </m:oMath>
      <w:r>
        <w:rPr>
          <w:rFonts w:ascii="Times New Roman" w:hAnsi="Times New Roman" w:eastAsia="Times New Roman" w:cs="Times New Roman"/>
          <w:sz w:val="24"/>
          <w:szCs w:val="24"/>
        </w:rPr>
        <w:t>= Short-run asymmetric effects</w:t>
      </w:r>
    </w:p>
    <w:p w14:paraId="7A20FBCB">
      <w:pPr>
        <w:numPr>
          <w:ilvl w:val="0"/>
          <w:numId w:val="38"/>
        </w:numPr>
        <w:spacing w:before="100" w:beforeAutospacing="1" w:after="100" w:afterAutospacing="1" w:line="240" w:lineRule="auto"/>
        <w:jc w:val="both"/>
        <w:rPr>
          <w:rFonts w:ascii="Times New Roman" w:hAnsi="Times New Roman" w:eastAsia="Times New Roman" w:cs="Times New Roman"/>
          <w:sz w:val="24"/>
          <w:szCs w:val="24"/>
        </w:rPr>
      </w:pPr>
      <m:oMath>
        <m:sSup>
          <m:sSupPr>
            <m:ctrlPr>
              <w:rPr>
                <w:rFonts w:ascii="Cambria Math" w:hAnsi="Cambria Math" w:eastAsia="Times New Roman" w:cs="Times New Roman"/>
                <w:i/>
                <w:sz w:val="24"/>
                <w:szCs w:val="24"/>
              </w:rPr>
            </m:ctrlPr>
          </m:sSup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p>
            <m:r>
              <m:rPr/>
              <w:rPr>
                <w:rFonts w:ascii="Cambria Math" w:hAnsi="Cambria Math" w:eastAsia="Times New Roman" w:cs="Times New Roman"/>
                <w:sz w:val="24"/>
                <w:szCs w:val="24"/>
              </w:rPr>
              <m:t>+</m:t>
            </m:r>
            <m:ctrlPr>
              <w:rPr>
                <w:rFonts w:ascii="Cambria Math" w:hAnsi="Cambria Math" w:eastAsia="Times New Roman" w:cs="Times New Roman"/>
                <w:i/>
                <w:sz w:val="24"/>
                <w:szCs w:val="24"/>
              </w:rPr>
            </m:ctrlPr>
          </m:sup>
        </m:sSup>
        <m:sSup>
          <m:sSupPr>
            <m:ctrlPr>
              <w:rPr>
                <w:rFonts w:ascii="Cambria Math" w:hAnsi="Cambria Math" w:eastAsia="Times New Roman" w:cs="Times New Roman"/>
                <w:i/>
                <w:sz w:val="24"/>
                <w:szCs w:val="24"/>
              </w:rPr>
            </m:ctrlPr>
          </m:sSupPr>
          <m:e>
            <m:r>
              <m:rPr/>
              <w:rPr>
                <w:rFonts w:ascii="Cambria Math" w:hAnsi="Cambria Math" w:eastAsia="Times New Roman" w:cs="Times New Roman"/>
                <w:sz w:val="24"/>
                <w:szCs w:val="24"/>
              </w:rPr>
              <m:t>, β</m:t>
            </m:r>
            <m:ctrlPr>
              <w:rPr>
                <w:rFonts w:ascii="Cambria Math" w:hAnsi="Cambria Math" w:eastAsia="Times New Roman" w:cs="Times New Roman"/>
                <w:i/>
                <w:sz w:val="24"/>
                <w:szCs w:val="24"/>
              </w:rPr>
            </m:ctrlPr>
          </m:e>
          <m:sup>
            <m:r>
              <m:rPr/>
              <w:rPr>
                <w:rFonts w:ascii="Cambria Math" w:hAnsi="Cambria Math" w:eastAsia="Times New Roman" w:cs="Times New Roman"/>
                <w:sz w:val="24"/>
                <w:szCs w:val="24"/>
              </w:rPr>
              <m:t>−</m:t>
            </m:r>
            <m:ctrlPr>
              <w:rPr>
                <w:rFonts w:ascii="Cambria Math" w:hAnsi="Cambria Math" w:eastAsia="Times New Roman" w:cs="Times New Roman"/>
                <w:i/>
                <w:sz w:val="24"/>
                <w:szCs w:val="24"/>
              </w:rPr>
            </m:ctrlPr>
          </m:sup>
        </m:sSup>
      </m:oMath>
      <w:r>
        <w:rPr>
          <w:rFonts w:ascii="Times New Roman" w:hAnsi="Times New Roman" w:eastAsia="Times New Roman" w:cs="Times New Roman"/>
          <w:sz w:val="24"/>
          <w:szCs w:val="24"/>
        </w:rPr>
        <w:t>= Long-run asymmetric effects</w:t>
      </w:r>
    </w:p>
    <w:p w14:paraId="26287A15">
      <w:pPr>
        <w:jc w:val="both"/>
        <w:rPr>
          <w:rFonts w:ascii="Times New Roman" w:hAnsi="Times New Roman" w:cs="Times New Roman"/>
          <w:sz w:val="24"/>
          <w:szCs w:val="24"/>
        </w:rPr>
      </w:pPr>
      <w:r>
        <w:rPr>
          <w:rFonts w:ascii="Times New Roman" w:hAnsi="Times New Roman" w:cs="Times New Roman"/>
          <w:sz w:val="24"/>
          <w:szCs w:val="24"/>
        </w:rPr>
        <w:t xml:space="preserve">The general form of the </w:t>
      </w:r>
      <w:r>
        <w:rPr>
          <w:rStyle w:val="13"/>
          <w:rFonts w:ascii="Times New Roman" w:hAnsi="Times New Roman" w:cs="Times New Roman"/>
          <w:b w:val="0"/>
          <w:bCs w:val="0"/>
          <w:sz w:val="24"/>
          <w:szCs w:val="24"/>
        </w:rPr>
        <w:t>NARDL model</w:t>
      </w:r>
      <w:r>
        <w:rPr>
          <w:rFonts w:ascii="Times New Roman" w:hAnsi="Times New Roman" w:cs="Times New Roman"/>
          <w:sz w:val="24"/>
          <w:szCs w:val="24"/>
        </w:rPr>
        <w:t xml:space="preserve"> </w:t>
      </w:r>
      <w:r>
        <w:rPr>
          <w:rFonts w:ascii="Times New Roman" w:hAnsi="Times New Roman" w:cs="Times New Roman"/>
          <w:color w:val="auto"/>
          <w:sz w:val="24"/>
          <w:szCs w:val="24"/>
          <w:u w:val="none"/>
          <w:shd w:val="clear" w:color="auto" w:fill="FFFFFF"/>
          <w:lang w:val="en-US"/>
        </w:rPr>
        <w:fldChar w:fldCharType="begin"/>
      </w:r>
      <w:r>
        <w:rPr>
          <w:rFonts w:ascii="Times New Roman" w:hAnsi="Times New Roman" w:cs="Times New Roman"/>
          <w:color w:val="auto"/>
          <w:sz w:val="24"/>
          <w:szCs w:val="24"/>
          <w:u w:val="none"/>
          <w:shd w:val="clear" w:color="auto" w:fill="FFFFFF"/>
          <w:lang w:val="en-US"/>
        </w:rPr>
        <w:instrText xml:space="preserve"> ADDIN EN.CITE &lt;EndNote&gt;&lt;Cite AuthorYear="1"&gt;&lt;Author&gt;Jiranyakul&lt;/Author&gt;&lt;Year&gt;2020&lt;/Year&gt;&lt;RecNum&gt;5&lt;/RecNum&gt;&lt;DisplayText&gt;Jiranyakul (2020)&lt;/DisplayText&gt;&lt;record&gt;&lt;rec-number&gt;5&lt;/rec-number&gt;&lt;foreign-keys&gt;&lt;key app="EN" db-id="2t52ftddjzwsxoerapx5vrxm2fdzpaza5sva" timestamp="1751961537"&gt;5&lt;/key&gt;&lt;/foreign-keys&gt;&lt;ref-type name="Journal Article"&gt;17&lt;/ref-type&gt;&lt;contributors&gt;&lt;authors&gt;&lt;author&gt;Jiranyakul, Komain&lt;/author&gt;&lt;/authors&gt;&lt;/contributors&gt;&lt;titles&gt;&lt;title&gt;Government Expenditures and Economic Growth: A Cointegration Analysis for Thailand under the Floating Exchange Rate Regime&lt;/title&gt;&lt;/titles&gt;&lt;dates&gt;&lt;year&gt;2020&lt;/year&gt;&lt;/dates&gt;&lt;urls&gt;&lt;/urls&gt;&lt;/record&gt;&lt;/Cite&gt;&lt;/EndNote&gt;</w:instrText>
      </w:r>
      <w:r>
        <w:rPr>
          <w:rFonts w:ascii="Times New Roman" w:hAnsi="Times New Roman" w:cs="Times New Roman"/>
          <w:color w:val="auto"/>
          <w:sz w:val="24"/>
          <w:szCs w:val="24"/>
          <w:u w:val="none"/>
          <w:shd w:val="clear" w:color="auto" w:fill="FFFFFF"/>
          <w:lang w:val="en-US"/>
        </w:rPr>
        <w:fldChar w:fldCharType="separate"/>
      </w:r>
      <w:r>
        <w:rPr>
          <w:rFonts w:ascii="Times New Roman" w:hAnsi="Times New Roman" w:cs="Times New Roman" w:eastAsiaTheme="minorHAnsi"/>
          <w:color w:val="auto"/>
          <w:sz w:val="24"/>
          <w:szCs w:val="24"/>
          <w:u w:val="none"/>
          <w:shd w:val="clear" w:color="auto" w:fill="FFFFFF"/>
          <w:lang w:val="en-US" w:eastAsia="en-US" w:bidi="ar-SA"/>
        </w:rPr>
        <w:t>Jiranyakul (2020)</w:t>
      </w:r>
      <w:r>
        <w:rPr>
          <w:rFonts w:ascii="Times New Roman" w:hAnsi="Times New Roman" w:cs="Times New Roman"/>
          <w:color w:val="auto"/>
          <w:sz w:val="24"/>
          <w:szCs w:val="24"/>
          <w:u w:val="none"/>
          <w:shd w:val="clear" w:color="auto" w:fill="FFFFFF"/>
          <w:lang w:val="en-US"/>
        </w:rPr>
        <w:fldChar w:fldCharType="end"/>
      </w:r>
      <w:r>
        <w:rPr>
          <w:rFonts w:ascii="Times New Roman" w:hAnsi="Times New Roman" w:cs="Times New Roman"/>
          <w:sz w:val="24"/>
          <w:szCs w:val="24"/>
        </w:rPr>
        <w:t>can be expressed as:</w:t>
      </w:r>
    </w:p>
    <w:p w14:paraId="7AF45D92">
      <w:pPr>
        <w:jc w:val="both"/>
        <w:rPr>
          <w:rFonts w:ascii="Times New Roman" w:hAnsi="Times New Roman" w:cs="Times New Roman"/>
          <w:b/>
          <w:bCs/>
          <w:sz w:val="24"/>
          <w:szCs w:val="24"/>
        </w:rPr>
      </w:pPr>
      <w:bookmarkStart w:id="170" w:name="_Hlk196167338"/>
      <m:oMath>
        <m:sSub>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t</m:t>
            </m:r>
            <w:bookmarkEnd w:id="170"/>
            <m:ctrlPr>
              <w:rPr>
                <w:rFonts w:ascii="Cambria Math" w:hAnsi="Cambria Math" w:cs="Times New Roman"/>
                <w:i/>
                <w:sz w:val="24"/>
                <w:szCs w:val="24"/>
              </w:rPr>
            </m:ctrlPr>
          </m:sub>
        </m:sSub>
        <m:r>
          <m:rPr/>
          <w:rPr>
            <w:rFonts w:ascii="Cambria Math" w:hAnsi="Cambria Math" w:cs="Times New Roman"/>
            <w:sz w:val="24"/>
            <w:szCs w:val="24"/>
          </w:rPr>
          <m:t xml:space="preserve">= α+ </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i=1</m:t>
            </m:r>
            <m:ctrlPr>
              <w:rPr>
                <w:rFonts w:ascii="Cambria Math" w:hAnsi="Cambria Math" w:cs="Times New Roman"/>
                <w:i/>
                <w:sz w:val="24"/>
                <w:szCs w:val="24"/>
              </w:rPr>
            </m:ctrlPr>
          </m:sub>
          <m:sup>
            <m:r>
              <m:rPr/>
              <w:rPr>
                <w:rFonts w:ascii="Cambria Math" w:hAnsi="Cambria Math" w:cs="Times New Roman"/>
                <w:sz w:val="24"/>
                <w:szCs w:val="24"/>
              </w:rPr>
              <m:t>p</m:t>
            </m:r>
            <m:ctrlPr>
              <w:rPr>
                <w:rFonts w:ascii="Cambria Math" w:hAnsi="Cambria Math" w:cs="Times New Roman"/>
                <w:i/>
                <w:sz w:val="24"/>
                <w:szCs w:val="24"/>
              </w:rPr>
            </m:ctrlPr>
          </m:sup>
          <m:e>
            <m:sSub>
              <m:sSubPr>
                <m:ctrlPr>
                  <w:rPr>
                    <w:rFonts w:ascii="Cambria Math" w:hAnsi="Cambria Math" w:cs="Times New Roman"/>
                    <w:i/>
                    <w:sz w:val="24"/>
                    <w:szCs w:val="24"/>
                  </w:rPr>
                </m:ctrlPr>
              </m:sSub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ctrlPr>
              <w:rPr>
                <w:rFonts w:ascii="Cambria Math" w:hAnsi="Cambria Math" w:cs="Times New Roman"/>
                <w:i/>
                <w:sz w:val="24"/>
                <w:szCs w:val="24"/>
              </w:rPr>
            </m:ctrlPr>
          </m:e>
        </m:nary>
        <m:sSub>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t−i</m:t>
            </m:r>
            <m:ctrlPr>
              <w:rPr>
                <w:rFonts w:ascii="Cambria Math" w:hAnsi="Cambria Math" w:cs="Times New Roman"/>
                <w:i/>
                <w:sz w:val="24"/>
                <w:szCs w:val="24"/>
              </w:rPr>
            </m:ctrlPr>
          </m:sub>
        </m:sSub>
        <m:r>
          <m:rP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m:rPr/>
              <w:rPr>
                <w:rFonts w:ascii="Cambria Math" w:hAnsi="Cambria Math" w:cs="Times New Roman"/>
                <w:sz w:val="24"/>
                <w:szCs w:val="24"/>
              </w:rPr>
              <m:t>j=0</m:t>
            </m:r>
            <m:ctrlPr>
              <w:rPr>
                <w:rFonts w:ascii="Cambria Math" w:hAnsi="Cambria Math" w:cs="Times New Roman"/>
                <w:i/>
                <w:sz w:val="24"/>
                <w:szCs w:val="24"/>
              </w:rPr>
            </m:ctrlPr>
          </m:sub>
          <m:sup>
            <m:r>
              <m:rPr/>
              <w:rPr>
                <w:rFonts w:ascii="Cambria Math" w:hAnsi="Cambria Math" w:cs="Times New Roman"/>
                <w:sz w:val="24"/>
                <w:szCs w:val="24"/>
              </w:rPr>
              <m:t>q</m:t>
            </m:r>
            <m:ctrlPr>
              <w:rPr>
                <w:rFonts w:ascii="Cambria Math" w:hAnsi="Cambria Math" w:cs="Times New Roman"/>
                <w:i/>
                <w:sz w:val="24"/>
                <w:szCs w:val="24"/>
              </w:rPr>
            </m:ctrlPr>
          </m:sup>
          <m:e>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θ</m:t>
                </m:r>
                <m:ctrlPr>
                  <w:rPr>
                    <w:rFonts w:ascii="Cambria Math" w:hAnsi="Cambria Math" w:cs="Times New Roman"/>
                    <w:i/>
                    <w:sz w:val="24"/>
                    <w:szCs w:val="24"/>
                  </w:rPr>
                </m:ctrlPr>
              </m:e>
              <m:sub>
                <m:r>
                  <m:rPr/>
                  <w:rPr>
                    <w:rFonts w:ascii="Cambria Math" w:hAnsi="Cambria Math" w:cs="Times New Roman"/>
                    <w:sz w:val="24"/>
                    <w:szCs w:val="24"/>
                  </w:rPr>
                  <m:t>t−j</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ctrlPr>
              <w:rPr>
                <w:rFonts w:ascii="Cambria Math" w:hAnsi="Cambria Math" w:cs="Times New Roman"/>
                <w:i/>
                <w:sz w:val="24"/>
                <w:szCs w:val="24"/>
              </w:rPr>
            </m:ctrlPr>
          </m:e>
        </m:nary>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θ</m:t>
            </m:r>
            <m:ctrlPr>
              <w:rPr>
                <w:rFonts w:ascii="Cambria Math" w:hAnsi="Cambria Math" w:cs="Times New Roman"/>
                <w:i/>
                <w:sz w:val="24"/>
                <w:szCs w:val="24"/>
              </w:rPr>
            </m:ctrlPr>
          </m:e>
          <m:sub>
            <m:r>
              <m:rPr/>
              <w:rPr>
                <w:rFonts w:ascii="Cambria Math" w:hAnsi="Cambria Math" w:cs="Times New Roman"/>
                <w:sz w:val="24"/>
                <w:szCs w:val="24"/>
              </w:rPr>
              <m:t>j</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sSubSup>
          <w:bookmarkStart w:id="171" w:name="_Hlk196167366"/>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t−j</m:t>
            </m:r>
            <m:ctrlPr>
              <w:rPr>
                <w:rFonts w:ascii="Cambria Math" w:hAnsi="Cambria Math" w:cs="Times New Roman"/>
                <w:i/>
                <w:sz w:val="24"/>
                <w:szCs w:val="24"/>
              </w:rPr>
            </m:ctrlPr>
          </m:sub>
          <m:sup>
            <m:r>
              <m:rPr/>
              <w:rPr>
                <w:rFonts w:ascii="Cambria Math" w:hAnsi="Cambria Math" w:cs="Times New Roman"/>
                <w:sz w:val="24"/>
                <w:szCs w:val="24"/>
              </w:rPr>
              <m:t>−</m:t>
            </m:r>
            <w:bookmarkEnd w:id="171"/>
            <m:ctrlPr>
              <w:rPr>
                <w:rFonts w:ascii="Cambria Math" w:hAnsi="Cambria Math" w:cs="Times New Roman"/>
                <w:i/>
                <w:sz w:val="24"/>
                <w:szCs w:val="24"/>
              </w:rPr>
            </m:ctrlPr>
          </m:sup>
        </m:sSubSup>
        <m:r>
          <m:rPr/>
          <w:rPr>
            <w:rFonts w:hint="default" w:ascii="Cambria Math" w:hAnsi="Cambria Math" w:cs="Times New Roman"/>
            <w:sz w:val="24"/>
            <w:szCs w:val="24"/>
            <w:lang w:val="en-US"/>
          </w:rPr>
          <m:t>)</m:t>
        </m:r>
        <m:r>
          <m:rPr/>
          <w:rPr>
            <w:rFonts w:ascii="Cambria Math" w:hAnsi="Cambria Math" w:cs="Times New Roman"/>
            <w:sz w:val="24"/>
            <w:szCs w:val="24"/>
          </w:rPr>
          <m:t xml:space="preserve">+ </m:t>
        </m:r>
        <m:sSub>
          <m:sSubPr>
            <m:ctrlPr>
              <w:rPr>
                <w:rFonts w:ascii="Cambria Math" w:hAnsi="Cambria Math" w:cs="Times New Roman"/>
                <w:i/>
                <w:sz w:val="24"/>
                <w:szCs w:val="24"/>
              </w:rPr>
            </m:ctrlPr>
          </m:sSubPr>
          <m:e>
            <m:r>
              <m:rPr/>
              <w:rPr>
                <w:rFonts w:ascii="Cambria Math" w:hAnsi="Cambria Math" w:cs="Times New Roman"/>
                <w:sz w:val="24"/>
                <w:szCs w:val="24"/>
              </w:rPr>
              <m:t>ε</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Sub>
      </m:oMath>
      <w:r>
        <w:rPr>
          <w:rFonts w:ascii="Times New Roman" w:hAnsi="Times New Roman" w:cs="Times New Roman" w:eastAsiaTheme="minorEastAsia"/>
          <w:b/>
          <w:bCs/>
          <w:sz w:val="24"/>
          <w:szCs w:val="24"/>
        </w:rPr>
        <w:t xml:space="preserve">   </w:t>
      </w:r>
      <w:r>
        <w:rPr>
          <w:rFonts w:hint="default" w:ascii="Times New Roman" w:hAnsi="Times New Roman" w:cs="Times New Roman" w:eastAsiaTheme="minorEastAsia"/>
          <w:b/>
          <w:bCs/>
          <w:sz w:val="24"/>
          <w:szCs w:val="24"/>
          <w:lang w:val="en-US"/>
        </w:rPr>
        <w:t xml:space="preserve">                                         </w:t>
      </w:r>
      <w:r>
        <w:rPr>
          <w:rFonts w:ascii="Times New Roman" w:hAnsi="Times New Roman" w:cs="Times New Roman" w:eastAsiaTheme="minorEastAsia"/>
          <w:b/>
          <w:bCs/>
          <w:sz w:val="24"/>
          <w:szCs w:val="24"/>
        </w:rPr>
        <w:t>(9)</w:t>
      </w:r>
    </w:p>
    <w:p w14:paraId="2C3AE66D">
      <w:pPr>
        <w:jc w:val="both"/>
        <w:rPr>
          <w:rFonts w:ascii="Times New Roman" w:hAnsi="Times New Roman" w:cs="Times New Roman"/>
          <w:sz w:val="24"/>
          <w:szCs w:val="24"/>
        </w:rPr>
      </w:pPr>
      <w:r>
        <w:rPr>
          <w:rFonts w:ascii="Times New Roman" w:hAnsi="Times New Roman" w:cs="Times New Roman"/>
          <w:sz w:val="24"/>
          <w:szCs w:val="24"/>
        </w:rPr>
        <w:t>Where:</w:t>
      </w:r>
    </w:p>
    <w:p w14:paraId="21F71117">
      <w:pPr>
        <w:pStyle w:val="19"/>
        <w:numPr>
          <w:ilvl w:val="0"/>
          <w:numId w:val="39"/>
        </w:numPr>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y</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Sub>
        <m:r>
          <m:rPr/>
          <w:rPr>
            <w:rFonts w:ascii="Cambria Math" w:hAnsi="Cambria Math" w:cs="Times New Roman"/>
            <w:sz w:val="24"/>
            <w:szCs w:val="24"/>
          </w:rPr>
          <m:t>=</m:t>
        </m:r>
        <m:r>
          <m:rPr>
            <m:sty m:val="p"/>
          </m:rPr>
          <w:rPr>
            <w:rFonts w:ascii="Cambria Math" w:hAnsi="Cambria Math" w:cs="Times New Roman"/>
            <w:sz w:val="24"/>
            <w:szCs w:val="24"/>
          </w:rPr>
          <m:t>dependent variable</m:t>
        </m:r>
        <m:r>
          <m:rPr/>
          <w:rPr>
            <w:rFonts w:ascii="Cambria Math" w:hAnsi="Cambria Math" w:cs="Times New Roman"/>
            <w:sz w:val="24"/>
            <w:szCs w:val="24"/>
          </w:rPr>
          <m:t xml:space="preserve"> </m:t>
        </m:r>
      </m:oMath>
    </w:p>
    <w:p w14:paraId="4575F8B3">
      <w:pPr>
        <w:pStyle w:val="19"/>
        <w:numPr>
          <w:ilvl w:val="0"/>
          <w:numId w:val="39"/>
        </w:numPr>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Sub>
        <m:r>
          <m:rPr/>
          <w:rPr>
            <w:rFonts w:ascii="Cambria Math" w:hAnsi="Cambria Math" w:cs="Times New Roman"/>
            <w:sz w:val="24"/>
            <w:szCs w:val="24"/>
          </w:rPr>
          <m:t xml:space="preserve">= </m:t>
        </m:r>
        <m:r>
          <m:rPr>
            <m:sty m:val="p"/>
          </m:rPr>
          <w:rPr>
            <w:rFonts w:ascii="Cambria Math" w:hAnsi="Cambria Math" w:cs="Times New Roman"/>
            <w:sz w:val="24"/>
            <w:szCs w:val="24"/>
          </w:rPr>
          <m:t xml:space="preserve">independent variable </m:t>
        </m:r>
      </m:oMath>
    </w:p>
    <w:p w14:paraId="2FDBA5CD">
      <w:pPr>
        <w:pStyle w:val="19"/>
        <w:numPr>
          <w:ilvl w:val="0"/>
          <w:numId w:val="39"/>
        </w:numPr>
        <w:jc w:val="both"/>
        <w:rPr>
          <w:rFonts w:ascii="Times New Roman" w:hAnsi="Times New Roman" w:cs="Times New Roman"/>
          <w:bCs/>
          <w:sz w:val="24"/>
          <w:szCs w:val="24"/>
        </w:rPr>
      </w:pPr>
      <m:oMath>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nary>
          <m:naryPr>
            <m:chr m:val="∑"/>
            <m:limLoc m:val="subSup"/>
            <m:ctrlPr>
              <w:rPr>
                <w:rFonts w:ascii="Cambria Math" w:hAnsi="Cambria Math" w:cs="Times New Roman"/>
                <w:i/>
                <w:sz w:val="24"/>
                <w:szCs w:val="24"/>
              </w:rPr>
            </m:ctrlPr>
          </m:naryPr>
          <m:sub>
            <m:r>
              <m:rPr/>
              <w:rPr>
                <w:rFonts w:ascii="Cambria Math" w:hAnsi="Cambria Math" w:cs="Times New Roman"/>
                <w:sz w:val="24"/>
                <w:szCs w:val="24"/>
              </w:rPr>
              <m:t>k−1</m:t>
            </m:r>
            <m:ctrlPr>
              <w:rPr>
                <w:rFonts w:ascii="Cambria Math" w:hAnsi="Cambria Math" w:cs="Times New Roman"/>
                <w:i/>
                <w:sz w:val="24"/>
                <w:szCs w:val="24"/>
              </w:rPr>
            </m:ctrlPr>
          </m:sub>
          <m:sup>
            <m:r>
              <m:rPr/>
              <w:rPr>
                <w:rFonts w:ascii="Cambria Math" w:hAnsi="Cambria Math" w:cs="Times New Roman"/>
                <w:sz w:val="24"/>
                <w:szCs w:val="24"/>
              </w:rPr>
              <m:t>t</m:t>
            </m:r>
            <m:ctrlPr>
              <w:rPr>
                <w:rFonts w:ascii="Cambria Math" w:hAnsi="Cambria Math" w:cs="Times New Roman"/>
                <w:i/>
                <w:sz w:val="24"/>
                <w:szCs w:val="24"/>
              </w:rPr>
            </m:ctrlPr>
          </m:sup>
          <m:e>
            <m:func>
              <m:funcPr>
                <m:ctrlPr>
                  <w:rPr>
                    <w:rFonts w:ascii="Cambria Math" w:hAnsi="Cambria Math" w:cs="Times New Roman"/>
                    <w:i/>
                    <w:sz w:val="24"/>
                    <w:szCs w:val="24"/>
                  </w:rPr>
                </m:ctrlPr>
              </m:funcPr>
              <m:fName>
                <m:r>
                  <m:rPr>
                    <m:sty m:val="p"/>
                  </m:rPr>
                  <w:rPr>
                    <w:rFonts w:ascii="Cambria Math" w:hAnsi="Cambria Math" w:cs="Times New Roman"/>
                    <w:sz w:val="24"/>
                    <w:szCs w:val="24"/>
                  </w:rPr>
                  <m:t>max</m:t>
                </m:r>
                <m:ctrlPr>
                  <w:rPr>
                    <w:rFonts w:ascii="Cambria Math" w:hAnsi="Cambria Math" w:cs="Times New Roman"/>
                    <w:i/>
                    <w:sz w:val="24"/>
                    <w:szCs w:val="24"/>
                  </w:rPr>
                </m:ctrlPr>
              </m:fName>
              <m:e>
                <m:d>
                  <m:dPr>
                    <m:ctrlPr>
                      <w:rPr>
                        <w:rFonts w:ascii="Cambria Math" w:hAnsi="Cambria Math" w:cs="Times New Roman"/>
                        <w:i/>
                        <w:sz w:val="24"/>
                        <w:szCs w:val="24"/>
                      </w:rPr>
                    </m:ctrlPr>
                  </m:dPr>
                  <m:e>
                    <m:r>
                      <m:rPr/>
                      <w:rPr>
                        <w:rFonts w:ascii="Cambria Math" w:hAnsi="Cambria Math" w:cs="Times New Roman"/>
                        <w:sz w:val="24"/>
                        <w:szCs w:val="24"/>
                      </w:rPr>
                      <m:t>∆ x k, o</m:t>
                    </m:r>
                    <m:ctrlPr>
                      <w:rPr>
                        <w:rFonts w:ascii="Cambria Math" w:hAnsi="Cambria Math" w:cs="Times New Roman"/>
                        <w:i/>
                        <w:sz w:val="24"/>
                        <w:szCs w:val="24"/>
                      </w:rPr>
                    </m:ctrlPr>
                  </m:e>
                </m:d>
                <m:r>
                  <m:rPr/>
                  <w:rPr>
                    <w:rFonts w:ascii="Cambria Math" w:hAnsi="Cambria Math" w:cs="Times New Roman"/>
                    <w:sz w:val="24"/>
                    <w:szCs w:val="24"/>
                  </w:rPr>
                  <m:t xml:space="preserve">: </m:t>
                </m:r>
                <m:ctrlPr>
                  <w:rPr>
                    <w:rFonts w:ascii="Cambria Math" w:hAnsi="Cambria Math" w:cs="Times New Roman"/>
                    <w:i/>
                    <w:sz w:val="24"/>
                    <w:szCs w:val="24"/>
                  </w:rPr>
                </m:ctrlPr>
              </m:e>
            </m:func>
            <m:ctrlPr>
              <w:rPr>
                <w:rFonts w:ascii="Cambria Math" w:hAnsi="Cambria Math" w:cs="Times New Roman"/>
                <w:i/>
                <w:sz w:val="24"/>
                <w:szCs w:val="24"/>
              </w:rPr>
            </m:ctrlPr>
          </m:e>
        </m:nary>
        <m:r>
          <m:rPr>
            <m:sty m:val="p"/>
          </m:rPr>
          <w:rPr>
            <w:rFonts w:ascii="Cambria Math" w:hAnsi="Cambria Math" w:cs="Times New Roman"/>
            <w:sz w:val="24"/>
            <w:szCs w:val="24"/>
          </w:rPr>
          <m:t xml:space="preserve">cumulative sum of </m:t>
        </m:r>
        <m:r>
          <m:rPr>
            <m:sty m:val="p"/>
          </m:rPr>
          <w:rPr>
            <w:rStyle w:val="13"/>
            <w:rFonts w:ascii="Cambria Math" w:hAnsi="Cambria Math" w:cs="Times New Roman"/>
            <w:sz w:val="24"/>
            <w:szCs w:val="24"/>
          </w:rPr>
          <m:t>positive changes</m:t>
        </m:r>
        <m:r>
          <m:rPr>
            <m:sty m:val="b"/>
          </m:rPr>
          <w:rPr>
            <w:rFonts w:ascii="Cambria Math" w:hAnsi="Cambria Math" w:cs="Times New Roman"/>
            <w:sz w:val="24"/>
            <w:szCs w:val="24"/>
          </w:rPr>
          <m:t xml:space="preserve"> </m:t>
        </m:r>
        <m:r>
          <m:rPr>
            <m:sty m:val="p"/>
          </m:rPr>
          <w:rPr>
            <w:rFonts w:ascii="Cambria Math" w:hAnsi="Cambria Math" w:cs="Times New Roman"/>
            <w:sz w:val="24"/>
            <w:szCs w:val="24"/>
          </w:rPr>
          <m:t xml:space="preserve">in </m:t>
        </m:r>
        <m:r>
          <m:rPr>
            <m:sty m:val="p"/>
          </m:rPr>
          <w:rPr>
            <w:rStyle w:val="25"/>
            <w:rFonts w:ascii="Cambria Math" w:hAnsi="Cambria Math" w:cs="Times New Roman"/>
            <w:sz w:val="24"/>
            <w:szCs w:val="24"/>
          </w:rPr>
          <m:t>x</m:t>
        </m:r>
      </m:oMath>
    </w:p>
    <w:p w14:paraId="278EF716">
      <w:pPr>
        <w:pStyle w:val="19"/>
        <w:numPr>
          <w:ilvl w:val="0"/>
          <w:numId w:val="39"/>
        </w:numPr>
        <w:jc w:val="both"/>
        <w:rPr>
          <w:rStyle w:val="25"/>
          <w:rFonts w:ascii="Times New Roman" w:hAnsi="Times New Roman" w:cs="Times New Roman"/>
          <w:bCs/>
          <w:sz w:val="24"/>
          <w:szCs w:val="24"/>
        </w:rPr>
      </w:pPr>
      <m:oMath>
        <m:sSubSup>
          <m:sSubSupPr>
            <m:ctrlPr>
              <w:rPr>
                <w:rFonts w:ascii="Cambria Math" w:hAnsi="Cambria Math" w:cs="Times New Roman"/>
                <w:i/>
                <w:sz w:val="24"/>
                <w:szCs w:val="24"/>
              </w:rPr>
            </m:ctrlPr>
          </m:sSubSup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nary>
          <m:naryPr>
            <m:chr m:val="∑"/>
            <m:limLoc m:val="subSup"/>
            <m:ctrlPr>
              <w:rPr>
                <w:rFonts w:ascii="Cambria Math" w:hAnsi="Cambria Math" w:cs="Times New Roman"/>
                <w:i/>
                <w:sz w:val="24"/>
                <w:szCs w:val="24"/>
              </w:rPr>
            </m:ctrlPr>
          </m:naryPr>
          <m:sub>
            <m:r>
              <m:rPr/>
              <w:rPr>
                <w:rFonts w:ascii="Cambria Math" w:hAnsi="Cambria Math" w:cs="Times New Roman"/>
                <w:sz w:val="24"/>
                <w:szCs w:val="24"/>
              </w:rPr>
              <m:t>k−1</m:t>
            </m:r>
            <m:ctrlPr>
              <w:rPr>
                <w:rFonts w:ascii="Cambria Math" w:hAnsi="Cambria Math" w:cs="Times New Roman"/>
                <w:i/>
                <w:sz w:val="24"/>
                <w:szCs w:val="24"/>
              </w:rPr>
            </m:ctrlPr>
          </m:sub>
          <m:sup>
            <m:r>
              <m:rPr/>
              <w:rPr>
                <w:rFonts w:ascii="Cambria Math" w:hAnsi="Cambria Math" w:cs="Times New Roman"/>
                <w:sz w:val="24"/>
                <w:szCs w:val="24"/>
              </w:rPr>
              <m:t>t</m:t>
            </m:r>
            <m:ctrlPr>
              <w:rPr>
                <w:rFonts w:ascii="Cambria Math" w:hAnsi="Cambria Math" w:cs="Times New Roman"/>
                <w:i/>
                <w:sz w:val="24"/>
                <w:szCs w:val="24"/>
              </w:rPr>
            </m:ctrlPr>
          </m:sup>
          <m:e>
            <m:func>
              <m:funcPr>
                <m:ctrlPr>
                  <w:rPr>
                    <w:rFonts w:ascii="Cambria Math" w:hAnsi="Cambria Math" w:cs="Times New Roman"/>
                    <w:i/>
                    <w:sz w:val="24"/>
                    <w:szCs w:val="24"/>
                  </w:rPr>
                </m:ctrlPr>
              </m:funcPr>
              <m:fName>
                <m:r>
                  <m:rPr>
                    <m:sty m:val="p"/>
                  </m:rPr>
                  <w:rPr>
                    <w:rFonts w:ascii="Cambria Math" w:hAnsi="Cambria Math" w:cs="Times New Roman"/>
                    <w:sz w:val="24"/>
                    <w:szCs w:val="24"/>
                  </w:rPr>
                  <m:t>min</m:t>
                </m:r>
                <m:ctrlPr>
                  <w:rPr>
                    <w:rFonts w:ascii="Cambria Math" w:hAnsi="Cambria Math" w:cs="Times New Roman"/>
                    <w:i/>
                    <w:sz w:val="24"/>
                    <w:szCs w:val="24"/>
                  </w:rPr>
                </m:ctrlPr>
              </m:fName>
              <m:e>
                <m:d>
                  <m:dPr>
                    <m:ctrlPr>
                      <w:rPr>
                        <w:rFonts w:ascii="Cambria Math" w:hAnsi="Cambria Math" w:cs="Times New Roman"/>
                        <w:i/>
                        <w:sz w:val="24"/>
                        <w:szCs w:val="24"/>
                      </w:rPr>
                    </m:ctrlPr>
                  </m:dPr>
                  <m:e>
                    <m:r>
                      <m:rPr/>
                      <w:rPr>
                        <w:rFonts w:ascii="Cambria Math" w:hAnsi="Cambria Math" w:cs="Times New Roman"/>
                        <w:sz w:val="24"/>
                        <w:szCs w:val="24"/>
                      </w:rPr>
                      <m:t>∆ x k, o</m:t>
                    </m:r>
                    <m:ctrlPr>
                      <w:rPr>
                        <w:rFonts w:ascii="Cambria Math" w:hAnsi="Cambria Math" w:cs="Times New Roman"/>
                        <w:i/>
                        <w:sz w:val="24"/>
                        <w:szCs w:val="24"/>
                      </w:rPr>
                    </m:ctrlPr>
                  </m:e>
                </m:d>
                <m:r>
                  <m:rPr/>
                  <w:rPr>
                    <w:rFonts w:ascii="Cambria Math" w:hAnsi="Cambria Math" w:cs="Times New Roman"/>
                    <w:sz w:val="24"/>
                    <w:szCs w:val="24"/>
                  </w:rPr>
                  <m:t xml:space="preserve">: </m:t>
                </m:r>
                <m:ctrlPr>
                  <w:rPr>
                    <w:rFonts w:ascii="Cambria Math" w:hAnsi="Cambria Math" w:cs="Times New Roman"/>
                    <w:i/>
                    <w:sz w:val="24"/>
                    <w:szCs w:val="24"/>
                  </w:rPr>
                </m:ctrlPr>
              </m:e>
            </m:func>
            <m:ctrlPr>
              <w:rPr>
                <w:rFonts w:ascii="Cambria Math" w:hAnsi="Cambria Math" w:cs="Times New Roman"/>
                <w:i/>
                <w:sz w:val="24"/>
                <w:szCs w:val="24"/>
              </w:rPr>
            </m:ctrlPr>
          </m:e>
        </m:nary>
        <m:r>
          <m:rPr>
            <m:sty m:val="p"/>
          </m:rPr>
          <w:rPr>
            <w:rFonts w:ascii="Cambria Math" w:hAnsi="Cambria Math" w:cs="Times New Roman"/>
            <w:sz w:val="24"/>
            <w:szCs w:val="24"/>
          </w:rPr>
          <m:t xml:space="preserve">cumulative sum of </m:t>
        </m:r>
        <m:r>
          <m:rPr>
            <m:sty m:val="p"/>
          </m:rPr>
          <w:rPr>
            <w:rStyle w:val="13"/>
            <w:rFonts w:ascii="Cambria Math" w:hAnsi="Cambria Math" w:cs="Times New Roman"/>
            <w:sz w:val="24"/>
            <w:szCs w:val="24"/>
          </w:rPr>
          <m:t>negative changes</m:t>
        </m:r>
        <m:r>
          <m:rPr>
            <m:sty m:val="b"/>
          </m:rPr>
          <w:rPr>
            <w:rFonts w:ascii="Cambria Math" w:hAnsi="Cambria Math" w:cs="Times New Roman"/>
            <w:sz w:val="24"/>
            <w:szCs w:val="24"/>
          </w:rPr>
          <m:t xml:space="preserve"> </m:t>
        </m:r>
        <m:r>
          <m:rPr>
            <m:sty m:val="p"/>
          </m:rPr>
          <w:rPr>
            <w:rFonts w:ascii="Cambria Math" w:hAnsi="Cambria Math" w:cs="Times New Roman"/>
            <w:sz w:val="24"/>
            <w:szCs w:val="24"/>
          </w:rPr>
          <m:t xml:space="preserve">in </m:t>
        </m:r>
        <m:r>
          <m:rPr>
            <m:sty m:val="p"/>
          </m:rPr>
          <w:rPr>
            <w:rStyle w:val="25"/>
            <w:rFonts w:ascii="Cambria Math" w:hAnsi="Cambria Math" w:cs="Times New Roman"/>
            <w:sz w:val="24"/>
            <w:szCs w:val="24"/>
          </w:rPr>
          <m:t>x</m:t>
        </m:r>
      </m:oMath>
    </w:p>
    <w:p w14:paraId="16DC6F38">
      <w:pPr>
        <w:pStyle w:val="19"/>
        <w:numPr>
          <w:ilvl w:val="0"/>
          <w:numId w:val="39"/>
        </w:numPr>
        <w:jc w:val="both"/>
        <w:rPr>
          <w:rFonts w:ascii="Times New Roman" w:hAnsi="Times New Roman" w:cs="Times New Roman"/>
          <w:bCs/>
          <w:sz w:val="24"/>
          <w:szCs w:val="24"/>
        </w:rPr>
      </w:pPr>
      <m:oMath>
        <m:sSubSup>
          <m:sSubSupPr>
            <m:ctrlPr>
              <w:rPr>
                <w:rFonts w:ascii="Cambria Math" w:hAnsi="Cambria Math" w:cs="Times New Roman"/>
                <w:bCs/>
                <w:i/>
                <w:sz w:val="24"/>
                <w:szCs w:val="24"/>
              </w:rPr>
            </m:ctrlPr>
          </m:sSubSupPr>
          <m:e>
            <m:r>
              <m:rPr/>
              <w:rPr>
                <w:rFonts w:ascii="Cambria Math" w:hAnsi="Cambria Math" w:cs="Times New Roman"/>
                <w:sz w:val="24"/>
                <w:szCs w:val="24"/>
              </w:rPr>
              <m:t>θ</m:t>
            </m:r>
            <m:ctrlPr>
              <w:rPr>
                <w:rFonts w:ascii="Cambria Math" w:hAnsi="Cambria Math" w:cs="Times New Roman"/>
                <w:bCs/>
                <w:i/>
                <w:sz w:val="24"/>
                <w:szCs w:val="24"/>
              </w:rPr>
            </m:ctrlPr>
          </m:e>
          <m:sub>
            <m:r>
              <m:rPr/>
              <w:rPr>
                <w:rFonts w:ascii="Cambria Math" w:hAnsi="Cambria Math" w:cs="Times New Roman"/>
                <w:sz w:val="24"/>
                <w:szCs w:val="24"/>
              </w:rPr>
              <m:t>j</m:t>
            </m:r>
            <m:ctrlPr>
              <w:rPr>
                <w:rFonts w:ascii="Cambria Math" w:hAnsi="Cambria Math" w:cs="Times New Roman"/>
                <w:bCs/>
                <w:i/>
                <w:sz w:val="24"/>
                <w:szCs w:val="24"/>
              </w:rPr>
            </m:ctrlPr>
          </m:sub>
          <m:sup>
            <m:r>
              <m:rPr/>
              <w:rPr>
                <w:rFonts w:ascii="Cambria Math" w:hAnsi="Cambria Math" w:cs="Times New Roman"/>
                <w:sz w:val="24"/>
                <w:szCs w:val="24"/>
              </w:rPr>
              <m:t>∓</m:t>
            </m:r>
            <m:ctrlPr>
              <w:rPr>
                <w:rFonts w:ascii="Cambria Math" w:hAnsi="Cambria Math" w:cs="Times New Roman"/>
                <w:bCs/>
                <w:i/>
                <w:sz w:val="24"/>
                <w:szCs w:val="24"/>
              </w:rPr>
            </m:ctrlPr>
          </m:sup>
        </m:sSubSup>
        <m:r>
          <m:rPr/>
          <w:rPr>
            <w:rFonts w:ascii="Cambria Math" w:hAnsi="Cambria Math" w:cs="Times New Roman"/>
            <w:sz w:val="24"/>
            <w:szCs w:val="24"/>
          </w:rPr>
          <m:t xml:space="preserve"> and </m:t>
        </m:r>
        <m:sSubSup>
          <m:sSubSupPr>
            <m:ctrlPr>
              <w:rPr>
                <w:rFonts w:ascii="Cambria Math" w:hAnsi="Cambria Math" w:cs="Times New Roman"/>
                <w:bCs/>
                <w:i/>
                <w:sz w:val="24"/>
                <w:szCs w:val="24"/>
              </w:rPr>
            </m:ctrlPr>
          </m:sSubSupPr>
          <m:e>
            <m:r>
              <m:rPr/>
              <w:rPr>
                <w:rFonts w:ascii="Cambria Math" w:hAnsi="Cambria Math" w:cs="Times New Roman"/>
                <w:sz w:val="24"/>
                <w:szCs w:val="24"/>
              </w:rPr>
              <m:t>θ</m:t>
            </m:r>
            <m:ctrlPr>
              <w:rPr>
                <w:rFonts w:ascii="Cambria Math" w:hAnsi="Cambria Math" w:cs="Times New Roman"/>
                <w:bCs/>
                <w:i/>
                <w:sz w:val="24"/>
                <w:szCs w:val="24"/>
              </w:rPr>
            </m:ctrlPr>
          </m:e>
          <m:sub>
            <m:r>
              <m:rPr/>
              <w:rPr>
                <w:rFonts w:ascii="Cambria Math" w:hAnsi="Cambria Math" w:cs="Times New Roman"/>
                <w:sz w:val="24"/>
                <w:szCs w:val="24"/>
              </w:rPr>
              <m:t>j</m:t>
            </m:r>
            <m:ctrlPr>
              <w:rPr>
                <w:rFonts w:ascii="Cambria Math" w:hAnsi="Cambria Math" w:cs="Times New Roman"/>
                <w:bCs/>
                <w:i/>
                <w:sz w:val="24"/>
                <w:szCs w:val="24"/>
              </w:rPr>
            </m:ctrlPr>
          </m:sub>
          <m:sup>
            <m:r>
              <m:rPr/>
              <w:rPr>
                <w:rFonts w:ascii="Cambria Math" w:hAnsi="Cambria Math" w:cs="Times New Roman"/>
                <w:sz w:val="24"/>
                <w:szCs w:val="24"/>
              </w:rPr>
              <m:t>−</m:t>
            </m:r>
            <m:ctrlPr>
              <w:rPr>
                <w:rFonts w:ascii="Cambria Math" w:hAnsi="Cambria Math" w:cs="Times New Roman"/>
                <w:bCs/>
                <w:i/>
                <w:sz w:val="24"/>
                <w:szCs w:val="24"/>
              </w:rPr>
            </m:ctrlPr>
          </m:sup>
        </m:sSubSup>
        <m:r>
          <m:rPr/>
          <w:rPr>
            <w:rFonts w:ascii="Cambria Math" w:hAnsi="Cambria Math" w:cs="Times New Roman"/>
            <w:sz w:val="24"/>
            <w:szCs w:val="24"/>
          </w:rPr>
          <m:t xml:space="preserve">= </m:t>
        </m:r>
        <m:r>
          <m:rPr>
            <m:sty m:val="p"/>
          </m:rPr>
          <w:rPr>
            <w:rFonts w:ascii="Cambria Math" w:hAnsi="Cambria Math" w:cs="Times New Roman"/>
            <w:sz w:val="24"/>
            <w:szCs w:val="24"/>
          </w:rPr>
          <m:t>coefficients capturing asymmetric effects</m:t>
        </m:r>
      </m:oMath>
    </w:p>
    <w:p w14:paraId="3D295CE4">
      <w:pPr>
        <w:pStyle w:val="19"/>
        <w:numPr>
          <w:ilvl w:val="0"/>
          <w:numId w:val="39"/>
        </w:numPr>
        <w:jc w:val="both"/>
        <w:rPr>
          <w:rStyle w:val="25"/>
          <w:rFonts w:ascii="Times New Roman" w:hAnsi="Times New Roman" w:cs="Times New Roman"/>
          <w:bCs/>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r>
          <m:rPr/>
          <w:rPr>
            <w:rFonts w:ascii="Cambria Math" w:hAnsi="Cambria Math" w:cs="Times New Roman"/>
            <w:sz w:val="24"/>
            <w:szCs w:val="24"/>
          </w:rPr>
          <m:t xml:space="preserve">= </m:t>
        </m:r>
        <m:r>
          <m:rPr>
            <m:sty m:val="p"/>
          </m:rPr>
          <w:rPr>
            <w:rFonts w:ascii="Cambria Math" w:hAnsi="Cambria Math" w:cs="Times New Roman"/>
            <w:sz w:val="24"/>
            <w:szCs w:val="24"/>
          </w:rPr>
          <m:t xml:space="preserve">autoregressive coefficients of </m:t>
        </m:r>
        <m:r>
          <m:rPr/>
          <w:rPr>
            <w:rStyle w:val="25"/>
            <w:rFonts w:ascii="Cambria Math" w:hAnsi="Cambria Math" w:cs="Times New Roman"/>
            <w:sz w:val="24"/>
            <w:szCs w:val="24"/>
          </w:rPr>
          <m:t>y</m:t>
        </m:r>
      </m:oMath>
    </w:p>
    <w:p w14:paraId="461FE5FB">
      <w:pPr>
        <w:pStyle w:val="19"/>
        <w:numPr>
          <w:ilvl w:val="0"/>
          <w:numId w:val="39"/>
        </w:numPr>
        <w:jc w:val="both"/>
        <w:rPr>
          <w:rFonts w:ascii="Times New Roman" w:hAnsi="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ε</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Sub>
      </m:oMath>
      <w:r>
        <w:rPr>
          <w:rFonts w:ascii="Times New Roman" w:hAnsi="Times New Roman" w:cs="Times New Roman" w:eastAsiaTheme="minorEastAsia"/>
          <w:sz w:val="24"/>
          <w:szCs w:val="24"/>
        </w:rPr>
        <w:t xml:space="preserve"> = </w:t>
      </w:r>
      <w:r>
        <w:rPr>
          <w:rFonts w:ascii="Times New Roman" w:hAnsi="Times New Roman" w:cs="Times New Roman"/>
          <w:sz w:val="24"/>
          <w:szCs w:val="24"/>
        </w:rPr>
        <w:t>white noise error term</w:t>
      </w:r>
    </w:p>
    <w:p w14:paraId="528AD7B1">
      <w:pPr>
        <w:pStyle w:val="19"/>
        <w:numPr>
          <w:ilvl w:val="0"/>
          <w:numId w:val="39"/>
        </w:numPr>
        <w:jc w:val="both"/>
        <w:rPr>
          <w:rFonts w:hint="default" w:ascii="Times New Roman" w:hAnsi="Times New Roman"/>
          <w:sz w:val="24"/>
          <w:szCs w:val="24"/>
        </w:rPr>
      </w:pPr>
      <m:oMath>
        <m:r>
          <m:rPr/>
          <w:rPr>
            <w:rFonts w:ascii="Cambria Math" w:hAnsi="Cambria Math" w:cs="Times New Roman"/>
            <w:sz w:val="24"/>
            <w:szCs w:val="24"/>
          </w:rPr>
          <m:t xml:space="preserve">p, q=optimal lag orders </m:t>
        </m:r>
      </m:oMath>
    </w:p>
    <w:p w14:paraId="0591083B">
      <w:pPr>
        <w:bidi w:val="0"/>
        <w:jc w:val="both"/>
        <w:rPr>
          <w:rFonts w:ascii="Times New Roman" w:hAnsi="Times New Roman" w:cs="Times New Roman"/>
          <w:sz w:val="24"/>
          <w:szCs w:val="24"/>
        </w:rPr>
      </w:pPr>
      <w:r>
        <w:rPr>
          <w:rFonts w:hint="default" w:ascii="Times New Roman" w:hAnsi="Times New Roman"/>
          <w:sz w:val="24"/>
          <w:szCs w:val="24"/>
        </w:rPr>
        <w:t>Asymmetry in relationships: Economics relationships (e.g. inflation and unemployment relationship, oil prices and real GDP) are often not observed to be symmetric. NARDL models enable one to analyze these asymmetries. Enhance Forecasting Ability: Knowing that there exist nonlinear dynamics leads to more accurate predictions, and this is important to policy makers and business strategists. Applicable in Policy Analysis: When an economic variable does not react in same way to variations in another variable, policy makers can create more efficient actions. It can be Applied to BOTH Stationary and Non-Stationary Data: Unlike certain nonlinear models, NARDL can be applied to variables.</w:t>
      </w:r>
    </w:p>
    <w:p w14:paraId="117E4D38">
      <w:pPr>
        <w:pStyle w:val="19"/>
        <w:ind w:left="0" w:leftChars="0" w:firstLine="0" w:firstLineChars="0"/>
        <w:jc w:val="both"/>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rPr>
        <w:t xml:space="preserve">The NARDL Equation </w:t>
      </w:r>
      <w:r>
        <w:rPr>
          <w:rFonts w:hint="default" w:ascii="Times New Roman" w:hAnsi="Times New Roman" w:cs="Times New Roman"/>
          <w:b/>
          <w:bCs/>
          <w:color w:val="auto"/>
          <w:sz w:val="24"/>
          <w:szCs w:val="24"/>
          <w:u w:val="single"/>
          <w:lang w:val="en-US"/>
        </w:rPr>
        <w:t xml:space="preserve"> </w:t>
      </w:r>
      <w:r>
        <w:rPr>
          <w:rFonts w:hint="default" w:ascii="Times New Roman" w:hAnsi="Times New Roman" w:cs="Times New Roman"/>
          <w:b/>
          <w:bCs/>
          <w:color w:val="auto"/>
          <w:sz w:val="24"/>
          <w:szCs w:val="24"/>
          <w:u w:val="single"/>
          <w:lang w:val="en-US"/>
        </w:rPr>
        <w:fldChar w:fldCharType="begin"/>
      </w:r>
      <w:r>
        <w:rPr>
          <w:rFonts w:hint="default" w:ascii="Times New Roman" w:hAnsi="Times New Roman" w:cs="Times New Roman"/>
          <w:b/>
          <w:bCs/>
          <w:color w:val="auto"/>
          <w:sz w:val="24"/>
          <w:szCs w:val="24"/>
          <w:u w:val="single"/>
          <w:lang w:val="en-US"/>
        </w:rPr>
        <w:instrText xml:space="preserve"> ADDIN EN.CITE &lt;EndNote&gt;&lt;Cite AuthorYear="1"&gt;&lt;Author&gt;Haruna&lt;/Author&gt;&lt;Year&gt;2022&lt;/Year&gt;&lt;RecNum&gt;112&lt;/RecNum&gt;&lt;DisplayText&gt;Haruna, Hassan et al. (2022)&lt;/DisplayText&gt;&lt;record&gt;&lt;rec-number&gt;112&lt;/rec-number&gt;&lt;foreign-keys&gt;&lt;key app="EN" db-id="2t52ftddjzwsxoerapx5vrxm2fdzpaza5sva" timestamp="1752852192"&gt;112&lt;/key&gt;&lt;/foreign-keys&gt;&lt;ref-type name="Journal Article"&gt;17&lt;/ref-type&gt;&lt;contributors&gt;&lt;authors&gt;&lt;author&gt;Haruna, Muhammad Aminu&lt;/author&gt;&lt;author&gt;Hassan, Sallahuddin B.&lt;/author&gt;&lt;author&gt;Ahmad, Halima Salihi&lt;/author&gt;&lt;/authors&gt;&lt;/contributors&gt;&lt;titles&gt;&lt;title&gt;How responsive is the poverty to the foreign direct investment inflows in Nigeria? Evidence from linear and non-linear ARDL&lt;/title&gt;&lt;secondary-title&gt;International Journal of Social Economics&lt;/secondary-title&gt;&lt;/titles&gt;&lt;periodical&gt;&lt;full-title&gt;International Journal of Social Economics&lt;/full-title&gt;&lt;/periodical&gt;&lt;pages&gt;73-96&lt;/pages&gt;&lt;volume&gt;50&lt;/volume&gt;&lt;number&gt;1&lt;/number&gt;&lt;section&gt;73&lt;/section&gt;&lt;dates&gt;&lt;year&gt;2022&lt;/year&gt;&lt;/dates&gt;&lt;isbn&gt;0306-8293&lt;/isbn&gt;&lt;urls&gt;&lt;/urls&gt;&lt;electronic-resource-num&gt;10.1108/ijse-08-2020-0530&lt;/electronic-resource-num&gt;&lt;/record&gt;&lt;/Cite&gt;&lt;/EndNote&gt;</w:instrText>
      </w:r>
      <w:r>
        <w:rPr>
          <w:rFonts w:hint="default" w:ascii="Times New Roman" w:hAnsi="Times New Roman" w:cs="Times New Roman"/>
          <w:b/>
          <w:bCs/>
          <w:color w:val="auto"/>
          <w:sz w:val="24"/>
          <w:szCs w:val="24"/>
          <w:u w:val="single"/>
          <w:lang w:val="en-US"/>
        </w:rPr>
        <w:fldChar w:fldCharType="separate"/>
      </w:r>
      <w:r>
        <w:rPr>
          <w:rFonts w:hint="default" w:ascii="Times New Roman" w:hAnsi="Times New Roman" w:cs="Times New Roman" w:eastAsiaTheme="minorHAnsi"/>
          <w:b/>
          <w:bCs/>
          <w:color w:val="auto"/>
          <w:sz w:val="24"/>
          <w:szCs w:val="24"/>
          <w:u w:val="single"/>
          <w:lang w:val="en-US" w:eastAsia="en-US" w:bidi="ar-SA"/>
        </w:rPr>
        <w:t>Haruna, Hassan et al. (2022)</w:t>
      </w:r>
      <w:r>
        <w:rPr>
          <w:rFonts w:hint="default" w:ascii="Times New Roman" w:hAnsi="Times New Roman" w:cs="Times New Roman"/>
          <w:b/>
          <w:bCs/>
          <w:color w:val="auto"/>
          <w:sz w:val="24"/>
          <w:szCs w:val="24"/>
          <w:u w:val="single"/>
          <w:lang w:val="en-US"/>
        </w:rPr>
        <w:fldChar w:fldCharType="end"/>
      </w:r>
      <w:r>
        <w:rPr>
          <w:rFonts w:hint="default" w:ascii="Times New Roman" w:hAnsi="Times New Roman" w:cs="Times New Roman"/>
          <w:b/>
          <w:bCs/>
          <w:color w:val="auto"/>
          <w:sz w:val="24"/>
          <w:szCs w:val="24"/>
          <w:u w:val="single"/>
        </w:rPr>
        <w:t xml:space="preserve">, </w:t>
      </w:r>
      <w:r>
        <w:rPr>
          <w:rFonts w:hint="default" w:ascii="Times New Roman" w:hAnsi="Times New Roman" w:cs="Times New Roman"/>
          <w:b/>
          <w:bCs/>
          <w:sz w:val="24"/>
          <w:szCs w:val="24"/>
          <w:u w:val="single"/>
        </w:rPr>
        <w:t>for SDG 2</w:t>
      </w:r>
      <w:r>
        <w:rPr>
          <w:rFonts w:hint="default" w:ascii="Times New Roman" w:hAnsi="Times New Roman" w:cs="Times New Roman"/>
          <w:b/>
          <w:bCs/>
          <w:sz w:val="24"/>
          <w:szCs w:val="24"/>
          <w:u w:val="single"/>
          <w:lang w:val="en-US"/>
        </w:rPr>
        <w:t>:</w:t>
      </w:r>
    </w:p>
    <w:p w14:paraId="5B0FFFC5">
      <w:pPr>
        <w:bidi w:val="0"/>
        <w:ind w:firstLine="120" w:firstLineChars="50"/>
        <w:rPr>
          <w:rFonts w:hint="default"/>
        </w:rPr>
      </w:pPr>
      <m:oMathPara>
        <m:oMathParaPr>
          <m:jc m:val="left"/>
        </m:oMathParaPr>
        <m:oMath>
          <m:r>
            <m:rPr>
              <m:nor/>
              <m:sty m:val="p"/>
            </m:rPr>
            <w:rPr>
              <w:rFonts w:hint="default" w:ascii="Cambria Math" w:hAnsi="Cambria Math"/>
              <w:b w:val="0"/>
              <w:i w:val="0"/>
              <w:sz w:val="24"/>
              <w:lang w:val="en-US"/>
            </w:rPr>
            <m:t xml:space="preserve">      </m:t>
          </m:r>
          <m:r>
            <m:rPr>
              <m:nor/>
              <m:sty m:val="p"/>
            </m:rPr>
            <w:rPr>
              <w:rFonts w:hint="default" w:ascii="Cambria Math" w:hAnsi="Cambria Math"/>
              <w:b w:val="0"/>
              <w:i w:val="0"/>
              <w:sz w:val="24"/>
              <w:szCs w:val="24"/>
            </w:rPr>
            <m:t>∆</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ZH</m:t>
              </m:r>
              <m:ctrlPr>
                <w:rPr>
                  <w:rFonts w:hint="default" w:ascii="Cambria Math" w:hAnsi="Cambria Math"/>
                  <w:sz w:val="24"/>
                  <w:szCs w:val="24"/>
                </w:rPr>
              </m:ctrlPr>
            </m:e>
            <m:sub>
              <m:r>
                <m:rPr>
                  <m:nor/>
                  <m:sty m:val="p"/>
                </m:rPr>
                <w:rPr>
                  <w:rFonts w:hint="default" w:ascii="Cambria Math" w:hAnsi="Cambria Math"/>
                  <w:b w:val="0"/>
                  <w:i w:val="0"/>
                  <w:sz w:val="24"/>
                  <w:szCs w:val="24"/>
                </w:rPr>
                <m:t>it</m:t>
              </m:r>
              <m:ctrlPr>
                <w:rPr>
                  <w:rFonts w:hint="default" w:ascii="Cambria Math" w:hAnsi="Cambria Math"/>
                  <w:sz w:val="24"/>
                  <w:szCs w:val="24"/>
                </w:rPr>
              </m:ctrlPr>
            </m:sub>
          </m:sSub>
          <m:r>
            <m:rPr>
              <m:nor/>
              <m:sty m:val="p"/>
            </m:rPr>
            <w:rPr>
              <w:rFonts w:hint="default" w:ascii="Cambria Math" w:hAnsi="Cambria Math"/>
              <w:b w:val="0"/>
              <w:i w:val="0"/>
              <w:sz w:val="24"/>
              <w:szCs w:val="24"/>
            </w:rPr>
            <m:t>=</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 xml:space="preserve"> α</m:t>
              </m:r>
              <m:ctrlPr>
                <w:rPr>
                  <w:rFonts w:hint="default" w:ascii="Cambria Math" w:hAnsi="Cambria Math"/>
                  <w:sz w:val="24"/>
                  <w:szCs w:val="24"/>
                </w:rPr>
              </m:ctrlPr>
            </m:e>
            <m:sub>
              <m:r>
                <m:rPr>
                  <m:nor/>
                  <m:sty m:val="p"/>
                </m:rPr>
                <w:rPr>
                  <w:rFonts w:hint="default" w:ascii="Cambria Math" w:hAnsi="Cambria Math"/>
                  <w:b w:val="0"/>
                  <w:i w:val="0"/>
                  <w:sz w:val="24"/>
                  <w:szCs w:val="24"/>
                </w:rPr>
                <m:t>i</m:t>
              </m:r>
              <m:ctrlPr>
                <w:rPr>
                  <w:rFonts w:hint="default" w:ascii="Cambria Math" w:hAnsi="Cambria Math"/>
                  <w:sz w:val="24"/>
                  <w:szCs w:val="24"/>
                </w:rPr>
              </m:ctrlPr>
            </m:sub>
          </m:sSub>
          <m:r>
            <m:rPr>
              <m:nor/>
              <m:sty m:val="p"/>
            </m:rPr>
            <w:rPr>
              <w:rFonts w:hint="default" w:ascii="Cambria Math" w:hAnsi="Cambria Math"/>
              <w:b w:val="0"/>
              <w:i w:val="0"/>
              <w:sz w:val="24"/>
              <w:szCs w:val="24"/>
            </w:rPr>
            <m:t>+</m:t>
          </m:r>
          <m:nary>
            <m:naryPr>
              <m:chr m:val="∑"/>
              <m:limLoc m:val="undOvr"/>
              <m:ctrlPr>
                <w:rPr>
                  <w:rFonts w:hint="default" w:ascii="Cambria Math" w:hAnsi="Cambria Math"/>
                  <w:sz w:val="24"/>
                  <w:szCs w:val="24"/>
                </w:rPr>
              </m:ctrlPr>
            </m:naryPr>
            <m:sub>
              <m:r>
                <m:rPr>
                  <m:nor/>
                  <m:sty m:val="p"/>
                </m:rPr>
                <w:rPr>
                  <w:rFonts w:hint="default" w:ascii="Cambria Math" w:hAnsi="Cambria Math"/>
                  <w:b w:val="0"/>
                  <w:i w:val="0"/>
                  <w:sz w:val="24"/>
                  <w:szCs w:val="24"/>
                </w:rPr>
                <m:t>j−1</m:t>
              </m:r>
              <m:ctrlPr>
                <w:rPr>
                  <w:rFonts w:hint="default" w:ascii="Cambria Math" w:hAnsi="Cambria Math"/>
                  <w:sz w:val="24"/>
                  <w:szCs w:val="24"/>
                </w:rPr>
              </m:ctrlPr>
            </m:sub>
            <m:sup>
              <m:r>
                <m:rPr>
                  <m:nor/>
                  <m:sty m:val="p"/>
                </m:rPr>
                <w:rPr>
                  <w:rFonts w:hint="default" w:ascii="Cambria Math" w:hAnsi="Cambria Math"/>
                  <w:b w:val="0"/>
                  <w:i w:val="0"/>
                  <w:sz w:val="24"/>
                  <w:szCs w:val="24"/>
                </w:rPr>
                <m:t>p</m:t>
              </m:r>
              <m:ctrlPr>
                <w:rPr>
                  <w:rFonts w:hint="default" w:ascii="Cambria Math" w:hAnsi="Cambria Math"/>
                  <w:sz w:val="24"/>
                  <w:szCs w:val="24"/>
                </w:rPr>
              </m:ctrlPr>
            </m:sup>
            <m:e>
              <m:sSub>
                <m:sSubPr>
                  <m:ctrlPr>
                    <w:rPr>
                      <w:rFonts w:hint="default" w:ascii="Cambria Math" w:hAnsi="Cambria Math"/>
                      <w:sz w:val="24"/>
                      <w:szCs w:val="24"/>
                    </w:rPr>
                  </m:ctrlPr>
                </m:sSubPr>
                <m:e>
                  <m:r>
                    <m:rPr>
                      <m:nor/>
                      <m:sty m:val="p"/>
                    </m:rPr>
                    <w:rPr>
                      <w:rFonts w:hint="default" w:ascii="Cambria Math" w:hAnsi="Cambria Math"/>
                      <w:b w:val="0"/>
                      <w:i w:val="0"/>
                      <w:sz w:val="24"/>
                      <w:szCs w:val="24"/>
                    </w:rPr>
                    <m:t>∅</m:t>
                  </m:r>
                  <m:ctrlPr>
                    <w:rPr>
                      <w:rFonts w:hint="default" w:ascii="Cambria Math" w:hAnsi="Cambria Math"/>
                      <w:sz w:val="24"/>
                      <w:szCs w:val="24"/>
                    </w:rPr>
                  </m:ctrlPr>
                </m:e>
                <m:sub>
                  <m:r>
                    <m:rPr>
                      <m:nor/>
                      <m:sty m:val="p"/>
                    </m:rPr>
                    <w:rPr>
                      <w:rFonts w:hint="default" w:ascii="Cambria Math" w:hAnsi="Cambria Math"/>
                      <w:b w:val="0"/>
                      <w:i w:val="0"/>
                      <w:sz w:val="24"/>
                      <w:szCs w:val="24"/>
                    </w:rPr>
                    <m:t>it</m:t>
                  </m:r>
                  <m:ctrlPr>
                    <w:rPr>
                      <w:rFonts w:hint="default" w:ascii="Cambria Math" w:hAnsi="Cambria Math"/>
                      <w:sz w:val="24"/>
                      <w:szCs w:val="24"/>
                    </w:rPr>
                  </m:ctrlPr>
                </m:sub>
              </m:sSub>
              <m:ctrlPr>
                <w:rPr>
                  <w:rFonts w:hint="default" w:ascii="Cambria Math" w:hAnsi="Cambria Math"/>
                  <w:sz w:val="24"/>
                  <w:szCs w:val="24"/>
                </w:rPr>
              </m:ctrlPr>
            </m:e>
          </m:nary>
          <m:sSub>
            <m:sSubPr>
              <m:ctrlPr>
                <w:rPr>
                  <w:rFonts w:hint="default" w:ascii="Cambria Math" w:hAnsi="Cambria Math"/>
                  <w:sz w:val="24"/>
                  <w:szCs w:val="24"/>
                </w:rPr>
              </m:ctrlPr>
            </m:sSubPr>
            <m:e>
              <m:r>
                <m:rPr>
                  <m:nor/>
                  <m:sty m:val="p"/>
                </m:rPr>
                <w:rPr>
                  <w:rFonts w:hint="default" w:ascii="Cambria Math" w:hAnsi="Cambria Math"/>
                  <w:b w:val="0"/>
                  <w:i w:val="0"/>
                  <w:sz w:val="24"/>
                  <w:szCs w:val="24"/>
                </w:rPr>
                <m:t>∆ ZH</m:t>
              </m:r>
              <m:ctrlPr>
                <w:rPr>
                  <w:rFonts w:hint="default" w:ascii="Cambria Math" w:hAnsi="Cambria Math"/>
                  <w:sz w:val="24"/>
                  <w:szCs w:val="24"/>
                </w:rPr>
              </m:ctrlPr>
            </m:e>
            <m:sub>
              <m:r>
                <m:rPr>
                  <m:nor/>
                  <m:sty m:val="p"/>
                </m:rPr>
                <w:rPr>
                  <w:rFonts w:hint="default" w:ascii="Cambria Math" w:hAnsi="Cambria Math"/>
                  <w:b w:val="0"/>
                  <w:i w:val="0"/>
                  <w:sz w:val="24"/>
                  <w:szCs w:val="24"/>
                </w:rPr>
                <m:t>it−j</m:t>
              </m:r>
              <m:ctrlPr>
                <w:rPr>
                  <w:rFonts w:hint="default" w:ascii="Cambria Math" w:hAnsi="Cambria Math"/>
                  <w:sz w:val="24"/>
                  <w:szCs w:val="24"/>
                </w:rPr>
              </m:ctrlPr>
            </m:sub>
          </m:sSub>
          <m:r>
            <m:rPr>
              <m:nor/>
              <m:sty m:val="p"/>
            </m:rPr>
            <w:rPr>
              <w:rFonts w:hint="default" w:ascii="Cambria Math" w:hAnsi="Cambria Math"/>
              <w:b w:val="0"/>
              <w:i w:val="0"/>
              <w:sz w:val="24"/>
              <w:szCs w:val="24"/>
            </w:rPr>
            <m:t xml:space="preserve"> </m:t>
          </m:r>
          <m:nary>
            <m:naryPr>
              <m:chr m:val="∑"/>
              <m:limLoc m:val="undOvr"/>
              <m:ctrlPr>
                <w:rPr>
                  <w:rFonts w:hint="default" w:ascii="Cambria Math" w:hAnsi="Cambria Math"/>
                  <w:sz w:val="24"/>
                  <w:szCs w:val="24"/>
                </w:rPr>
              </m:ctrlPr>
            </m:naryPr>
            <m:sub>
              <m:r>
                <m:rPr>
                  <m:nor/>
                  <m:sty m:val="p"/>
                </m:rPr>
                <w:rPr>
                  <w:rFonts w:hint="default" w:ascii="Cambria Math" w:hAnsi="Cambria Math"/>
                  <w:b w:val="0"/>
                  <w:i w:val="0"/>
                  <w:sz w:val="24"/>
                  <w:szCs w:val="24"/>
                </w:rPr>
                <m:t>k−0</m:t>
              </m:r>
              <m:ctrlPr>
                <w:rPr>
                  <w:rFonts w:hint="default" w:ascii="Cambria Math" w:hAnsi="Cambria Math"/>
                  <w:sz w:val="24"/>
                  <w:szCs w:val="24"/>
                </w:rPr>
              </m:ctrlPr>
            </m:sub>
            <m:sup>
              <m:r>
                <m:rPr>
                  <m:nor/>
                  <m:sty m:val="p"/>
                </m:rPr>
                <w:rPr>
                  <w:rFonts w:hint="default" w:ascii="Cambria Math" w:hAnsi="Cambria Math"/>
                  <w:b w:val="0"/>
                  <w:i w:val="0"/>
                  <w:sz w:val="24"/>
                  <w:szCs w:val="24"/>
                </w:rPr>
                <m:t>q</m:t>
              </m:r>
              <m:ctrlPr>
                <w:rPr>
                  <w:rFonts w:hint="default" w:ascii="Cambria Math" w:hAnsi="Cambria Math"/>
                  <w:sz w:val="24"/>
                  <w:szCs w:val="24"/>
                </w:rPr>
              </m:ctrlPr>
            </m:sup>
            <m:e>
              <m:r>
                <m:rPr>
                  <m:nor/>
                  <m:sty m:val="p"/>
                </m:rPr>
                <w:rPr>
                  <w:rFonts w:hint="default" w:ascii="Cambria Math" w:hAnsi="Cambria Math"/>
                  <w:b w:val="0"/>
                  <w:i w:val="0"/>
                  <w:sz w:val="24"/>
                  <w:szCs w:val="24"/>
                </w:rPr>
                <m:t>(</m:t>
              </m:r>
              <m:ctrlPr>
                <w:rPr>
                  <w:rFonts w:hint="default" w:ascii="Cambria Math" w:hAnsi="Cambria Math"/>
                  <w:sz w:val="24"/>
                  <w:szCs w:val="24"/>
                </w:rPr>
              </m:ctrlPr>
            </m:e>
          </m:nary>
          <m:r>
            <m:rPr>
              <m:nor/>
              <m:sty m:val="p"/>
            </m:rPr>
            <w:rPr>
              <w:rFonts w:hint="default" w:ascii="Cambria Math" w:hAnsi="Cambria Math"/>
              <w:b w:val="0"/>
              <w:i w:val="0"/>
              <w:sz w:val="24"/>
              <w:szCs w:val="24"/>
            </w:rPr>
            <m:t xml:space="preserve"> </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θ</m:t>
              </m:r>
              <m:ctrlPr>
                <w:rPr>
                  <w:rFonts w:hint="default" w:ascii="Cambria Math" w:hAnsi="Cambria Math"/>
                  <w:sz w:val="24"/>
                  <w:szCs w:val="24"/>
                </w:rPr>
              </m:ctrlPr>
            </m:e>
            <m:sub>
              <m:r>
                <m:rPr>
                  <m:nor/>
                  <m:sty m:val="p"/>
                </m:rPr>
                <w:rPr>
                  <w:rFonts w:hint="default" w:ascii="Cambria Math" w:hAnsi="Cambria Math"/>
                  <w:b w:val="0"/>
                  <w:i w:val="0"/>
                  <w:sz w:val="24"/>
                  <w:szCs w:val="24"/>
                </w:rPr>
                <m:t>1k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DP</m:t>
              </m:r>
              <m:ctrlPr>
                <w:rPr>
                  <w:rFonts w:hint="default" w:ascii="Cambria Math" w:hAnsi="Cambria Math"/>
                  <w:sz w:val="24"/>
                  <w:szCs w:val="24"/>
                </w:rPr>
              </m:ctrlPr>
            </m:e>
            <m:sub>
              <m:r>
                <m:rPr>
                  <m:nor/>
                  <m:sty m:val="p"/>
                </m:rPr>
                <w:rPr>
                  <w:rFonts w:hint="default" w:ascii="Cambria Math" w:hAnsi="Cambria Math"/>
                  <w:b w:val="0"/>
                  <w:i w:val="0"/>
                  <w:sz w:val="24"/>
                  <w:szCs w:val="24"/>
                </w:rPr>
                <m:t>it−k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 xml:space="preserve"> θ</m:t>
              </m:r>
              <m:ctrlPr>
                <w:rPr>
                  <w:rFonts w:hint="default" w:ascii="Cambria Math" w:hAnsi="Cambria Math"/>
                  <w:sz w:val="24"/>
                  <w:szCs w:val="24"/>
                </w:rPr>
              </m:ctrlPr>
            </m:e>
            <m:sub>
              <m:r>
                <m:rPr>
                  <m:nor/>
                  <m:sty m:val="p"/>
                </m:rPr>
                <w:rPr>
                  <w:rFonts w:hint="default" w:ascii="Cambria Math" w:hAnsi="Cambria Math"/>
                  <w:b w:val="0"/>
                  <w:i w:val="0"/>
                  <w:sz w:val="24"/>
                  <w:szCs w:val="24"/>
                </w:rPr>
                <m:t>1k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 xml:space="preserve"> ∆</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DP</m:t>
              </m:r>
              <m:ctrlPr>
                <w:rPr>
                  <w:rFonts w:hint="default" w:ascii="Cambria Math" w:hAnsi="Cambria Math"/>
                  <w:sz w:val="24"/>
                  <w:szCs w:val="24"/>
                </w:rPr>
              </m:ctrlPr>
            </m:e>
            <m:sub>
              <m:r>
                <m:rPr>
                  <m:nor/>
                  <m:sty m:val="p"/>
                </m:rPr>
                <w:rPr>
                  <w:rFonts w:hint="default" w:ascii="Cambria Math" w:hAnsi="Cambria Math"/>
                  <w:b w:val="0"/>
                  <w:i w:val="0"/>
                  <w:sz w:val="24"/>
                  <w:szCs w:val="24"/>
                </w:rPr>
                <m:t>it−k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 xml:space="preserve">+ </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θ</m:t>
              </m:r>
              <m:ctrlPr>
                <w:rPr>
                  <w:rFonts w:hint="default" w:ascii="Cambria Math" w:hAnsi="Cambria Math"/>
                  <w:sz w:val="24"/>
                  <w:szCs w:val="24"/>
                </w:rPr>
              </m:ctrlPr>
            </m:e>
            <m:sub>
              <m:r>
                <m:rPr>
                  <m:nor/>
                  <m:sty m:val="p"/>
                </m:rPr>
                <w:rPr>
                  <w:rFonts w:hint="default" w:ascii="Cambria Math" w:hAnsi="Cambria Math"/>
                  <w:b w:val="0"/>
                  <w:i w:val="0"/>
                  <w:sz w:val="24"/>
                  <w:szCs w:val="24"/>
                </w:rPr>
                <m:t>2k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TI</m:t>
              </m:r>
              <m:ctrlPr>
                <w:rPr>
                  <w:rFonts w:hint="default" w:ascii="Cambria Math" w:hAnsi="Cambria Math"/>
                  <w:sz w:val="24"/>
                  <w:szCs w:val="24"/>
                </w:rPr>
              </m:ctrlPr>
            </m:e>
            <m:sub>
              <m:r>
                <m:rPr>
                  <m:nor/>
                  <m:sty m:val="p"/>
                </m:rPr>
                <w:rPr>
                  <w:rFonts w:hint="default" w:ascii="Cambria Math" w:hAnsi="Cambria Math"/>
                  <w:b w:val="0"/>
                  <w:i w:val="0"/>
                  <w:sz w:val="24"/>
                  <w:szCs w:val="24"/>
                </w:rPr>
                <m:t>it−k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oMath>
      </m:oMathPara>
    </w:p>
    <w:p w14:paraId="2AE84180">
      <w:pPr>
        <w:bidi w:val="0"/>
        <w:rPr>
          <w:rFonts w:hint="default"/>
          <w:lang w:val="en-US"/>
        </w:rPr>
      </w:pPr>
      <m:oMathPara>
        <m:oMathParaPr>
          <m:jc m:val="left"/>
        </m:oMathParaPr>
        <m:oMath>
          <m:r>
            <m:rPr>
              <m:nor/>
              <m:sty m:val="p"/>
            </m:rPr>
            <w:rPr>
              <w:rFonts w:hint="default" w:ascii="Cambria Math" w:hAnsi="Cambria Math"/>
              <w:b w:val="0"/>
              <w:i w:val="0"/>
              <w:sz w:val="24"/>
              <w:lang w:val="en-US"/>
            </w:rPr>
            <m:t xml:space="preserve">                  </m:t>
          </m:r>
          <m:r>
            <m:rPr>
              <m:nor/>
              <m:sty m:val="p"/>
            </m:rPr>
            <w:rPr>
              <w:rFonts w:hint="default" w:ascii="Cambria Math" w:hAnsi="Cambria Math"/>
              <w:b w:val="0"/>
              <w:i w:val="0"/>
              <w:sz w:val="24"/>
              <w:szCs w:val="24"/>
            </w:rPr>
            <m:t>+</m:t>
          </m:r>
          <m:sSubSup>
            <m:sSubSupPr>
              <m:ctrlPr>
                <w:rPr>
                  <w:rFonts w:hint="default" w:ascii="Cambria Math" w:hAnsi="Cambria Math"/>
                  <w:sz w:val="24"/>
                  <w:szCs w:val="24"/>
                </w:rPr>
              </m:ctrlPr>
            </m:sSubSupPr>
            <m:e>
              <m:r>
                <m:rPr>
                  <m:sty m:val="p"/>
                </m:rPr>
                <w:rPr>
                  <w:rFonts w:ascii="Cambria Math" w:hAnsi="Cambria Math"/>
                  <w:sz w:val="24"/>
                  <w:szCs w:val="24"/>
                </w:rPr>
                <m:t>θ</m:t>
              </m:r>
              <m:ctrlPr>
                <w:rPr>
                  <w:rFonts w:hint="default" w:ascii="Cambria Math" w:hAnsi="Cambria Math"/>
                  <w:sz w:val="24"/>
                  <w:szCs w:val="24"/>
                </w:rPr>
              </m:ctrlPr>
            </m:e>
            <m:sub>
              <m:r>
                <m:rPr>
                  <m:sty m:val="p"/>
                </m:rPr>
                <w:rPr>
                  <w:rFonts w:hint="default" w:ascii="Cambria Math" w:hAnsi="Cambria Math"/>
                  <w:sz w:val="24"/>
                  <w:szCs w:val="24"/>
                  <w:lang w:val="en-US"/>
                </w:rPr>
                <m:t>2k</m:t>
              </m:r>
              <m:ctrlPr>
                <w:rPr>
                  <w:rFonts w:hint="default" w:ascii="Cambria Math" w:hAnsi="Cambria Math"/>
                  <w:sz w:val="24"/>
                  <w:szCs w:val="24"/>
                </w:rPr>
              </m:ctrlPr>
            </m:sub>
            <m:sup>
              <m:r>
                <m:rPr>
                  <m:sty m:val="p"/>
                </m:rPr>
                <w:rPr>
                  <w:rFonts w:hint="default" w:ascii="Cambria Math" w:hAnsi="Cambria Math"/>
                  <w:sz w:val="24"/>
                  <w:szCs w:val="24"/>
                  <w:lang w:val="en-US"/>
                </w:rPr>
                <m:t>−</m:t>
              </m:r>
              <m:ctrlPr>
                <w:rPr>
                  <w:rFonts w:hint="default" w:ascii="Cambria Math" w:hAnsi="Cambria Math"/>
                  <w:sz w:val="24"/>
                  <w:szCs w:val="24"/>
                </w:rPr>
              </m:ctrlPr>
            </m:sup>
          </m:sSubSup>
          <m:r>
            <m:rPr>
              <m:nor/>
              <m:sty m:val="p"/>
            </m:rPr>
            <w:rPr>
              <w:rFonts w:hint="default" w:ascii="Cambria Math" w:hAnsi="Cambria Math"/>
              <w:b w:val="0"/>
              <w:i w:val="0"/>
              <w:sz w:val="24"/>
              <w:szCs w:val="24"/>
            </w:rPr>
            <m:t xml:space="preserve"> ∆</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TI</m:t>
              </m:r>
              <m:ctrlPr>
                <w:rPr>
                  <w:rFonts w:hint="default" w:ascii="Cambria Math" w:hAnsi="Cambria Math"/>
                  <w:sz w:val="24"/>
                  <w:szCs w:val="24"/>
                </w:rPr>
              </m:ctrlPr>
            </m:e>
            <m:sub>
              <m:r>
                <m:rPr>
                  <m:nor/>
                  <m:sty m:val="p"/>
                </m:rPr>
                <w:rPr>
                  <w:rFonts w:hint="default" w:ascii="Cambria Math" w:hAnsi="Cambria Math"/>
                  <w:b w:val="0"/>
                  <w:i w:val="0"/>
                  <w:sz w:val="24"/>
                  <w:szCs w:val="24"/>
                </w:rPr>
                <m:t>it−k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 xml:space="preserve">+ </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θ</m:t>
              </m:r>
              <m:ctrlPr>
                <w:rPr>
                  <w:rFonts w:hint="default" w:ascii="Cambria Math" w:hAnsi="Cambria Math"/>
                  <w:sz w:val="24"/>
                  <w:szCs w:val="24"/>
                </w:rPr>
              </m:ctrlPr>
            </m:e>
            <m:sub>
              <m:r>
                <m:rPr>
                  <m:nor/>
                  <m:sty m:val="p"/>
                </m:rPr>
                <w:rPr>
                  <w:rFonts w:hint="default" w:ascii="Cambria Math" w:hAnsi="Cambria Math"/>
                  <w:b w:val="0"/>
                  <w:i w:val="0"/>
                  <w:sz w:val="24"/>
                  <w:szCs w:val="24"/>
                </w:rPr>
                <m:t>3k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FI</m:t>
              </m:r>
              <m:ctrlPr>
                <w:rPr>
                  <w:rFonts w:hint="default" w:ascii="Cambria Math" w:hAnsi="Cambria Math"/>
                  <w:sz w:val="24"/>
                  <w:szCs w:val="24"/>
                </w:rPr>
              </m:ctrlPr>
            </m:e>
            <m:sub>
              <m:r>
                <m:rPr>
                  <m:nor/>
                  <m:sty m:val="p"/>
                </m:rPr>
                <w:rPr>
                  <w:rFonts w:hint="default" w:ascii="Cambria Math" w:hAnsi="Cambria Math"/>
                  <w:b w:val="0"/>
                  <w:i w:val="0"/>
                  <w:sz w:val="24"/>
                  <w:szCs w:val="24"/>
                </w:rPr>
                <m:t>it−k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 xml:space="preserve"> θ</m:t>
              </m:r>
              <m:ctrlPr>
                <w:rPr>
                  <w:rFonts w:hint="default" w:ascii="Cambria Math" w:hAnsi="Cambria Math"/>
                  <w:sz w:val="24"/>
                  <w:szCs w:val="24"/>
                </w:rPr>
              </m:ctrlPr>
            </m:e>
            <m:sub>
              <m:r>
                <m:rPr>
                  <m:nor/>
                  <m:sty m:val="p"/>
                </m:rPr>
                <w:rPr>
                  <w:rFonts w:hint="default" w:ascii="Cambria Math" w:hAnsi="Cambria Math"/>
                  <w:b w:val="0"/>
                  <w:i w:val="0"/>
                  <w:sz w:val="24"/>
                  <w:szCs w:val="24"/>
                </w:rPr>
                <m:t>3k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 xml:space="preserve"> ∆</m:t>
          </m:r>
          <m:sSubSup>
            <m:sSubSupPr>
              <m:ctrlPr>
                <w:rPr>
                  <w:rFonts w:hint="default" w:ascii="Cambria Math" w:hAnsi="Cambria Math"/>
                  <w:sz w:val="24"/>
                  <w:szCs w:val="24"/>
                </w:rPr>
              </m:ctrlPr>
            </m:sSubSupPr>
            <m:e>
              <m:r>
                <m:rPr>
                  <m:nor/>
                  <m:sty m:val="p"/>
                </m:rPr>
                <w:rPr>
                  <w:rFonts w:hint="default" w:ascii="Cambria Math" w:hAnsi="Cambria Math"/>
                  <w:b w:val="0"/>
                  <w:i w:val="0"/>
                  <w:sz w:val="24"/>
                  <w:szCs w:val="24"/>
                </w:rPr>
                <m:t>FI</m:t>
              </m:r>
              <m:ctrlPr>
                <w:rPr>
                  <w:rFonts w:hint="default" w:ascii="Cambria Math" w:hAnsi="Cambria Math"/>
                  <w:sz w:val="24"/>
                  <w:szCs w:val="24"/>
                </w:rPr>
              </m:ctrlPr>
            </m:e>
            <m:sub>
              <m:r>
                <m:rPr>
                  <m:nor/>
                  <m:sty m:val="p"/>
                </m:rPr>
                <w:rPr>
                  <w:rFonts w:hint="default" w:ascii="Cambria Math" w:hAnsi="Cambria Math"/>
                  <w:b w:val="0"/>
                  <w:i w:val="0"/>
                  <w:sz w:val="24"/>
                  <w:szCs w:val="24"/>
                </w:rPr>
                <m:t>it−k</m:t>
              </m:r>
              <m:ctrlPr>
                <w:rPr>
                  <w:rFonts w:hint="default" w:ascii="Cambria Math" w:hAnsi="Cambria Math"/>
                  <w:sz w:val="24"/>
                  <w:szCs w:val="24"/>
                </w:rPr>
              </m:ctrlPr>
            </m:sub>
            <m:sup>
              <m:r>
                <m:rPr>
                  <m:nor/>
                  <m:sty m:val="p"/>
                </m:rPr>
                <w:rPr>
                  <w:rFonts w:hint="default" w:ascii="Cambria Math" w:hAnsi="Cambria Math"/>
                  <w:b w:val="0"/>
                  <w:i w:val="0"/>
                  <w:sz w:val="24"/>
                  <w:szCs w:val="24"/>
                </w:rPr>
                <m:t>−</m:t>
              </m:r>
              <m:ctrlPr>
                <w:rPr>
                  <w:rFonts w:hint="default" w:ascii="Cambria Math" w:hAnsi="Cambria Math"/>
                  <w:sz w:val="24"/>
                  <w:szCs w:val="24"/>
                </w:rPr>
              </m:ctrlPr>
            </m:sup>
          </m:sSubSup>
          <m:r>
            <m:rPr>
              <m:nor/>
              <m:sty m:val="p"/>
            </m:rPr>
            <w:rPr>
              <w:rFonts w:hint="default" w:ascii="Cambria Math" w:hAnsi="Cambria Math"/>
              <w:b w:val="0"/>
              <w:i w:val="0"/>
              <w:sz w:val="24"/>
              <w:szCs w:val="24"/>
            </w:rPr>
            <m:t xml:space="preserve"> )</m:t>
          </m:r>
          <m:r>
            <m:rPr>
              <m:nor/>
              <m:sty m:val="p"/>
            </m:rPr>
            <w:rPr>
              <w:rFonts w:hint="default" w:ascii="Cambria Math" w:hAnsi="Cambria Math"/>
              <w:b w:val="0"/>
              <w:i w:val="0"/>
              <w:sz w:val="24"/>
              <w:szCs w:val="24"/>
              <w:lang w:val="en-US"/>
            </w:rPr>
            <m:t>+</m:t>
          </m:r>
          <m:sSub>
            <m:sSubPr>
              <m:ctrlPr>
                <w:rPr>
                  <w:rFonts w:hint="default" w:ascii="Cambria Math" w:hAnsi="Cambria Math"/>
                  <w:sz w:val="24"/>
                  <w:szCs w:val="24"/>
                  <w:lang w:val="en-US"/>
                </w:rPr>
              </m:ctrlPr>
            </m:sSubPr>
            <m:e>
              <m:r>
                <m:rPr>
                  <m:sty m:val="p"/>
                </m:rPr>
                <w:rPr>
                  <w:rFonts w:ascii="Cambria Math" w:hAnsi="Cambria Math"/>
                  <w:sz w:val="24"/>
                  <w:szCs w:val="24"/>
                  <w:lang w:val="en-US"/>
                </w:rPr>
                <m:t>γ</m:t>
              </m:r>
              <m:ctrlPr>
                <w:rPr>
                  <w:rFonts w:hint="default" w:ascii="Cambria Math" w:hAnsi="Cambria Math"/>
                  <w:sz w:val="24"/>
                  <w:szCs w:val="24"/>
                  <w:lang w:val="en-US"/>
                </w:rPr>
              </m:ctrlPr>
            </m:e>
            <m:sub>
              <m:r>
                <m:rPr>
                  <m:sty m:val="p"/>
                </m:rPr>
                <w:rPr>
                  <w:rFonts w:hint="default" w:ascii="Cambria Math" w:hAnsi="Cambria Math"/>
                  <w:sz w:val="24"/>
                  <w:szCs w:val="24"/>
                  <w:lang w:val="en-US"/>
                </w:rPr>
                <m:t>i</m:t>
              </m:r>
              <m:ctrlPr>
                <w:rPr>
                  <w:rFonts w:hint="default" w:ascii="Cambria Math" w:hAnsi="Cambria Math"/>
                  <w:sz w:val="24"/>
                  <w:szCs w:val="24"/>
                  <w:lang w:val="en-US"/>
                </w:rPr>
              </m:ctrlPr>
            </m:sub>
          </m:sSub>
          <m:r>
            <m:rPr>
              <m:sty m:val="p"/>
            </m:rPr>
            <w:rPr>
              <w:rFonts w:hint="default" w:ascii="Cambria Math" w:hAnsi="Cambria Math"/>
              <w:sz w:val="24"/>
              <w:szCs w:val="24"/>
              <w:lang w:val="en-US"/>
            </w:rPr>
            <m:t>(</m:t>
          </m:r>
          <m:sSub>
            <m:sSubPr>
              <m:ctrlPr>
                <w:rPr>
                  <w:rFonts w:hint="default" w:ascii="Cambria Math" w:hAnsi="Cambria Math"/>
                  <w:sz w:val="24"/>
                  <w:szCs w:val="24"/>
                  <w:lang w:val="en-US"/>
                </w:rPr>
              </m:ctrlPr>
            </m:sSubPr>
            <m:e>
              <m:r>
                <m:rPr>
                  <m:sty m:val="p"/>
                </m:rPr>
                <w:rPr>
                  <w:rFonts w:hint="default" w:ascii="Cambria Math" w:hAnsi="Cambria Math"/>
                  <w:sz w:val="24"/>
                  <w:szCs w:val="24"/>
                  <w:lang w:val="en-US"/>
                </w:rPr>
                <m:t>ZH</m:t>
              </m:r>
              <m:ctrlPr>
                <w:rPr>
                  <w:rFonts w:hint="default" w:ascii="Cambria Math" w:hAnsi="Cambria Math"/>
                  <w:sz w:val="24"/>
                  <w:szCs w:val="24"/>
                  <w:lang w:val="en-US"/>
                </w:rPr>
              </m:ctrlPr>
            </m:e>
            <m:sub>
              <m:r>
                <m:rPr>
                  <m:sty m:val="p"/>
                </m:rPr>
                <w:rPr>
                  <w:rFonts w:hint="default" w:ascii="Cambria Math" w:hAnsi="Cambria Math"/>
                  <w:sz w:val="24"/>
                  <w:szCs w:val="24"/>
                  <w:lang w:val="en-US"/>
                </w:rPr>
                <m:t>it−1</m:t>
              </m:r>
              <m:ctrlPr>
                <w:rPr>
                  <w:rFonts w:hint="default" w:ascii="Cambria Math" w:hAnsi="Cambria Math"/>
                  <w:sz w:val="24"/>
                  <w:szCs w:val="24"/>
                  <w:lang w:val="en-US"/>
                </w:rPr>
              </m:ctrlPr>
            </m:sub>
          </m:sSub>
          <m:r>
            <m:rPr>
              <m:sty m:val="p"/>
            </m:rPr>
            <w:rPr>
              <w:rFonts w:hint="default" w:ascii="Cambria Math" w:hAnsi="Cambria Math"/>
              <w:sz w:val="24"/>
              <w:szCs w:val="24"/>
              <w:lang w:val="en-US"/>
            </w:rPr>
            <m:t xml:space="preserve">− </m:t>
          </m:r>
          <m:sSubSup>
            <m:sSubSupPr>
              <m:ctrlPr>
                <w:rPr>
                  <w:rFonts w:hint="default" w:ascii="Cambria Math" w:hAnsi="Cambria Math"/>
                  <w:sz w:val="24"/>
                  <w:szCs w:val="24"/>
                  <w:lang w:val="en-US"/>
                </w:rPr>
              </m:ctrlPr>
            </m:sSubSupPr>
            <m:e>
              <m:r>
                <m:rPr>
                  <m:sty m:val="p"/>
                </m:rPr>
                <w:rPr>
                  <w:rFonts w:ascii="Cambria Math" w:hAnsi="Cambria Math"/>
                  <w:sz w:val="24"/>
                  <w:szCs w:val="24"/>
                  <w:lang w:val="en-US"/>
                </w:rPr>
                <m:t>β</m:t>
              </m:r>
              <m:ctrlPr>
                <w:rPr>
                  <w:rFonts w:hint="default" w:ascii="Cambria Math" w:hAnsi="Cambria Math"/>
                  <w:sz w:val="24"/>
                  <w:szCs w:val="24"/>
                  <w:lang w:val="en-US"/>
                </w:rPr>
              </m:ctrlPr>
            </m:e>
            <m:sub>
              <m:r>
                <m:rPr>
                  <m:sty m:val="p"/>
                </m:rPr>
                <w:rPr>
                  <w:rFonts w:hint="default" w:ascii="Cambria Math" w:hAnsi="Cambria Math"/>
                  <w:sz w:val="24"/>
                  <w:szCs w:val="24"/>
                  <w:lang w:val="en-US"/>
                </w:rPr>
                <m: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sSubSup>
            <m:sSubSupPr>
              <m:ctrlPr>
                <w:rPr>
                  <w:rFonts w:hint="default" w:ascii="Cambria Math" w:hAnsi="Cambria Math"/>
                  <w:sz w:val="24"/>
                  <w:szCs w:val="24"/>
                  <w:lang w:val="en-US"/>
                </w:rPr>
              </m:ctrlPr>
            </m:sSubSupPr>
            <m:e>
              <m:r>
                <m:rPr>
                  <m:sty m:val="p"/>
                </m:rPr>
                <w:rPr>
                  <w:rFonts w:hint="default" w:ascii="Cambria Math" w:hAnsi="Cambria Math"/>
                  <w:sz w:val="24"/>
                  <w:szCs w:val="24"/>
                  <w:lang w:val="en-US"/>
                </w:rPr>
                <m:t>DP</m:t>
              </m:r>
              <m:ctrlPr>
                <w:rPr>
                  <w:rFonts w:hint="default" w:ascii="Cambria Math" w:hAnsi="Cambria Math"/>
                  <w:sz w:val="24"/>
                  <w:szCs w:val="24"/>
                  <w:lang w:val="en-US"/>
                </w:rPr>
              </m:ctrlPr>
            </m:e>
            <m:sub>
              <m:r>
                <m:rPr>
                  <m:sty m:val="p"/>
                </m:rPr>
                <w:rPr>
                  <w:rFonts w:hint="default" w:ascii="Cambria Math" w:hAnsi="Cambria Math"/>
                  <w:sz w:val="24"/>
                  <w:szCs w:val="24"/>
                  <w:lang w:val="en-US"/>
                </w:rPr>
                <m:t>it−1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oMath>
      </m:oMathPara>
    </w:p>
    <w:p w14:paraId="0CE50F02">
      <w:pPr>
        <w:bidi w:val="0"/>
        <w:rPr>
          <w:rFonts w:hint="default"/>
          <w:b/>
          <w:bCs/>
          <w:sz w:val="24"/>
          <w:szCs w:val="24"/>
          <w:lang w:val="en-US"/>
        </w:rPr>
      </w:pPr>
      <m:oMath>
        <m:r>
          <m:rPr>
            <m:sty m:val="p"/>
          </m:rPr>
          <w:rPr>
            <w:rFonts w:hint="default" w:ascii="Cambria Math" w:hAnsi="Cambria Math"/>
            <w:sz w:val="24"/>
            <w:lang w:val="en-US"/>
          </w:rPr>
          <m:t xml:space="preserve">                 </m:t>
        </m:r>
        <m:r>
          <m:rPr>
            <m:sty m:val="p"/>
          </m:rPr>
          <w:rPr>
            <w:rFonts w:hint="default" w:ascii="Cambria Math" w:hAnsi="Cambria Math"/>
            <w:sz w:val="24"/>
            <w:szCs w:val="24"/>
            <w:lang w:val="en-US"/>
          </w:rPr>
          <m:t xml:space="preserve">  −</m:t>
        </m:r>
        <m:sSubSup>
          <m:sSubSupPr>
            <m:ctrlPr>
              <w:rPr>
                <w:rFonts w:hint="default" w:ascii="Cambria Math" w:hAnsi="Cambria Math"/>
                <w:sz w:val="24"/>
                <w:szCs w:val="24"/>
                <w:lang w:val="en-US"/>
              </w:rPr>
            </m:ctrlPr>
          </m:sSubSupPr>
          <m:e>
            <m:r>
              <m:rPr>
                <m:sty m:val="p"/>
              </m:rPr>
              <w:rPr>
                <w:rFonts w:ascii="Cambria Math" w:hAnsi="Cambria Math"/>
                <w:sz w:val="24"/>
                <w:szCs w:val="24"/>
                <w:lang w:val="en-US"/>
              </w:rPr>
              <m:t>β</m:t>
            </m:r>
            <m:ctrlPr>
              <w:rPr>
                <w:rFonts w:hint="default" w:ascii="Cambria Math" w:hAnsi="Cambria Math"/>
                <w:sz w:val="24"/>
                <w:szCs w:val="24"/>
                <w:lang w:val="en-US"/>
              </w:rPr>
            </m:ctrlPr>
          </m:e>
          <m:sub>
            <m:r>
              <m:rPr>
                <m:sty m:val="p"/>
              </m:rPr>
              <w:rPr>
                <w:rFonts w:hint="default" w:ascii="Cambria Math" w:hAnsi="Cambria Math"/>
                <w:sz w:val="24"/>
                <w:szCs w:val="24"/>
                <w:lang w:val="en-US"/>
              </w:rPr>
              <m: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sSubSup>
          <m:sSubSupPr>
            <m:ctrlPr>
              <w:rPr>
                <w:rFonts w:hint="default" w:ascii="Cambria Math" w:hAnsi="Cambria Math"/>
                <w:sz w:val="24"/>
                <w:szCs w:val="24"/>
                <w:lang w:val="en-US"/>
              </w:rPr>
            </m:ctrlPr>
          </m:sSubSupPr>
          <m:e>
            <m:r>
              <m:rPr>
                <m:sty m:val="p"/>
              </m:rPr>
              <w:rPr>
                <w:rFonts w:hint="default" w:ascii="Cambria Math" w:hAnsi="Cambria Math"/>
                <w:sz w:val="24"/>
                <w:szCs w:val="24"/>
                <w:lang w:val="en-US"/>
              </w:rPr>
              <m:t>DP</m:t>
            </m:r>
            <m:ctrlPr>
              <w:rPr>
                <w:rFonts w:hint="default" w:ascii="Cambria Math" w:hAnsi="Cambria Math"/>
                <w:sz w:val="24"/>
                <w:szCs w:val="24"/>
                <w:lang w:val="en-US"/>
              </w:rPr>
            </m:ctrlPr>
          </m:e>
          <m:sub>
            <m:r>
              <m:rPr>
                <m:sty m:val="p"/>
              </m:rPr>
              <w:rPr>
                <w:rFonts w:hint="default" w:ascii="Cambria Math" w:hAnsi="Cambria Math"/>
                <w:sz w:val="24"/>
                <w:szCs w:val="24"/>
                <w:lang w:val="en-US"/>
              </w:rPr>
              <m:t>it−1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r>
          <m:rPr>
            <m:sty m:val="p"/>
          </m:rPr>
          <w:rPr>
            <w:rFonts w:hint="default" w:ascii="Cambria Math" w:hAnsi="Cambria Math"/>
            <w:sz w:val="24"/>
            <w:szCs w:val="24"/>
            <w:lang w:val="en-US"/>
          </w:rPr>
          <m:t>−</m:t>
        </m:r>
        <m:sSubSup>
          <m:sSubSupPr>
            <m:ctrlPr>
              <w:rPr>
                <w:rFonts w:hint="default" w:ascii="Cambria Math" w:hAnsi="Cambria Math"/>
                <w:sz w:val="24"/>
                <w:szCs w:val="24"/>
                <w:lang w:val="en-US"/>
              </w:rPr>
            </m:ctrlPr>
          </m:sSubSupPr>
          <m:e>
            <m:r>
              <m:rPr>
                <m:sty m:val="p"/>
              </m:rPr>
              <w:rPr>
                <w:rFonts w:ascii="Cambria Math" w:hAnsi="Cambria Math"/>
                <w:sz w:val="24"/>
                <w:szCs w:val="24"/>
                <w:lang w:val="en-US"/>
              </w:rPr>
              <m:t>β</m:t>
            </m:r>
            <m:ctrlPr>
              <w:rPr>
                <w:rFonts w:hint="default" w:ascii="Cambria Math" w:hAnsi="Cambria Math"/>
                <w:sz w:val="24"/>
                <w:szCs w:val="24"/>
                <w:lang w:val="en-US"/>
              </w:rPr>
            </m:ctrlPr>
          </m:e>
          <m:sub>
            <m:r>
              <m:rPr>
                <m:sty m:val="p"/>
              </m:rPr>
              <w:rPr>
                <w:rFonts w:hint="default" w:ascii="Cambria Math" w:hAnsi="Cambria Math"/>
                <w:sz w:val="24"/>
                <w:szCs w:val="24"/>
                <w:lang w:val="en-US"/>
              </w:rPr>
              <m:t>2</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sSubSup>
          <m:sSubSupPr>
            <m:ctrlPr>
              <w:rPr>
                <w:rFonts w:hint="default" w:ascii="Cambria Math" w:hAnsi="Cambria Math"/>
                <w:sz w:val="24"/>
                <w:szCs w:val="24"/>
                <w:lang w:val="en-US"/>
              </w:rPr>
            </m:ctrlPr>
          </m:sSubSupPr>
          <m:e>
            <m:r>
              <m:rPr>
                <m:sty m:val="p"/>
              </m:rPr>
              <w:rPr>
                <w:rFonts w:hint="default" w:ascii="Cambria Math" w:hAnsi="Cambria Math"/>
                <w:sz w:val="24"/>
                <w:szCs w:val="24"/>
                <w:lang w:val="en-US"/>
              </w:rPr>
              <m:t>TI</m:t>
            </m:r>
            <m:ctrlPr>
              <w:rPr>
                <w:rFonts w:hint="default" w:ascii="Cambria Math" w:hAnsi="Cambria Math"/>
                <w:sz w:val="24"/>
                <w:szCs w:val="24"/>
                <w:lang w:val="en-US"/>
              </w:rPr>
            </m:ctrlPr>
          </m:e>
          <m:sub>
            <m:r>
              <m:rPr>
                <m:sty m:val="p"/>
              </m:rPr>
              <w:rPr>
                <w:rFonts w:hint="default" w:ascii="Cambria Math" w:hAnsi="Cambria Math"/>
                <w:sz w:val="24"/>
                <w:szCs w:val="24"/>
                <w:lang w:val="en-US"/>
              </w:rPr>
              <m:t>it−1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r>
          <m:rPr>
            <m:sty m:val="p"/>
          </m:rPr>
          <w:rPr>
            <w:rFonts w:hint="default" w:ascii="Cambria Math" w:hAnsi="Cambria Math"/>
            <w:sz w:val="24"/>
            <w:szCs w:val="24"/>
            <w:lang w:val="en-US"/>
          </w:rPr>
          <m:t>−</m:t>
        </m:r>
        <m:sSubSup>
          <m:sSubSupPr>
            <m:ctrlPr>
              <w:rPr>
                <w:rFonts w:hint="default" w:ascii="Cambria Math" w:hAnsi="Cambria Math"/>
                <w:sz w:val="24"/>
                <w:szCs w:val="24"/>
                <w:lang w:val="en-US"/>
              </w:rPr>
            </m:ctrlPr>
          </m:sSubSupPr>
          <m:e>
            <m:r>
              <m:rPr>
                <m:sty m:val="p"/>
              </m:rPr>
              <w:rPr>
                <w:rFonts w:ascii="Cambria Math" w:hAnsi="Cambria Math"/>
                <w:sz w:val="24"/>
                <w:szCs w:val="24"/>
                <w:lang w:val="en-US"/>
              </w:rPr>
              <m:t>β</m:t>
            </m:r>
            <m:ctrlPr>
              <w:rPr>
                <w:rFonts w:hint="default" w:ascii="Cambria Math" w:hAnsi="Cambria Math"/>
                <w:sz w:val="24"/>
                <w:szCs w:val="24"/>
                <w:lang w:val="en-US"/>
              </w:rPr>
            </m:ctrlPr>
          </m:e>
          <m:sub>
            <m:r>
              <m:rPr>
                <m:sty m:val="p"/>
              </m:rPr>
              <w:rPr>
                <w:rFonts w:hint="default" w:ascii="Cambria Math" w:hAnsi="Cambria Math"/>
                <w:sz w:val="24"/>
                <w:szCs w:val="24"/>
                <w:lang w:val="en-US"/>
              </w:rPr>
              <m:t>2</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sSubSup>
          <m:sSubSupPr>
            <m:ctrlPr>
              <w:rPr>
                <w:rFonts w:hint="default" w:ascii="Cambria Math" w:hAnsi="Cambria Math"/>
                <w:sz w:val="24"/>
                <w:szCs w:val="24"/>
                <w:lang w:val="en-US"/>
              </w:rPr>
            </m:ctrlPr>
          </m:sSubSupPr>
          <m:e>
            <m:r>
              <m:rPr>
                <m:sty m:val="p"/>
              </m:rPr>
              <w:rPr>
                <w:rFonts w:hint="default" w:ascii="Cambria Math" w:hAnsi="Cambria Math"/>
                <w:sz w:val="24"/>
                <w:szCs w:val="24"/>
                <w:lang w:val="en-US"/>
              </w:rPr>
              <m:t>TI</m:t>
            </m:r>
            <m:ctrlPr>
              <w:rPr>
                <w:rFonts w:hint="default" w:ascii="Cambria Math" w:hAnsi="Cambria Math"/>
                <w:sz w:val="24"/>
                <w:szCs w:val="24"/>
                <w:lang w:val="en-US"/>
              </w:rPr>
            </m:ctrlPr>
          </m:e>
          <m:sub>
            <m:r>
              <m:rPr>
                <m:sty m:val="p"/>
              </m:rPr>
              <w:rPr>
                <w:rFonts w:hint="default" w:ascii="Cambria Math" w:hAnsi="Cambria Math"/>
                <w:sz w:val="24"/>
                <w:szCs w:val="24"/>
                <w:lang w:val="en-US"/>
              </w:rPr>
              <m:t>it−1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r>
          <m:rPr>
            <m:sty m:val="p"/>
          </m:rPr>
          <w:rPr>
            <w:rFonts w:hint="default" w:ascii="Cambria Math" w:hAnsi="Cambria Math"/>
            <w:sz w:val="24"/>
            <w:szCs w:val="24"/>
            <w:lang w:val="en-US"/>
          </w:rPr>
          <m:t>−</m:t>
        </m:r>
        <m:sSubSup>
          <m:sSubSupPr>
            <m:ctrlPr>
              <w:rPr>
                <w:rFonts w:hint="default" w:ascii="Cambria Math" w:hAnsi="Cambria Math"/>
                <w:sz w:val="24"/>
                <w:szCs w:val="24"/>
                <w:lang w:val="en-US"/>
              </w:rPr>
            </m:ctrlPr>
          </m:sSubSupPr>
          <m:e>
            <m:r>
              <m:rPr>
                <m:sty m:val="p"/>
              </m:rPr>
              <w:rPr>
                <w:rFonts w:ascii="Cambria Math" w:hAnsi="Cambria Math"/>
                <w:sz w:val="24"/>
                <w:szCs w:val="24"/>
                <w:lang w:val="en-US"/>
              </w:rPr>
              <m:t>β</m:t>
            </m:r>
            <m:ctrlPr>
              <w:rPr>
                <w:rFonts w:hint="default" w:ascii="Cambria Math" w:hAnsi="Cambria Math"/>
                <w:sz w:val="24"/>
                <w:szCs w:val="24"/>
                <w:lang w:val="en-US"/>
              </w:rPr>
            </m:ctrlPr>
          </m:e>
          <m:sub>
            <m:r>
              <m:rPr>
                <m:sty m:val="p"/>
              </m:rPr>
              <w:rPr>
                <w:rFonts w:hint="default" w:ascii="Cambria Math" w:hAnsi="Cambria Math"/>
                <w:sz w:val="24"/>
                <w:szCs w:val="24"/>
                <w:lang w:val="en-US"/>
              </w:rPr>
              <m:t>3</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sSubSup>
          <m:sSubSupPr>
            <m:ctrlPr>
              <w:rPr>
                <w:rFonts w:hint="default" w:ascii="Cambria Math" w:hAnsi="Cambria Math"/>
                <w:sz w:val="24"/>
                <w:szCs w:val="24"/>
                <w:lang w:val="en-US"/>
              </w:rPr>
            </m:ctrlPr>
          </m:sSubSupPr>
          <m:e>
            <m:r>
              <m:rPr>
                <m:sty m:val="p"/>
              </m:rPr>
              <w:rPr>
                <w:rFonts w:hint="default" w:ascii="Cambria Math" w:hAnsi="Cambria Math"/>
                <w:sz w:val="24"/>
                <w:szCs w:val="24"/>
                <w:lang w:val="en-US"/>
              </w:rPr>
              <m:t>FI</m:t>
            </m:r>
            <m:ctrlPr>
              <w:rPr>
                <w:rFonts w:hint="default" w:ascii="Cambria Math" w:hAnsi="Cambria Math"/>
                <w:sz w:val="24"/>
                <w:szCs w:val="24"/>
                <w:lang w:val="en-US"/>
              </w:rPr>
            </m:ctrlPr>
          </m:e>
          <m:sub>
            <m:r>
              <m:rPr>
                <m:sty m:val="p"/>
              </m:rPr>
              <w:rPr>
                <w:rFonts w:hint="default" w:ascii="Cambria Math" w:hAnsi="Cambria Math"/>
                <w:sz w:val="24"/>
                <w:szCs w:val="24"/>
                <w:lang w:val="en-US"/>
              </w:rPr>
              <m:t>it−1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r>
          <m:rPr>
            <m:sty m:val="p"/>
          </m:rPr>
          <w:rPr>
            <w:rFonts w:hint="default" w:ascii="Cambria Math" w:hAnsi="Cambria Math"/>
            <w:sz w:val="24"/>
            <w:szCs w:val="24"/>
            <w:lang w:val="en-US"/>
          </w:rPr>
          <m:t>−</m:t>
        </m:r>
        <m:sSubSup>
          <m:sSubSupPr>
            <m:ctrlPr>
              <w:rPr>
                <w:rFonts w:hint="default" w:ascii="Cambria Math" w:hAnsi="Cambria Math"/>
                <w:sz w:val="24"/>
                <w:szCs w:val="24"/>
                <w:lang w:val="en-US"/>
              </w:rPr>
            </m:ctrlPr>
          </m:sSubSupPr>
          <m:e>
            <m:r>
              <m:rPr>
                <m:sty m:val="p"/>
              </m:rPr>
              <w:rPr>
                <w:rFonts w:ascii="Cambria Math" w:hAnsi="Cambria Math"/>
                <w:sz w:val="24"/>
                <w:szCs w:val="24"/>
                <w:lang w:val="en-US"/>
              </w:rPr>
              <m:t>β</m:t>
            </m:r>
            <m:ctrlPr>
              <w:rPr>
                <w:rFonts w:hint="default" w:ascii="Cambria Math" w:hAnsi="Cambria Math"/>
                <w:sz w:val="24"/>
                <w:szCs w:val="24"/>
                <w:lang w:val="en-US"/>
              </w:rPr>
            </m:ctrlPr>
          </m:e>
          <m:sub>
            <m:r>
              <m:rPr>
                <m:sty m:val="p"/>
              </m:rPr>
              <w:rPr>
                <w:rFonts w:hint="default" w:ascii="Cambria Math" w:hAnsi="Cambria Math"/>
                <w:sz w:val="24"/>
                <w:szCs w:val="24"/>
                <w:lang w:val="en-US"/>
              </w:rPr>
              <m:t>3</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sSubSup>
          <m:sSubSupPr>
            <m:ctrlPr>
              <w:rPr>
                <w:rFonts w:hint="default" w:ascii="Cambria Math" w:hAnsi="Cambria Math"/>
                <w:sz w:val="24"/>
                <w:szCs w:val="24"/>
                <w:lang w:val="en-US"/>
              </w:rPr>
            </m:ctrlPr>
          </m:sSubSupPr>
          <m:e>
            <m:r>
              <m:rPr>
                <m:sty m:val="p"/>
              </m:rPr>
              <w:rPr>
                <w:rFonts w:hint="default" w:ascii="Cambria Math" w:hAnsi="Cambria Math"/>
                <w:sz w:val="24"/>
                <w:szCs w:val="24"/>
                <w:lang w:val="en-US"/>
              </w:rPr>
              <m:t>FI</m:t>
            </m:r>
            <m:ctrlPr>
              <w:rPr>
                <w:rFonts w:hint="default" w:ascii="Cambria Math" w:hAnsi="Cambria Math"/>
                <w:sz w:val="24"/>
                <w:szCs w:val="24"/>
                <w:lang w:val="en-US"/>
              </w:rPr>
            </m:ctrlPr>
          </m:e>
          <m:sub>
            <m:r>
              <m:rPr>
                <m:sty m:val="p"/>
              </m:rPr>
              <w:rPr>
                <w:rFonts w:hint="default" w:ascii="Cambria Math" w:hAnsi="Cambria Math"/>
                <w:sz w:val="24"/>
                <w:szCs w:val="24"/>
                <w:lang w:val="en-US"/>
              </w:rPr>
              <m:t>it−1</m:t>
            </m:r>
            <m:ctrlPr>
              <w:rPr>
                <w:rFonts w:hint="default" w:ascii="Cambria Math" w:hAnsi="Cambria Math"/>
                <w:sz w:val="24"/>
                <w:szCs w:val="24"/>
                <w:lang w:val="en-US"/>
              </w:rPr>
            </m:ctrlPr>
          </m:sub>
          <m:sup>
            <m:r>
              <m:rPr>
                <m:sty m:val="p"/>
              </m:rPr>
              <w:rPr>
                <w:rFonts w:hint="default" w:ascii="Cambria Math" w:hAnsi="Cambria Math"/>
                <w:sz w:val="24"/>
                <w:szCs w:val="24"/>
                <w:lang w:val="en-US"/>
              </w:rPr>
              <m:t>−</m:t>
            </m:r>
            <m:ctrlPr>
              <w:rPr>
                <w:rFonts w:hint="default" w:ascii="Cambria Math" w:hAnsi="Cambria Math"/>
                <w:sz w:val="24"/>
                <w:szCs w:val="24"/>
                <w:lang w:val="en-US"/>
              </w:rPr>
            </m:ctrlPr>
          </m:sup>
        </m:sSubSup>
        <m:r>
          <m:rPr>
            <m:sty m:val="p"/>
          </m:rPr>
          <w:rPr>
            <w:rFonts w:hint="default" w:ascii="Cambria Math" w:hAnsi="Cambria Math"/>
            <w:sz w:val="24"/>
            <w:szCs w:val="24"/>
            <w:lang w:val="en-US"/>
          </w:rPr>
          <m:t>)+</m:t>
        </m:r>
        <m:sSub>
          <m:sSubPr>
            <m:ctrlPr>
              <w:rPr>
                <w:rFonts w:hint="default" w:ascii="Cambria Math" w:hAnsi="Cambria Math"/>
                <w:sz w:val="24"/>
                <w:szCs w:val="24"/>
              </w:rPr>
            </m:ctrlPr>
          </m:sSubPr>
          <m:e>
            <m:r>
              <m:rPr>
                <m:nor/>
                <m:sty m:val="p"/>
              </m:rPr>
              <w:rPr>
                <w:rFonts w:hint="default" w:ascii="Cambria Math" w:hAnsi="Cambria Math"/>
                <w:b w:val="0"/>
                <w:i w:val="0"/>
                <w:sz w:val="24"/>
                <w:szCs w:val="24"/>
              </w:rPr>
              <m:t>ε</m:t>
            </m:r>
            <m:ctrlPr>
              <w:rPr>
                <w:rFonts w:hint="default" w:ascii="Cambria Math" w:hAnsi="Cambria Math"/>
                <w:sz w:val="24"/>
                <w:szCs w:val="24"/>
              </w:rPr>
            </m:ctrlPr>
          </m:e>
          <m:sub>
            <m:r>
              <m:rPr>
                <m:nor/>
                <m:sty m:val="p"/>
              </m:rPr>
              <w:rPr>
                <w:rFonts w:hint="default" w:ascii="Cambria Math" w:hAnsi="Cambria Math"/>
                <w:b w:val="0"/>
                <w:i w:val="0"/>
                <w:sz w:val="24"/>
                <w:szCs w:val="24"/>
              </w:rPr>
              <m:t>it</m:t>
            </m:r>
            <m:ctrlPr>
              <w:rPr>
                <w:rFonts w:hint="default" w:ascii="Cambria Math" w:hAnsi="Cambria Math"/>
                <w:sz w:val="24"/>
                <w:szCs w:val="24"/>
              </w:rPr>
            </m:ctrlPr>
          </m:sub>
        </m:sSub>
        <m:r>
          <m:rPr>
            <m:sty m:val="p"/>
          </m:rPr>
          <w:rPr>
            <w:rFonts w:hint="default" w:ascii="Cambria Math" w:hAnsi="Cambria Math"/>
            <w:sz w:val="24"/>
          </w:rPr>
          <m:t xml:space="preserve"> </m:t>
        </m:r>
      </m:oMath>
      <w:r>
        <w:rPr>
          <w:rFonts w:hint="default"/>
          <w:lang w:val="en-US"/>
        </w:rPr>
        <w:t xml:space="preserve">     </w:t>
      </w:r>
      <w:r>
        <w:rPr>
          <w:rFonts w:hint="default"/>
          <w:b/>
          <w:bCs/>
          <w:sz w:val="24"/>
          <w:szCs w:val="24"/>
          <w:lang w:val="en-US"/>
        </w:rPr>
        <w:t xml:space="preserve">  (10)</w:t>
      </w:r>
    </w:p>
    <w:p w14:paraId="690D9F47">
      <w:pPr>
        <w:pStyle w:val="19"/>
        <w:ind w:left="0" w:leftChars="0" w:firstLine="0" w:firstLineChars="0"/>
        <w:jc w:val="both"/>
        <w:rPr>
          <w:rFonts w:hint="default" w:hAnsi="Cambria Math" w:cs="Times New Roman"/>
          <w:b w:val="0"/>
          <w:i w:val="0"/>
          <w:sz w:val="24"/>
          <w:szCs w:val="24"/>
        </w:rPr>
      </w:pPr>
    </w:p>
    <w:p w14:paraId="62A21EF7">
      <w:pPr>
        <w:pStyle w:val="19"/>
        <w:ind w:left="0" w:leftChars="0"/>
        <w:jc w:val="both"/>
        <w:rPr>
          <w:rFonts w:hint="default" w:ascii="Times New Roman" w:hAnsi="Times New Roman" w:cs="Times New Roman"/>
          <w:i w:val="0"/>
          <w:sz w:val="24"/>
          <w:szCs w:val="24"/>
          <w:lang w:val="en-US"/>
        </w:rPr>
      </w:pPr>
      <w:r>
        <w:rPr>
          <w:rFonts w:hint="default" w:ascii="Times New Roman" w:hAnsi="Times New Roman" w:cs="Times New Roman"/>
          <w:i w:val="0"/>
          <w:sz w:val="24"/>
          <w:szCs w:val="24"/>
        </w:rPr>
        <w:t>The breakdown of DP, TI and FI can be obtained as follows</w:t>
      </w:r>
      <w:r>
        <w:rPr>
          <w:rFonts w:hint="default" w:ascii="Times New Roman" w:hAnsi="Times New Roman" w:cs="Times New Roman"/>
          <w:i w:val="0"/>
          <w:sz w:val="24"/>
          <w:szCs w:val="24"/>
          <w:lang w:val="en-US"/>
        </w:rPr>
        <w:t>:</w:t>
      </w:r>
    </w:p>
    <w:p w14:paraId="6788B3FD">
      <w:pPr>
        <w:pStyle w:val="19"/>
        <w:ind w:left="720" w:leftChars="0"/>
        <w:jc w:val="both"/>
        <w:rPr>
          <w:rFonts w:hint="default" w:ascii="Times New Roman" w:hAnsi="Times New Roman" w:cs="Times New Roman"/>
          <w:i w:val="0"/>
          <w:iCs/>
          <w:sz w:val="24"/>
          <w:szCs w:val="24"/>
        </w:rPr>
      </w:pPr>
      <m:oMathPara>
        <m:oMathParaPr>
          <m:jc m:val="left"/>
        </m:oMathParaPr>
        <m:oMath>
          <m:sSubSup>
            <m:sSubSupPr>
              <m:ctrlPr>
                <w:rPr>
                  <w:rFonts w:hint="default" w:ascii="Cambria Math" w:hAnsi="Cambria Math" w:cs="Times New Roman"/>
                  <w:i w:val="0"/>
                  <w:iCs/>
                  <w:sz w:val="24"/>
                  <w:szCs w:val="24"/>
                </w:rPr>
              </m:ctrlPr>
            </m:sSubSupPr>
            <m:e>
              <m:r>
                <m:rPr>
                  <m:nor/>
                  <m:sty m:val="p"/>
                </m:rPr>
                <w:rPr>
                  <w:rFonts w:hint="default" w:ascii="Cambria Math" w:hAnsi="Cambria Math" w:cs="Times New Roman"/>
                  <w:b w:val="0"/>
                  <w:i w:val="0"/>
                  <w:iCs/>
                  <w:sz w:val="24"/>
                  <w:szCs w:val="24"/>
                  <w:lang w:val="en-US"/>
                </w:rPr>
                <m:t>DP</m:t>
              </m:r>
              <m:ctrlPr>
                <w:rPr>
                  <w:rFonts w:hint="default" w:ascii="Cambria Math" w:hAnsi="Cambria Math" w:cs="Times New Roman"/>
                  <w:i w:val="0"/>
                  <w:iCs/>
                  <w:sz w:val="24"/>
                  <w:szCs w:val="24"/>
                </w:rPr>
              </m:ctrlPr>
            </m:e>
            <m:sub>
              <m:r>
                <m:rPr>
                  <m:nor/>
                  <m:sty m:val="p"/>
                </m:rPr>
                <w:rPr>
                  <w:rFonts w:hint="default" w:ascii="Cambria Math" w:hAnsi="Cambria Math" w:cs="Times New Roman"/>
                  <w:b w:val="0"/>
                  <w:i w:val="0"/>
                  <w:iCs/>
                  <w:sz w:val="24"/>
                  <w:szCs w:val="24"/>
                  <w:lang w:val="en-US"/>
                </w:rPr>
                <m:t xml:space="preserve"> </m:t>
              </m:r>
              <m:r>
                <m:rPr>
                  <m:nor/>
                  <m:sty m:val="p"/>
                </m:rPr>
                <w:rPr>
                  <w:rFonts w:hint="default" w:ascii="Cambria Math" w:hAnsi="Cambria Math" w:cs="Times New Roman"/>
                  <w:b w:val="0"/>
                  <w:i w:val="0"/>
                  <w:iCs/>
                  <w:sz w:val="24"/>
                  <w:szCs w:val="24"/>
                </w:rPr>
                <m:t>t</m:t>
              </m:r>
              <m:ctrlPr>
                <w:rPr>
                  <w:rFonts w:hint="default" w:ascii="Cambria Math" w:hAnsi="Cambria Math" w:cs="Times New Roman"/>
                  <w:i w:val="0"/>
                  <w:iCs/>
                  <w:sz w:val="24"/>
                  <w:szCs w:val="24"/>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rPr>
              </m:ctrlPr>
            </m:sup>
          </m:sSubSup>
          <m:r>
            <m:rPr>
              <m:nor/>
              <m:sty m:val="p"/>
            </m:rPr>
            <w:rPr>
              <w:rFonts w:hint="default" w:ascii="Cambria Math" w:hAnsi="Cambria Math" w:cs="Times New Roman"/>
              <w:b w:val="0"/>
              <w:i w:val="0"/>
              <w:iCs/>
              <w:sz w:val="24"/>
              <w:szCs w:val="24"/>
              <w:lang w:val="en-US"/>
            </w:rPr>
            <m:t>=</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t>
              </m:r>
              <m:sSubSup>
                <m:sSubSupPr>
                  <m:ctrlPr>
                    <w:rPr>
                      <w:rFonts w:hint="default" w:ascii="Cambria Math" w:hAnsi="Cambria Math" w:cs="Times New Roman"/>
                      <w:i w:val="0"/>
                      <w:iCs/>
                      <w:sz w:val="24"/>
                      <w:szCs w:val="24"/>
                      <w:lang w:val="en-US"/>
                    </w:rPr>
                  </m:ctrlPr>
                </m:sSubSupPr>
                <m:e>
                  <m:r>
                    <m:rPr>
                      <m:nor/>
                      <m:sty m:val="p"/>
                    </m:rPr>
                    <w:rPr>
                      <w:rFonts w:hint="default" w:ascii="Cambria Math" w:hAnsi="Cambria Math" w:cs="Times New Roman"/>
                      <w:b w:val="0"/>
                      <w:i w:val="0"/>
                      <w:iCs/>
                      <w:sz w:val="24"/>
                      <w:szCs w:val="24"/>
                      <w:lang w:val="en-US"/>
                    </w:rPr>
                    <m:t>DP</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lang w:val="en-US"/>
                    </w:rPr>
                  </m:ctrlPr>
                </m:sup>
              </m:sSubSup>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 xml:space="preserve">= </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max(∆</m:t>
              </m:r>
              <m:sSub>
                <m:sSubPr>
                  <m:ctrlPr>
                    <w:rPr>
                      <w:rFonts w:hint="default" w:ascii="Cambria Math" w:hAnsi="Cambria Math" w:cs="Times New Roman"/>
                      <w:i w:val="0"/>
                      <w:iCs/>
                      <w:sz w:val="24"/>
                      <w:szCs w:val="24"/>
                      <w:lang w:val="en-US"/>
                    </w:rPr>
                  </m:ctrlPr>
                </m:sSubPr>
                <m:e>
                  <m:r>
                    <m:rPr>
                      <m:nor/>
                      <m:sty m:val="p"/>
                    </m:rPr>
                    <w:rPr>
                      <w:rFonts w:hint="default" w:ascii="Cambria Math" w:hAnsi="Cambria Math" w:cs="Times New Roman"/>
                      <w:b w:val="0"/>
                      <w:i w:val="0"/>
                      <w:iCs/>
                      <w:sz w:val="24"/>
                      <w:szCs w:val="24"/>
                      <w:lang w:val="en-US"/>
                    </w:rPr>
                    <m:t>DP</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Sub>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,0)</m:t>
          </m:r>
        </m:oMath>
      </m:oMathPara>
    </w:p>
    <w:p w14:paraId="224D819F">
      <w:pPr>
        <w:pStyle w:val="19"/>
        <w:ind w:left="720" w:leftChars="0"/>
        <w:jc w:val="both"/>
        <w:rPr>
          <w:rFonts w:hint="default" w:ascii="Times New Roman" w:hAnsi="Times New Roman" w:cs="Times New Roman"/>
          <w:i w:val="0"/>
          <w:iCs/>
          <w:sz w:val="24"/>
          <w:szCs w:val="24"/>
        </w:rPr>
      </w:pPr>
      <m:oMathPara>
        <m:oMathParaPr>
          <m:jc m:val="left"/>
        </m:oMathParaPr>
        <m:oMath>
          <m:sSubSup>
            <m:sSubSupPr>
              <m:ctrlPr>
                <w:rPr>
                  <w:rFonts w:hint="default" w:ascii="Cambria Math" w:hAnsi="Cambria Math" w:cs="Times New Roman"/>
                  <w:i w:val="0"/>
                  <w:iCs/>
                  <w:sz w:val="24"/>
                  <w:szCs w:val="24"/>
                </w:rPr>
              </m:ctrlPr>
            </m:sSubSupPr>
            <m:e>
              <m:r>
                <m:rPr>
                  <m:nor/>
                  <m:sty m:val="p"/>
                </m:rPr>
                <w:rPr>
                  <w:rFonts w:hint="default" w:ascii="Cambria Math" w:hAnsi="Cambria Math" w:cs="Times New Roman"/>
                  <w:b w:val="0"/>
                  <w:i w:val="0"/>
                  <w:iCs/>
                  <w:sz w:val="24"/>
                  <w:szCs w:val="24"/>
                  <w:lang w:val="en-US"/>
                </w:rPr>
                <m:t>DP</m:t>
              </m:r>
              <m:ctrlPr>
                <w:rPr>
                  <w:rFonts w:hint="default" w:ascii="Cambria Math" w:hAnsi="Cambria Math" w:cs="Times New Roman"/>
                  <w:i w:val="0"/>
                  <w:iCs/>
                  <w:sz w:val="24"/>
                  <w:szCs w:val="24"/>
                </w:rPr>
              </m:ctrlPr>
            </m:e>
            <m:sub>
              <m:r>
                <m:rPr>
                  <m:nor/>
                  <m:sty m:val="p"/>
                </m:rPr>
                <w:rPr>
                  <w:rFonts w:hint="default" w:ascii="Cambria Math" w:hAnsi="Cambria Math" w:cs="Times New Roman"/>
                  <w:b w:val="0"/>
                  <w:i w:val="0"/>
                  <w:iCs/>
                  <w:sz w:val="24"/>
                  <w:szCs w:val="24"/>
                  <w:lang w:val="en-US"/>
                </w:rPr>
                <m:t xml:space="preserve"> </m:t>
              </m:r>
              <m:r>
                <m:rPr>
                  <m:nor/>
                  <m:sty m:val="p"/>
                </m:rPr>
                <w:rPr>
                  <w:rFonts w:hint="default" w:ascii="Cambria Math" w:hAnsi="Cambria Math" w:cs="Times New Roman"/>
                  <w:b w:val="0"/>
                  <w:i w:val="0"/>
                  <w:iCs/>
                  <w:sz w:val="24"/>
                  <w:szCs w:val="24"/>
                </w:rPr>
                <m:t>t</m:t>
              </m:r>
              <m:ctrlPr>
                <w:rPr>
                  <w:rFonts w:hint="default" w:ascii="Cambria Math" w:hAnsi="Cambria Math" w:cs="Times New Roman"/>
                  <w:i w:val="0"/>
                  <w:iCs/>
                  <w:sz w:val="24"/>
                  <w:szCs w:val="24"/>
                </w:rPr>
              </m:ctrlPr>
            </m:sub>
            <m:sup>
              <m:r>
                <m:rPr>
                  <m:nor/>
                  <m:sty m:val="p"/>
                </m:rPr>
                <w:rPr>
                  <w:rFonts w:hint="default" w:ascii="Cambria Math" w:hAnsi="Cambria Math" w:cs="Times New Roman"/>
                  <w:b w:val="0"/>
                  <w:i w:val="0"/>
                  <w:iCs/>
                  <w:sz w:val="24"/>
                  <w:szCs w:val="24"/>
                </w:rPr>
                <m:t>−</m:t>
              </m:r>
              <m:ctrlPr>
                <w:rPr>
                  <w:rFonts w:hint="default" w:ascii="Cambria Math" w:hAnsi="Cambria Math" w:cs="Times New Roman"/>
                  <w:i w:val="0"/>
                  <w:iCs/>
                  <w:sz w:val="24"/>
                  <w:szCs w:val="24"/>
                </w:rPr>
              </m:ctrlPr>
            </m:sup>
          </m:sSubSup>
          <m:r>
            <m:rPr>
              <m:nor/>
              <m:sty m:val="p"/>
            </m:rPr>
            <w:rPr>
              <w:rFonts w:hint="default" w:ascii="Cambria Math" w:hAnsi="Cambria Math" w:cs="Times New Roman"/>
              <w:b w:val="0"/>
              <w:i w:val="0"/>
              <w:iCs/>
              <w:sz w:val="24"/>
              <w:szCs w:val="24"/>
              <w:lang w:val="en-US"/>
            </w:rPr>
            <m:t>=</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t>
              </m:r>
              <m:sSubSup>
                <m:sSubSupPr>
                  <m:ctrlPr>
                    <w:rPr>
                      <w:rFonts w:hint="default" w:ascii="Cambria Math" w:hAnsi="Cambria Math" w:cs="Times New Roman"/>
                      <w:i w:val="0"/>
                      <w:iCs/>
                      <w:sz w:val="24"/>
                      <w:szCs w:val="24"/>
                      <w:lang w:val="en-US"/>
                    </w:rPr>
                  </m:ctrlPr>
                </m:sSubSupPr>
                <m:e>
                  <m:r>
                    <m:rPr>
                      <m:nor/>
                      <m:sty m:val="p"/>
                    </m:rPr>
                    <w:rPr>
                      <w:rFonts w:hint="default" w:ascii="Cambria Math" w:hAnsi="Cambria Math" w:cs="Times New Roman"/>
                      <w:b w:val="0"/>
                      <w:i w:val="0"/>
                      <w:iCs/>
                      <w:sz w:val="24"/>
                      <w:szCs w:val="24"/>
                      <w:lang w:val="en-US"/>
                    </w:rPr>
                    <m:t>DP</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lang w:val="en-US"/>
                    </w:rPr>
                  </m:ctrlPr>
                </m:sup>
              </m:sSubSup>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 xml:space="preserve">= </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min(∆</m:t>
              </m:r>
              <m:sSub>
                <m:sSubPr>
                  <m:ctrlPr>
                    <w:rPr>
                      <w:rFonts w:hint="default" w:ascii="Cambria Math" w:hAnsi="Cambria Math" w:cs="Times New Roman"/>
                      <w:i w:val="0"/>
                      <w:iCs/>
                      <w:sz w:val="24"/>
                      <w:szCs w:val="24"/>
                      <w:lang w:val="en-US"/>
                    </w:rPr>
                  </m:ctrlPr>
                </m:sSubPr>
                <m:e>
                  <m:r>
                    <m:rPr>
                      <m:nor/>
                      <m:sty m:val="p"/>
                    </m:rPr>
                    <w:rPr>
                      <w:rFonts w:hint="default" w:ascii="Cambria Math" w:hAnsi="Cambria Math" w:cs="Times New Roman"/>
                      <w:b w:val="0"/>
                      <w:i w:val="0"/>
                      <w:iCs/>
                      <w:sz w:val="24"/>
                      <w:szCs w:val="24"/>
                      <w:lang w:val="en-US"/>
                    </w:rPr>
                    <m:t>DP</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Sub>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,0)</m:t>
          </m:r>
        </m:oMath>
      </m:oMathPara>
    </w:p>
    <w:p w14:paraId="0DE8CD4C">
      <w:pPr>
        <w:pStyle w:val="19"/>
        <w:ind w:left="720" w:leftChars="0"/>
        <w:jc w:val="both"/>
        <w:rPr>
          <w:rFonts w:hint="default" w:ascii="Times New Roman" w:hAnsi="Times New Roman" w:cs="Times New Roman"/>
          <w:i w:val="0"/>
          <w:iCs/>
          <w:sz w:val="24"/>
          <w:szCs w:val="24"/>
        </w:rPr>
      </w:pPr>
      <m:oMathPara>
        <m:oMathParaPr>
          <m:jc m:val="left"/>
        </m:oMathParaPr>
        <m:oMath>
          <m:sSubSup>
            <m:sSubSupPr>
              <m:ctrlPr>
                <w:rPr>
                  <w:rFonts w:hint="default" w:ascii="Cambria Math" w:hAnsi="Cambria Math" w:cs="Times New Roman"/>
                  <w:i w:val="0"/>
                  <w:iCs/>
                  <w:sz w:val="24"/>
                  <w:szCs w:val="24"/>
                </w:rPr>
              </m:ctrlPr>
            </m:sSubSupPr>
            <m:e>
              <m:r>
                <m:rPr>
                  <m:nor/>
                  <m:sty m:val="p"/>
                </m:rPr>
                <w:rPr>
                  <w:rFonts w:hint="default" w:ascii="Cambria Math" w:hAnsi="Cambria Math" w:cs="Times New Roman"/>
                  <w:b w:val="0"/>
                  <w:i w:val="0"/>
                  <w:iCs/>
                  <w:sz w:val="24"/>
                  <w:szCs w:val="24"/>
                  <w:lang w:val="en-US"/>
                </w:rPr>
                <m:t>T</m:t>
              </m:r>
              <m:r>
                <m:rPr>
                  <m:nor/>
                  <m:sty m:val="p"/>
                </m:rPr>
                <w:rPr>
                  <w:rFonts w:hint="default" w:ascii="Cambria Math" w:hAnsi="Cambria Math" w:cs="Times New Roman"/>
                  <w:b w:val="0"/>
                  <w:i w:val="0"/>
                  <w:iCs/>
                  <w:sz w:val="24"/>
                  <w:szCs w:val="24"/>
                </w:rPr>
                <m:t>I</m:t>
              </m:r>
              <m:ctrlPr>
                <w:rPr>
                  <w:rFonts w:hint="default" w:ascii="Cambria Math" w:hAnsi="Cambria Math" w:cs="Times New Roman"/>
                  <w:i w:val="0"/>
                  <w:iCs/>
                  <w:sz w:val="24"/>
                  <w:szCs w:val="24"/>
                </w:rPr>
              </m:ctrlPr>
            </m:e>
            <m:sub>
              <m:r>
                <m:rPr>
                  <m:nor/>
                  <m:sty m:val="p"/>
                </m:rPr>
                <w:rPr>
                  <w:rFonts w:hint="default" w:ascii="Cambria Math" w:hAnsi="Cambria Math" w:cs="Times New Roman"/>
                  <w:b w:val="0"/>
                  <w:i w:val="0"/>
                  <w:iCs/>
                  <w:sz w:val="24"/>
                  <w:szCs w:val="24"/>
                  <w:lang w:val="en-US"/>
                </w:rPr>
                <m:t xml:space="preserve"> </m:t>
              </m:r>
              <m:r>
                <m:rPr>
                  <m:nor/>
                  <m:sty m:val="p"/>
                </m:rPr>
                <w:rPr>
                  <w:rFonts w:hint="default" w:ascii="Cambria Math" w:hAnsi="Cambria Math" w:cs="Times New Roman"/>
                  <w:b w:val="0"/>
                  <w:i w:val="0"/>
                  <w:iCs/>
                  <w:sz w:val="24"/>
                  <w:szCs w:val="24"/>
                </w:rPr>
                <m:t>t</m:t>
              </m:r>
              <m:ctrlPr>
                <w:rPr>
                  <w:rFonts w:hint="default" w:ascii="Cambria Math" w:hAnsi="Cambria Math" w:cs="Times New Roman"/>
                  <w:i w:val="0"/>
                  <w:iCs/>
                  <w:sz w:val="24"/>
                  <w:szCs w:val="24"/>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rPr>
              </m:ctrlPr>
            </m:sup>
          </m:sSubSup>
          <m:r>
            <m:rPr>
              <m:nor/>
              <m:sty m:val="p"/>
            </m:rPr>
            <w:rPr>
              <w:rFonts w:hint="default" w:ascii="Cambria Math" w:hAnsi="Cambria Math" w:cs="Times New Roman"/>
              <w:b w:val="0"/>
              <w:i w:val="0"/>
              <w:iCs/>
              <w:sz w:val="24"/>
              <w:szCs w:val="24"/>
              <w:lang w:val="en-US"/>
            </w:rPr>
            <m:t>=</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t>
              </m:r>
              <m:sSubSup>
                <m:sSubSupPr>
                  <m:ctrlPr>
                    <w:rPr>
                      <w:rFonts w:hint="default" w:ascii="Cambria Math" w:hAnsi="Cambria Math" w:cs="Times New Roman"/>
                      <w:i w:val="0"/>
                      <w:iCs/>
                      <w:sz w:val="24"/>
                      <w:szCs w:val="24"/>
                      <w:lang w:val="en-US"/>
                    </w:rPr>
                  </m:ctrlPr>
                </m:sSubSupPr>
                <m:e>
                  <m:r>
                    <m:rPr>
                      <m:nor/>
                      <m:sty m:val="p"/>
                    </m:rPr>
                    <w:rPr>
                      <w:rFonts w:hint="default" w:ascii="Cambria Math" w:hAnsi="Cambria Math" w:cs="Times New Roman"/>
                      <w:b w:val="0"/>
                      <w:i w:val="0"/>
                      <w:iCs/>
                      <w:sz w:val="24"/>
                      <w:szCs w:val="24"/>
                      <w:lang w:val="en-US"/>
                    </w:rPr>
                    <m:t>TI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lang w:val="en-US"/>
                    </w:rPr>
                  </m:ctrlPr>
                </m:sup>
              </m:sSubSup>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 xml:space="preserve">= </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max(∆</m:t>
              </m:r>
              <m:sSub>
                <m:sSubPr>
                  <m:ctrlPr>
                    <w:rPr>
                      <w:rFonts w:hint="default" w:ascii="Cambria Math" w:hAnsi="Cambria Math" w:cs="Times New Roman"/>
                      <w:i w:val="0"/>
                      <w:iCs/>
                      <w:sz w:val="24"/>
                      <w:szCs w:val="24"/>
                      <w:lang w:val="en-US"/>
                    </w:rPr>
                  </m:ctrlPr>
                </m:sSubPr>
                <m:e>
                  <m:r>
                    <m:rPr>
                      <m:nor/>
                      <m:sty m:val="p"/>
                    </m:rPr>
                    <w:rPr>
                      <w:rFonts w:hint="default" w:ascii="Cambria Math" w:hAnsi="Cambria Math" w:cs="Times New Roman"/>
                      <w:b w:val="0"/>
                      <w:i w:val="0"/>
                      <w:iCs/>
                      <w:sz w:val="24"/>
                      <w:szCs w:val="24"/>
                      <w:lang w:val="en-US"/>
                    </w:rPr>
                    <m:t>TI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Sub>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,0)</m:t>
          </m:r>
        </m:oMath>
      </m:oMathPara>
    </w:p>
    <w:p w14:paraId="0011C273">
      <w:pPr>
        <w:pStyle w:val="19"/>
        <w:ind w:left="720" w:leftChars="0"/>
        <w:jc w:val="both"/>
        <w:rPr>
          <w:rFonts w:hint="default" w:ascii="Times New Roman" w:hAnsi="Times New Roman" w:cs="Times New Roman"/>
          <w:i w:val="0"/>
          <w:iCs/>
          <w:sz w:val="24"/>
          <w:szCs w:val="24"/>
        </w:rPr>
      </w:pPr>
      <m:oMathPara>
        <m:oMathParaPr>
          <m:jc m:val="left"/>
        </m:oMathParaPr>
        <m:oMath>
          <m:sSubSup>
            <m:sSubSupPr>
              <m:ctrlPr>
                <w:rPr>
                  <w:rFonts w:hint="default" w:ascii="Cambria Math" w:hAnsi="Cambria Math" w:cs="Times New Roman"/>
                  <w:i w:val="0"/>
                  <w:iCs/>
                  <w:sz w:val="24"/>
                  <w:szCs w:val="24"/>
                </w:rPr>
              </m:ctrlPr>
            </m:sSubSupPr>
            <m:e>
              <m:r>
                <m:rPr>
                  <m:nor/>
                  <m:sty m:val="p"/>
                </m:rPr>
                <w:rPr>
                  <w:rFonts w:hint="default" w:ascii="Cambria Math" w:hAnsi="Cambria Math" w:cs="Times New Roman"/>
                  <w:b w:val="0"/>
                  <w:i w:val="0"/>
                  <w:iCs/>
                  <w:sz w:val="24"/>
                  <w:szCs w:val="24"/>
                  <w:lang w:val="en-US"/>
                </w:rPr>
                <m:t>T</m:t>
              </m:r>
              <m:r>
                <m:rPr>
                  <m:nor/>
                  <m:sty m:val="p"/>
                </m:rPr>
                <w:rPr>
                  <w:rFonts w:hint="default" w:ascii="Cambria Math" w:hAnsi="Cambria Math" w:cs="Times New Roman"/>
                  <w:b w:val="0"/>
                  <w:i w:val="0"/>
                  <w:iCs/>
                  <w:sz w:val="24"/>
                  <w:szCs w:val="24"/>
                </w:rPr>
                <m:t>I</m:t>
              </m:r>
              <m:ctrlPr>
                <w:rPr>
                  <w:rFonts w:hint="default" w:ascii="Cambria Math" w:hAnsi="Cambria Math" w:cs="Times New Roman"/>
                  <w:i w:val="0"/>
                  <w:iCs/>
                  <w:sz w:val="24"/>
                  <w:szCs w:val="24"/>
                </w:rPr>
              </m:ctrlPr>
            </m:e>
            <m:sub>
              <m:r>
                <m:rPr>
                  <m:nor/>
                  <m:sty m:val="p"/>
                </m:rPr>
                <w:rPr>
                  <w:rFonts w:hint="default" w:ascii="Cambria Math" w:hAnsi="Cambria Math" w:cs="Times New Roman"/>
                  <w:b w:val="0"/>
                  <w:i w:val="0"/>
                  <w:iCs/>
                  <w:sz w:val="24"/>
                  <w:szCs w:val="24"/>
                  <w:lang w:val="en-US"/>
                </w:rPr>
                <m:t xml:space="preserve"> </m:t>
              </m:r>
              <m:r>
                <m:rPr>
                  <m:nor/>
                  <m:sty m:val="p"/>
                </m:rPr>
                <w:rPr>
                  <w:rFonts w:hint="default" w:ascii="Cambria Math" w:hAnsi="Cambria Math" w:cs="Times New Roman"/>
                  <w:b w:val="0"/>
                  <w:i w:val="0"/>
                  <w:iCs/>
                  <w:sz w:val="24"/>
                  <w:szCs w:val="24"/>
                </w:rPr>
                <m:t>t</m:t>
              </m:r>
              <m:ctrlPr>
                <w:rPr>
                  <w:rFonts w:hint="default" w:ascii="Cambria Math" w:hAnsi="Cambria Math" w:cs="Times New Roman"/>
                  <w:i w:val="0"/>
                  <w:iCs/>
                  <w:sz w:val="24"/>
                  <w:szCs w:val="24"/>
                </w:rPr>
              </m:ctrlPr>
            </m:sub>
            <m:sup>
              <m:r>
                <m:rPr>
                  <m:nor/>
                  <m:sty m:val="p"/>
                </m:rPr>
                <w:rPr>
                  <w:rFonts w:hint="default" w:ascii="Cambria Math" w:hAnsi="Cambria Math" w:cs="Times New Roman"/>
                  <w:b w:val="0"/>
                  <w:i w:val="0"/>
                  <w:iCs/>
                  <w:sz w:val="24"/>
                  <w:szCs w:val="24"/>
                </w:rPr>
                <m:t>−</m:t>
              </m:r>
              <m:ctrlPr>
                <w:rPr>
                  <w:rFonts w:hint="default" w:ascii="Cambria Math" w:hAnsi="Cambria Math" w:cs="Times New Roman"/>
                  <w:i w:val="0"/>
                  <w:iCs/>
                  <w:sz w:val="24"/>
                  <w:szCs w:val="24"/>
                </w:rPr>
              </m:ctrlPr>
            </m:sup>
          </m:sSubSup>
          <m:r>
            <m:rPr>
              <m:nor/>
              <m:sty m:val="p"/>
            </m:rPr>
            <w:rPr>
              <w:rFonts w:hint="default" w:ascii="Cambria Math" w:hAnsi="Cambria Math" w:cs="Times New Roman"/>
              <w:b w:val="0"/>
              <w:i w:val="0"/>
              <w:iCs/>
              <w:sz w:val="24"/>
              <w:szCs w:val="24"/>
              <w:lang w:val="en-US"/>
            </w:rPr>
            <m:t>=</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t>
              </m:r>
              <m:sSubSup>
                <m:sSubSupPr>
                  <m:ctrlPr>
                    <w:rPr>
                      <w:rFonts w:hint="default" w:ascii="Cambria Math" w:hAnsi="Cambria Math" w:cs="Times New Roman"/>
                      <w:i w:val="0"/>
                      <w:iCs/>
                      <w:sz w:val="24"/>
                      <w:szCs w:val="24"/>
                      <w:lang w:val="en-US"/>
                    </w:rPr>
                  </m:ctrlPr>
                </m:sSubSupPr>
                <m:e>
                  <m:r>
                    <m:rPr>
                      <m:nor/>
                      <m:sty m:val="p"/>
                    </m:rPr>
                    <w:rPr>
                      <w:rFonts w:hint="default" w:ascii="Cambria Math" w:hAnsi="Cambria Math" w:cs="Times New Roman"/>
                      <w:b w:val="0"/>
                      <w:i w:val="0"/>
                      <w:iCs/>
                      <w:sz w:val="24"/>
                      <w:szCs w:val="24"/>
                      <w:lang w:val="en-US"/>
                    </w:rPr>
                    <m:t>TI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lang w:val="en-US"/>
                    </w:rPr>
                  </m:ctrlPr>
                </m:sup>
              </m:sSubSup>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 xml:space="preserve">= </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min(∆</m:t>
              </m:r>
              <m:sSub>
                <m:sSubPr>
                  <m:ctrlPr>
                    <w:rPr>
                      <w:rFonts w:hint="default" w:ascii="Cambria Math" w:hAnsi="Cambria Math" w:cs="Times New Roman"/>
                      <w:i w:val="0"/>
                      <w:iCs/>
                      <w:sz w:val="24"/>
                      <w:szCs w:val="24"/>
                      <w:lang w:val="en-US"/>
                    </w:rPr>
                  </m:ctrlPr>
                </m:sSubPr>
                <m:e>
                  <m:r>
                    <m:rPr>
                      <m:nor/>
                      <m:sty m:val="p"/>
                    </m:rPr>
                    <w:rPr>
                      <w:rFonts w:hint="default" w:ascii="Cambria Math" w:hAnsi="Cambria Math" w:cs="Times New Roman"/>
                      <w:b w:val="0"/>
                      <w:i w:val="0"/>
                      <w:iCs/>
                      <w:sz w:val="24"/>
                      <w:szCs w:val="24"/>
                      <w:lang w:val="en-US"/>
                    </w:rPr>
                    <m:t>TI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Sub>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,0)</m:t>
          </m:r>
        </m:oMath>
      </m:oMathPara>
    </w:p>
    <w:p w14:paraId="6EEEB077">
      <w:pPr>
        <w:pStyle w:val="19"/>
        <w:ind w:left="720" w:leftChars="0" w:firstLine="600" w:firstLineChars="250"/>
        <w:jc w:val="left"/>
        <w:rPr>
          <w:rFonts w:hint="default" w:ascii="Times New Roman" w:hAnsi="Times New Roman" w:cs="Times New Roman"/>
          <w:i w:val="0"/>
          <w:iCs/>
          <w:sz w:val="24"/>
          <w:szCs w:val="24"/>
        </w:rPr>
      </w:pPr>
      <m:oMathPara>
        <m:oMathParaPr>
          <m:jc m:val="left"/>
        </m:oMathParaPr>
        <m:oMath>
          <m:sSubSup>
            <m:sSubSupPr>
              <m:ctrlPr>
                <w:rPr>
                  <w:rFonts w:hint="default" w:ascii="Cambria Math" w:hAnsi="Cambria Math" w:cs="Times New Roman"/>
                  <w:i w:val="0"/>
                  <w:iCs/>
                  <w:sz w:val="24"/>
                  <w:szCs w:val="24"/>
                </w:rPr>
              </m:ctrlPr>
            </m:sSubSupPr>
            <m:e>
              <m:r>
                <m:rPr>
                  <m:nor/>
                  <m:sty m:val="p"/>
                </m:rPr>
                <w:rPr>
                  <w:rFonts w:hint="default" w:ascii="Cambria Math" w:hAnsi="Cambria Math" w:cs="Times New Roman"/>
                  <w:b w:val="0"/>
                  <w:i w:val="0"/>
                  <w:iCs/>
                  <w:sz w:val="24"/>
                  <w:szCs w:val="24"/>
                </w:rPr>
                <m:t>FI</m:t>
              </m:r>
              <m:ctrlPr>
                <w:rPr>
                  <w:rFonts w:hint="default" w:ascii="Cambria Math" w:hAnsi="Cambria Math" w:cs="Times New Roman"/>
                  <w:i w:val="0"/>
                  <w:iCs/>
                  <w:sz w:val="24"/>
                  <w:szCs w:val="24"/>
                </w:rPr>
              </m:ctrlPr>
            </m:e>
            <m:sub>
              <m:r>
                <m:rPr>
                  <m:nor/>
                  <m:sty m:val="p"/>
                </m:rPr>
                <w:rPr>
                  <w:rFonts w:hint="default" w:ascii="Cambria Math" w:hAnsi="Cambria Math" w:cs="Times New Roman"/>
                  <w:b w:val="0"/>
                  <w:i w:val="0"/>
                  <w:iCs/>
                  <w:sz w:val="24"/>
                  <w:szCs w:val="24"/>
                  <w:lang w:val="en-US"/>
                </w:rPr>
                <m:t xml:space="preserve"> </m:t>
              </m:r>
              <m:r>
                <m:rPr>
                  <m:nor/>
                  <m:sty m:val="p"/>
                </m:rPr>
                <w:rPr>
                  <w:rFonts w:hint="default" w:ascii="Cambria Math" w:hAnsi="Cambria Math" w:cs="Times New Roman"/>
                  <w:b w:val="0"/>
                  <w:i w:val="0"/>
                  <w:iCs/>
                  <w:sz w:val="24"/>
                  <w:szCs w:val="24"/>
                </w:rPr>
                <m:t>t</m:t>
              </m:r>
              <m:ctrlPr>
                <w:rPr>
                  <w:rFonts w:hint="default" w:ascii="Cambria Math" w:hAnsi="Cambria Math" w:cs="Times New Roman"/>
                  <w:i w:val="0"/>
                  <w:iCs/>
                  <w:sz w:val="24"/>
                  <w:szCs w:val="24"/>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rPr>
              </m:ctrlPr>
            </m:sup>
          </m:sSubSup>
          <m:r>
            <m:rPr>
              <m:nor/>
              <m:sty m:val="p"/>
            </m:rPr>
            <w:rPr>
              <w:rFonts w:hint="default" w:ascii="Cambria Math" w:hAnsi="Cambria Math" w:cs="Times New Roman"/>
              <w:b w:val="0"/>
              <w:i w:val="0"/>
              <w:iCs/>
              <w:sz w:val="24"/>
              <w:szCs w:val="24"/>
              <w:lang w:val="en-US"/>
            </w:rPr>
            <m:t>=</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t>
              </m:r>
              <m:sSubSup>
                <m:sSubSupPr>
                  <m:ctrlPr>
                    <w:rPr>
                      <w:rFonts w:hint="default" w:ascii="Cambria Math" w:hAnsi="Cambria Math" w:cs="Times New Roman"/>
                      <w:i w:val="0"/>
                      <w:iCs/>
                      <w:sz w:val="24"/>
                      <w:szCs w:val="24"/>
                      <w:lang w:val="en-US"/>
                    </w:rPr>
                  </m:ctrlPr>
                </m:sSubSupPr>
                <m:e>
                  <m:r>
                    <m:rPr>
                      <m:nor/>
                      <m:sty m:val="p"/>
                    </m:rPr>
                    <w:rPr>
                      <w:rFonts w:hint="default" w:ascii="Cambria Math" w:hAnsi="Cambria Math" w:cs="Times New Roman"/>
                      <w:b w:val="0"/>
                      <w:i w:val="0"/>
                      <w:iCs/>
                      <w:sz w:val="24"/>
                      <w:szCs w:val="24"/>
                      <w:lang w:val="en-US"/>
                    </w:rPr>
                    <m:t>FI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lang w:val="en-US"/>
                    </w:rPr>
                  </m:ctrlPr>
                </m:sup>
              </m:sSubSup>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 xml:space="preserve">= </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max(∆</m:t>
              </m:r>
              <m:sSub>
                <m:sSubPr>
                  <m:ctrlPr>
                    <w:rPr>
                      <w:rFonts w:hint="default" w:ascii="Cambria Math" w:hAnsi="Cambria Math" w:cs="Times New Roman"/>
                      <w:i w:val="0"/>
                      <w:iCs/>
                      <w:sz w:val="24"/>
                      <w:szCs w:val="24"/>
                      <w:lang w:val="en-US"/>
                    </w:rPr>
                  </m:ctrlPr>
                </m:sSubPr>
                <m:e>
                  <m:r>
                    <m:rPr>
                      <m:nor/>
                      <m:sty m:val="p"/>
                    </m:rPr>
                    <w:rPr>
                      <w:rFonts w:hint="default" w:ascii="Cambria Math" w:hAnsi="Cambria Math" w:cs="Times New Roman"/>
                      <w:b w:val="0"/>
                      <w:i w:val="0"/>
                      <w:iCs/>
                      <w:sz w:val="24"/>
                      <w:szCs w:val="24"/>
                      <w:lang w:val="en-US"/>
                    </w:rPr>
                    <m:t>FI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Sub>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,0)</m:t>
          </m:r>
        </m:oMath>
      </m:oMathPara>
    </w:p>
    <w:p w14:paraId="2B6CD646">
      <w:pPr>
        <w:pStyle w:val="19"/>
        <w:ind w:left="720" w:leftChars="0"/>
        <w:jc w:val="left"/>
        <w:rPr>
          <w:rFonts w:hint="default" w:hAnsi="Cambria Math" w:cs="Times New Roman"/>
          <w:b w:val="0"/>
          <w:i w:val="0"/>
          <w:iCs/>
          <w:sz w:val="24"/>
          <w:szCs w:val="24"/>
          <w:lang w:val="en-US"/>
        </w:rPr>
      </w:pPr>
      <m:oMathPara>
        <m:oMathParaPr>
          <m:jc m:val="left"/>
        </m:oMathParaPr>
        <m:oMath>
          <m:sSubSup>
            <m:sSubSupPr>
              <m:ctrlPr>
                <w:rPr>
                  <w:rFonts w:hint="default" w:ascii="Cambria Math" w:hAnsi="Cambria Math" w:cs="Times New Roman"/>
                  <w:i w:val="0"/>
                  <w:iCs/>
                  <w:sz w:val="24"/>
                  <w:szCs w:val="24"/>
                </w:rPr>
              </m:ctrlPr>
            </m:sSubSupPr>
            <m:e>
              <m:r>
                <m:rPr>
                  <m:nor/>
                  <m:sty m:val="p"/>
                </m:rPr>
                <w:rPr>
                  <w:rFonts w:hint="default" w:ascii="Cambria Math" w:hAnsi="Cambria Math" w:cs="Times New Roman"/>
                  <w:b w:val="0"/>
                  <w:i w:val="0"/>
                  <w:iCs/>
                  <w:sz w:val="24"/>
                  <w:szCs w:val="24"/>
                </w:rPr>
                <m:t>FI</m:t>
              </m:r>
              <m:ctrlPr>
                <w:rPr>
                  <w:rFonts w:hint="default" w:ascii="Cambria Math" w:hAnsi="Cambria Math" w:cs="Times New Roman"/>
                  <w:i w:val="0"/>
                  <w:iCs/>
                  <w:sz w:val="24"/>
                  <w:szCs w:val="24"/>
                </w:rPr>
              </m:ctrlPr>
            </m:e>
            <m:sub>
              <m:r>
                <m:rPr>
                  <m:nor/>
                  <m:sty m:val="p"/>
                </m:rPr>
                <w:rPr>
                  <w:rFonts w:hint="default" w:ascii="Cambria Math" w:hAnsi="Cambria Math" w:cs="Times New Roman"/>
                  <w:b w:val="0"/>
                  <w:i w:val="0"/>
                  <w:iCs/>
                  <w:sz w:val="24"/>
                  <w:szCs w:val="24"/>
                  <w:lang w:val="en-US"/>
                </w:rPr>
                <m:t xml:space="preserve"> </m:t>
              </m:r>
              <m:r>
                <m:rPr>
                  <m:nor/>
                  <m:sty m:val="p"/>
                </m:rPr>
                <w:rPr>
                  <w:rFonts w:hint="default" w:ascii="Cambria Math" w:hAnsi="Cambria Math" w:cs="Times New Roman"/>
                  <w:b w:val="0"/>
                  <w:i w:val="0"/>
                  <w:iCs/>
                  <w:sz w:val="24"/>
                  <w:szCs w:val="24"/>
                </w:rPr>
                <m:t>t</m:t>
              </m:r>
              <m:ctrlPr>
                <w:rPr>
                  <w:rFonts w:hint="default" w:ascii="Cambria Math" w:hAnsi="Cambria Math" w:cs="Times New Roman"/>
                  <w:i w:val="0"/>
                  <w:iCs/>
                  <w:sz w:val="24"/>
                  <w:szCs w:val="24"/>
                </w:rPr>
              </m:ctrlPr>
            </m:sub>
            <m:sup>
              <m:r>
                <m:rPr>
                  <m:nor/>
                  <m:sty m:val="p"/>
                </m:rPr>
                <w:rPr>
                  <w:rFonts w:hint="default" w:ascii="Cambria Math" w:hAnsi="Cambria Math" w:cs="Times New Roman"/>
                  <w:b w:val="0"/>
                  <w:i w:val="0"/>
                  <w:iCs/>
                  <w:sz w:val="24"/>
                  <w:szCs w:val="24"/>
                </w:rPr>
                <m:t>−</m:t>
              </m:r>
              <m:ctrlPr>
                <w:rPr>
                  <w:rFonts w:hint="default" w:ascii="Cambria Math" w:hAnsi="Cambria Math" w:cs="Times New Roman"/>
                  <w:i w:val="0"/>
                  <w:iCs/>
                  <w:sz w:val="24"/>
                  <w:szCs w:val="24"/>
                </w:rPr>
              </m:ctrlPr>
            </m:sup>
          </m:sSubSup>
          <m:r>
            <m:rPr>
              <m:nor/>
              <m:sty m:val="p"/>
            </m:rPr>
            <w:rPr>
              <w:rFonts w:hint="default" w:ascii="Cambria Math" w:hAnsi="Cambria Math" w:cs="Times New Roman"/>
              <w:b w:val="0"/>
              <w:i w:val="0"/>
              <w:iCs/>
              <w:sz w:val="24"/>
              <w:szCs w:val="24"/>
              <w:lang w:val="en-US"/>
            </w:rPr>
            <m:t>=</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t>
              </m:r>
              <m:sSubSup>
                <m:sSubSupPr>
                  <m:ctrlPr>
                    <w:rPr>
                      <w:rFonts w:hint="default" w:ascii="Cambria Math" w:hAnsi="Cambria Math" w:cs="Times New Roman"/>
                      <w:i w:val="0"/>
                      <w:iCs/>
                      <w:sz w:val="24"/>
                      <w:szCs w:val="24"/>
                      <w:lang w:val="en-US"/>
                    </w:rPr>
                  </m:ctrlPr>
                </m:sSubSupPr>
                <m:e>
                  <m:r>
                    <m:rPr>
                      <m:nor/>
                      <m:sty m:val="p"/>
                    </m:rPr>
                    <w:rPr>
                      <w:rFonts w:hint="default" w:ascii="Cambria Math" w:hAnsi="Cambria Math" w:cs="Times New Roman"/>
                      <w:b w:val="0"/>
                      <w:i w:val="0"/>
                      <w:iCs/>
                      <w:sz w:val="24"/>
                      <w:szCs w:val="24"/>
                      <w:lang w:val="en-US"/>
                    </w:rPr>
                    <m:t>FI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m:t>
                  </m:r>
                  <m:ctrlPr>
                    <w:rPr>
                      <w:rFonts w:hint="default" w:ascii="Cambria Math" w:hAnsi="Cambria Math" w:cs="Times New Roman"/>
                      <w:i w:val="0"/>
                      <w:iCs/>
                      <w:sz w:val="24"/>
                      <w:szCs w:val="24"/>
                      <w:lang w:val="en-US"/>
                    </w:rPr>
                  </m:ctrlPr>
                </m:sup>
              </m:sSubSup>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 xml:space="preserve">= </m:t>
          </m:r>
          <m:nary>
            <m:naryPr>
              <m:chr m:val="∑"/>
              <m:limLoc m:val="undOvr"/>
              <m:ctrlPr>
                <w:rPr>
                  <w:rFonts w:hint="default" w:ascii="Cambria Math" w:hAnsi="Cambria Math" w:cs="Times New Roman"/>
                  <w:i w:val="0"/>
                  <w:iCs/>
                  <w:sz w:val="24"/>
                  <w:szCs w:val="24"/>
                  <w:lang w:val="en-US"/>
                </w:rPr>
              </m:ctrlPr>
            </m:naryPr>
            <m:sub>
              <m:r>
                <m:rPr>
                  <m:nor/>
                  <m:sty m:val="p"/>
                </m:rPr>
                <w:rPr>
                  <w:rFonts w:hint="default" w:ascii="Cambria Math" w:hAnsi="Cambria Math" w:cs="Times New Roman"/>
                  <w:b w:val="0"/>
                  <w:i w:val="0"/>
                  <w:iCs/>
                  <w:sz w:val="24"/>
                  <w:szCs w:val="24"/>
                  <w:lang w:val="en-US"/>
                </w:rPr>
                <m:t>j=1</m:t>
              </m:r>
              <m:ctrlPr>
                <w:rPr>
                  <w:rFonts w:hint="default" w:ascii="Cambria Math" w:hAnsi="Cambria Math" w:cs="Times New Roman"/>
                  <w:i w:val="0"/>
                  <w:iCs/>
                  <w:sz w:val="24"/>
                  <w:szCs w:val="24"/>
                  <w:lang w:val="en-US"/>
                </w:rPr>
              </m:ctrlPr>
            </m:sub>
            <m:sup>
              <m:r>
                <m:rPr>
                  <m:nor/>
                  <m:sty m:val="p"/>
                </m:rPr>
                <w:rPr>
                  <w:rFonts w:hint="default" w:ascii="Cambria Math" w:hAnsi="Cambria Math" w:cs="Times New Roman"/>
                  <w:b w:val="0"/>
                  <w:i w:val="0"/>
                  <w:iCs/>
                  <w:sz w:val="24"/>
                  <w:szCs w:val="24"/>
                  <w:lang w:val="en-US"/>
                </w:rPr>
                <m:t>t</m:t>
              </m:r>
              <m:ctrlPr>
                <w:rPr>
                  <w:rFonts w:hint="default" w:ascii="Cambria Math" w:hAnsi="Cambria Math" w:cs="Times New Roman"/>
                  <w:i w:val="0"/>
                  <w:iCs/>
                  <w:sz w:val="24"/>
                  <w:szCs w:val="24"/>
                  <w:lang w:val="en-US"/>
                </w:rPr>
              </m:ctrlPr>
            </m:sup>
            <m:e>
              <m:r>
                <m:rPr>
                  <m:nor/>
                  <m:sty m:val="p"/>
                </m:rPr>
                <w:rPr>
                  <w:rFonts w:hint="default" w:ascii="Cambria Math" w:hAnsi="Cambria Math" w:cs="Times New Roman"/>
                  <w:b w:val="0"/>
                  <w:i w:val="0"/>
                  <w:iCs/>
                  <w:sz w:val="24"/>
                  <w:szCs w:val="24"/>
                  <w:lang w:val="en-US"/>
                </w:rPr>
                <m:t>min(∆</m:t>
              </m:r>
              <m:sSub>
                <m:sSubPr>
                  <m:ctrlPr>
                    <w:rPr>
                      <w:rFonts w:hint="default" w:ascii="Cambria Math" w:hAnsi="Cambria Math" w:cs="Times New Roman"/>
                      <w:i w:val="0"/>
                      <w:iCs/>
                      <w:sz w:val="24"/>
                      <w:szCs w:val="24"/>
                      <w:lang w:val="en-US"/>
                    </w:rPr>
                  </m:ctrlPr>
                </m:sSubPr>
                <m:e>
                  <m:r>
                    <m:rPr>
                      <m:nor/>
                      <m:sty m:val="p"/>
                    </m:rPr>
                    <w:rPr>
                      <w:rFonts w:hint="default" w:ascii="Cambria Math" w:hAnsi="Cambria Math" w:cs="Times New Roman"/>
                      <w:b w:val="0"/>
                      <w:i w:val="0"/>
                      <w:iCs/>
                      <w:sz w:val="24"/>
                      <w:szCs w:val="24"/>
                      <w:lang w:val="en-US"/>
                    </w:rPr>
                    <m:t>FI</m:t>
                  </m:r>
                  <m:ctrlPr>
                    <w:rPr>
                      <w:rFonts w:hint="default" w:ascii="Cambria Math" w:hAnsi="Cambria Math" w:cs="Times New Roman"/>
                      <w:i w:val="0"/>
                      <w:iCs/>
                      <w:sz w:val="24"/>
                      <w:szCs w:val="24"/>
                      <w:lang w:val="en-US"/>
                    </w:rPr>
                  </m:ctrlPr>
                </m:e>
                <m:sub>
                  <m:r>
                    <m:rPr>
                      <m:nor/>
                      <m:sty m:val="p"/>
                    </m:rPr>
                    <w:rPr>
                      <w:rFonts w:hint="default" w:ascii="Cambria Math" w:hAnsi="Cambria Math" w:cs="Times New Roman"/>
                      <w:b w:val="0"/>
                      <w:i w:val="0"/>
                      <w:iCs/>
                      <w:sz w:val="24"/>
                      <w:szCs w:val="24"/>
                      <w:lang w:val="en-US"/>
                    </w:rPr>
                    <m:t>j</m:t>
                  </m:r>
                  <m:ctrlPr>
                    <w:rPr>
                      <w:rFonts w:hint="default" w:ascii="Cambria Math" w:hAnsi="Cambria Math" w:cs="Times New Roman"/>
                      <w:i w:val="0"/>
                      <w:iCs/>
                      <w:sz w:val="24"/>
                      <w:szCs w:val="24"/>
                      <w:lang w:val="en-US"/>
                    </w:rPr>
                  </m:ctrlPr>
                </m:sub>
              </m:sSub>
              <m:ctrlPr>
                <w:rPr>
                  <w:rFonts w:hint="default" w:ascii="Cambria Math" w:hAnsi="Cambria Math" w:cs="Times New Roman"/>
                  <w:i w:val="0"/>
                  <w:iCs/>
                  <w:sz w:val="24"/>
                  <w:szCs w:val="24"/>
                  <w:lang w:val="en-US"/>
                </w:rPr>
              </m:ctrlPr>
            </m:e>
          </m:nary>
          <m:r>
            <m:rPr>
              <m:nor/>
              <m:sty m:val="p"/>
            </m:rPr>
            <w:rPr>
              <w:rFonts w:hint="default" w:ascii="Cambria Math" w:hAnsi="Cambria Math" w:cs="Times New Roman"/>
              <w:b w:val="0"/>
              <w:i w:val="0"/>
              <w:iCs/>
              <w:sz w:val="24"/>
              <w:szCs w:val="24"/>
              <w:lang w:val="en-US"/>
            </w:rPr>
            <m:t>,0)</m:t>
          </m:r>
        </m:oMath>
      </m:oMathPara>
    </w:p>
    <w:p w14:paraId="5C1DB199">
      <w:pPr>
        <w:pStyle w:val="19"/>
        <w:ind w:left="720" w:leftChars="0"/>
        <w:jc w:val="left"/>
        <w:rPr>
          <w:rFonts w:hint="default" w:hAnsi="Cambria Math" w:cs="Times New Roman"/>
          <w:b w:val="0"/>
          <w:i w:val="0"/>
          <w:sz w:val="24"/>
          <w:szCs w:val="24"/>
          <w:lang w:val="en-US"/>
        </w:rPr>
      </w:pPr>
    </w:p>
    <w:p w14:paraId="242579CC">
      <w:pPr>
        <w:pStyle w:val="19"/>
        <w:ind w:left="0" w:leftChars="0"/>
        <w:jc w:val="both"/>
        <w:rPr>
          <w:rFonts w:hint="default" w:ascii="Times New Roman" w:hAnsi="Times New Roman" w:cs="Times New Roman"/>
          <w:b w:val="0"/>
          <w:i w:val="0"/>
          <w:sz w:val="24"/>
          <w:szCs w:val="24"/>
          <w:lang w:val="en-US"/>
        </w:rPr>
      </w:pPr>
      <w:r>
        <w:rPr>
          <w:rFonts w:hint="default" w:ascii="Times New Roman" w:hAnsi="Times New Roman" w:cs="Times New Roman"/>
          <w:b w:val="0"/>
          <w:i w:val="0"/>
          <w:sz w:val="24"/>
          <w:szCs w:val="24"/>
          <w:lang w:val="en-US"/>
        </w:rPr>
        <w:t>The model checks an occurrence of non linear dynamics, or the relation might differ when the variable increases and when the variable declines. The lagged differences of the variables represents short-run impacts whereas the long-run elements are the coefficient of the relationship in equilibrium with time. The term of error correction reflects how fast the system reaches a back to the state of equilibrium whenever it is in a state of temporary disturbances. The structure allows one to have a sophisticated idea of the degree to which digitization and finalization in any country (or in any combination of times and countries) help or stall the progress on the achievement of SDG 2.</w:t>
      </w:r>
    </w:p>
    <w:p w14:paraId="3C696005">
      <w:pPr>
        <w:pStyle w:val="19"/>
        <w:ind w:left="0" w:leftChars="0"/>
        <w:jc w:val="both"/>
        <w:rPr>
          <w:rFonts w:hint="default" w:ascii="Times New Roman" w:hAnsi="Times New Roman" w:cs="Times New Roman"/>
          <w:b w:val="0"/>
          <w:i w:val="0"/>
          <w:sz w:val="24"/>
          <w:szCs w:val="24"/>
          <w:lang w:val="en-US"/>
        </w:rPr>
      </w:pPr>
    </w:p>
    <w:p w14:paraId="5BC25AB7">
      <w:pPr>
        <w:pStyle w:val="19"/>
        <w:ind w:left="0" w:leftChars="0"/>
        <w:jc w:val="both"/>
        <w:rPr>
          <w:rFonts w:hint="default" w:ascii="Times New Roman" w:hAnsi="Times New Roman" w:cs="Times New Roman"/>
          <w:b w:val="0"/>
          <w:i w:val="0"/>
          <w:sz w:val="24"/>
          <w:szCs w:val="24"/>
          <w:lang w:val="en-US"/>
        </w:rPr>
      </w:pPr>
      <w:r>
        <w:rPr>
          <w:rFonts w:hint="default" w:ascii="Times New Roman" w:hAnsi="Times New Roman"/>
          <w:b w:val="0"/>
          <w:i w:val="0"/>
          <w:sz w:val="24"/>
          <w:szCs w:val="24"/>
          <w:lang w:val="en-US"/>
        </w:rPr>
        <w:t>The model to assess the effect of identical variables of DP, TI, and FI on the outcomes of Zero Hunger. In this case, the model will as well comprise positive and negative decomposition of every explanatory variable, where the uneven shocks or trends across the digital and financial sectors might have dissimilar effects on hunger-reduction.</w:t>
      </w:r>
    </w:p>
    <w:p w14:paraId="5D34F2D9">
      <w:pPr>
        <w:pStyle w:val="19"/>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xml:space="preserve"> </w:t>
      </w:r>
    </w:p>
    <w:p w14:paraId="0AB4D5F1">
      <w:pPr>
        <w:pStyle w:val="19"/>
        <w:ind w:left="0" w:leftChars="0" w:firstLine="0" w:firstLineChars="0"/>
        <w:jc w:val="both"/>
        <w:rPr>
          <w:rFonts w:ascii="Times New Roman" w:hAnsi="Times New Roman" w:eastAsia="Times New Roman" w:cs="Times New Roman"/>
          <w:b/>
          <w:bCs/>
          <w:sz w:val="24"/>
          <w:szCs w:val="24"/>
        </w:rPr>
      </w:pPr>
      <w:r>
        <w:rPr>
          <w:rFonts w:ascii="Times New Roman" w:hAnsi="Times New Roman" w:cs="Times New Roman"/>
          <w:b/>
          <w:bCs/>
          <w:sz w:val="24"/>
          <w:szCs w:val="24"/>
          <w:u w:val="single"/>
        </w:rPr>
        <w:t xml:space="preserve">Nonlinear ARDL Equation by </w:t>
      </w:r>
      <w:r>
        <w:rPr>
          <w:rFonts w:ascii="Times New Roman" w:hAnsi="Times New Roman" w:cs="Times New Roman"/>
          <w:b/>
          <w:bCs/>
          <w:color w:val="auto"/>
          <w:sz w:val="24"/>
          <w:szCs w:val="24"/>
          <w:u w:val="single"/>
        </w:rPr>
        <w:t>,</w:t>
      </w:r>
      <w:r>
        <w:rPr>
          <w:rFonts w:ascii="Times New Roman" w:hAnsi="Times New Roman" w:cs="Times New Roman"/>
          <w:b/>
          <w:bCs/>
          <w:color w:val="auto"/>
          <w:sz w:val="24"/>
          <w:szCs w:val="24"/>
          <w:u w:val="single"/>
          <w:lang w:val="en-US"/>
        </w:rPr>
        <w:t xml:space="preserve"> </w:t>
      </w:r>
      <w:r>
        <w:rPr>
          <w:rFonts w:ascii="Times New Roman" w:hAnsi="Times New Roman" w:cs="Times New Roman"/>
          <w:b/>
          <w:bCs/>
          <w:color w:val="auto"/>
          <w:sz w:val="24"/>
          <w:szCs w:val="24"/>
          <w:u w:val="single"/>
          <w:lang w:val="en-US"/>
        </w:rPr>
        <w:fldChar w:fldCharType="begin"/>
      </w:r>
      <w:r>
        <w:rPr>
          <w:rFonts w:ascii="Times New Roman" w:hAnsi="Times New Roman" w:cs="Times New Roman"/>
          <w:b/>
          <w:bCs/>
          <w:color w:val="auto"/>
          <w:sz w:val="24"/>
          <w:szCs w:val="24"/>
          <w:u w:val="single"/>
          <w:lang w:val="en-US"/>
        </w:rPr>
        <w:instrText xml:space="preserve"> ADDIN EN.CITE &lt;EndNote&gt;&lt;Cite AuthorYear="1"&gt;&lt;Author&gt;Jin&lt;/Author&gt;&lt;Year&gt;2022&lt;/Year&gt;&lt;RecNum&gt;111&lt;/RecNum&gt;&lt;DisplayText&gt;Jin, Shahzad et al. (2022)&lt;/DisplayText&gt;&lt;record&gt;&lt;rec-number&gt;111&lt;/rec-number&gt;&lt;foreign-keys&gt;&lt;key app="EN" db-id="2t52ftddjzwsxoerapx5vrxm2fdzpaza5sva" timestamp="1752850907"&gt;111&lt;/key&gt;&lt;/foreign-keys&gt;&lt;ref-type name="Journal Article"&gt;17&lt;/ref-type&gt;&lt;contributors&gt;&lt;authors&gt;&lt;author&gt;Jin, Cheng&lt;/author&gt;&lt;author&gt;Shahzad, Mohsin&lt;/author&gt;&lt;author&gt;Ullah Zafar, Abaid&lt;/author&gt;&lt;author&gt;Suki, Norazah Mohd&lt;/author&gt;&lt;/authors&gt;&lt;/contributors&gt;&lt;titles&gt;&lt;title&gt;Socio-economic and environmental drivers of green innovation: evidence from nonlinear ARDL&lt;/title&gt;&lt;secondary-title&gt;Economic research-Ekonomska istraživanja&lt;/secondary-title&gt;&lt;/titles&gt;&lt;periodical&gt;&lt;full-title&gt;Economic research-Ekonomska istraživanja&lt;/full-title&gt;&lt;/periodical&gt;&lt;pages&gt;5336-5356&lt;/pages&gt;&lt;volume&gt;35&lt;/volume&gt;&lt;number&gt;1&lt;/number&gt;&lt;dates&gt;&lt;year&gt;2022&lt;/year&gt;&lt;/dates&gt;&lt;isbn&gt;1331-677X&lt;/isbn&gt;&lt;urls&gt;&lt;/urls&gt;&lt;/record&gt;&lt;/Cite&gt;&lt;/EndNote&gt;</w:instrText>
      </w:r>
      <w:r>
        <w:rPr>
          <w:rFonts w:ascii="Times New Roman" w:hAnsi="Times New Roman" w:cs="Times New Roman"/>
          <w:b/>
          <w:bCs/>
          <w:color w:val="auto"/>
          <w:sz w:val="24"/>
          <w:szCs w:val="24"/>
          <w:u w:val="single"/>
          <w:lang w:val="en-US"/>
        </w:rPr>
        <w:fldChar w:fldCharType="separate"/>
      </w:r>
      <w:r>
        <w:rPr>
          <w:rFonts w:ascii="Times New Roman" w:hAnsi="Times New Roman" w:cs="Times New Roman" w:eastAsiaTheme="minorHAnsi"/>
          <w:b/>
          <w:bCs/>
          <w:color w:val="auto"/>
          <w:sz w:val="24"/>
          <w:szCs w:val="24"/>
          <w:u w:val="single"/>
          <w:lang w:val="en-US" w:eastAsia="en-US" w:bidi="ar-SA"/>
        </w:rPr>
        <w:t>Jin, Shahzad et al. (2022)</w:t>
      </w:r>
      <w:r>
        <w:rPr>
          <w:rFonts w:ascii="Times New Roman" w:hAnsi="Times New Roman" w:cs="Times New Roman"/>
          <w:b/>
          <w:bCs/>
          <w:color w:val="auto"/>
          <w:sz w:val="24"/>
          <w:szCs w:val="24"/>
          <w:u w:val="single"/>
          <w:lang w:val="en-US"/>
        </w:rPr>
        <w:fldChar w:fldCharType="end"/>
      </w:r>
      <w:r>
        <w:rPr>
          <w:rFonts w:ascii="Times New Roman" w:hAnsi="Times New Roman" w:cs="Times New Roman"/>
          <w:b/>
          <w:bCs/>
          <w:color w:val="auto"/>
          <w:sz w:val="24"/>
          <w:szCs w:val="24"/>
          <w:u w:val="single"/>
        </w:rPr>
        <w:t xml:space="preserve"> </w:t>
      </w:r>
      <w:r>
        <w:rPr>
          <w:rFonts w:ascii="Times New Roman" w:hAnsi="Times New Roman" w:cs="Times New Roman"/>
          <w:b/>
          <w:bCs/>
          <w:sz w:val="24"/>
          <w:szCs w:val="24"/>
          <w:u w:val="single"/>
        </w:rPr>
        <w:t xml:space="preserve"> </w:t>
      </w:r>
      <w:r>
        <w:rPr>
          <w:rFonts w:hint="default" w:ascii="Times New Roman" w:hAnsi="Times New Roman" w:cs="Times New Roman"/>
          <w:b/>
          <w:bCs/>
          <w:sz w:val="24"/>
          <w:szCs w:val="24"/>
          <w:u w:val="single"/>
          <w:lang w:val="en-US"/>
        </w:rPr>
        <w:t>for SDG 9</w:t>
      </w:r>
      <w:r>
        <w:rPr>
          <w:rFonts w:ascii="Times New Roman" w:hAnsi="Times New Roman" w:cs="Times New Roman"/>
          <w:b/>
          <w:bCs/>
          <w:sz w:val="24"/>
          <w:szCs w:val="24"/>
          <w:u w:val="single"/>
        </w:rPr>
        <w:t>:</w:t>
      </w:r>
    </w:p>
    <w:p w14:paraId="11EEC6FB">
      <w:pPr>
        <w:pStyle w:val="19"/>
        <w:jc w:val="both"/>
        <w:rPr>
          <w:rFonts w:ascii="Times New Roman" w:hAnsi="Times New Roman" w:eastAsia="Times New Roman" w:cs="Times New Roman"/>
          <w:sz w:val="24"/>
          <w:szCs w:val="24"/>
        </w:rPr>
      </w:pPr>
    </w:p>
    <w:p w14:paraId="7B9E3F34">
      <w:pPr>
        <w:pStyle w:val="19"/>
        <w:spacing w:line="240" w:lineRule="auto"/>
        <w:ind w:left="0" w:leftChars="0"/>
        <w:jc w:val="left"/>
        <w:rPr>
          <w:rFonts w:hAnsi="Cambria Math" w:cs="Times New Roman"/>
          <w:i w:val="0"/>
          <w:iCs/>
          <w:sz w:val="24"/>
          <w:szCs w:val="24"/>
        </w:rPr>
      </w:pPr>
      <m:oMathPara>
        <m:oMathParaPr>
          <m:jc m:val="left"/>
        </m:oMathParaPr>
        <m:oMath>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II</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r>
            <m:rPr/>
            <w:rPr>
              <w:rFonts w:ascii="Cambria Math" w:hAnsi="Cambria Math" w:cs="Times New Roman"/>
              <w:sz w:val="24"/>
              <w:szCs w:val="24"/>
            </w:rPr>
            <m:t>=</m:t>
          </m:r>
          <m:sSub>
            <m:sSubPr>
              <m:ctrlPr>
                <w:rPr>
                  <w:rFonts w:ascii="Cambria Math" w:hAnsi="Cambria Math" w:cs="Times New Roman"/>
                  <w:i w:val="0"/>
                  <w:iCs/>
                  <w:sz w:val="24"/>
                  <w:szCs w:val="24"/>
                </w:rPr>
              </m:ctrlPr>
            </m:sSubPr>
            <m:e>
              <m:r>
                <m:rPr>
                  <m:sty m:val="p"/>
                </m:rPr>
                <w:rPr>
                  <w:rFonts w:hint="default" w:ascii="Cambria Math" w:hAnsi="Cambria Math" w:cs="Times New Roman"/>
                  <w:sz w:val="24"/>
                  <w:szCs w:val="24"/>
                </w:rPr>
                <m:t xml:space="preserve"> α</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m:t>
              </m:r>
              <m:ctrlPr>
                <w:rPr>
                  <w:rFonts w:ascii="Cambria Math" w:hAnsi="Cambria Math" w:cs="Times New Roman"/>
                  <w:i w:val="0"/>
                  <w:iCs/>
                  <w:sz w:val="24"/>
                  <w:szCs w:val="24"/>
                </w:rPr>
              </m:ctrlPr>
            </m:sub>
          </m:sSub>
          <m:r>
            <m:rPr>
              <m:sty m:val="p"/>
            </m:rPr>
            <w:rPr>
              <w:rFonts w:ascii="Cambria Math" w:hAnsi="Cambria Math" w:cs="Times New Roman"/>
              <w:sz w:val="24"/>
              <w:szCs w:val="24"/>
            </w:rPr>
            <m:t>+</m:t>
          </m:r>
          <m:nary>
            <m:naryPr>
              <m:chr m:val="∑"/>
              <m:limLoc m:val="undOvr"/>
              <m:ctrlPr>
                <w:rPr>
                  <w:rFonts w:ascii="Cambria Math" w:hAnsi="Cambria Math" w:cs="Times New Roman"/>
                  <w:i w:val="0"/>
                  <w:iCs/>
                  <w:sz w:val="24"/>
                  <w:szCs w:val="24"/>
                </w:rPr>
              </m:ctrlPr>
            </m:naryPr>
            <m:sub>
              <m:r>
                <m:rPr>
                  <m:sty m:val="p"/>
                </m:rPr>
                <w:rPr>
                  <w:rFonts w:hint="default" w:ascii="Cambria Math" w:hAnsi="Cambria Math" w:cs="Times New Roman"/>
                  <w:sz w:val="24"/>
                  <w:szCs w:val="24"/>
                </w:rPr>
                <m:t>j−1</m:t>
              </m:r>
              <m:ctrlPr>
                <w:rPr>
                  <w:rFonts w:ascii="Cambria Math" w:hAnsi="Cambria Math" w:cs="Times New Roman"/>
                  <w:i w:val="0"/>
                  <w:iCs/>
                  <w:sz w:val="24"/>
                  <w:szCs w:val="24"/>
                </w:rPr>
              </m:ctrlPr>
            </m:sub>
            <m:sup>
              <m:r>
                <m:rPr>
                  <m:sty m:val="p"/>
                </m:rPr>
                <w:rPr>
                  <w:rFonts w:hint="default" w:ascii="Cambria Math" w:hAnsi="Cambria Math" w:cs="Times New Roman"/>
                  <w:sz w:val="24"/>
                  <w:szCs w:val="24"/>
                </w:rPr>
                <m:t>p</m:t>
              </m:r>
              <m:ctrlPr>
                <w:rPr>
                  <w:rFonts w:ascii="Cambria Math" w:hAnsi="Cambria Math" w:cs="Times New Roman"/>
                  <w:i w:val="0"/>
                  <w:iCs/>
                  <w:sz w:val="24"/>
                  <w:szCs w:val="24"/>
                </w:rPr>
              </m:ctrlPr>
            </m:sup>
            <m:e>
              <m:sSub>
                <m:sSubPr>
                  <m:ctrlPr>
                    <w:rPr>
                      <w:rFonts w:ascii="Cambria Math" w:hAnsi="Cambria Math" w:cs="Times New Roman"/>
                      <w:i w:val="0"/>
                      <w:iCs/>
                      <w:sz w:val="24"/>
                      <w:szCs w:val="24"/>
                    </w:rPr>
                  </m:ctrlPr>
                </m:sSubPr>
                <m:e>
                  <m:r>
                    <m:rPr>
                      <m:sty m:val="p"/>
                    </m:rPr>
                    <w:rPr>
                      <w:rFonts w:ascii="Cambria Math" w:hAnsi="Cambria Math" w:cs="Times New Roman"/>
                      <w:sz w:val="24"/>
                      <w:szCs w:val="24"/>
                    </w:rPr>
                    <m:t>∅</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m:t>
                  </m:r>
                  <m:ctrlPr>
                    <w:rPr>
                      <w:rFonts w:ascii="Cambria Math" w:hAnsi="Cambria Math" w:cs="Times New Roman"/>
                      <w:i w:val="0"/>
                      <w:iCs/>
                      <w:sz w:val="24"/>
                      <w:szCs w:val="24"/>
                    </w:rPr>
                  </m:ctrlPr>
                </m:sub>
              </m:sSub>
              <m:ctrlPr>
                <w:rPr>
                  <w:rFonts w:ascii="Cambria Math" w:hAnsi="Cambria Math" w:cs="Times New Roman"/>
                  <w:i w:val="0"/>
                  <w:iCs/>
                  <w:sz w:val="24"/>
                  <w:szCs w:val="24"/>
                </w:rPr>
              </m:ctrlPr>
            </m:e>
          </m:nary>
          <m:sSub>
            <m:sSubPr>
              <m:ctrlPr>
                <w:rPr>
                  <w:rFonts w:ascii="Cambria Math" w:hAnsi="Cambria Math" w:cs="Times New Roman"/>
                  <w:i w:val="0"/>
                  <w:iCs/>
                  <w:sz w:val="24"/>
                  <w:szCs w:val="24"/>
                </w:rPr>
              </m:ctrlPr>
            </m:sSubPr>
            <m:e>
              <m:r>
                <m:rPr>
                  <m:sty m:val="p"/>
                </m:rPr>
                <w:rPr>
                  <w:rFonts w:hint="default" w:ascii="Cambria Math" w:hAnsi="Cambria Math" w:cs="Times New Roman"/>
                  <w:sz w:val="24"/>
                  <w:szCs w:val="24"/>
                </w:rPr>
                <m:t>∆ II</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it−j</m:t>
              </m:r>
              <m:ctrlPr>
                <w:rPr>
                  <w:rFonts w:ascii="Cambria Math" w:hAnsi="Cambria Math" w:cs="Times New Roman"/>
                  <w:i w:val="0"/>
                  <w:iCs/>
                  <w:sz w:val="24"/>
                  <w:szCs w:val="24"/>
                </w:rPr>
              </m:ctrlPr>
            </m:sub>
          </m:sSub>
          <m:r>
            <m:rPr>
              <m:sty m:val="p"/>
            </m:rPr>
            <w:rPr>
              <w:rFonts w:ascii="Cambria Math" w:hAnsi="Cambria Math" w:cs="Times New Roman"/>
              <w:sz w:val="24"/>
              <w:szCs w:val="24"/>
            </w:rPr>
            <m:t xml:space="preserve"> </m:t>
          </m:r>
          <m:nary>
            <m:naryPr>
              <m:chr m:val="∑"/>
              <m:limLoc m:val="undOvr"/>
              <m:ctrlPr>
                <w:rPr>
                  <w:rFonts w:ascii="Cambria Math" w:hAnsi="Cambria Math" w:cs="Times New Roman"/>
                  <w:i w:val="0"/>
                  <w:iCs/>
                  <w:sz w:val="24"/>
                  <w:szCs w:val="24"/>
                </w:rPr>
              </m:ctrlPr>
            </m:naryPr>
            <m:sub>
              <m:r>
                <m:rPr>
                  <m:sty m:val="p"/>
                </m:rPr>
                <w:rPr>
                  <w:rFonts w:hint="default" w:ascii="Cambria Math" w:hAnsi="Cambria Math" w:cs="Times New Roman"/>
                  <w:sz w:val="24"/>
                  <w:szCs w:val="24"/>
                </w:rPr>
                <m:t>k−0</m:t>
              </m:r>
              <m:ctrlPr>
                <w:rPr>
                  <w:rFonts w:ascii="Cambria Math" w:hAnsi="Cambria Math" w:cs="Times New Roman"/>
                  <w:i w:val="0"/>
                  <w:iCs/>
                  <w:sz w:val="24"/>
                  <w:szCs w:val="24"/>
                </w:rPr>
              </m:ctrlPr>
            </m:sub>
            <m:sup>
              <m:r>
                <m:rPr>
                  <m:sty m:val="p"/>
                </m:rPr>
                <w:rPr>
                  <w:rFonts w:hint="default" w:ascii="Cambria Math" w:hAnsi="Cambria Math" w:cs="Times New Roman"/>
                  <w:sz w:val="24"/>
                  <w:szCs w:val="24"/>
                </w:rPr>
                <m:t>q</m:t>
              </m:r>
              <m:ctrlPr>
                <w:rPr>
                  <w:rFonts w:ascii="Cambria Math" w:hAnsi="Cambria Math" w:cs="Times New Roman"/>
                  <w:i w:val="0"/>
                  <w:iCs/>
                  <w:sz w:val="24"/>
                  <w:szCs w:val="24"/>
                </w:rPr>
              </m:ctrlPr>
            </m:sup>
            <m:e>
              <m:r>
                <m:rPr>
                  <m:sty m:val="p"/>
                </m:rPr>
                <w:rPr>
                  <w:rFonts w:ascii="Cambria Math" w:hAnsi="Cambria Math" w:cs="Times New Roman"/>
                  <w:sz w:val="24"/>
                  <w:szCs w:val="24"/>
                </w:rPr>
                <m:t>(</m:t>
              </m:r>
              <m:ctrlPr>
                <w:rPr>
                  <w:rFonts w:ascii="Cambria Math" w:hAnsi="Cambria Math" w:cs="Times New Roman"/>
                  <w:i w:val="0"/>
                  <w:iCs/>
                  <w:sz w:val="24"/>
                  <w:szCs w:val="24"/>
                </w:rPr>
              </m:ctrlPr>
            </m:e>
          </m:nary>
          <m:r>
            <m:rPr>
              <m:sty m:val="p"/>
            </m:rPr>
            <w:rPr>
              <w:rFonts w:ascii="Cambria Math" w:hAnsi="Cambria Math" w:cs="Times New Roman"/>
              <w:sz w:val="24"/>
              <w:szCs w:val="24"/>
            </w:rPr>
            <m:t xml:space="preserve"> </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θ</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1k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DP</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 xml:space="preserve"> θ</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1k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 xml:space="preserve"> ∆</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DP</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 xml:space="preserve">+ </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θ</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2k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TI</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m:t>
          </m:r>
        </m:oMath>
      </m:oMathPara>
    </w:p>
    <w:p w14:paraId="00B6FBD3">
      <w:pPr>
        <w:pStyle w:val="19"/>
        <w:spacing w:line="240" w:lineRule="auto"/>
        <w:ind w:left="0" w:leftChars="0"/>
        <w:jc w:val="left"/>
        <w:rPr>
          <w:rFonts w:hint="default" w:hAnsi="Cambria Math" w:cs="Times New Roman"/>
          <w:i w:val="0"/>
          <w:iCs/>
          <w:sz w:val="24"/>
          <w:szCs w:val="24"/>
          <w:lang w:val="en-US"/>
        </w:rPr>
      </w:pPr>
      <m:oMathPara>
        <m:oMath>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lang w:val="en-US"/>
                </w:rPr>
                <m:t xml:space="preserve"> </m:t>
              </m:r>
              <m:r>
                <m:rPr>
                  <m:sty m:val="p"/>
                </m:rPr>
                <w:rPr>
                  <w:rFonts w:hint="default" w:ascii="Cambria Math" w:hAnsi="Cambria Math" w:cs="Times New Roman"/>
                  <w:sz w:val="24"/>
                  <w:szCs w:val="24"/>
                </w:rPr>
                <m:t>θ</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2k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 xml:space="preserve"> ∆</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TI</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 xml:space="preserve">+ </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θ</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3k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FI</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 xml:space="preserve"> θ</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3k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 xml:space="preserve"> ∆</m:t>
          </m:r>
          <m:sSubSup>
            <m:sSubSupPr>
              <m:ctrlPr>
                <w:rPr>
                  <w:rFonts w:ascii="Cambria Math" w:hAnsi="Cambria Math" w:cs="Times New Roman"/>
                  <w:i w:val="0"/>
                  <w:iCs/>
                  <w:sz w:val="24"/>
                  <w:szCs w:val="24"/>
                </w:rPr>
              </m:ctrlPr>
            </m:sSubSupPr>
            <m:e>
              <m:r>
                <m:rPr>
                  <m:sty m:val="p"/>
                </m:rPr>
                <w:rPr>
                  <w:rFonts w:hint="default" w:ascii="Cambria Math" w:hAnsi="Cambria Math" w:cs="Times New Roman"/>
                  <w:sz w:val="24"/>
                  <w:szCs w:val="24"/>
                </w:rPr>
                <m:t>FI</m:t>
              </m:r>
              <m:ctrlPr>
                <w:rPr>
                  <w:rFonts w:ascii="Cambria Math" w:hAnsi="Cambria Math" w:cs="Times New Roman"/>
                  <w:i w:val="0"/>
                  <w:iCs/>
                  <w:sz w:val="24"/>
                  <w:szCs w:val="24"/>
                </w:rPr>
              </m:ctrlPr>
            </m:e>
            <m:sub>
              <m:r>
                <m:rPr>
                  <m:sty m:val="p"/>
                </m:rPr>
                <w:rPr>
                  <w:rFonts w:hint="default" w:ascii="Cambria Math" w:hAnsi="Cambria Math" w:cs="Times New Roman"/>
                  <w:sz w:val="24"/>
                  <w:szCs w:val="24"/>
                </w:rPr>
                <m:t>it−k</m:t>
              </m:r>
              <m:ctrlPr>
                <w:rPr>
                  <w:rFonts w:ascii="Cambria Math" w:hAnsi="Cambria Math" w:cs="Times New Roman"/>
                  <w:i w:val="0"/>
                  <w:iCs/>
                  <w:sz w:val="24"/>
                  <w:szCs w:val="24"/>
                </w:rPr>
              </m:ctrlPr>
            </m:sub>
            <m:sup>
              <m:r>
                <m:rPr>
                  <m:sty m:val="p"/>
                </m:rPr>
                <w:rPr>
                  <w:rFonts w:ascii="Cambria Math" w:hAnsi="Cambria Math" w:cs="Times New Roman"/>
                  <w:sz w:val="24"/>
                  <w:szCs w:val="24"/>
                </w:rPr>
                <m:t>−</m:t>
              </m:r>
              <m:ctrlPr>
                <w:rPr>
                  <w:rFonts w:ascii="Cambria Math" w:hAnsi="Cambria Math" w:cs="Times New Roman"/>
                  <w:i w:val="0"/>
                  <w:iCs/>
                  <w:sz w:val="24"/>
                  <w:szCs w:val="24"/>
                </w:rPr>
              </m:ctrlPr>
            </m:sup>
          </m:sSubSup>
          <m:r>
            <m:rPr>
              <m:sty m:val="p"/>
            </m:rPr>
            <w:rPr>
              <w:rFonts w:ascii="Cambria Math" w:hAnsi="Cambria Math" w:cs="Times New Roman"/>
              <w:sz w:val="24"/>
              <w:szCs w:val="24"/>
            </w:rPr>
            <m:t xml:space="preserve"> )+</m:t>
          </m:r>
          <m:sSub>
            <m:sSubPr>
              <m:ctrlPr>
                <w:rPr>
                  <w:rFonts w:ascii="Cambria Math" w:hAnsi="Cambria Math" w:cs="Times New Roman"/>
                  <w:i w:val="0"/>
                  <w:iCs/>
                  <w:sz w:val="24"/>
                  <w:szCs w:val="24"/>
                </w:rPr>
              </m:ctrlPr>
            </m:sSubPr>
            <m:e>
              <m:r>
                <m:rPr>
                  <m:sty m:val="p"/>
                </m:rPr>
                <w:rPr>
                  <w:rFonts w:hint="default" w:ascii="Cambria Math" w:hAnsi="Cambria Math" w:cs="Times New Roman"/>
                  <w:sz w:val="24"/>
                  <w:szCs w:val="24"/>
                </w:rPr>
                <m:t>γ</m:t>
              </m:r>
              <m:ctrlPr>
                <w:rPr>
                  <w:rFonts w:ascii="Cambria Math" w:hAnsi="Cambria Math" w:cs="Times New Roman"/>
                  <w:i w:val="0"/>
                  <w:iCs/>
                  <w:sz w:val="24"/>
                  <w:szCs w:val="24"/>
                </w:rPr>
              </m:ctrlPr>
            </m:e>
            <m:sub>
              <m:r>
                <m:rPr>
                  <m:sty m:val="p"/>
                </m:rPr>
                <w:rPr>
                  <w:rFonts w:hint="default" w:ascii="Cambria Math" w:hAnsi="Cambria Math" w:cs="Times New Roman"/>
                  <w:sz w:val="24"/>
                  <w:szCs w:val="24"/>
                  <w:lang w:val="en-US"/>
                </w:rPr>
                <m:t>i</m:t>
              </m:r>
              <m:ctrlPr>
                <w:rPr>
                  <w:rFonts w:ascii="Cambria Math" w:hAnsi="Cambria Math" w:cs="Times New Roman"/>
                  <w:i w:val="0"/>
                  <w:iCs/>
                  <w:sz w:val="24"/>
                  <w:szCs w:val="24"/>
                </w:rPr>
              </m:ctrlPr>
            </m:sub>
          </m:sSub>
          <m:r>
            <m:rPr>
              <m:sty m:val="p"/>
            </m:rPr>
            <w:rPr>
              <w:rFonts w:hint="default" w:ascii="Cambria Math" w:hAnsi="Cambria Math" w:cs="Times New Roman"/>
              <w:sz w:val="24"/>
              <w:szCs w:val="24"/>
              <w:lang w:val="en-US"/>
            </w:rPr>
            <m:t>(</m:t>
          </m:r>
          <m:sSub>
            <m:sSubPr>
              <m:ctrlPr>
                <w:rPr>
                  <w:rFonts w:hint="default" w:ascii="Cambria Math" w:hAnsi="Cambria Math" w:cs="Times New Roman"/>
                  <w:i w:val="0"/>
                  <w:iCs/>
                  <w:sz w:val="24"/>
                  <w:szCs w:val="24"/>
                  <w:lang w:val="en-US"/>
                </w:rPr>
              </m:ctrlPr>
            </m:sSubPr>
            <m:e>
              <m:r>
                <m:rPr>
                  <m:sty m:val="p"/>
                </m:rPr>
                <w:rPr>
                  <w:rFonts w:hint="default" w:ascii="Cambria Math" w:hAnsi="Cambria Math" w:cs="Times New Roman"/>
                  <w:sz w:val="24"/>
                  <w:szCs w:val="24"/>
                  <w:lang w:val="en-US"/>
                </w:rPr>
                <m:t>II</m:t>
              </m:r>
              <m:ctrlPr>
                <w:rPr>
                  <w:rFonts w:hint="default" w:ascii="Cambria Math" w:hAnsi="Cambria Math" w:cs="Times New Roman"/>
                  <w:i w:val="0"/>
                  <w:iCs/>
                  <w:sz w:val="24"/>
                  <w:szCs w:val="24"/>
                  <w:lang w:val="en-US"/>
                </w:rPr>
              </m:ctrlPr>
            </m:e>
            <m:sub>
              <m:r>
                <m:rPr>
                  <m:sty m:val="p"/>
                </m:rPr>
                <w:rPr>
                  <w:rFonts w:hint="default" w:ascii="Cambria Math" w:hAnsi="Cambria Math" w:cs="Times New Roman"/>
                  <w:sz w:val="24"/>
                  <w:szCs w:val="24"/>
                  <w:lang w:val="en-US"/>
                </w:rPr>
                <m:t>it−1</m:t>
              </m:r>
              <m:ctrlPr>
                <w:rPr>
                  <w:rFonts w:hint="default" w:ascii="Cambria Math" w:hAnsi="Cambria Math" w:cs="Times New Roman"/>
                  <w:i w:val="0"/>
                  <w:iCs/>
                  <w:sz w:val="24"/>
                  <w:szCs w:val="24"/>
                  <w:lang w:val="en-US"/>
                </w:rPr>
              </m:ctrlPr>
            </m:sub>
          </m:sSub>
          <m:r>
            <m:rPr>
              <m:sty m:val="p"/>
            </m:rPr>
            <w:rPr>
              <w:rFonts w:hint="default" w:ascii="Cambria Math" w:hAnsi="Cambria Math" w:cs="Times New Roman"/>
              <w:sz w:val="24"/>
              <w:szCs w:val="24"/>
              <w:lang w:val="en-US"/>
            </w:rPr>
            <m:t>−</m:t>
          </m:r>
          <m:sSubSup>
            <m:sSubSupPr>
              <m:ctrlPr>
                <w:rPr>
                  <w:rFonts w:hint="default" w:ascii="Cambria Math" w:hAnsi="Cambria Math" w:cs="Times New Roman"/>
                  <w:iCs/>
                  <w:sz w:val="24"/>
                  <w:szCs w:val="24"/>
                  <w:lang w:val="en-US"/>
                </w:rPr>
              </m:ctrlPr>
            </m:sSubSupPr>
            <m:e>
              <m:r>
                <m:rPr>
                  <m:sty m:val="p"/>
                </m:rPr>
                <w:rPr>
                  <w:rFonts w:ascii="Cambria Math" w:hAnsi="Cambria Math" w:cs="Times New Roman"/>
                  <w:sz w:val="24"/>
                  <w:szCs w:val="24"/>
                  <w:lang w:val="en-US"/>
                </w:rPr>
                <m:t>β</m:t>
              </m:r>
              <m:ctrlPr>
                <w:rPr>
                  <w:rFonts w:hint="default" w:ascii="Cambria Math" w:hAnsi="Cambria Math" w:cs="Times New Roman"/>
                  <w:i w:val="0"/>
                  <w:iCs/>
                  <w:sz w:val="24"/>
                  <w:szCs w:val="24"/>
                  <w:lang w:val="en-US"/>
                </w:rPr>
              </m:ctrlPr>
            </m:e>
            <m:sub>
              <m:r>
                <m:rPr>
                  <m:sty m:val="p"/>
                </m:rPr>
                <w:rPr>
                  <w:rFonts w:hint="default" w:ascii="Cambria Math" w:hAnsi="Cambria Math" w:cs="Times New Roman"/>
                  <w:sz w:val="24"/>
                  <w:szCs w:val="24"/>
                  <w:lang w:val="en-US"/>
                </w:rPr>
                <m:t>1</m:t>
              </m:r>
              <m:ctrlPr>
                <w:rPr>
                  <w:rFonts w:hint="default" w:ascii="Cambria Math" w:hAnsi="Cambria Math" w:cs="Times New Roman"/>
                  <w:i w:val="0"/>
                  <w:iCs/>
                  <w:sz w:val="24"/>
                  <w:szCs w:val="24"/>
                  <w:lang w:val="en-US"/>
                </w:rPr>
              </m:ctrlPr>
            </m:sub>
            <m:sup>
              <m:r>
                <m:rPr>
                  <m:sty m:val="p"/>
                </m:rPr>
                <w:rPr>
                  <w:rFonts w:hint="default" w:ascii="Cambria Math" w:hAnsi="Cambria Math" w:cs="Times New Roman"/>
                  <w:sz w:val="24"/>
                  <w:szCs w:val="24"/>
                  <w:lang w:val="en-US"/>
                </w:rPr>
                <m:t>+</m:t>
              </m:r>
              <m:ctrlPr>
                <w:rPr>
                  <w:rFonts w:hint="default" w:ascii="Cambria Math" w:hAnsi="Cambria Math" w:cs="Times New Roman"/>
                  <w:i w:val="0"/>
                  <w:iCs/>
                  <w:sz w:val="24"/>
                  <w:szCs w:val="24"/>
                  <w:lang w:val="en-US"/>
                </w:rPr>
              </m:ctrlPr>
            </m:sup>
          </m:sSubSup>
          <m:sSubSup>
            <m:sSubSupPr>
              <m:ctrlPr>
                <w:rPr>
                  <w:rFonts w:hint="default" w:ascii="Cambria Math" w:hAnsi="Cambria Math" w:cs="Times New Roman"/>
                  <w:i w:val="0"/>
                  <w:iCs/>
                  <w:sz w:val="24"/>
                  <w:szCs w:val="24"/>
                  <w:lang w:val="en-US"/>
                </w:rPr>
              </m:ctrlPr>
            </m:sSubSupPr>
            <m:e>
              <m:r>
                <m:rPr>
                  <m:sty m:val="p"/>
                </m:rPr>
                <w:rPr>
                  <w:rFonts w:hint="default" w:ascii="Cambria Math" w:hAnsi="Cambria Math" w:cs="Times New Roman"/>
                  <w:sz w:val="24"/>
                  <w:szCs w:val="24"/>
                  <w:lang w:val="en-US"/>
                </w:rPr>
                <m:t>DP</m:t>
              </m:r>
              <m:ctrlPr>
                <w:rPr>
                  <w:rFonts w:hint="default" w:ascii="Cambria Math" w:hAnsi="Cambria Math" w:cs="Times New Roman"/>
                  <w:i w:val="0"/>
                  <w:iCs/>
                  <w:sz w:val="24"/>
                  <w:szCs w:val="24"/>
                  <w:lang w:val="en-US"/>
                </w:rPr>
              </m:ctrlPr>
            </m:e>
            <m:sub>
              <m:r>
                <m:rPr>
                  <m:sty m:val="p"/>
                </m:rPr>
                <w:rPr>
                  <w:rFonts w:hint="default" w:ascii="Cambria Math" w:hAnsi="Cambria Math" w:cs="Times New Roman"/>
                  <w:sz w:val="24"/>
                  <w:szCs w:val="24"/>
                  <w:lang w:val="en-US"/>
                </w:rPr>
                <m:t>it−1</m:t>
              </m:r>
              <m:ctrlPr>
                <w:rPr>
                  <w:rFonts w:hint="default" w:ascii="Cambria Math" w:hAnsi="Cambria Math" w:cs="Times New Roman"/>
                  <w:i w:val="0"/>
                  <w:iCs/>
                  <w:sz w:val="24"/>
                  <w:szCs w:val="24"/>
                  <w:lang w:val="en-US"/>
                </w:rPr>
              </m:ctrlPr>
            </m:sub>
            <m:sup>
              <m:r>
                <m:rPr>
                  <m:sty m:val="p"/>
                </m:rPr>
                <w:rPr>
                  <w:rFonts w:hint="default" w:ascii="Cambria Math" w:hAnsi="Cambria Math" w:cs="Times New Roman"/>
                  <w:sz w:val="24"/>
                  <w:szCs w:val="24"/>
                  <w:lang w:val="en-US"/>
                </w:rPr>
                <m:t>+</m:t>
              </m:r>
              <m:ctrlPr>
                <w:rPr>
                  <w:rFonts w:hint="default" w:ascii="Cambria Math" w:hAnsi="Cambria Math" w:cs="Times New Roman"/>
                  <w:i w:val="0"/>
                  <w:iCs/>
                  <w:sz w:val="24"/>
                  <w:szCs w:val="24"/>
                  <w:lang w:val="en-US"/>
                </w:rPr>
              </m:ctrlPr>
            </m:sup>
          </m:sSubSup>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sSubSup>
            <m:sSubSupPr>
              <m:ctrlPr>
                <w:rPr>
                  <w:rFonts w:ascii="Cambria Math" w:hAnsi="Cambria Math" w:cs="Times New Roman"/>
                  <w:i/>
                  <w:sz w:val="24"/>
                  <w:szCs w:val="24"/>
                </w:rPr>
              </m:ctrlPr>
            </m:sSubSupPr>
            <m:e>
              <m:r>
                <m:rPr/>
                <w:rPr>
                  <w:rFonts w:ascii="Cambria Math" w:hAnsi="Cambria Math" w:cs="Times New Roman"/>
                  <w:sz w:val="24"/>
                  <w:szCs w:val="24"/>
                </w:rPr>
                <m:t>DP</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oMath>
      </m:oMathPara>
    </w:p>
    <w:p w14:paraId="55A79862">
      <w:pPr>
        <w:pStyle w:val="19"/>
        <w:spacing w:line="240" w:lineRule="auto"/>
        <w:ind w:left="0" w:leftChars="0"/>
        <w:jc w:val="left"/>
        <w:rPr>
          <w:rFonts w:hint="default" w:hAnsi="Cambria Math" w:cs="Times New Roman"/>
          <w:i w:val="0"/>
          <w:iCs/>
          <w:sz w:val="24"/>
          <w:szCs w:val="24"/>
          <w:lang w:val="en-US"/>
        </w:rPr>
      </w:pPr>
    </w:p>
    <w:p w14:paraId="6526ADCB">
      <w:pPr>
        <w:pStyle w:val="19"/>
        <w:spacing w:line="240" w:lineRule="auto"/>
        <w:ind w:left="0" w:leftChars="0" w:firstLine="360" w:firstLineChars="150"/>
        <w:jc w:val="left"/>
        <w:rPr>
          <w:rFonts w:ascii="Times New Roman" w:hAnsi="Times New Roman" w:cs="Times New Roman" w:eastAsiaTheme="minorEastAsia"/>
          <w:b/>
          <w:bCs/>
          <w:sz w:val="24"/>
          <w:szCs w:val="24"/>
        </w:rPr>
      </w:pPr>
      <m:oMath>
        <m:r>
          <m:rPr/>
          <w:rPr>
            <w:rFonts w:hint="default" w:ascii="Cambria Math" w:hAnsi="Cambria Math" w:cs="Times New Roman"/>
            <w:sz w:val="24"/>
            <w:szCs w:val="24"/>
            <w:lang w:val="en-US"/>
          </w:rPr>
          <m:t xml:space="preserve"> </m:t>
        </m:r>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sSubSup>
          <m:sSubSupPr>
            <m:ctrlPr>
              <w:rPr>
                <w:rFonts w:ascii="Cambria Math" w:hAnsi="Cambria Math" w:cs="Times New Roman"/>
                <w:i/>
                <w:sz w:val="24"/>
                <w:szCs w:val="24"/>
              </w:rPr>
            </m:ctrlPr>
          </m:sSubSupPr>
          <m:e>
            <m:r>
              <m:rPr/>
              <w:rPr>
                <w:rFonts w:ascii="Cambria Math" w:hAnsi="Cambria Math" w:cs="Times New Roman"/>
                <w:sz w:val="24"/>
                <w:szCs w:val="24"/>
              </w:rPr>
              <m:t>DP</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m:t>
        </m:r>
        <m:sSubSup>
          <m:sSubSupPr>
            <m:ctrlPr>
              <w:rPr>
                <w:rFonts w:ascii="Cambria Math" w:hAnsi="Cambria Math" w:cs="Times New Roman"/>
                <w:i/>
                <w:sz w:val="24"/>
                <w:szCs w:val="24"/>
              </w:rPr>
            </m:ctrlPr>
          </m:sSubSup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2</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sSubSup>
          <m:sSubSupPr>
            <m:ctrlPr>
              <w:rPr>
                <w:rFonts w:ascii="Cambria Math" w:hAnsi="Cambria Math" w:cs="Times New Roman"/>
                <w:i/>
                <w:sz w:val="24"/>
                <w:szCs w:val="24"/>
              </w:rPr>
            </m:ctrlPr>
          </m:sSubSupPr>
          <m:e>
            <m:r>
              <m:rPr/>
              <w:rPr>
                <w:rFonts w:ascii="Cambria Math" w:hAnsi="Cambria Math" w:cs="Times New Roman"/>
                <w:sz w:val="24"/>
                <w:szCs w:val="24"/>
              </w:rPr>
              <m:t>TI</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2</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sSubSup>
          <m:sSubSupPr>
            <m:ctrlPr>
              <w:rPr>
                <w:rFonts w:ascii="Cambria Math" w:hAnsi="Cambria Math" w:cs="Times New Roman"/>
                <w:i/>
                <w:sz w:val="24"/>
                <w:szCs w:val="24"/>
              </w:rPr>
            </m:ctrlPr>
          </m:sSubSupPr>
          <m:e>
            <m:r>
              <m:rPr/>
              <w:rPr>
                <w:rFonts w:ascii="Cambria Math" w:hAnsi="Cambria Math" w:cs="Times New Roman"/>
                <w:sz w:val="24"/>
                <w:szCs w:val="24"/>
              </w:rPr>
              <m:t>TI</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3</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sSubSup>
          <m:sSubSupPr>
            <m:ctrlPr>
              <w:rPr>
                <w:rFonts w:ascii="Cambria Math" w:hAnsi="Cambria Math" w:cs="Times New Roman"/>
                <w:i/>
                <w:sz w:val="24"/>
                <w:szCs w:val="24"/>
              </w:rPr>
            </m:ctrlPr>
          </m:sSubSupPr>
          <m:e>
            <m:r>
              <m:rPr/>
              <w:rPr>
                <w:rFonts w:ascii="Cambria Math" w:hAnsi="Cambria Math" w:cs="Times New Roman"/>
                <w:sz w:val="24"/>
                <w:szCs w:val="24"/>
              </w:rPr>
              <m:t>FI</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ascii="Cambria Math" w:hAnsi="Cambria Math" w:cs="Times New Roman"/>
                <w:sz w:val="24"/>
                <w:szCs w:val="24"/>
              </w:rPr>
              <m:t>+</m:t>
            </m:r>
            <m:ctrlPr>
              <w:rPr>
                <w:rFonts w:ascii="Cambria Math" w:hAnsi="Cambria Math" w:cs="Times New Roman"/>
                <w:i/>
                <w:sz w:val="24"/>
                <w:szCs w:val="24"/>
              </w:rPr>
            </m:ctrlPr>
          </m:sup>
        </m:sSubSup>
        <m:r>
          <m:rPr/>
          <w:rPr>
            <w:rFonts w:hint="default" w:ascii="Cambria Math" w:hAnsi="Cambria Math" w:cs="Times New Roman"/>
            <w:sz w:val="24"/>
            <w:szCs w:val="24"/>
            <w:lang w:val="en-US"/>
          </w:rPr>
          <m:t>−</m:t>
        </m:r>
        <m:sSubSup>
          <m:sSubSupPr>
            <m:ctrlPr>
              <w:rPr>
                <w:rFonts w:ascii="Cambria Math" w:hAnsi="Cambria Math" w:cs="Times New Roman"/>
                <w:i/>
                <w:sz w:val="24"/>
                <w:szCs w:val="24"/>
              </w:rPr>
            </m:ctrlPr>
          </m:sSubSup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3</m:t>
            </m:r>
            <m:ctrlPr>
              <w:rPr>
                <w:rFonts w:ascii="Cambria Math" w:hAnsi="Cambria Math" w:cs="Times New Roman"/>
                <w:i/>
                <w:sz w:val="24"/>
                <w:szCs w:val="24"/>
              </w:rPr>
            </m:ctrlPr>
          </m:sub>
          <m:sup>
            <m:r>
              <m:rPr/>
              <w:rPr>
                <w:rFonts w:hint="default" w:ascii="Cambria Math" w:hAnsi="Cambria Math" w:cs="Times New Roman"/>
                <w:sz w:val="24"/>
                <w:szCs w:val="24"/>
                <w:lang w:val="en-US"/>
              </w:rPr>
              <m:t>−</m:t>
            </m:r>
            <m:ctrlPr>
              <w:rPr>
                <w:rFonts w:ascii="Cambria Math" w:hAnsi="Cambria Math" w:cs="Times New Roman"/>
                <w:i/>
                <w:sz w:val="24"/>
                <w:szCs w:val="24"/>
              </w:rPr>
            </m:ctrlPr>
          </m:sup>
        </m:sSubSup>
        <m:sSubSup>
          <m:sSubSupPr>
            <m:ctrlPr>
              <w:rPr>
                <w:rFonts w:ascii="Cambria Math" w:hAnsi="Cambria Math" w:cs="Times New Roman"/>
                <w:i/>
                <w:sz w:val="24"/>
                <w:szCs w:val="24"/>
              </w:rPr>
            </m:ctrlPr>
          </m:sSubSupPr>
          <m:e>
            <m:r>
              <m:rPr/>
              <w:rPr>
                <w:rFonts w:ascii="Cambria Math" w:hAnsi="Cambria Math" w:cs="Times New Roman"/>
                <w:sz w:val="24"/>
                <w:szCs w:val="24"/>
              </w:rPr>
              <m:t>FI</m:t>
            </m:r>
            <m:ctrlPr>
              <w:rPr>
                <w:rFonts w:ascii="Cambria Math" w:hAnsi="Cambria Math" w:cs="Times New Roman"/>
                <w:i/>
                <w:sz w:val="24"/>
                <w:szCs w:val="24"/>
              </w:rPr>
            </m:ctrlPr>
          </m:e>
          <m:sub>
            <m:r>
              <m:rPr/>
              <w:rPr>
                <w:rFonts w:ascii="Cambria Math" w:hAnsi="Cambria Math" w:cs="Times New Roman"/>
                <w:sz w:val="24"/>
                <w:szCs w:val="24"/>
              </w:rPr>
              <m:t>it−1</m:t>
            </m:r>
            <m:ctrlPr>
              <w:rPr>
                <w:rFonts w:ascii="Cambria Math" w:hAnsi="Cambria Math" w:cs="Times New Roman"/>
                <w:i/>
                <w:sz w:val="24"/>
                <w:szCs w:val="24"/>
              </w:rPr>
            </m:ctrlPr>
          </m:sub>
          <m:sup>
            <m:r>
              <m:rPr/>
              <w:rPr>
                <w:rFonts w:hint="default" w:ascii="Cambria Math" w:hAnsi="Cambria Math" w:cs="Times New Roman"/>
                <w:sz w:val="24"/>
                <w:szCs w:val="24"/>
                <w:lang w:val="en-US"/>
              </w:rPr>
              <m:t>−</m:t>
            </m:r>
            <m:ctrlPr>
              <w:rPr>
                <w:rFonts w:ascii="Cambria Math" w:hAnsi="Cambria Math" w:cs="Times New Roman"/>
                <w:i/>
                <w:sz w:val="24"/>
                <w:szCs w:val="24"/>
              </w:rPr>
            </m:ctrlPr>
          </m:sup>
        </m:sSubSup>
        <m:r>
          <m:rPr/>
          <w:rPr>
            <w:rFonts w:hint="default" w:ascii="Cambria Math" w:hAnsi="Cambria Math" w:cs="Times New Roman"/>
            <w:sz w:val="24"/>
            <w:szCs w:val="24"/>
            <w:lang w:val="en-US"/>
          </w:rPr>
          <m:t>)+</m:t>
        </m:r>
        <m:sSub>
          <m:sSubPr>
            <m:ctrlPr>
              <w:rPr>
                <w:rFonts w:ascii="Cambria Math" w:hAnsi="Cambria Math" w:cs="Times New Roman"/>
                <w:i/>
                <w:sz w:val="24"/>
                <w:szCs w:val="24"/>
              </w:rPr>
            </m:ctrlPr>
          </m:sSubPr>
          <m:e>
            <m:r>
              <m:rPr/>
              <w:rPr>
                <w:rFonts w:ascii="Cambria Math" w:hAnsi="Cambria Math" w:cs="Times New Roman"/>
                <w:sz w:val="24"/>
                <w:szCs w:val="24"/>
              </w:rPr>
              <m:t>ε</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oMath>
      <w:r>
        <w:rPr>
          <w:rFonts w:hint="default" w:hAnsi="Cambria Math" w:cs="Times New Roman"/>
          <w:i/>
          <w:sz w:val="24"/>
          <w:szCs w:val="24"/>
          <w:lang w:val="en-US"/>
        </w:rPr>
        <w:t xml:space="preserve">                </w:t>
      </w:r>
      <w:r>
        <w:rPr>
          <w:rFonts w:ascii="Times New Roman" w:hAnsi="Times New Roman" w:cs="Times New Roman" w:eastAsiaTheme="minorEastAsia"/>
          <w:b/>
          <w:bCs/>
          <w:sz w:val="24"/>
          <w:szCs w:val="24"/>
        </w:rPr>
        <w:t>(12)</w:t>
      </w:r>
    </w:p>
    <w:p w14:paraId="572CE223">
      <w:pPr>
        <w:pStyle w:val="19"/>
        <w:ind w:left="0" w:leftChars="0" w:firstLine="0" w:firstLineChars="0"/>
        <w:jc w:val="both"/>
        <w:rPr>
          <w:rFonts w:ascii="Times New Roman" w:hAnsi="Times New Roman" w:cs="Times New Roman"/>
          <w:sz w:val="24"/>
          <w:szCs w:val="24"/>
        </w:rPr>
      </w:pPr>
    </w:p>
    <w:p w14:paraId="2BA2D3D0">
      <w:pPr>
        <w:pStyle w:val="19"/>
        <w:ind w:left="0" w:leftChars="0" w:firstLine="0" w:firstLineChars="0"/>
        <w:jc w:val="both"/>
        <w:rPr>
          <w:rFonts w:ascii="Times New Roman" w:hAnsi="Times New Roman" w:cs="Times New Roman"/>
          <w:sz w:val="24"/>
          <w:szCs w:val="24"/>
        </w:rPr>
      </w:pPr>
    </w:p>
    <w:p w14:paraId="2827CED4">
      <w:pPr>
        <w:pStyle w:val="19"/>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 xml:space="preserve">Where, </w:t>
      </w:r>
    </w:p>
    <w:p w14:paraId="3777678B">
      <w:pPr>
        <w:pStyle w:val="12"/>
        <w:numPr>
          <w:ilvl w:val="0"/>
          <w:numId w:val="40"/>
        </w:numPr>
      </w:pPr>
      <m:oMath>
        <m:sSub>
          <m:sSubPr>
            <m:ctrlPr>
              <w:rPr>
                <w:rFonts w:ascii="Cambria Math" w:hAnsi="Cambria Math"/>
                <w:iCs/>
              </w:rPr>
            </m:ctrlPr>
          </m:sSubPr>
          <m:e>
            <m:r>
              <m:rPr>
                <m:sty m:val="p"/>
              </m:rPr>
              <w:rPr>
                <w:rFonts w:ascii="Cambria Math" w:hAnsi="Cambria Math"/>
              </w:rPr>
              <m:t>ZH</m:t>
            </m:r>
            <m:ctrlPr>
              <w:rPr>
                <w:rFonts w:ascii="Cambria Math" w:hAnsi="Cambria Math"/>
                <w:iCs/>
              </w:rPr>
            </m:ctrlPr>
          </m:e>
          <m:sub>
            <m:r>
              <m:rPr>
                <m:sty m:val="p"/>
              </m:rPr>
              <w:rPr>
                <w:rFonts w:ascii="Cambria Math" w:hAnsi="Cambria Math"/>
              </w:rPr>
              <m:t>it</m:t>
            </m:r>
            <m:ctrlPr>
              <w:rPr>
                <w:rFonts w:ascii="Cambria Math" w:hAnsi="Cambria Math"/>
                <w:iCs/>
              </w:rPr>
            </m:ctrlPr>
          </m:sub>
        </m:sSub>
      </m:oMath>
      <w:r>
        <w:t xml:space="preserve">= Zero Hunger </w:t>
      </w:r>
    </w:p>
    <w:p w14:paraId="7ACC16A2">
      <w:pPr>
        <w:pStyle w:val="12"/>
        <w:numPr>
          <w:ilvl w:val="0"/>
          <w:numId w:val="40"/>
        </w:numPr>
      </w:pPr>
      <m:oMath>
        <m:sSubSup>
          <m:sSubSupPr>
            <m:ctrlPr>
              <w:rPr>
                <w:rFonts w:ascii="Cambria Math" w:hAnsi="Cambria Math"/>
                <w:i/>
              </w:rPr>
            </m:ctrlPr>
          </m:sSubSupPr>
          <m:e>
            <m:r>
              <m:rPr/>
              <w:rPr>
                <w:rFonts w:ascii="Cambria Math" w:hAnsi="Cambria Math"/>
              </w:rPr>
              <m:t>DP</m:t>
            </m:r>
            <m:ctrlPr>
              <w:rPr>
                <w:rFonts w:ascii="Cambria Math" w:hAnsi="Cambria Math"/>
                <w:i/>
              </w:rPr>
            </m:ctrlPr>
          </m:e>
          <m:sub>
            <m:r>
              <m:rPr/>
              <w:rPr>
                <w:rFonts w:ascii="Cambria Math" w:hAnsi="Cambria Math"/>
              </w:rPr>
              <m:t>it−k</m:t>
            </m:r>
            <m:ctrlPr>
              <w:rPr>
                <w:rFonts w:ascii="Cambria Math" w:hAnsi="Cambria Math"/>
                <w:i/>
              </w:rPr>
            </m:ctrlPr>
          </m:sub>
          <m:sup>
            <m:r>
              <m:rPr/>
              <w:rPr>
                <w:rFonts w:ascii="Cambria Math" w:hAnsi="Cambria Math"/>
              </w:rPr>
              <m:t>+</m:t>
            </m:r>
            <m:ctrlPr>
              <w:rPr>
                <w:rFonts w:ascii="Cambria Math" w:hAnsi="Cambria Math"/>
                <w:i/>
              </w:rPr>
            </m:ctrlPr>
          </m:sup>
        </m:sSubSup>
        <m:r>
          <m:rPr/>
          <w:rPr>
            <w:rFonts w:ascii="Cambria Math" w:hAnsi="Cambria Math"/>
          </w:rPr>
          <m:t xml:space="preserve">, </m:t>
        </m:r>
        <m:sSubSup>
          <m:sSubSupPr>
            <m:ctrlPr>
              <w:rPr>
                <w:rFonts w:ascii="Cambria Math" w:hAnsi="Cambria Math"/>
                <w:i/>
              </w:rPr>
            </m:ctrlPr>
          </m:sSubSupPr>
          <m:e>
            <m:r>
              <m:rPr/>
              <w:rPr>
                <w:rFonts w:ascii="Cambria Math" w:hAnsi="Cambria Math"/>
              </w:rPr>
              <m:t>DP</m:t>
            </m:r>
            <m:ctrlPr>
              <w:rPr>
                <w:rFonts w:ascii="Cambria Math" w:hAnsi="Cambria Math"/>
                <w:i/>
              </w:rPr>
            </m:ctrlPr>
          </m:e>
          <m:sub>
            <m:r>
              <m:rPr/>
              <w:rPr>
                <w:rFonts w:ascii="Cambria Math" w:hAnsi="Cambria Math"/>
              </w:rPr>
              <m:t>it−k</m:t>
            </m:r>
            <m:ctrlPr>
              <w:rPr>
                <w:rFonts w:ascii="Cambria Math" w:hAnsi="Cambria Math"/>
                <w:i/>
              </w:rPr>
            </m:ctrlPr>
          </m:sub>
          <m:sup>
            <m:r>
              <m:rPr/>
              <w:rPr>
                <w:rFonts w:ascii="Cambria Math" w:hAnsi="Cambria Math"/>
              </w:rPr>
              <m:t>−</m:t>
            </m:r>
            <m:ctrlPr>
              <w:rPr>
                <w:rFonts w:ascii="Cambria Math" w:hAnsi="Cambria Math"/>
                <w:i/>
              </w:rPr>
            </m:ctrlPr>
          </m:sup>
        </m:sSubSup>
      </m:oMath>
      <w:r>
        <w:t xml:space="preserve"> = Positive and negative partial sums of Digital Payment</w:t>
      </w:r>
    </w:p>
    <w:p w14:paraId="028D4E93">
      <w:pPr>
        <w:pStyle w:val="12"/>
        <w:numPr>
          <w:ilvl w:val="0"/>
          <w:numId w:val="40"/>
        </w:numPr>
      </w:pPr>
      <m:oMath>
        <m:sSubSup>
          <m:sSubSupPr>
            <m:ctrlPr>
              <w:rPr>
                <w:rFonts w:ascii="Cambria Math" w:hAnsi="Cambria Math"/>
                <w:i/>
              </w:rPr>
            </m:ctrlPr>
          </m:sSubSupPr>
          <m:e>
            <m:r>
              <m:rPr/>
              <w:rPr>
                <w:rFonts w:ascii="Cambria Math" w:hAnsi="Cambria Math"/>
              </w:rPr>
              <m:t>TI</m:t>
            </m:r>
            <m:ctrlPr>
              <w:rPr>
                <w:rFonts w:ascii="Cambria Math" w:hAnsi="Cambria Math"/>
                <w:i/>
              </w:rPr>
            </m:ctrlPr>
          </m:e>
          <m:sub>
            <m:r>
              <m:rPr/>
              <w:rPr>
                <w:rFonts w:ascii="Cambria Math" w:hAnsi="Cambria Math"/>
              </w:rPr>
              <m:t>it−k</m:t>
            </m:r>
            <m:ctrlPr>
              <w:rPr>
                <w:rFonts w:ascii="Cambria Math" w:hAnsi="Cambria Math"/>
                <w:i/>
              </w:rPr>
            </m:ctrlPr>
          </m:sub>
          <m:sup>
            <m:r>
              <m:rPr/>
              <w:rPr>
                <w:rFonts w:ascii="Cambria Math" w:hAnsi="Cambria Math"/>
              </w:rPr>
              <m:t>+</m:t>
            </m:r>
            <m:ctrlPr>
              <w:rPr>
                <w:rFonts w:ascii="Cambria Math" w:hAnsi="Cambria Math"/>
                <w:i/>
              </w:rPr>
            </m:ctrlPr>
          </m:sup>
        </m:sSubSup>
        <m:r>
          <m:rPr/>
          <w:rPr>
            <w:rFonts w:ascii="Cambria Math" w:hAnsi="Cambria Math"/>
          </w:rPr>
          <m:t xml:space="preserve">, </m:t>
        </m:r>
        <m:sSubSup>
          <m:sSubSupPr>
            <m:ctrlPr>
              <w:rPr>
                <w:rFonts w:ascii="Cambria Math" w:hAnsi="Cambria Math"/>
                <w:i/>
              </w:rPr>
            </m:ctrlPr>
          </m:sSubSupPr>
          <m:e>
            <m:r>
              <m:rPr/>
              <w:rPr>
                <w:rFonts w:ascii="Cambria Math" w:hAnsi="Cambria Math"/>
              </w:rPr>
              <m:t>TI</m:t>
            </m:r>
            <m:ctrlPr>
              <w:rPr>
                <w:rFonts w:ascii="Cambria Math" w:hAnsi="Cambria Math"/>
                <w:i/>
              </w:rPr>
            </m:ctrlPr>
          </m:e>
          <m:sub>
            <m:r>
              <m:rPr/>
              <w:rPr>
                <w:rFonts w:ascii="Cambria Math" w:hAnsi="Cambria Math"/>
              </w:rPr>
              <m:t>it−k</m:t>
            </m:r>
            <m:ctrlPr>
              <w:rPr>
                <w:rFonts w:ascii="Cambria Math" w:hAnsi="Cambria Math"/>
                <w:i/>
              </w:rPr>
            </m:ctrlPr>
          </m:sub>
          <m:sup>
            <m:r>
              <m:rPr/>
              <w:rPr>
                <w:rFonts w:ascii="Cambria Math" w:hAnsi="Cambria Math"/>
              </w:rPr>
              <m:t>−</m:t>
            </m:r>
            <m:ctrlPr>
              <w:rPr>
                <w:rFonts w:ascii="Cambria Math" w:hAnsi="Cambria Math"/>
                <w:i/>
              </w:rPr>
            </m:ctrlPr>
          </m:sup>
        </m:sSubSup>
      </m:oMath>
      <w:r>
        <w:t>= Positive and negative partial sums of Technological Innovation</w:t>
      </w:r>
    </w:p>
    <w:p w14:paraId="020C0B7D">
      <w:pPr>
        <w:pStyle w:val="12"/>
        <w:numPr>
          <w:ilvl w:val="0"/>
          <w:numId w:val="40"/>
        </w:numPr>
      </w:pPr>
      <m:oMath>
        <m:sSubSup>
          <m:sSubSupPr>
            <m:ctrlPr>
              <w:rPr>
                <w:rFonts w:ascii="Cambria Math" w:hAnsi="Cambria Math"/>
                <w:i/>
              </w:rPr>
            </m:ctrlPr>
          </m:sSubSupPr>
          <m:e>
            <m:r>
              <m:rPr/>
              <w:rPr>
                <w:rFonts w:ascii="Cambria Math" w:hAnsi="Cambria Math"/>
              </w:rPr>
              <m:t>FI</m:t>
            </m:r>
            <m:ctrlPr>
              <w:rPr>
                <w:rFonts w:ascii="Cambria Math" w:hAnsi="Cambria Math"/>
                <w:i/>
              </w:rPr>
            </m:ctrlPr>
          </m:e>
          <m:sub>
            <m:r>
              <m:rPr/>
              <w:rPr>
                <w:rFonts w:ascii="Cambria Math" w:hAnsi="Cambria Math"/>
              </w:rPr>
              <m:t>it−k</m:t>
            </m:r>
            <m:ctrlPr>
              <w:rPr>
                <w:rFonts w:ascii="Cambria Math" w:hAnsi="Cambria Math"/>
                <w:i/>
              </w:rPr>
            </m:ctrlPr>
          </m:sub>
          <m:sup>
            <m:r>
              <m:rPr/>
              <w:rPr>
                <w:rFonts w:ascii="Cambria Math" w:hAnsi="Cambria Math"/>
              </w:rPr>
              <m:t>+</m:t>
            </m:r>
            <m:ctrlPr>
              <w:rPr>
                <w:rFonts w:ascii="Cambria Math" w:hAnsi="Cambria Math"/>
                <w:i/>
              </w:rPr>
            </m:ctrlPr>
          </m:sup>
        </m:sSubSup>
        <m:r>
          <m:rPr/>
          <w:rPr>
            <w:rFonts w:ascii="Cambria Math" w:hAnsi="Cambria Math"/>
          </w:rPr>
          <m:t xml:space="preserve">, </m:t>
        </m:r>
        <m:sSubSup>
          <m:sSubSupPr>
            <m:ctrlPr>
              <w:rPr>
                <w:rFonts w:ascii="Cambria Math" w:hAnsi="Cambria Math"/>
                <w:i/>
              </w:rPr>
            </m:ctrlPr>
          </m:sSubSupPr>
          <m:e>
            <m:r>
              <m:rPr/>
              <w:rPr>
                <w:rFonts w:ascii="Cambria Math" w:hAnsi="Cambria Math"/>
              </w:rPr>
              <m:t>FI</m:t>
            </m:r>
            <m:ctrlPr>
              <w:rPr>
                <w:rFonts w:ascii="Cambria Math" w:hAnsi="Cambria Math"/>
                <w:i/>
              </w:rPr>
            </m:ctrlPr>
          </m:e>
          <m:sub>
            <m:r>
              <m:rPr/>
              <w:rPr>
                <w:rFonts w:ascii="Cambria Math" w:hAnsi="Cambria Math"/>
              </w:rPr>
              <m:t>it−k</m:t>
            </m:r>
            <m:ctrlPr>
              <w:rPr>
                <w:rFonts w:ascii="Cambria Math" w:hAnsi="Cambria Math"/>
                <w:i/>
              </w:rPr>
            </m:ctrlPr>
          </m:sub>
          <m:sup>
            <m:r>
              <m:rPr/>
              <w:rPr>
                <w:rFonts w:ascii="Cambria Math" w:hAnsi="Cambria Math"/>
              </w:rPr>
              <m:t>−</m:t>
            </m:r>
            <m:ctrlPr>
              <w:rPr>
                <w:rFonts w:ascii="Cambria Math" w:hAnsi="Cambria Math"/>
                <w:i/>
              </w:rPr>
            </m:ctrlPr>
          </m:sup>
        </m:sSubSup>
      </m:oMath>
      <w:r>
        <w:t xml:space="preserve"> = Positive and negative partial sums of Financial Inclusion</w:t>
      </w:r>
    </w:p>
    <w:p w14:paraId="232162BA">
      <w:pPr>
        <w:pStyle w:val="12"/>
        <w:numPr>
          <w:ilvl w:val="0"/>
          <w:numId w:val="40"/>
        </w:numPr>
      </w:pPr>
      <m:oMath>
        <m:sSup>
          <m:sSupPr>
            <m:ctrlPr>
              <w:rPr>
                <w:rStyle w:val="25"/>
                <w:rFonts w:ascii="Cambria Math" w:hAnsi="Cambria Math"/>
                <w:i/>
              </w:rPr>
            </m:ctrlPr>
          </m:sSupPr>
          <m:e>
            <m:r>
              <m:rPr/>
              <w:rPr>
                <w:rStyle w:val="25"/>
                <w:rFonts w:ascii="Cambria Math" w:hAnsi="Cambria Math"/>
              </w:rPr>
              <m:t>θ</m:t>
            </m:r>
            <m:ctrlPr>
              <w:rPr>
                <w:rStyle w:val="25"/>
                <w:rFonts w:ascii="Cambria Math" w:hAnsi="Cambria Math"/>
                <w:i/>
              </w:rPr>
            </m:ctrlPr>
          </m:e>
          <m:sup>
            <m:r>
              <m:rPr/>
              <w:rPr>
                <w:rStyle w:val="25"/>
                <w:rFonts w:ascii="Cambria Math" w:hAnsi="Cambria Math"/>
              </w:rPr>
              <m:t>+</m:t>
            </m:r>
            <m:ctrlPr>
              <w:rPr>
                <w:rStyle w:val="25"/>
                <w:rFonts w:ascii="Cambria Math" w:hAnsi="Cambria Math"/>
                <w:i/>
              </w:rPr>
            </m:ctrlPr>
          </m:sup>
        </m:sSup>
        <m:r>
          <m:rPr/>
          <w:rPr>
            <w:rStyle w:val="25"/>
            <w:rFonts w:ascii="Cambria Math" w:hAnsi="Cambria Math"/>
          </w:rPr>
          <m:t xml:space="preserve">, </m:t>
        </m:r>
        <m:sSup>
          <m:sSupPr>
            <m:ctrlPr>
              <w:rPr>
                <w:rStyle w:val="25"/>
                <w:rFonts w:ascii="Cambria Math" w:hAnsi="Cambria Math"/>
                <w:i/>
              </w:rPr>
            </m:ctrlPr>
          </m:sSupPr>
          <m:e>
            <m:r>
              <m:rPr/>
              <w:rPr>
                <w:rStyle w:val="25"/>
                <w:rFonts w:ascii="Cambria Math" w:hAnsi="Cambria Math"/>
              </w:rPr>
              <m:t>θ</m:t>
            </m:r>
            <m:ctrlPr>
              <w:rPr>
                <w:rStyle w:val="25"/>
                <w:rFonts w:ascii="Cambria Math" w:hAnsi="Cambria Math"/>
                <w:i/>
              </w:rPr>
            </m:ctrlPr>
          </m:e>
          <m:sup>
            <m:r>
              <m:rPr/>
              <w:rPr>
                <w:rStyle w:val="25"/>
                <w:rFonts w:ascii="Cambria Math" w:hAnsi="Cambria Math"/>
              </w:rPr>
              <m:t>−</m:t>
            </m:r>
            <m:ctrlPr>
              <w:rPr>
                <w:rStyle w:val="25"/>
                <w:rFonts w:ascii="Cambria Math" w:hAnsi="Cambria Math"/>
                <w:i/>
              </w:rPr>
            </m:ctrlPr>
          </m:sup>
        </m:sSup>
      </m:oMath>
      <w:r>
        <w:rPr>
          <w:rStyle w:val="25"/>
        </w:rPr>
        <w:t xml:space="preserve">= </w:t>
      </w:r>
      <w:r>
        <w:t>Short-run asymmetric effects</w:t>
      </w:r>
    </w:p>
    <w:p w14:paraId="52D53967">
      <w:pPr>
        <w:pStyle w:val="12"/>
        <w:numPr>
          <w:ilvl w:val="0"/>
          <w:numId w:val="40"/>
        </w:numPr>
      </w:pPr>
      <m:oMath>
        <m:sSup>
          <m:sSupPr>
            <m:ctrlPr>
              <w:rPr>
                <w:rStyle w:val="25"/>
                <w:rFonts w:ascii="Cambria Math" w:hAnsi="Cambria Math"/>
                <w:i/>
              </w:rPr>
            </m:ctrlPr>
          </m:sSupPr>
          <m:e>
            <m:r>
              <m:rPr/>
              <w:rPr>
                <w:rStyle w:val="25"/>
                <w:rFonts w:ascii="Cambria Math" w:hAnsi="Cambria Math"/>
              </w:rPr>
              <m:t>β</m:t>
            </m:r>
            <m:ctrlPr>
              <w:rPr>
                <w:rStyle w:val="25"/>
                <w:rFonts w:ascii="Cambria Math" w:hAnsi="Cambria Math"/>
                <w:i/>
              </w:rPr>
            </m:ctrlPr>
          </m:e>
          <m:sup>
            <m:r>
              <m:rPr/>
              <w:rPr>
                <w:rStyle w:val="25"/>
                <w:rFonts w:ascii="Cambria Math" w:hAnsi="Cambria Math"/>
              </w:rPr>
              <m:t>+</m:t>
            </m:r>
            <m:ctrlPr>
              <w:rPr>
                <w:rStyle w:val="25"/>
                <w:rFonts w:ascii="Cambria Math" w:hAnsi="Cambria Math"/>
                <w:i/>
              </w:rPr>
            </m:ctrlPr>
          </m:sup>
        </m:sSup>
        <m:r>
          <m:rPr/>
          <w:rPr>
            <w:rStyle w:val="25"/>
            <w:rFonts w:ascii="Cambria Math" w:hAnsi="Cambria Math"/>
          </w:rPr>
          <m:t xml:space="preserve">, </m:t>
        </m:r>
        <m:sSup>
          <m:sSupPr>
            <m:ctrlPr>
              <w:rPr>
                <w:rStyle w:val="25"/>
                <w:rFonts w:ascii="Cambria Math" w:hAnsi="Cambria Math"/>
                <w:i/>
              </w:rPr>
            </m:ctrlPr>
          </m:sSupPr>
          <m:e>
            <m:r>
              <m:rPr/>
              <w:rPr>
                <w:rStyle w:val="25"/>
                <w:rFonts w:ascii="Cambria Math" w:hAnsi="Cambria Math"/>
              </w:rPr>
              <m:t>β</m:t>
            </m:r>
            <m:ctrlPr>
              <w:rPr>
                <w:rStyle w:val="25"/>
                <w:rFonts w:ascii="Cambria Math" w:hAnsi="Cambria Math"/>
                <w:i/>
              </w:rPr>
            </m:ctrlPr>
          </m:e>
          <m:sup>
            <m:r>
              <m:rPr/>
              <w:rPr>
                <w:rStyle w:val="25"/>
                <w:rFonts w:ascii="Cambria Math" w:hAnsi="Cambria Math"/>
              </w:rPr>
              <m:t>−</m:t>
            </m:r>
            <m:ctrlPr>
              <w:rPr>
                <w:rStyle w:val="25"/>
                <w:rFonts w:ascii="Cambria Math" w:hAnsi="Cambria Math"/>
                <w:i/>
              </w:rPr>
            </m:ctrlPr>
          </m:sup>
        </m:sSup>
      </m:oMath>
      <w:r>
        <w:rPr>
          <w:rStyle w:val="25"/>
        </w:rPr>
        <w:t xml:space="preserve">= </w:t>
      </w:r>
      <w:r>
        <w:t>Long-run asymmetric coefficients</w:t>
      </w:r>
    </w:p>
    <w:p w14:paraId="590813AF">
      <w:pPr>
        <w:pStyle w:val="12"/>
        <w:numPr>
          <w:ilvl w:val="0"/>
          <w:numId w:val="40"/>
        </w:numPr>
      </w:pPr>
      <m:oMath>
        <m:sSub>
          <m:sSubPr>
            <m:ctrlPr>
              <w:rPr>
                <w:rFonts w:ascii="Cambria Math" w:hAnsi="Cambria Math"/>
                <w:i/>
              </w:rPr>
            </m:ctrlPr>
          </m:sSubPr>
          <m:e>
            <m:r>
              <m:rPr/>
              <w:rPr>
                <w:rFonts w:ascii="Cambria Math" w:hAnsi="Cambria Math"/>
              </w:rPr>
              <m:t>γ</m:t>
            </m:r>
            <m:ctrlPr>
              <w:rPr>
                <w:rFonts w:ascii="Cambria Math" w:hAnsi="Cambria Math"/>
                <w:i/>
              </w:rPr>
            </m:ctrlPr>
          </m:e>
          <m:sub>
            <m:r>
              <m:rPr/>
              <w:rPr>
                <w:rFonts w:ascii="Cambria Math" w:hAnsi="Cambria Math"/>
              </w:rPr>
              <m:t>i</m:t>
            </m:r>
            <m:ctrlPr>
              <w:rPr>
                <w:rFonts w:ascii="Cambria Math" w:hAnsi="Cambria Math"/>
                <w:i/>
              </w:rPr>
            </m:ctrlPr>
          </m:sub>
        </m:sSub>
      </m:oMath>
      <w:r>
        <w:t>: Error correction speed</w:t>
      </w:r>
    </w:p>
    <w:p w14:paraId="25E816AA">
      <w:pPr>
        <w:pStyle w:val="12"/>
        <w:numPr>
          <w:ilvl w:val="0"/>
          <w:numId w:val="40"/>
        </w:numPr>
      </w:pPr>
      <m:oMath>
        <m:sSub>
          <m:sSubPr>
            <m:ctrlPr>
              <w:rPr>
                <w:rFonts w:ascii="Cambria Math" w:hAnsi="Cambria Math"/>
                <w:i/>
              </w:rPr>
            </m:ctrlPr>
          </m:sSubPr>
          <m:e>
            <m:r>
              <m:rPr/>
              <w:rPr>
                <w:rFonts w:ascii="Cambria Math" w:hAnsi="Cambria Math"/>
              </w:rPr>
              <m:t>ε</m:t>
            </m:r>
            <m:ctrlPr>
              <w:rPr>
                <w:rFonts w:ascii="Cambria Math" w:hAnsi="Cambria Math"/>
                <w:i/>
              </w:rPr>
            </m:ctrlPr>
          </m:e>
          <m:sub>
            <m:r>
              <m:rPr/>
              <w:rPr>
                <w:rFonts w:ascii="Cambria Math" w:hAnsi="Cambria Math"/>
              </w:rPr>
              <m:t>it</m:t>
            </m:r>
            <m:ctrlPr>
              <w:rPr>
                <w:rFonts w:ascii="Cambria Math" w:hAnsi="Cambria Math"/>
                <w:i/>
              </w:rPr>
            </m:ctrlPr>
          </m:sub>
        </m:sSub>
      </m:oMath>
      <w:r>
        <w:rPr>
          <w:rFonts w:eastAsiaTheme="minorEastAsia"/>
        </w:rPr>
        <w:t xml:space="preserve"> = </w:t>
      </w:r>
      <w:r>
        <w:t>Error term</w:t>
      </w:r>
    </w:p>
    <w:p w14:paraId="2D5A7974">
      <w:pPr>
        <w:pStyle w:val="12"/>
        <w:numPr>
          <w:ilvl w:val="0"/>
          <w:numId w:val="40"/>
        </w:numPr>
      </w:pPr>
      <m:oMath>
        <m:sSub>
          <m:sSubPr>
            <m:ctrlPr>
              <w:rPr>
                <w:rFonts w:ascii="Cambria Math" w:hAnsi="Cambria Math"/>
                <w:i/>
              </w:rPr>
            </m:ctrlPr>
          </m:sSubPr>
          <m:e>
            <m:r>
              <m:rPr/>
              <w:rPr>
                <w:rFonts w:ascii="Cambria Math" w:hAnsi="Cambria Math"/>
              </w:rPr>
              <m:t>∅</m:t>
            </m:r>
            <m:ctrlPr>
              <w:rPr>
                <w:rFonts w:ascii="Cambria Math" w:hAnsi="Cambria Math"/>
                <w:i/>
              </w:rPr>
            </m:ctrlPr>
          </m:e>
          <m:sub>
            <m:r>
              <m:rPr/>
              <w:rPr>
                <w:rFonts w:ascii="Cambria Math" w:hAnsi="Cambria Math"/>
              </w:rPr>
              <m:t>it</m:t>
            </m:r>
            <m:ctrlPr>
              <w:rPr>
                <w:rFonts w:ascii="Cambria Math" w:hAnsi="Cambria Math"/>
                <w:i/>
              </w:rPr>
            </m:ctrlPr>
          </m:sub>
        </m:sSub>
      </m:oMath>
      <w:r>
        <w:t xml:space="preserve"> = Lag coefficients for the dependent variable</w:t>
      </w:r>
    </w:p>
    <w:p w14:paraId="58B5208E">
      <w:pPr>
        <w:bidi w:val="0"/>
        <w:jc w:val="both"/>
        <w:rPr>
          <w:rFonts w:hint="default" w:ascii="Times New Roman" w:hAnsi="Times New Roman"/>
          <w:sz w:val="24"/>
          <w:szCs w:val="24"/>
        </w:rPr>
      </w:pPr>
      <w:r>
        <w:rPr>
          <w:rFonts w:hint="default" w:ascii="Times New Roman" w:hAnsi="Times New Roman"/>
          <w:sz w:val="24"/>
          <w:szCs w:val="24"/>
        </w:rPr>
        <w:t xml:space="preserve">This equations separates short-run asymmetric impact (which is found in the lagged differences of the decomposed variables) with long-run asymmetric coefficients (which signifies long-lasting relations). The effectiveness of error correction speed is the rate at which the system </w:t>
      </w:r>
      <w:r>
        <w:rPr>
          <w:rFonts w:hint="default" w:ascii="Times New Roman" w:hAnsi="Times New Roman"/>
          <w:sz w:val="24"/>
          <w:szCs w:val="24"/>
          <w:lang w:val="en-US"/>
        </w:rPr>
        <w:t>balances</w:t>
      </w:r>
      <w:r>
        <w:rPr>
          <w:rFonts w:hint="default" w:ascii="Times New Roman" w:hAnsi="Times New Roman"/>
          <w:sz w:val="24"/>
          <w:szCs w:val="24"/>
        </w:rPr>
        <w:t xml:space="preserve"> itself when it is </w:t>
      </w:r>
      <w:r>
        <w:rPr>
          <w:rFonts w:hint="default" w:ascii="Times New Roman" w:hAnsi="Times New Roman"/>
          <w:sz w:val="24"/>
          <w:szCs w:val="24"/>
          <w:lang w:val="en-US"/>
        </w:rPr>
        <w:t>disequilibrium</w:t>
      </w:r>
      <w:r>
        <w:rPr>
          <w:rFonts w:hint="default" w:ascii="Times New Roman" w:hAnsi="Times New Roman"/>
          <w:sz w:val="24"/>
          <w:szCs w:val="24"/>
        </w:rPr>
        <w:t xml:space="preserve">. On the whole, this framework can be potent in </w:t>
      </w:r>
      <w:r>
        <w:rPr>
          <w:rFonts w:hint="default" w:ascii="Times New Roman" w:hAnsi="Times New Roman"/>
          <w:sz w:val="24"/>
          <w:szCs w:val="24"/>
          <w:lang w:val="en-US"/>
        </w:rPr>
        <w:t>revelation</w:t>
      </w:r>
      <w:r>
        <w:rPr>
          <w:rFonts w:hint="default" w:ascii="Times New Roman" w:hAnsi="Times New Roman"/>
          <w:sz w:val="24"/>
          <w:szCs w:val="24"/>
        </w:rPr>
        <w:t xml:space="preserve"> nonlinear and dynamic relationships between technology-based development tools and progress towards Zero Hunger (SDG 2), particularly in the instance where structural changes or worldwide upheavals exist.</w:t>
      </w:r>
    </w:p>
    <w:p w14:paraId="2CF36C16">
      <w:pPr>
        <w:bidi w:val="0"/>
        <w:jc w:val="both"/>
        <w:rPr>
          <w:rFonts w:hint="default" w:ascii="Times New Roman" w:hAnsi="Times New Roman"/>
          <w:sz w:val="24"/>
          <w:szCs w:val="24"/>
        </w:rPr>
      </w:pPr>
    </w:p>
    <w:p w14:paraId="41D46DD4">
      <w:pPr>
        <w:pStyle w:val="3"/>
        <w:numPr>
          <w:ilvl w:val="0"/>
          <w:numId w:val="41"/>
        </w:numPr>
        <w:ind w:left="360" w:leftChars="0" w:firstLineChars="0"/>
        <w:rPr>
          <w:rFonts w:hint="default" w:ascii="Times New Roman" w:hAnsi="Times New Roman" w:eastAsia="Times New Roman" w:cs="Times New Roman"/>
          <w:sz w:val="24"/>
          <w:szCs w:val="24"/>
        </w:rPr>
      </w:pPr>
      <w:bookmarkStart w:id="172" w:name="_Toc29963"/>
      <w:bookmarkStart w:id="173" w:name="_Toc5289"/>
      <w:r>
        <w:rPr>
          <w:rFonts w:hint="default" w:ascii="Times New Roman" w:hAnsi="Times New Roman" w:eastAsia="Times New Roman" w:cs="Times New Roman"/>
          <w:sz w:val="24"/>
          <w:szCs w:val="24"/>
        </w:rPr>
        <w:t>Phase 7: DH Causality Test</w:t>
      </w:r>
      <w:bookmarkEnd w:id="172"/>
      <w:bookmarkEnd w:id="173"/>
    </w:p>
    <w:p w14:paraId="77B9AFFB">
      <w:pPr>
        <w:bidi w:val="0"/>
        <w:jc w:val="both"/>
        <w:rPr>
          <w:rFonts w:hint="default" w:ascii="Times New Roman" w:hAnsi="Times New Roman"/>
          <w:sz w:val="24"/>
          <w:szCs w:val="24"/>
        </w:rPr>
      </w:pPr>
    </w:p>
    <w:p w14:paraId="370A4EF5">
      <w:pPr>
        <w:bidi w:val="0"/>
        <w:ind w:firstLine="480" w:firstLineChars="200"/>
        <w:jc w:val="both"/>
        <w:rPr>
          <w:rFonts w:hint="default" w:ascii="Times New Roman" w:hAnsi="Times New Roman"/>
          <w:sz w:val="24"/>
          <w:szCs w:val="24"/>
        </w:rPr>
      </w:pPr>
      <w:r>
        <w:rPr>
          <w:rFonts w:hint="default" w:ascii="Times New Roman" w:hAnsi="Times New Roman"/>
          <w:sz w:val="24"/>
          <w:szCs w:val="24"/>
        </w:rPr>
        <w:t>The Dumitrescu and Hurlin (DH)</w:t>
      </w:r>
      <w:r>
        <w:rPr>
          <w:rFonts w:hint="default" w:ascii="Times New Roman" w:hAnsi="Times New Roman"/>
          <w:sz w:val="24"/>
          <w:szCs w:val="24"/>
          <w:lang w:val="en-US"/>
        </w:rPr>
        <w:t xml:space="preserve"> </w:t>
      </w:r>
      <w:r>
        <w:rPr>
          <w:rFonts w:hint="default" w:ascii="Times New Roman" w:hAnsi="Times New Roman"/>
          <w:sz w:val="24"/>
          <w:szCs w:val="24"/>
          <w:lang w:val="en-US"/>
        </w:rPr>
        <w:fldChar w:fldCharType="begin"/>
      </w:r>
      <w:r>
        <w:rPr>
          <w:rFonts w:hint="default" w:ascii="Times New Roman" w:hAnsi="Times New Roman"/>
          <w:sz w:val="24"/>
          <w:szCs w:val="24"/>
          <w:lang w:val="en-US"/>
        </w:rPr>
        <w:instrText xml:space="preserve"> ADDIN EN.CITE &lt;EndNote&gt;&lt;Cite AuthorYear="1"&gt;&lt;Author&gt;Balogun&lt;/Author&gt;&lt;Year&gt;2024&lt;/Year&gt;&lt;RecNum&gt;8&lt;/RecNum&gt;&lt;DisplayText&gt;Balogun (2024)&lt;/DisplayText&gt;&lt;record&gt;&lt;rec-number&gt;8&lt;/rec-number&gt;&lt;foreign-keys&gt;&lt;key app="EN" db-id="2t52ftddjzwsxoerapx5vrxm2fdzpaza5sva" timestamp="1752325863"&gt;8&lt;/key&gt;&lt;/foreign-keys&gt;&lt;ref-type name="Journal Article"&gt;17&lt;/ref-type&gt;&lt;contributors&gt;&lt;authors&gt;&lt;author&gt;Balogun, Afolabi Quadri&lt;/author&gt;&lt;/authors&gt;&lt;/contributors&gt;&lt;titles&gt;&lt;title&gt;Energy access and renewable energy consumption in Nigeria: an X-ray of the industrial output&lt;/title&gt;&lt;secondary-title&gt;ENERGY&lt;/secondary-title&gt;&lt;/titles&gt;&lt;periodical&gt;&lt;full-title&gt;ENERGY&lt;/full-title&gt;&lt;/periodical&gt;&lt;pages&gt;221-235&lt;/pages&gt;&lt;volume&gt;4&lt;/volume&gt;&lt;number&gt;1&lt;/number&gt;&lt;dates&gt;&lt;year&gt;2024&lt;/year&gt;&lt;/dates&gt;&lt;urls&gt;&lt;/urls&gt;&lt;/record&gt;&lt;/Cite&gt;&lt;/EndNote&gt;</w:instrText>
      </w:r>
      <w:r>
        <w:rPr>
          <w:rFonts w:hint="default" w:ascii="Times New Roman" w:hAnsi="Times New Roman"/>
          <w:sz w:val="24"/>
          <w:szCs w:val="24"/>
          <w:lang w:val="en-US"/>
        </w:rPr>
        <w:fldChar w:fldCharType="separate"/>
      </w:r>
      <w:r>
        <w:rPr>
          <w:rFonts w:hint="default" w:ascii="Times New Roman" w:hAnsi="Times New Roman" w:eastAsiaTheme="minorHAnsi" w:cstheme="minorBidi"/>
          <w:sz w:val="24"/>
          <w:szCs w:val="24"/>
          <w:lang w:val="en-US" w:eastAsia="en-US" w:bidi="ar-SA"/>
        </w:rPr>
        <w:t>Balogun (2024)</w:t>
      </w:r>
      <w:r>
        <w:rPr>
          <w:rFonts w:hint="default" w:ascii="Times New Roman" w:hAnsi="Times New Roman"/>
          <w:sz w:val="24"/>
          <w:szCs w:val="24"/>
          <w:lang w:val="en-US"/>
        </w:rPr>
        <w:fldChar w:fldCharType="end"/>
      </w:r>
      <w:r>
        <w:rPr>
          <w:rFonts w:hint="default" w:ascii="Times New Roman" w:hAnsi="Times New Roman"/>
          <w:sz w:val="24"/>
          <w:szCs w:val="24"/>
        </w:rPr>
        <w:t xml:space="preserve"> causality test is a </w:t>
      </w:r>
      <w:r>
        <w:rPr>
          <w:rFonts w:hint="default" w:ascii="Times New Roman" w:hAnsi="Times New Roman"/>
          <w:sz w:val="24"/>
          <w:szCs w:val="24"/>
          <w:lang w:val="en-US"/>
        </w:rPr>
        <w:t>penalized</w:t>
      </w:r>
      <w:r>
        <w:rPr>
          <w:rFonts w:hint="default" w:ascii="Times New Roman" w:hAnsi="Times New Roman"/>
          <w:sz w:val="24"/>
          <w:szCs w:val="24"/>
        </w:rPr>
        <w:t xml:space="preserve"> version of the </w:t>
      </w:r>
      <w:r>
        <w:rPr>
          <w:rFonts w:hint="default" w:ascii="Times New Roman" w:hAnsi="Times New Roman"/>
          <w:sz w:val="24"/>
          <w:szCs w:val="24"/>
          <w:lang w:val="en-US"/>
        </w:rPr>
        <w:t>Grange</w:t>
      </w:r>
      <w:r>
        <w:rPr>
          <w:rFonts w:hint="default" w:ascii="Times New Roman" w:hAnsi="Times New Roman"/>
          <w:sz w:val="24"/>
          <w:szCs w:val="24"/>
        </w:rPr>
        <w:t xml:space="preserve"> test of causality. It permits cross-sectional heterogeneity in causal associations and recognizes that causal relationship between variables might possibly not be the same across units.Causality is an important issue in policy-making and economics. The tests of traditional causality presuppose the </w:t>
      </w:r>
      <w:r>
        <w:rPr>
          <w:rFonts w:hint="default" w:ascii="Times New Roman" w:hAnsi="Times New Roman"/>
          <w:sz w:val="24"/>
          <w:szCs w:val="24"/>
          <w:lang w:val="en-US"/>
        </w:rPr>
        <w:t>homogeneous</w:t>
      </w:r>
      <w:r>
        <w:rPr>
          <w:rFonts w:hint="default" w:ascii="Times New Roman" w:hAnsi="Times New Roman"/>
          <w:sz w:val="24"/>
          <w:szCs w:val="24"/>
        </w:rPr>
        <w:t xml:space="preserve"> causal structure of all units which is not always true in various panel data. The DH test can be used to establish whether any change in an individual variable is systematically followed by corresponding change in another one and at the same time, it permits varying causal relationships between the different entities. This adaptability renders it very pertinent to empirical analysis in macroeconomics, finance and policy analysis.</w:t>
      </w:r>
    </w:p>
    <w:p w14:paraId="0D54EC33">
      <w:pPr>
        <w:bidi w:val="0"/>
        <w:jc w:val="both"/>
        <w:rPr>
          <w:rFonts w:hint="default" w:ascii="Times New Roman" w:hAnsi="Times New Roman"/>
          <w:sz w:val="24"/>
          <w:szCs w:val="24"/>
        </w:rPr>
      </w:pPr>
      <w:r>
        <w:rPr>
          <w:rFonts w:hint="default" w:ascii="Times New Roman" w:hAnsi="Times New Roman"/>
          <w:sz w:val="24"/>
          <w:szCs w:val="24"/>
        </w:rPr>
        <w:t>Identifies Causality in the Panel Data Observes the existence of causality in a given relationship of the variables whereby one can determine a dependent variable to predict another. This informs most policy and investment choices. Scores Heterogeneity In contrast to the traditional Grange causality tests, the DH test admits heterogeneity in the causality, which is gentler. Handles Short Panel Data Creating handles which act well even when the time dimensions are low i.e. handles most of the real world data. Causality is Key to Policy and Economic Decisions No knowledge of the causality relationship between two variables is crucial in deciding the direction in which one variable has an influence on another; this is critical in making decisions in finance, economics and policy-making.</w:t>
      </w:r>
    </w:p>
    <w:p w14:paraId="681B8321">
      <w:pPr>
        <w:jc w:val="both"/>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 xml:space="preserve">DH Causality Test Equation: </w:t>
      </w:r>
    </w:p>
    <w:p w14:paraId="01CBF532">
      <w:pPr>
        <w:ind w:firstLine="960" w:firstLineChars="400"/>
        <w:jc w:val="both"/>
        <w:rPr>
          <w:rFonts w:hAnsi="Cambria Math" w:eastAsia="Times New Roman" w:cs="Times New Roman"/>
          <w:i/>
          <w:sz w:val="24"/>
          <w:szCs w:val="24"/>
        </w:rPr>
      </w:pPr>
      <w:r>
        <w:rPr>
          <w:rFonts w:ascii="Times New Roman" w:hAnsi="Times New Roman" w:eastAsia="Times New Roman" w:cs="Times New Roman"/>
          <w:sz w:val="24"/>
          <w:szCs w:val="24"/>
        </w:rPr>
        <w:t xml:space="preserve">ZH </w:t>
      </w:r>
      <w:r>
        <w:rPr>
          <w:rFonts w:ascii="Times New Roman" w:hAnsi="Times New Roman" w:eastAsia="Times New Roman" w:cs="Times New Roman"/>
          <w:sz w:val="24"/>
          <w:szCs w:val="24"/>
          <w:vertAlign w:val="subscript"/>
        </w:rPr>
        <w:t xml:space="preserve">it </w:t>
      </w:r>
      <w:r>
        <w:rPr>
          <w:rFonts w:ascii="Times New Roman" w:hAnsi="Times New Roman" w:eastAsia="Times New Roman" w:cs="Times New Roman"/>
          <w:sz w:val="24"/>
          <w:szCs w:val="24"/>
        </w:rPr>
        <w:t xml:space="preserve">= </w:t>
      </w:r>
      <m:oMath>
        <m:sSub>
          <w:bookmarkStart w:id="174" w:name="_Hlk196164789"/>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α</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m:t>
            </m:r>
            <w:bookmarkEnd w:id="174"/>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
                <w:sz w:val="24"/>
                <w:szCs w:val="24"/>
              </w:rPr>
            </m:ctrlPr>
          </m:naryPr>
          <m:sub>
            <m:r>
              <m:rPr/>
              <w:rPr>
                <w:rFonts w:ascii="Cambria Math" w:hAnsi="Cambria Math" w:eastAsia="Times New Roman" w:cs="Times New Roman"/>
                <w:sz w:val="24"/>
                <w:szCs w:val="24"/>
              </w:rPr>
              <m:t>k=1</m:t>
            </m:r>
            <m:ctrlPr>
              <w:rPr>
                <w:rFonts w:ascii="Cambria Math" w:hAnsi="Cambria Math" w:eastAsia="Times New Roman" w:cs="Times New Roman"/>
                <w:i/>
                <w:sz w:val="24"/>
                <w:szCs w:val="24"/>
              </w:rPr>
            </m:ctrlPr>
          </m:sub>
          <m:sup>
            <m:r>
              <m:rPr/>
              <w:rPr>
                <w:rFonts w:ascii="Cambria Math" w:hAnsi="Cambria Math" w:eastAsia="Times New Roman" w:cs="Times New Roman"/>
                <w:sz w:val="24"/>
                <w:szCs w:val="24"/>
              </w:rPr>
              <m:t>k</m:t>
            </m:r>
            <w:bookmarkStart w:id="175" w:name="_Hlk196164674"/>
            <m:ctrlPr>
              <w:rPr>
                <w:rFonts w:ascii="Cambria Math" w:hAnsi="Cambria Math" w:eastAsia="Times New Roman" w:cs="Times New Roman"/>
                <w:i/>
                <w:sz w:val="24"/>
                <w:szCs w:val="24"/>
              </w:rPr>
            </m:ctrlPr>
          </m:sup>
          <m:e>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γ</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ik</m:t>
                </m:r>
                <w:bookmarkEnd w:id="175"/>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ctrlPr>
              <w:rPr>
                <w:rFonts w:ascii="Cambria Math" w:hAnsi="Cambria Math" w:eastAsia="Times New Roman" w:cs="Times New Roman"/>
                <w:i/>
                <w:sz w:val="24"/>
                <w:szCs w:val="24"/>
              </w:rPr>
            </m:ctrlPr>
          </m:e>
        </m:nary>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ZH</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it−k</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
                <w:sz w:val="24"/>
                <w:szCs w:val="24"/>
              </w:rPr>
            </m:ctrlPr>
          </m:naryPr>
          <m:sub>
            <m:r>
              <m:rPr/>
              <w:rPr>
                <w:rFonts w:ascii="Cambria Math" w:hAnsi="Cambria Math" w:eastAsia="Times New Roman" w:cs="Times New Roman"/>
                <w:sz w:val="24"/>
                <w:szCs w:val="24"/>
              </w:rPr>
              <m:t>k=1</m:t>
            </m:r>
            <m:ctrlPr>
              <w:rPr>
                <w:rFonts w:ascii="Cambria Math" w:hAnsi="Cambria Math" w:eastAsia="Times New Roman" w:cs="Times New Roman"/>
                <w:i/>
                <w:sz w:val="24"/>
                <w:szCs w:val="24"/>
              </w:rPr>
            </m:ctrlPr>
          </m:sub>
          <m:sup>
            <m:r>
              <m:rPr/>
              <w:rPr>
                <w:rFonts w:ascii="Cambria Math" w:hAnsi="Cambria Math" w:eastAsia="Times New Roman" w:cs="Times New Roman"/>
                <w:sz w:val="24"/>
                <w:szCs w:val="24"/>
              </w:rPr>
              <m:t>k</m:t>
            </m:r>
            <m:ctrlPr>
              <w:rPr>
                <w:rFonts w:ascii="Cambria Math" w:hAnsi="Cambria Math" w:eastAsia="Times New Roman" w:cs="Times New Roman"/>
                <w:i/>
                <w:sz w:val="24"/>
                <w:szCs w:val="24"/>
              </w:rPr>
            </m:ctrlPr>
          </m:sup>
          <m:e>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ik</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 xml:space="preserve">DP </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i,t−k</m:t>
                </m:r>
                <m:ctrlPr>
                  <w:rPr>
                    <w:rFonts w:ascii="Cambria Math" w:hAnsi="Cambria Math" w:eastAsia="Times New Roman" w:cs="Times New Roman"/>
                    <w:i/>
                    <w:sz w:val="24"/>
                    <w:szCs w:val="24"/>
                  </w:rPr>
                </m:ctrlPr>
              </m:sub>
            </m:sSub>
            <m:ctrlPr>
              <w:rPr>
                <w:rFonts w:ascii="Cambria Math" w:hAnsi="Cambria Math" w:eastAsia="Times New Roman" w:cs="Times New Roman"/>
                <w:i/>
                <w:sz w:val="24"/>
                <w:szCs w:val="24"/>
              </w:rPr>
            </m:ctrlPr>
          </m:e>
        </m:nary>
      </m:oMath>
    </w:p>
    <w:p w14:paraId="39299F76">
      <w:pPr>
        <w:spacing w:before="100" w:beforeAutospacing="1" w:after="100" w:afterAutospacing="1" w:line="240" w:lineRule="auto"/>
        <w:ind w:firstLine="1440" w:firstLineChars="600"/>
        <w:jc w:val="both"/>
        <w:rPr>
          <w:rFonts w:ascii="Times New Roman" w:hAnsi="Times New Roman" w:eastAsia="Times New Roman" w:cs="Times New Roman"/>
          <w:b/>
          <w:bCs/>
          <w:sz w:val="24"/>
          <w:szCs w:val="24"/>
        </w:rPr>
      </w:pPr>
      <m:oMath>
        <m:r>
          <m:rPr/>
          <w:rPr>
            <w:rFonts w:ascii="Cambria Math" w:hAnsi="Cambria Math" w:eastAsia="Times New Roman" w:cs="Times New Roman"/>
            <w:sz w:val="24"/>
            <w:szCs w:val="24"/>
          </w:rPr>
          <m:t>+</m:t>
        </m:r>
        <m:nary>
          <m:naryPr>
            <m:chr m:val="∑"/>
            <m:limLoc m:val="undOvr"/>
            <m:ctrlPr>
              <w:rPr>
                <w:rFonts w:ascii="Cambria Math" w:hAnsi="Cambria Math" w:eastAsia="Times New Roman" w:cs="Times New Roman"/>
                <w:i/>
                <w:sz w:val="24"/>
                <w:szCs w:val="24"/>
              </w:rPr>
            </m:ctrlPr>
          </m:naryPr>
          <m:sub>
            <m:r>
              <m:rPr/>
              <w:rPr>
                <w:rFonts w:ascii="Cambria Math" w:hAnsi="Cambria Math" w:eastAsia="Times New Roman" w:cs="Times New Roman"/>
                <w:sz w:val="24"/>
                <w:szCs w:val="24"/>
              </w:rPr>
              <m:t>k=1</m:t>
            </m:r>
            <m:ctrlPr>
              <w:rPr>
                <w:rFonts w:ascii="Cambria Math" w:hAnsi="Cambria Math" w:eastAsia="Times New Roman" w:cs="Times New Roman"/>
                <w:i/>
                <w:sz w:val="24"/>
                <w:szCs w:val="24"/>
              </w:rPr>
            </m:ctrlPr>
          </m:sub>
          <m:sup>
            <m:r>
              <m:rPr/>
              <w:rPr>
                <w:rFonts w:ascii="Cambria Math" w:hAnsi="Cambria Math" w:eastAsia="Times New Roman" w:cs="Times New Roman"/>
                <w:sz w:val="24"/>
                <w:szCs w:val="24"/>
              </w:rPr>
              <m:t>k</m:t>
            </m:r>
            <m:ctrlPr>
              <w:rPr>
                <w:rFonts w:ascii="Cambria Math" w:hAnsi="Cambria Math" w:eastAsia="Times New Roman" w:cs="Times New Roman"/>
                <w:i/>
                <w:sz w:val="24"/>
                <w:szCs w:val="24"/>
              </w:rPr>
            </m:ctrlPr>
          </m:sup>
          <m:e>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ik</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 xml:space="preserve">FI </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i,t−k</m:t>
                </m:r>
                <m:ctrlPr>
                  <w:rPr>
                    <w:rFonts w:ascii="Cambria Math" w:hAnsi="Cambria Math" w:eastAsia="Times New Roman" w:cs="Times New Roman"/>
                    <w:i/>
                    <w:sz w:val="24"/>
                    <w:szCs w:val="24"/>
                  </w:rPr>
                </m:ctrlPr>
              </m:sub>
            </m:sSub>
            <m:ctrlPr>
              <w:rPr>
                <w:rFonts w:ascii="Cambria Math" w:hAnsi="Cambria Math" w:eastAsia="Times New Roman" w:cs="Times New Roman"/>
                <w:i/>
                <w:sz w:val="24"/>
                <w:szCs w:val="24"/>
              </w:rPr>
            </m:ctrlPr>
          </m:e>
        </m:nary>
        <m:r>
          <m:rPr/>
          <w:rPr>
            <w:rFonts w:ascii="Cambria Math" w:hAnsi="Cambria Math" w:eastAsia="Times New Roman" w:cs="Times New Roman"/>
            <w:sz w:val="24"/>
            <w:szCs w:val="24"/>
          </w:rPr>
          <m:t xml:space="preserve">+ </m:t>
        </m:r>
        <m:nary>
          <m:naryPr>
            <m:chr m:val="∑"/>
            <m:limLoc m:val="undOvr"/>
            <m:ctrlPr>
              <w:rPr>
                <w:rFonts w:ascii="Cambria Math" w:hAnsi="Cambria Math" w:eastAsia="Times New Roman" w:cs="Times New Roman"/>
                <w:i/>
                <w:sz w:val="24"/>
                <w:szCs w:val="24"/>
              </w:rPr>
            </m:ctrlPr>
          </m:naryPr>
          <m:sub>
            <m:r>
              <m:rPr/>
              <w:rPr>
                <w:rFonts w:ascii="Cambria Math" w:hAnsi="Cambria Math" w:eastAsia="Times New Roman" w:cs="Times New Roman"/>
                <w:sz w:val="24"/>
                <w:szCs w:val="24"/>
              </w:rPr>
              <m:t>k=1</m:t>
            </m:r>
            <m:ctrlPr>
              <w:rPr>
                <w:rFonts w:ascii="Cambria Math" w:hAnsi="Cambria Math" w:eastAsia="Times New Roman" w:cs="Times New Roman"/>
                <w:i/>
                <w:sz w:val="24"/>
                <w:szCs w:val="24"/>
              </w:rPr>
            </m:ctrlPr>
          </m:sub>
          <m:sup>
            <m:r>
              <m:rPr/>
              <w:rPr>
                <w:rFonts w:ascii="Cambria Math" w:hAnsi="Cambria Math" w:eastAsia="Times New Roman" w:cs="Times New Roman"/>
                <w:sz w:val="24"/>
                <w:szCs w:val="24"/>
              </w:rPr>
              <m:t>k</m:t>
            </m:r>
            <m:ctrlPr>
              <w:rPr>
                <w:rFonts w:ascii="Cambria Math" w:hAnsi="Cambria Math" w:eastAsia="Times New Roman" w:cs="Times New Roman"/>
                <w:i/>
                <w:sz w:val="24"/>
                <w:szCs w:val="24"/>
              </w:rPr>
            </m:ctrlPr>
          </m:sup>
          <m:e>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ik</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 xml:space="preserve">TI </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i,t−k</m:t>
                </m:r>
                <m:ctrlPr>
                  <w:rPr>
                    <w:rFonts w:ascii="Cambria Math" w:hAnsi="Cambria Math" w:eastAsia="Times New Roman" w:cs="Times New Roman"/>
                    <w:i/>
                    <w:sz w:val="24"/>
                    <w:szCs w:val="24"/>
                  </w:rPr>
                </m:ctrlPr>
              </m:sub>
            </m:sSub>
            <m:ctrlPr>
              <w:rPr>
                <w:rFonts w:ascii="Cambria Math" w:hAnsi="Cambria Math" w:eastAsia="Times New Roman" w:cs="Times New Roman"/>
                <w:i/>
                <w:sz w:val="24"/>
                <w:szCs w:val="24"/>
              </w:rPr>
            </m:ctrlPr>
          </m:e>
        </m:nary>
        <m:r>
          <m:rPr/>
          <w:rPr>
            <w:rFonts w:ascii="Cambria Math" w:hAnsi="Cambria Math" w:eastAsia="Times New Roman" w:cs="Times New Roman"/>
            <w:sz w:val="24"/>
            <w:szCs w:val="24"/>
          </w:rPr>
          <m:t xml:space="preserve"> </m:t>
        </m:r>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ϵ</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it</m:t>
            </m:r>
            <m:ctrlPr>
              <w:rPr>
                <w:rFonts w:ascii="Cambria Math" w:hAnsi="Cambria Math" w:eastAsia="Times New Roman" w:cs="Times New Roman"/>
                <w:i/>
                <w:sz w:val="24"/>
                <w:szCs w:val="24"/>
              </w:rPr>
            </m:ctrlPr>
          </m:sub>
        </m:sSub>
      </m:oMath>
      <w:r>
        <w:rPr>
          <w:rFonts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 xml:space="preserve">   </w:t>
      </w:r>
      <w:r>
        <w:rPr>
          <w:rFonts w:ascii="Times New Roman" w:hAnsi="Times New Roman" w:eastAsia="Times New Roman" w:cs="Times New Roman"/>
          <w:b/>
          <w:bCs/>
          <w:sz w:val="24"/>
          <w:szCs w:val="24"/>
        </w:rPr>
        <w:t>(13)</w:t>
      </w:r>
    </w:p>
    <w:p w14:paraId="0CD75261">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Where:</w:t>
      </w:r>
    </w:p>
    <w:p w14:paraId="39496F42">
      <w:pPr>
        <w:pStyle w:val="19"/>
        <w:numPr>
          <w:ilvl w:val="0"/>
          <w:numId w:val="42"/>
        </w:numPr>
        <w:spacing w:before="100" w:beforeAutospacing="1" w:after="100" w:afterAutospacing="1" w:line="240" w:lineRule="auto"/>
        <w:ind w:left="300" w:leftChars="0"/>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α</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r>
          <m:rPr>
            <m:sty m:val="p"/>
          </m:rPr>
          <w:rPr>
            <w:rFonts w:ascii="Cambria Math" w:hAnsi="Cambria Math" w:cs="Times New Roman"/>
            <w:sz w:val="24"/>
            <w:szCs w:val="24"/>
          </w:rPr>
          <m:t>is the individual fixed effect</m:t>
        </m:r>
      </m:oMath>
    </w:p>
    <w:p w14:paraId="513E002E">
      <w:pPr>
        <w:pStyle w:val="19"/>
        <w:numPr>
          <w:ilvl w:val="0"/>
          <w:numId w:val="42"/>
        </w:numPr>
        <w:spacing w:before="100" w:beforeAutospacing="1" w:after="100" w:afterAutospacing="1" w:line="240" w:lineRule="auto"/>
        <w:ind w:left="300" w:left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 </w:t>
      </w:r>
      <w:r>
        <w:rPr>
          <w:rFonts w:ascii="Times New Roman" w:hAnsi="Times New Roman" w:cs="Times New Roman"/>
          <w:sz w:val="24"/>
          <w:szCs w:val="24"/>
        </w:rPr>
        <w:t>is the lag order (assumed uniform across individuals)</w:t>
      </w:r>
    </w:p>
    <w:p w14:paraId="232BB17D">
      <w:pPr>
        <w:pStyle w:val="19"/>
        <w:numPr>
          <w:ilvl w:val="0"/>
          <w:numId w:val="42"/>
        </w:numPr>
        <w:spacing w:before="100" w:beforeAutospacing="1" w:after="100" w:afterAutospacing="1" w:line="240" w:lineRule="auto"/>
        <w:ind w:left="300" w:leftChars="0"/>
        <w:jc w:val="both"/>
        <w:rPr>
          <w:rFonts w:ascii="Times New Roman" w:hAnsi="Times New Roman" w:eastAsia="Times New Roman" w:cs="Times New Roman"/>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γ</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ik</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and </m:t>
        </m:r>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ik</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r>
          <m:rPr>
            <m:sty m:val="p"/>
          </m:rPr>
          <w:rPr>
            <w:rFonts w:ascii="Cambria Math" w:hAnsi="Cambria Math" w:cs="Times New Roman"/>
            <w:sz w:val="24"/>
            <w:szCs w:val="24"/>
          </w:rPr>
          <m:t>are the coefficients of the lagged dependent</m:t>
        </m:r>
        <m:r>
          <m:rPr>
            <m:sty m:val="p"/>
          </m:rPr>
          <w:rPr>
            <w:rFonts w:hint="default" w:ascii="Cambria Math" w:hAnsi="Cambria Math" w:cs="Times New Roman"/>
            <w:sz w:val="24"/>
            <w:szCs w:val="24"/>
            <w:lang w:val="en-US"/>
          </w:rPr>
          <m:t xml:space="preserve"> </m:t>
        </m:r>
        <m:r>
          <m:rPr>
            <m:sty m:val="p"/>
          </m:rPr>
          <w:rPr>
            <w:rFonts w:ascii="Cambria Math" w:hAnsi="Cambria Math" w:cs="Times New Roman"/>
            <w:sz w:val="24"/>
            <w:szCs w:val="24"/>
          </w:rPr>
          <m:t xml:space="preserve">and independent variables </m:t>
        </m:r>
      </m:oMath>
    </w:p>
    <w:p w14:paraId="7EDD2830">
      <w:pPr>
        <w:pStyle w:val="19"/>
        <w:numPr>
          <w:ilvl w:val="0"/>
          <w:numId w:val="42"/>
        </w:numPr>
        <w:spacing w:before="100" w:beforeAutospacing="1" w:after="100" w:afterAutospacing="1" w:line="240" w:lineRule="auto"/>
        <w:ind w:left="300" w:leftChars="0"/>
        <w:jc w:val="both"/>
        <w:rPr>
          <w:rFonts w:ascii="Times New Roman" w:hAnsi="Times New Roman" w:eastAsia="Times New Roman" w:cs="Times New Roman"/>
          <w:sz w:val="24"/>
          <w:szCs w:val="24"/>
        </w:rPr>
      </w:pPr>
      <m:oMath>
        <m:sSub>
          <m:sSubPr>
            <m:ctrlPr>
              <w:rPr>
                <w:rFonts w:ascii="Cambria Math" w:hAnsi="Cambria Math" w:cs="Times New Roman"/>
                <w:i/>
                <w:sz w:val="24"/>
                <w:szCs w:val="24"/>
              </w:rPr>
            </m:ctrlPr>
          </m:sSubPr>
          <m:e>
            <m:r>
              <m:rPr/>
              <w:rPr>
                <w:rFonts w:ascii="Cambria Math" w:hAnsi="Cambria Math" w:cs="Times New Roman"/>
                <w:sz w:val="24"/>
                <w:szCs w:val="24"/>
              </w:rPr>
              <m:t>ε</m:t>
            </m:r>
            <m:ctrlPr>
              <w:rPr>
                <w:rFonts w:ascii="Cambria Math" w:hAnsi="Cambria Math" w:cs="Times New Roman"/>
                <w:i/>
                <w:sz w:val="24"/>
                <w:szCs w:val="24"/>
              </w:rPr>
            </m:ctrlPr>
          </m:e>
          <m:sub>
            <m:r>
              <m:rPr/>
              <w:rPr>
                <w:rFonts w:ascii="Cambria Math" w:hAnsi="Cambria Math" w:cs="Times New Roman"/>
                <w:sz w:val="24"/>
                <w:szCs w:val="24"/>
              </w:rPr>
              <m:t>it</m:t>
            </m:r>
            <m:ctrlPr>
              <w:rPr>
                <w:rFonts w:ascii="Cambria Math" w:hAnsi="Cambria Math" w:cs="Times New Roman"/>
                <w:i/>
                <w:sz w:val="24"/>
                <w:szCs w:val="24"/>
              </w:rPr>
            </m:ctrlPr>
          </m:sub>
        </m:sSub>
        <m:r>
          <m:rPr/>
          <w:rPr>
            <w:rFonts w:ascii="Cambria Math" w:hAnsi="Cambria Math" w:cs="Times New Roman"/>
            <w:sz w:val="24"/>
            <w:szCs w:val="24"/>
          </w:rPr>
          <m:t xml:space="preserve"> is tℎe error term</m:t>
        </m:r>
      </m:oMath>
    </w:p>
    <w:p w14:paraId="02A21D56">
      <w:pPr>
        <w:pStyle w:val="19"/>
        <w:spacing w:before="100" w:beforeAutospacing="1" w:after="100" w:afterAutospacing="1" w:line="240" w:lineRule="auto"/>
        <w:jc w:val="both"/>
        <w:rPr>
          <w:rFonts w:ascii="Times New Roman" w:hAnsi="Times New Roman" w:eastAsia="Times New Roman" w:cs="Times New Roman"/>
          <w:sz w:val="24"/>
          <w:szCs w:val="24"/>
        </w:rPr>
      </w:pPr>
    </w:p>
    <w:p w14:paraId="234A08F1">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Hypotheses:</w:t>
      </w:r>
    </w:p>
    <w:p w14:paraId="7D48BEF3">
      <w:pPr>
        <w:spacing w:before="100" w:beforeAutospacing="1" w:after="100" w:afterAutospacing="1" w:line="240" w:lineRule="auto"/>
        <w:jc w:val="both"/>
        <w:rPr>
          <w:rFonts w:ascii="Times New Roman" w:hAnsi="Times New Roman" w:cs="Times New Roman" w:eastAsiaTheme="minorEastAsia"/>
          <w:sz w:val="24"/>
          <w:szCs w:val="24"/>
        </w:rPr>
      </w:pPr>
      <w:r>
        <w:rPr>
          <w:rFonts w:ascii="Times New Roman" w:hAnsi="Times New Roman" w:cs="Times New Roman"/>
          <w:sz w:val="24"/>
          <w:szCs w:val="24"/>
        </w:rPr>
        <w:t xml:space="preserve">Null Hypothesis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m:rPr/>
                  <w:rPr>
                    <w:rFonts w:ascii="Cambria Math" w:hAnsi="Cambria Math" w:cs="Times New Roman"/>
                    <w:sz w:val="24"/>
                    <w:szCs w:val="24"/>
                  </w:rPr>
                  <m:t>H</m:t>
                </m:r>
                <m:ctrlPr>
                  <w:rPr>
                    <w:rFonts w:ascii="Cambria Math" w:hAnsi="Cambria Math" w:cs="Times New Roman"/>
                    <w:i/>
                    <w:sz w:val="24"/>
                    <w:szCs w:val="24"/>
                  </w:rPr>
                </m:ctrlPr>
              </m:e>
              <m:sub>
                <m:r>
                  <m:rPr/>
                  <w:rPr>
                    <w:rFonts w:ascii="Cambria Math" w:hAnsi="Cambria Math" w:cs="Times New Roman"/>
                    <w:sz w:val="24"/>
                    <w:szCs w:val="24"/>
                  </w:rPr>
                  <m:t>o</m:t>
                </m:r>
                <m:ctrlPr>
                  <w:rPr>
                    <w:rFonts w:ascii="Cambria Math" w:hAnsi="Cambria Math" w:cs="Times New Roman"/>
                    <w:i/>
                    <w:sz w:val="24"/>
                    <w:szCs w:val="24"/>
                  </w:rPr>
                </m:ctrlPr>
              </m:sub>
            </m:sSub>
            <m:ctrlPr>
              <w:rPr>
                <w:rFonts w:ascii="Cambria Math" w:hAnsi="Cambria Math" w:cs="Times New Roman"/>
                <w:i/>
                <w:sz w:val="24"/>
                <w:szCs w:val="24"/>
              </w:rPr>
            </m:ctrlPr>
          </m:e>
        </m:d>
      </m:oMath>
      <w:r>
        <w:rPr>
          <w:rFonts w:ascii="Times New Roman" w:hAnsi="Times New Roman" w:cs="Times New Roman" w:eastAsiaTheme="minorEastAsia"/>
          <w:sz w:val="24"/>
          <w:szCs w:val="24"/>
        </w:rPr>
        <w:t>:</w:t>
      </w:r>
    </w:p>
    <w:p w14:paraId="498D3132">
      <w:pPr>
        <w:pStyle w:val="19"/>
        <w:numPr>
          <w:ilvl w:val="0"/>
          <w:numId w:val="43"/>
        </w:numPr>
        <w:spacing w:before="100" w:beforeAutospacing="1" w:after="100" w:afterAutospacing="1" w:line="240" w:lineRule="auto"/>
        <w:jc w:val="both"/>
        <w:rPr>
          <w:rFonts w:ascii="Times New Roman" w:hAnsi="Times New Roman" w:cs="Times New Roman" w:eastAsiaTheme="minorEastAsia"/>
          <w:sz w:val="24"/>
          <w:szCs w:val="24"/>
        </w:rPr>
      </w:pPr>
      <w:bookmarkStart w:id="176" w:name="_Hlk196165281"/>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i1</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i2</m:t>
            </m:r>
            <m:ctrlPr>
              <w:rPr>
                <w:rFonts w:ascii="Cambria Math" w:hAnsi="Cambria Math" w:eastAsia="Times New Roman" w:cs="Times New Roman"/>
                <w:i/>
                <w:sz w:val="24"/>
                <w:szCs w:val="24"/>
              </w:rPr>
            </m:ctrlPr>
          </m:sub>
        </m:sSub>
      </m:oMath>
      <w:r>
        <w:rPr>
          <w:rFonts w:ascii="Times New Roman" w:hAnsi="Times New Roman" w:cs="Times New Roman" w:eastAsiaTheme="minorEastAsia"/>
          <w:sz w:val="24"/>
          <w:szCs w:val="24"/>
        </w:rPr>
        <w:t xml:space="preserve"> (1)</w:t>
      </w:r>
    </w:p>
    <w:bookmarkEnd w:id="176"/>
    <w:p w14:paraId="1DAC0A5F">
      <w:pPr>
        <w:pStyle w:val="19"/>
        <w:numPr>
          <w:ilvl w:val="0"/>
          <w:numId w:val="43"/>
        </w:numPr>
        <w:spacing w:before="100" w:beforeAutospacing="1" w:after="100" w:afterAutospacing="1" w:line="240" w:lineRule="auto"/>
        <w:jc w:val="both"/>
        <w:rPr>
          <w:rFonts w:ascii="Times New Roman" w:hAnsi="Times New Roman" w:cs="Times New Roman" w:eastAsiaTheme="minorEastAsia"/>
          <w:sz w:val="24"/>
          <w:szCs w:val="24"/>
        </w:rPr>
      </w:pPr>
      <m:oMath>
        <m:sSub>
          <w:bookmarkStart w:id="177" w:name="_Hlk196165292"/>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β</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ik</m:t>
            </m:r>
            <m:ctrlPr>
              <w:rPr>
                <w:rFonts w:ascii="Cambria Math" w:hAnsi="Cambria Math" w:cs="Times New Roman" w:eastAsiaTheme="minorEastAsia"/>
                <w:i/>
                <w:sz w:val="24"/>
                <w:szCs w:val="24"/>
              </w:rPr>
            </m:ctrlPr>
          </m:sub>
        </m:sSub>
        <m:r>
          <m:rPr/>
          <w:rPr>
            <w:rFonts w:ascii="Cambria Math" w:hAnsi="Cambria Math" w:cs="Times New Roman" w:eastAsiaTheme="minorEastAsia"/>
            <w:sz w:val="24"/>
            <w:szCs w:val="24"/>
          </w:rPr>
          <m:t>=0</m:t>
        </m:r>
        <w:bookmarkEnd w:id="177"/>
        <m:r>
          <m:rPr>
            <m:sty m:val="p"/>
          </m:rPr>
          <w:rPr>
            <w:rFonts w:ascii="Cambria Math" w:hAnsi="Cambria Math" w:cs="Times New Roman" w:eastAsiaTheme="minorEastAsia"/>
            <w:sz w:val="24"/>
            <w:szCs w:val="24"/>
          </w:rPr>
          <m:t xml:space="preserve"> </m:t>
        </m:r>
      </m:oMath>
    </w:p>
    <w:p w14:paraId="39EB920E">
      <w:pPr>
        <w:pStyle w:val="19"/>
        <w:numPr>
          <w:ilvl w:val="0"/>
          <w:numId w:val="43"/>
        </w:numPr>
        <w:spacing w:before="100" w:beforeAutospacing="1" w:after="100" w:afterAutospacing="1" w:line="240" w:lineRule="auto"/>
        <w:jc w:val="both"/>
        <w:rPr>
          <w:rFonts w:ascii="Times New Roman" w:hAnsi="Times New Roman" w:cs="Times New Roman" w:eastAsiaTheme="minorEastAsia"/>
          <w:sz w:val="24"/>
          <w:szCs w:val="24"/>
        </w:rPr>
      </w:pPr>
      <m:oMath>
        <m:sSub>
          <w:bookmarkStart w:id="178" w:name="_Hlk196165316"/>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i</m:t>
            </m:r>
            <m:ctrlPr>
              <w:rPr>
                <w:rFonts w:ascii="Cambria Math" w:hAnsi="Cambria Math" w:cs="Times New Roman" w:eastAsiaTheme="minorEastAsia"/>
                <w:i/>
                <w:sz w:val="24"/>
                <w:szCs w:val="24"/>
              </w:rPr>
            </m:ctrlPr>
          </m:sub>
        </m:sSub>
      </m:oMath>
      <w:r>
        <w:rPr>
          <w:rFonts w:ascii="Times New Roman" w:hAnsi="Times New Roman" w:cs="Times New Roman" w:eastAsiaTheme="minorEastAsia"/>
          <w:sz w:val="24"/>
          <w:szCs w:val="24"/>
        </w:rPr>
        <w:t xml:space="preserve"> = 1,…,N</w:t>
      </w:r>
    </w:p>
    <w:bookmarkEnd w:id="178"/>
    <w:p w14:paraId="3B33CFF9">
      <w:pPr>
        <w:jc w:val="both"/>
        <w:rPr>
          <w:rFonts w:ascii="Times New Roman" w:hAnsi="Times New Roman" w:cs="Times New Roman" w:eastAsiaTheme="minorEastAsia"/>
          <w:sz w:val="24"/>
          <w:szCs w:val="24"/>
        </w:rPr>
      </w:pPr>
      <w:r>
        <w:rPr>
          <w:rFonts w:ascii="Times New Roman" w:hAnsi="Times New Roman" w:cs="Times New Roman"/>
          <w:sz w:val="24"/>
          <w:szCs w:val="24"/>
        </w:rPr>
        <w:t>Alternative Hypothesis (</w:t>
      </w:r>
      <m:oMath>
        <m:sSub>
          <m:sSubPr>
            <m:ctrlPr>
              <w:rPr>
                <w:rFonts w:ascii="Cambria Math" w:hAnsi="Cambria Math" w:cs="Times New Roman"/>
                <w:i/>
                <w:sz w:val="24"/>
                <w:szCs w:val="24"/>
              </w:rPr>
            </m:ctrlPr>
          </m:sSubPr>
          <m:e>
            <m:r>
              <m:rPr/>
              <w:rPr>
                <w:rFonts w:ascii="Cambria Math" w:hAnsi="Cambria Math" w:cs="Times New Roman"/>
                <w:sz w:val="24"/>
                <w:szCs w:val="24"/>
              </w:rPr>
              <m:t>H</m:t>
            </m:r>
            <m:ctrlPr>
              <w:rPr>
                <w:rFonts w:ascii="Cambria Math" w:hAnsi="Cambria Math" w:cs="Times New Roman"/>
                <w:i/>
                <w:sz w:val="24"/>
                <w:szCs w:val="24"/>
              </w:rPr>
            </m:ctrlPr>
          </m:e>
          <m:sub>
            <m:r>
              <m:rPr/>
              <w:rPr>
                <w:rFonts w:ascii="Cambria Math" w:hAnsi="Cambria Math" w:cs="Times New Roman"/>
                <w:sz w:val="24"/>
                <w:szCs w:val="24"/>
              </w:rPr>
              <m:t>1</m:t>
            </m:r>
            <m:ctrlPr>
              <w:rPr>
                <w:rFonts w:ascii="Cambria Math" w:hAnsi="Cambria Math" w:cs="Times New Roman"/>
                <w:i/>
                <w:sz w:val="24"/>
                <w:szCs w:val="24"/>
              </w:rPr>
            </m:ctrlPr>
          </m:sub>
        </m:sSub>
        <m:r>
          <m:rPr/>
          <w:rPr>
            <w:rFonts w:ascii="Cambria Math" w:hAnsi="Cambria Math" w:cs="Times New Roman"/>
            <w:sz w:val="24"/>
            <w:szCs w:val="24"/>
          </w:rPr>
          <m:t xml:space="preserve">): </m:t>
        </m:r>
      </m:oMath>
    </w:p>
    <w:p w14:paraId="249AE9C3">
      <w:pPr>
        <w:pStyle w:val="19"/>
        <w:numPr>
          <w:ilvl w:val="0"/>
          <w:numId w:val="43"/>
        </w:numPr>
        <w:spacing w:before="100" w:beforeAutospacing="1" w:after="100" w:afterAutospacing="1" w:line="240" w:lineRule="auto"/>
        <w:jc w:val="both"/>
        <w:rPr>
          <w:rFonts w:ascii="Times New Roman" w:hAnsi="Times New Roman" w:cs="Times New Roman"/>
          <w:sz w:val="24"/>
          <w:szCs w:val="24"/>
        </w:rPr>
      </w:pPr>
      <m:oMath>
        <m:sSub>
          <w:bookmarkStart w:id="179" w:name="_Hlk196165330"/>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i1</m:t>
            </m:r>
            <w:bookmarkEnd w:id="179"/>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m:t>
        </m:r>
        <m:sSub>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β</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ik</m:t>
            </m:r>
            <m:ctrlPr>
              <w:rPr>
                <w:rFonts w:ascii="Cambria Math" w:hAnsi="Cambria Math" w:cs="Times New Roman" w:eastAsiaTheme="minorEastAsia"/>
                <w:i/>
                <w:sz w:val="24"/>
                <w:szCs w:val="24"/>
              </w:rPr>
            </m:ctrlPr>
          </m:sub>
        </m:sSub>
        <m:r>
          <m:rPr/>
          <w:rPr>
            <w:rFonts w:ascii="Cambria Math" w:hAnsi="Cambria Math" w:cs="Times New Roman" w:eastAsiaTheme="minorEastAsia"/>
            <w:sz w:val="24"/>
            <w:szCs w:val="24"/>
          </w:rPr>
          <m:t xml:space="preserve">=0 </m:t>
        </m:r>
      </m:oMath>
      <w:r>
        <w:rPr>
          <w:rFonts w:ascii="Times New Roman" w:hAnsi="Times New Roman" w:cs="Times New Roman" w:eastAsiaTheme="minorEastAsia"/>
          <w:sz w:val="24"/>
          <w:szCs w:val="24"/>
        </w:rPr>
        <w:t>(2)</w:t>
      </w:r>
    </w:p>
    <w:p w14:paraId="64853FF2">
      <w:pPr>
        <w:pStyle w:val="19"/>
        <w:numPr>
          <w:ilvl w:val="0"/>
          <w:numId w:val="43"/>
        </w:numPr>
        <w:spacing w:before="100" w:beforeAutospacing="1" w:after="100" w:afterAutospacing="1" w:line="240" w:lineRule="auto"/>
        <w:jc w:val="both"/>
        <w:rPr>
          <w:rFonts w:ascii="Times New Roman" w:hAnsi="Times New Roman" w:cs="Times New Roman" w:eastAsiaTheme="minorEastAsia"/>
          <w:sz w:val="24"/>
          <w:szCs w:val="24"/>
        </w:rPr>
      </w:pPr>
      <m:oMath>
        <m:sSub>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i</m:t>
            </m:r>
            <m:ctrlPr>
              <w:rPr>
                <w:rFonts w:ascii="Cambria Math" w:hAnsi="Cambria Math" w:cs="Times New Roman" w:eastAsiaTheme="minorEastAsia"/>
                <w:i/>
                <w:sz w:val="24"/>
                <w:szCs w:val="24"/>
              </w:rPr>
            </m:ctrlPr>
          </m:sub>
        </m:sSub>
      </m:oMath>
      <w:r>
        <w:rPr>
          <w:rFonts w:ascii="Times New Roman" w:hAnsi="Times New Roman" w:cs="Times New Roman" w:eastAsiaTheme="minorEastAsia"/>
          <w:sz w:val="24"/>
          <w:szCs w:val="24"/>
        </w:rPr>
        <w:t xml:space="preserve"> = 1,…,N</w:t>
      </w:r>
    </w:p>
    <w:p w14:paraId="44AF3E36">
      <w:pPr>
        <w:pStyle w:val="19"/>
        <w:numPr>
          <w:ilvl w:val="0"/>
          <w:numId w:val="43"/>
        </w:numPr>
        <w:spacing w:before="100" w:beforeAutospacing="1" w:after="100" w:afterAutospacing="1" w:line="240" w:lineRule="auto"/>
        <w:jc w:val="both"/>
        <w:rPr>
          <w:rFonts w:ascii="Times New Roman" w:hAnsi="Times New Roman" w:cs="Times New Roman" w:eastAsiaTheme="minorEastAsia"/>
          <w:sz w:val="24"/>
          <w:szCs w:val="24"/>
        </w:rPr>
      </w:pPr>
      <m:oMath>
        <m:sSub>
          <m:sSubPr>
            <m:ctrlPr>
              <w:rPr>
                <w:rFonts w:ascii="Cambria Math" w:hAnsi="Cambria Math" w:eastAsia="Times New Roman" w:cs="Times New Roman"/>
                <w:i/>
                <w:sz w:val="24"/>
                <w:szCs w:val="24"/>
              </w:rPr>
            </m:ctrlPr>
          </m:sSubPr>
          <m:e>
            <m:r>
              <m:rPr/>
              <w:rPr>
                <w:rFonts w:ascii="Cambria Math" w:hAnsi="Cambria Math" w:eastAsia="Times New Roman" w:cs="Times New Roman"/>
                <w:sz w:val="24"/>
                <w:szCs w:val="24"/>
              </w:rPr>
              <m:t>β</m:t>
            </m:r>
            <m:ctrlPr>
              <w:rPr>
                <w:rFonts w:ascii="Cambria Math" w:hAnsi="Cambria Math" w:eastAsia="Times New Roman" w:cs="Times New Roman"/>
                <w:i/>
                <w:sz w:val="24"/>
                <w:szCs w:val="24"/>
              </w:rPr>
            </m:ctrlPr>
          </m:e>
          <m:sub>
            <m:r>
              <m:rPr/>
              <w:rPr>
                <w:rFonts w:ascii="Cambria Math" w:hAnsi="Cambria Math" w:eastAsia="Times New Roman" w:cs="Times New Roman"/>
                <w:sz w:val="24"/>
                <w:szCs w:val="24"/>
              </w:rPr>
              <m:t>i1</m:t>
            </m:r>
            <m:ctrlPr>
              <w:rPr>
                <w:rFonts w:ascii="Cambria Math" w:hAnsi="Cambria Math" w:eastAsia="Times New Roman" w:cs="Times New Roman"/>
                <w:i/>
                <w:sz w:val="24"/>
                <w:szCs w:val="24"/>
              </w:rPr>
            </m:ctrlPr>
          </m:sub>
        </m:sSub>
        <m:r>
          <m:rPr/>
          <w:rPr>
            <w:rFonts w:ascii="Cambria Math" w:hAnsi="Cambria Math" w:eastAsia="Times New Roman" w:cs="Times New Roman"/>
            <w:sz w:val="24"/>
            <w:szCs w:val="24"/>
          </w:rPr>
          <m:t xml:space="preserve"> ≠0 or, </m:t>
        </m:r>
        <m:sSub>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β</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ik</m:t>
            </m:r>
            <m:ctrlPr>
              <w:rPr>
                <w:rFonts w:ascii="Cambria Math" w:hAnsi="Cambria Math" w:cs="Times New Roman" w:eastAsiaTheme="minorEastAsia"/>
                <w:i/>
                <w:sz w:val="24"/>
                <w:szCs w:val="24"/>
              </w:rPr>
            </m:ctrlPr>
          </m:sub>
        </m:sSub>
        <m:r>
          <m:rPr/>
          <w:rPr>
            <w:rFonts w:ascii="Cambria Math" w:hAnsi="Cambria Math" w:cs="Times New Roman" w:eastAsiaTheme="minorEastAsia"/>
            <w:sz w:val="24"/>
            <w:szCs w:val="24"/>
          </w:rPr>
          <m:t xml:space="preserve"> ≠0 </m:t>
        </m:r>
      </m:oMath>
    </w:p>
    <w:p w14:paraId="2EF79DCD">
      <w:pPr>
        <w:pStyle w:val="19"/>
        <w:numPr>
          <w:ilvl w:val="0"/>
          <w:numId w:val="43"/>
        </w:numPr>
        <w:spacing w:before="100" w:beforeAutospacing="1" w:after="100" w:afterAutospacing="1" w:line="240" w:lineRule="auto"/>
        <w:jc w:val="both"/>
        <w:rPr>
          <w:rFonts w:hint="default" w:ascii="Times New Roman" w:hAnsi="Times New Roman"/>
          <w:sz w:val="24"/>
          <w:szCs w:val="24"/>
        </w:rPr>
      </w:pPr>
      <m:oMath>
        <m:sSub>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i</m:t>
            </m:r>
            <m:ctrlPr>
              <w:rPr>
                <w:rFonts w:ascii="Cambria Math" w:hAnsi="Cambria Math" w:cs="Times New Roman" w:eastAsiaTheme="minorEastAsia"/>
                <w:i/>
                <w:sz w:val="24"/>
                <w:szCs w:val="24"/>
              </w:rPr>
            </m:ctrlPr>
          </m:sub>
        </m:sSub>
      </m:oMath>
      <w:r>
        <w:rPr>
          <w:rFonts w:ascii="Times New Roman" w:hAnsi="Times New Roman" w:cs="Times New Roman" w:eastAsiaTheme="minorEastAsia"/>
          <w:sz w:val="24"/>
          <w:szCs w:val="24"/>
        </w:rPr>
        <w:t xml:space="preserve"> = </w:t>
      </w:r>
      <m:oMath>
        <m:sSub>
          <m:sSubPr>
            <m:ctrlPr>
              <w:rPr>
                <w:rFonts w:ascii="Cambria Math" w:hAnsi="Cambria Math" w:cs="Times New Roman" w:eastAsiaTheme="minorEastAsia"/>
                <w:i/>
                <w:sz w:val="24"/>
                <w:szCs w:val="24"/>
              </w:rPr>
            </m:ctrlPr>
          </m:sSubPr>
          <m:e>
            <m:r>
              <m:rPr/>
              <w:rPr>
                <w:rFonts w:ascii="Cambria Math" w:hAnsi="Cambria Math" w:cs="Times New Roman" w:eastAsiaTheme="minorEastAsia"/>
                <w:sz w:val="24"/>
                <w:szCs w:val="24"/>
              </w:rPr>
              <m:t>N</m:t>
            </m:r>
            <m:ctrlPr>
              <w:rPr>
                <w:rFonts w:ascii="Cambria Math" w:hAnsi="Cambria Math" w:cs="Times New Roman" w:eastAsiaTheme="minorEastAsia"/>
                <w:i/>
                <w:sz w:val="24"/>
                <w:szCs w:val="24"/>
              </w:rPr>
            </m:ctrlPr>
          </m:e>
          <m:sub>
            <m:r>
              <m:rPr/>
              <w:rPr>
                <w:rFonts w:ascii="Cambria Math" w:hAnsi="Cambria Math" w:cs="Times New Roman" w:eastAsiaTheme="minorEastAsia"/>
                <w:sz w:val="24"/>
                <w:szCs w:val="24"/>
              </w:rPr>
              <m:t>1</m:t>
            </m:r>
            <m:ctrlPr>
              <w:rPr>
                <w:rFonts w:ascii="Cambria Math" w:hAnsi="Cambria Math" w:cs="Times New Roman" w:eastAsiaTheme="minorEastAsia"/>
                <w:i/>
                <w:sz w:val="24"/>
                <w:szCs w:val="24"/>
              </w:rPr>
            </m:ctrlPr>
          </m:sub>
        </m:sSub>
        <m:r>
          <m:rPr/>
          <w:rPr>
            <w:rFonts w:ascii="Cambria Math" w:hAnsi="Cambria Math" w:cs="Times New Roman" w:eastAsiaTheme="minorEastAsia"/>
            <w:sz w:val="24"/>
            <w:szCs w:val="24"/>
          </w:rPr>
          <m:t xml:space="preserve">+ </m:t>
        </m:r>
      </m:oMath>
      <w:r>
        <w:rPr>
          <w:rFonts w:ascii="Times New Roman" w:hAnsi="Times New Roman" w:cs="Times New Roman" w:eastAsiaTheme="minorEastAsia"/>
          <w:sz w:val="24"/>
          <w:szCs w:val="24"/>
        </w:rPr>
        <w:t>1,…,N</w:t>
      </w:r>
    </w:p>
    <w:p w14:paraId="7364AF9D">
      <w:pPr>
        <w:bidi w:val="0"/>
        <w:jc w:val="both"/>
        <w:rPr>
          <w:rFonts w:hint="default" w:ascii="Times New Roman" w:hAnsi="Times New Roman"/>
          <w:sz w:val="24"/>
          <w:szCs w:val="24"/>
        </w:rPr>
      </w:pPr>
      <w:r>
        <w:rPr>
          <w:rFonts w:hint="default" w:ascii="Times New Roman" w:hAnsi="Times New Roman"/>
          <w:sz w:val="24"/>
          <w:szCs w:val="24"/>
        </w:rPr>
        <w:t>This Granger causality test is based on panel data so it answers the question whether historical values of the independent variables are useful in predicting current values of the dependent variable (ZH), but does it permit heterogeneity of the causality relationship among countries.</w:t>
      </w:r>
    </w:p>
    <w:p w14:paraId="31A7096B">
      <w:pPr>
        <w:bidi w:val="0"/>
        <w:jc w:val="both"/>
        <w:rPr>
          <w:rFonts w:hint="default" w:ascii="Times New Roman" w:hAnsi="Times New Roman"/>
          <w:sz w:val="24"/>
          <w:szCs w:val="24"/>
        </w:rPr>
      </w:pPr>
      <w:r>
        <w:rPr>
          <w:rFonts w:hint="default" w:ascii="Times New Roman" w:hAnsi="Times New Roman"/>
          <w:sz w:val="24"/>
          <w:szCs w:val="24"/>
        </w:rPr>
        <w:t>In case when the null hypothesis is rejected then it would be conclusive that but there exists a significant causal relationship between</w:t>
      </w:r>
      <w:r>
        <w:rPr>
          <w:rFonts w:hint="default" w:ascii="Times New Roman" w:hAnsi="Times New Roman"/>
          <w:sz w:val="24"/>
          <w:szCs w:val="24"/>
          <w:lang w:val="en-US"/>
        </w:rPr>
        <w:t xml:space="preserve"> </w:t>
      </w:r>
      <w:r>
        <w:rPr>
          <w:rFonts w:hint="default" w:ascii="Times New Roman" w:hAnsi="Times New Roman"/>
          <w:sz w:val="24"/>
          <w:szCs w:val="24"/>
        </w:rPr>
        <w:t>the independent variable(s) and the Zero Hunger index in at least some of the countries in the panel. That is to say, variations in other variables, such as digital payments, technological innovation or financial inclusion, can statistically lead to variation in the level of hunger in at least some subset of the sample. In contrast, when the null hypothesis cannot be rejected, then there is no such causal effect in the panel. Such a test will help understand the influence direction of the variables and assist in policy-making by defining whether any changes in key drivers make a difference in progress toward Zero Hunger (SDG 2).</w:t>
      </w:r>
    </w:p>
    <w:p w14:paraId="1E95E1D6">
      <w:pPr>
        <w:bidi w:val="0"/>
        <w:jc w:val="both"/>
        <w:rPr>
          <w:rFonts w:hint="default" w:ascii="Times New Roman" w:hAnsi="Times New Roman"/>
          <w:sz w:val="24"/>
          <w:szCs w:val="24"/>
        </w:rPr>
      </w:pPr>
    </w:p>
    <w:p w14:paraId="64F3699A">
      <w:pPr>
        <w:bidi w:val="0"/>
        <w:jc w:val="both"/>
        <w:rPr>
          <w:rFonts w:hint="default" w:ascii="Times New Roman" w:hAnsi="Times New Roman"/>
          <w:sz w:val="24"/>
          <w:szCs w:val="24"/>
        </w:rPr>
      </w:pPr>
    </w:p>
    <w:p w14:paraId="66907387">
      <w:pPr>
        <w:bidi w:val="0"/>
        <w:jc w:val="both"/>
        <w:rPr>
          <w:rFonts w:hint="default" w:ascii="Times New Roman" w:hAnsi="Times New Roman"/>
          <w:sz w:val="24"/>
          <w:szCs w:val="24"/>
        </w:rPr>
      </w:pPr>
    </w:p>
    <w:p w14:paraId="1C18A998">
      <w:pPr>
        <w:bidi w:val="0"/>
        <w:jc w:val="both"/>
        <w:rPr>
          <w:rFonts w:hint="default" w:ascii="Times New Roman" w:hAnsi="Times New Roman"/>
          <w:sz w:val="24"/>
          <w:szCs w:val="24"/>
        </w:rPr>
      </w:pPr>
    </w:p>
    <w:p w14:paraId="2FAD15D4">
      <w:pPr>
        <w:bidi w:val="0"/>
        <w:jc w:val="both"/>
        <w:rPr>
          <w:rFonts w:hint="default" w:ascii="Times New Roman" w:hAnsi="Times New Roman"/>
          <w:sz w:val="24"/>
          <w:szCs w:val="24"/>
        </w:rPr>
      </w:pPr>
    </w:p>
    <w:p w14:paraId="1FE0E7F1">
      <w:pPr>
        <w:bidi w:val="0"/>
        <w:jc w:val="both"/>
        <w:rPr>
          <w:rFonts w:hint="default" w:ascii="Times New Roman" w:hAnsi="Times New Roman"/>
          <w:sz w:val="24"/>
          <w:szCs w:val="24"/>
        </w:rPr>
      </w:pPr>
    </w:p>
    <w:p w14:paraId="34A08B48">
      <w:pPr>
        <w:bidi w:val="0"/>
        <w:jc w:val="both"/>
        <w:rPr>
          <w:rFonts w:hint="default" w:ascii="Times New Roman" w:hAnsi="Times New Roman"/>
          <w:sz w:val="24"/>
          <w:szCs w:val="24"/>
        </w:rPr>
      </w:pPr>
    </w:p>
    <w:p w14:paraId="3441BE5B">
      <w:pPr>
        <w:bidi w:val="0"/>
        <w:jc w:val="both"/>
        <w:rPr>
          <w:rFonts w:hint="default" w:ascii="Times New Roman" w:hAnsi="Times New Roman"/>
          <w:sz w:val="24"/>
          <w:szCs w:val="24"/>
        </w:rPr>
      </w:pPr>
    </w:p>
    <w:p w14:paraId="7CFDB04B">
      <w:pPr>
        <w:bidi w:val="0"/>
        <w:jc w:val="both"/>
        <w:rPr>
          <w:rFonts w:hint="default" w:ascii="Times New Roman" w:hAnsi="Times New Roman"/>
          <w:sz w:val="24"/>
          <w:szCs w:val="24"/>
        </w:rPr>
      </w:pPr>
    </w:p>
    <w:p w14:paraId="28D6018D">
      <w:pPr>
        <w:bidi w:val="0"/>
        <w:jc w:val="both"/>
        <w:rPr>
          <w:rFonts w:hint="default" w:ascii="Times New Roman" w:hAnsi="Times New Roman"/>
          <w:sz w:val="24"/>
          <w:szCs w:val="24"/>
        </w:rPr>
      </w:pPr>
    </w:p>
    <w:p w14:paraId="0B680AC3">
      <w:pPr>
        <w:bidi w:val="0"/>
        <w:jc w:val="both"/>
        <w:rPr>
          <w:rFonts w:hint="default" w:ascii="Times New Roman" w:hAnsi="Times New Roman"/>
          <w:sz w:val="24"/>
          <w:szCs w:val="24"/>
        </w:rPr>
      </w:pPr>
    </w:p>
    <w:p w14:paraId="1A4787E4">
      <w:pPr>
        <w:bidi w:val="0"/>
        <w:jc w:val="both"/>
        <w:rPr>
          <w:rFonts w:hint="default" w:ascii="Times New Roman" w:hAnsi="Times New Roman"/>
          <w:sz w:val="24"/>
          <w:szCs w:val="24"/>
        </w:rPr>
      </w:pPr>
    </w:p>
    <w:p w14:paraId="52DAD5F8">
      <w:pPr>
        <w:bidi w:val="0"/>
        <w:jc w:val="both"/>
        <w:rPr>
          <w:rFonts w:hint="default" w:ascii="Times New Roman" w:hAnsi="Times New Roman"/>
          <w:sz w:val="24"/>
          <w:szCs w:val="24"/>
        </w:rPr>
      </w:pPr>
    </w:p>
    <w:p w14:paraId="3065D0F3">
      <w:pPr>
        <w:bidi w:val="0"/>
        <w:jc w:val="both"/>
        <w:rPr>
          <w:rFonts w:hint="default" w:ascii="Times New Roman" w:hAnsi="Times New Roman"/>
          <w:sz w:val="24"/>
          <w:szCs w:val="24"/>
        </w:rPr>
      </w:pPr>
    </w:p>
    <w:p w14:paraId="0CBE3BC5">
      <w:pPr>
        <w:bidi w:val="0"/>
        <w:jc w:val="both"/>
        <w:rPr>
          <w:rFonts w:hint="default" w:ascii="Times New Roman" w:hAnsi="Times New Roman"/>
          <w:sz w:val="24"/>
          <w:szCs w:val="24"/>
        </w:rPr>
      </w:pPr>
    </w:p>
    <w:p w14:paraId="5ED7BFC0">
      <w:pPr>
        <w:bidi w:val="0"/>
        <w:jc w:val="both"/>
        <w:rPr>
          <w:rFonts w:hint="default" w:ascii="Times New Roman" w:hAnsi="Times New Roman"/>
          <w:sz w:val="24"/>
          <w:szCs w:val="24"/>
        </w:rPr>
      </w:pPr>
    </w:p>
    <w:p w14:paraId="2382CF97">
      <w:pPr>
        <w:bidi w:val="0"/>
        <w:jc w:val="both"/>
        <w:rPr>
          <w:rFonts w:hint="default" w:ascii="Times New Roman" w:hAnsi="Times New Roman"/>
          <w:sz w:val="24"/>
          <w:szCs w:val="24"/>
        </w:rPr>
      </w:pPr>
    </w:p>
    <w:p w14:paraId="5A729CFB">
      <w:pPr>
        <w:bidi w:val="0"/>
        <w:jc w:val="both"/>
        <w:rPr>
          <w:rFonts w:hint="default" w:ascii="Times New Roman" w:hAnsi="Times New Roman"/>
          <w:sz w:val="24"/>
          <w:szCs w:val="24"/>
        </w:rPr>
      </w:pPr>
    </w:p>
    <w:p w14:paraId="2A96D2DD">
      <w:pPr>
        <w:bidi w:val="0"/>
        <w:jc w:val="both"/>
        <w:rPr>
          <w:rFonts w:hint="default" w:ascii="Times New Roman" w:hAnsi="Times New Roman"/>
          <w:sz w:val="24"/>
          <w:szCs w:val="24"/>
        </w:rPr>
      </w:pPr>
    </w:p>
    <w:p w14:paraId="2AAED789">
      <w:pPr>
        <w:bidi w:val="0"/>
        <w:jc w:val="both"/>
        <w:rPr>
          <w:rFonts w:hint="default" w:ascii="Times New Roman" w:hAnsi="Times New Roman"/>
          <w:sz w:val="24"/>
          <w:szCs w:val="24"/>
        </w:rPr>
      </w:pPr>
    </w:p>
    <w:p w14:paraId="478CEC0D">
      <w:pPr>
        <w:pStyle w:val="2"/>
        <w:bidi w:val="0"/>
        <w:jc w:val="center"/>
        <w:rPr>
          <w:rFonts w:hint="default" w:ascii="Times New Roman" w:hAnsi="Times New Roman" w:cs="Times New Roman"/>
          <w:sz w:val="28"/>
          <w:szCs w:val="28"/>
          <w:u w:val="single"/>
        </w:rPr>
      </w:pPr>
      <w:bookmarkStart w:id="180" w:name="_Toc22910"/>
      <w:r>
        <w:rPr>
          <w:rFonts w:hint="default" w:ascii="Times New Roman" w:hAnsi="Times New Roman" w:cs="Times New Roman"/>
          <w:sz w:val="28"/>
          <w:szCs w:val="28"/>
          <w:u w:val="single"/>
        </w:rPr>
        <w:t>Chapter</w:t>
      </w:r>
      <w:r>
        <w:rPr>
          <w:rFonts w:hint="default" w:ascii="Times New Roman" w:hAnsi="Times New Roman" w:cs="Times New Roman"/>
          <w:sz w:val="28"/>
          <w:szCs w:val="28"/>
          <w:u w:val="single"/>
          <w:lang w:val="en-US"/>
        </w:rPr>
        <w:t>-</w:t>
      </w:r>
      <w:r>
        <w:rPr>
          <w:rFonts w:hint="default" w:ascii="Times New Roman" w:hAnsi="Times New Roman" w:cs="Times New Roman"/>
          <w:sz w:val="28"/>
          <w:szCs w:val="28"/>
          <w:u w:val="single"/>
        </w:rPr>
        <w:t>4: Estimation and interpretation</w:t>
      </w:r>
      <w:bookmarkEnd w:id="180"/>
    </w:p>
    <w:p w14:paraId="5A4D7CB1">
      <w:pPr>
        <w:bidi w:val="0"/>
        <w:ind w:firstLine="420" w:firstLineChars="150"/>
        <w:jc w:val="both"/>
        <w:rPr>
          <w:rFonts w:hint="default" w:ascii="Times New Roman" w:hAnsi="Times New Roman"/>
          <w:b/>
          <w:bCs/>
          <w:sz w:val="28"/>
          <w:szCs w:val="28"/>
          <w:u w:val="single"/>
        </w:rPr>
      </w:pPr>
    </w:p>
    <w:p w14:paraId="1F341402">
      <w:pPr>
        <w:bidi w:val="0"/>
        <w:ind w:firstLine="360" w:firstLineChars="150"/>
        <w:jc w:val="both"/>
        <w:rPr>
          <w:rFonts w:hint="default" w:ascii="Times New Roman" w:hAnsi="Times New Roman"/>
          <w:b w:val="0"/>
          <w:bCs w:val="0"/>
          <w:sz w:val="24"/>
          <w:szCs w:val="24"/>
        </w:rPr>
      </w:pPr>
      <w:r>
        <w:rPr>
          <w:rFonts w:hint="default" w:ascii="Times New Roman" w:hAnsi="Times New Roman"/>
          <w:b w:val="0"/>
          <w:bCs w:val="0"/>
          <w:sz w:val="24"/>
          <w:szCs w:val="24"/>
          <w:u w:val="none"/>
        </w:rPr>
        <w:t>The result of the cross-sectional dependency test states that all the variables have significant dependency.</w:t>
      </w:r>
      <w:r>
        <w:rPr>
          <w:rFonts w:hint="default" w:ascii="Times New Roman" w:hAnsi="Times New Roman" w:cs="Times New Roman"/>
          <w:sz w:val="24"/>
          <w:szCs w:val="24"/>
        </w:rPr>
        <w:t xml:space="preserve"> ZH recorded the highest value under the </w:t>
      </w:r>
      <w:r>
        <w:rPr>
          <w:rFonts w:hint="default" w:ascii="Times New Roman" w:hAnsi="Times New Roman" w:cs="Times New Roman"/>
          <w:sz w:val="24"/>
          <w:szCs w:val="24"/>
        </w:rPr>
        <w:fldChar w:fldCharType="begin"/>
      </w:r>
      <w:r>
        <w:rPr>
          <w:rFonts w:hint="default" w:ascii="Times New Roman" w:hAnsi="Times New Roman" w:cs="Times New Roman"/>
          <w:sz w:val="24"/>
          <w:szCs w:val="24"/>
          <w:lang w:val="en-US"/>
        </w:rPr>
        <w:instrText xml:space="preserve"> ADDIN EN.CITE &lt;EndNote&gt;&lt;Cite AuthorYear="1"&gt;&lt;Author&gt;Breusch&lt;/Author&gt;&lt;Year&gt;1980&lt;/Year&gt;&lt;RecNum&gt;3&lt;/RecNum&gt;&lt;DisplayText&gt;Breusch and Pagan (1980)&lt;/DisplayText&gt;&lt;record&gt;&lt;rec-number&gt;3&lt;/rec-number&gt;&lt;foreign-keys&gt;&lt;key app="EN" db-id="2t52ftddjzwsxoerapx5vrxm2fdzpaza5sva" timestamp="1751961184"&gt;3&lt;/key&gt;&lt;/foreign-keys&gt;&lt;ref-type name="Journal Article"&gt;17&lt;/ref-type&gt;&lt;contributors&gt;&lt;authors&gt;&lt;author&gt;Breusch, Trevor S&lt;/author&gt;&lt;author&gt;Pagan, Adrian R&lt;/author&gt;&lt;/authors&gt;&lt;/contributors&gt;&lt;titles&gt;&lt;title&gt;The Lagrange multiplier test and its applications to model specification in econometrics&lt;/title&gt;&lt;secondary-title&gt;The review of economic studies&lt;/secondary-title&gt;&lt;/titles&gt;&lt;periodical&gt;&lt;full-title&gt;The review of economic studies&lt;/full-title&gt;&lt;/periodical&gt;&lt;pages&gt;239-253&lt;/pages&gt;&lt;volume&gt;47&lt;/volume&gt;&lt;number&gt;1&lt;/number&gt;&lt;dates&gt;&lt;year&gt;1980&lt;/year&gt;&lt;/dates&gt;&lt;isbn&gt;1467-937X&lt;/isbn&gt;&lt;urls&gt;&lt;/urls&gt;&lt;/record&gt;&lt;/Cite&gt;&lt;/EndNote&gt;</w:instrText>
      </w:r>
      <w:r>
        <w:rPr>
          <w:rFonts w:hint="default" w:ascii="Times New Roman" w:hAnsi="Times New Roman" w:cs="Times New Roman"/>
          <w:sz w:val="24"/>
          <w:szCs w:val="24"/>
        </w:rPr>
        <w:fldChar w:fldCharType="separate"/>
      </w:r>
      <w:r>
        <w:rPr>
          <w:rFonts w:hint="default" w:ascii="Times New Roman" w:hAnsi="Times New Roman" w:eastAsia="SimSun" w:cs="Times New Roman"/>
          <w:kern w:val="0"/>
          <w:sz w:val="24"/>
          <w:szCs w:val="28"/>
          <w:lang w:val="en-US" w:eastAsia="zh-CN" w:bidi="ar"/>
        </w:rPr>
        <w:t>Breusch and Pagan (1980)</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LM test (422.4***), followed by TI with 409.868***, indicating strong interdependence among units. Significant test statistics were also observed using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AuthorYear="1"&gt;&lt;Author&gt;Pesaran&lt;/Author&gt;&lt;Year&gt;2004&lt;/Year&gt;&lt;RecNum&gt;128&lt;/RecNum&gt;&lt;DisplayText&gt;Pesaran (2004)&lt;/DisplayText&gt;&lt;record&gt;&lt;rec-number&gt;128&lt;/rec-number&gt;&lt;foreign-keys&gt;&lt;key app="EN" db-id="2t52ftddjzwsxoerapx5vrxm2fdzpaza5sva" timestamp="1752919370"&gt;128&lt;/key&gt;&lt;/foreign-keys&gt;&lt;ref-type name="Journal Article"&gt;17&lt;/ref-type&gt;&lt;contributors&gt;&lt;authors&gt;&lt;author&gt;Pesaran, M Hashem&lt;/author&gt;&lt;/authors&gt;&lt;/contributors&gt;&lt;titles&gt;&lt;title&gt;General diagnostic tests for cross section dependence in panels. Cambridge Working Papers&lt;/title&gt;&lt;secondary-title&gt;Economics&lt;/secondary-title&gt;&lt;/titles&gt;&lt;periodical&gt;&lt;full-title&gt;Economics&lt;/full-title&gt;&lt;/periodical&gt;&lt;pages&gt;1&lt;/pages&gt;&lt;volume&gt;1240&lt;/volume&gt;&lt;number&gt;1&lt;/number&gt;&lt;dates&gt;&lt;year&gt;2004&lt;/year&gt;&lt;/dates&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eastAsia="SimSun" w:cs="Times New Roman"/>
          <w:kern w:val="0"/>
          <w:sz w:val="24"/>
          <w:szCs w:val="28"/>
          <w:lang w:val="en-US" w:eastAsia="zh-CN" w:bidi="ar"/>
        </w:rPr>
        <w:t>Pesaran (2004)</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CD test,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AuthorYear="1"&gt;&lt;Author&gt;Pesaran&lt;/Author&gt;&lt;Year&gt;2008&lt;/Year&gt;&lt;RecNum&gt;130&lt;/RecNum&gt;&lt;DisplayText&gt;Pesaran, Ullah et al. (2008)&lt;/DisplayText&gt;&lt;record&gt;&lt;rec-number&gt;130&lt;/rec-number&gt;&lt;foreign-keys&gt;&lt;key app="EN" db-id="2t52ftddjzwsxoerapx5vrxm2fdzpaza5sva" timestamp="1752928696"&gt;130&lt;/key&gt;&lt;/foreign-keys&gt;&lt;ref-type name="Journal Article"&gt;17&lt;/ref-type&gt;&lt;contributors&gt;&lt;authors&gt;&lt;author&gt;Pesaran, M Hashem&lt;/author&gt;&lt;author&gt;Ullah, Aman&lt;/author&gt;&lt;author&gt;Yamagata, Takashi&lt;/author&gt;&lt;/authors&gt;&lt;/contributors&gt;&lt;titles&gt;&lt;title&gt;A bias‐adjusted LM test of error cross‐section independence&lt;/title&gt;&lt;secondary-title&gt;The econometrics journal&lt;/secondary-title&gt;&lt;/titles&gt;&lt;periodical&gt;&lt;full-title&gt;The econometrics journal&lt;/full-title&gt;&lt;/periodical&gt;&lt;pages&gt;105-127&lt;/pages&gt;&lt;volume&gt;11&lt;/volume&gt;&lt;number&gt;1&lt;/number&gt;&lt;dates&gt;&lt;year&gt;2008&lt;/year&gt;&lt;/dates&gt;&lt;isbn&gt;1368-4221&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Pesaran, Ullah et al. (2008)</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bias-adjusted LM test, and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&lt;EndNote&gt;&lt;Cite&gt;&lt;Author&gt;Pesaran&lt;/Author&gt;&lt;Year&gt;2006&lt;/Year&gt;&lt;RecNum&gt;131&lt;/RecNum&gt;&lt;DisplayText&gt;(Pesaran 2006)&lt;/DisplayText&gt;&lt;record&gt;&lt;rec-number&gt;131&lt;/rec-number&gt;&lt;foreign-keys&gt;&lt;key app="EN" db-id="2t52ftddjzwsxoerapx5vrxm2fdzpaza5sva" timestamp="1752928793"&gt;131&lt;/key&gt;&lt;/foreign-keys&gt;&lt;ref-type name="Journal Article"&gt;17&lt;/ref-type&gt;&lt;contributors&gt;&lt;authors&gt;&lt;author&gt;Pesaran, M Hashem&lt;/author&gt;&lt;/authors&gt;&lt;/contributors&gt;&lt;titles&gt;&lt;title&gt;Estimation and inference in large heterogeneous panels with a multifactor error structure&lt;/title&gt;&lt;secondary-title&gt;Econometrica&lt;/secondary-title&gt;&lt;/titles&gt;&lt;periodical&gt;&lt;full-title&gt;Econometrica&lt;/full-title&gt;&lt;/periodical&gt;&lt;pages&gt;967-1012&lt;/pages&gt;&lt;volume&gt;74&lt;/volume&gt;&lt;number&gt;4&lt;/number&gt;&lt;dates&gt;&lt;year&gt;2006&lt;/year&gt;&lt;/dates&gt;&lt;isbn&gt;0012-9682&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(Pesaran 2006)</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which accounts for cross-sectional dependence in unit root testing. </w:t>
      </w:r>
      <w:r>
        <w:rPr>
          <w:rFonts w:hint="default" w:ascii="Times New Roman" w:hAnsi="Times New Roman"/>
          <w:b w:val="0"/>
          <w:bCs w:val="0"/>
          <w:sz w:val="24"/>
          <w:szCs w:val="24"/>
        </w:rPr>
        <w:t>Furthermore, a robust dependence approach offered by Juodis and Reese (2022) proved its effectiveness, in particular, regarding heterogeneous panel data set types. These findings suggest that cross-country instabilities can be attributed to common shocks or unobserved characteristics that might affect more than one country at the same time and therefore econometric estimation would require the adjustments of cross-sectional dependence using suitable models such as Cross-Sectionally Augmented ARDL (CS-ARDL) or Common Correlated Effects Mean Group (CCE-MG) estimator as Chudik and Pesaran (2015) advise.</w:t>
      </w:r>
    </w:p>
    <w:p w14:paraId="4088F872">
      <w:pPr>
        <w:bidi w:val="0"/>
        <w:ind w:firstLine="360" w:firstLineChars="150"/>
        <w:jc w:val="both"/>
        <w:rPr>
          <w:rFonts w:hint="default" w:ascii="Times New Roman" w:hAnsi="Times New Roman"/>
          <w:b w:val="0"/>
          <w:bCs w:val="0"/>
          <w:sz w:val="24"/>
          <w:szCs w:val="24"/>
        </w:rPr>
      </w:pPr>
    </w:p>
    <w:p w14:paraId="7A67A3CF">
      <w:pPr>
        <w:pStyle w:val="7"/>
        <w:bidi w:val="0"/>
        <w:rPr>
          <w:rFonts w:hint="default"/>
        </w:rPr>
      </w:pPr>
      <w:bookmarkStart w:id="181" w:name="_Toc21106"/>
      <w:r>
        <w:t xml:space="preserve">Table </w:t>
      </w:r>
      <w:r>
        <w:fldChar w:fldCharType="begin"/>
      </w:r>
      <w:r>
        <w:instrText xml:space="preserve"> SEQ Table \* ARABIC </w:instrText>
      </w:r>
      <w:r>
        <w:fldChar w:fldCharType="separate"/>
      </w:r>
      <w:r>
        <w:t>5</w:t>
      </w:r>
      <w:r>
        <w:fldChar w:fldCharType="end"/>
      </w:r>
      <w:bookmarkStart w:id="182" w:name="_Toc11735"/>
      <w:r>
        <w:rPr>
          <w:rFonts w:hint="default"/>
        </w:rPr>
        <w:t>: Cross sectional dependency test</w:t>
      </w:r>
      <w:bookmarkEnd w:id="181"/>
      <w:r>
        <w:rPr>
          <w:rFonts w:hint="default"/>
        </w:rPr>
        <w:t xml:space="preserve"> </w:t>
      </w:r>
      <w:bookmarkEnd w:id="182"/>
    </w:p>
    <w:tbl>
      <w:tblPr>
        <w:tblStyle w:val="28"/>
        <w:tblW w:w="8518" w:type="dxa"/>
        <w:tblInd w:w="0" w:type="dxa"/>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Layout w:type="fixed"/>
        <w:tblCellMar>
          <w:top w:w="0" w:type="dxa"/>
          <w:left w:w="108" w:type="dxa"/>
          <w:bottom w:w="0" w:type="dxa"/>
          <w:right w:w="108" w:type="dxa"/>
        </w:tblCellMar>
      </w:tblPr>
      <w:tblGrid>
        <w:gridCol w:w="675"/>
        <w:gridCol w:w="1292"/>
        <w:gridCol w:w="1494"/>
        <w:gridCol w:w="1618"/>
        <w:gridCol w:w="1605"/>
        <w:gridCol w:w="1834"/>
      </w:tblGrid>
      <w:tr w14:paraId="2C00E29D">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808" w:hRule="atLeast"/>
        </w:trPr>
        <w:tc>
          <w:tcPr>
            <w:tcW w:w="675" w:type="dxa"/>
            <w:tcBorders>
              <w:top w:val="dotted" w:color="auto" w:sz="4" w:space="0"/>
              <w:left w:val="dotted" w:color="auto" w:sz="4" w:space="0"/>
              <w:bottom w:val="dotted" w:color="auto" w:sz="4" w:space="0"/>
              <w:right w:val="dotted" w:color="auto" w:sz="0" w:space="0"/>
              <w:insideH w:val="single" w:sz="4" w:space="0"/>
              <w:insideV w:val="nil"/>
            </w:tcBorders>
            <w:shd w:val="clear" w:color="auto" w:fill="FFFFFF"/>
            <w:noWrap/>
          </w:tcPr>
          <w:p w14:paraId="4D65A62A">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 </w:t>
            </w:r>
          </w:p>
        </w:tc>
        <w:tc>
          <w:tcPr>
            <w:tcW w:w="1292" w:type="dxa"/>
            <w:tcBorders>
              <w:top w:val="dotted" w:color="auto" w:sz="4" w:space="0"/>
              <w:left w:val="dotted" w:color="auto" w:sz="4" w:space="0"/>
              <w:bottom w:val="dotted" w:color="auto" w:sz="4" w:space="0"/>
              <w:right w:val="dotted" w:color="auto" w:sz="0" w:space="0"/>
              <w:insideH w:val="single" w:sz="4" w:space="0"/>
              <w:insideV w:val="nil"/>
            </w:tcBorders>
            <w:shd w:val="clear" w:color="auto" w:fill="FFFFFF"/>
            <w:noWrap/>
          </w:tcPr>
          <w:p w14:paraId="4FA467A2">
            <w:pPr>
              <w:spacing w:after="0" w:line="240" w:lineRule="auto"/>
              <w:rPr>
                <w:rFonts w:hint="default" w:ascii="Times New Roman" w:hAnsi="Times New Roman" w:eastAsia="Times New Roman" w:cs="Times New Roman"/>
                <w:b/>
                <w:bCs/>
                <w:color w:val="000000"/>
                <w:sz w:val="24"/>
                <w:szCs w:val="24"/>
                <w:u w:val="single"/>
              </w:rPr>
            </w:pPr>
            <w:r>
              <w:rPr>
                <w:rFonts w:hint="default" w:ascii="Times New Roman" w:hAnsi="Times New Roman" w:cs="Times New Roman"/>
                <w:color w:val="000000"/>
                <w:sz w:val="24"/>
                <w:szCs w:val="24"/>
              </w:rPr>
              <w:fldChar w:fldCharType="begin"/>
            </w:r>
            <w:r>
              <w:rPr>
                <w:rFonts w:hint="default" w:ascii="Times New Roman" w:hAnsi="Times New Roman" w:cs="Times New Roman"/>
                <w:color w:val="000000"/>
                <w:sz w:val="24"/>
                <w:szCs w:val="24"/>
              </w:rPr>
              <w:instrText xml:space="preserve"> HYPERLINK "file:///J:\\Research%20Work\\OUTPUT%20formate\\panel%20coefficient%20calculation.xlsx" \l "RANGE!_ENREF_26" \o "Breusch, 1980 #4971" </w:instrText>
            </w:r>
            <w:r>
              <w:rPr>
                <w:rFonts w:hint="default" w:ascii="Times New Roman" w:hAnsi="Times New Roman" w:cs="Times New Roman"/>
                <w:color w:val="000000"/>
                <w:sz w:val="24"/>
                <w:szCs w:val="24"/>
              </w:rPr>
              <w:fldChar w:fldCharType="separate"/>
            </w:r>
            <w:r>
              <w:rPr>
                <w:rFonts w:hint="default" w:ascii="Times New Roman" w:hAnsi="Times New Roman" w:eastAsia="Times New Roman" w:cs="Times New Roman"/>
                <w:b/>
                <w:bCs/>
                <w:color w:val="000000"/>
                <w:sz w:val="24"/>
                <w:szCs w:val="24"/>
                <w:u w:val="single"/>
              </w:rPr>
              <w:t xml:space="preserve"> (Breusch and Pagan 1980)</w:t>
            </w:r>
            <w:r>
              <w:rPr>
                <w:rFonts w:hint="default" w:ascii="Times New Roman" w:hAnsi="Times New Roman" w:eastAsia="Times New Roman" w:cs="Times New Roman"/>
                <w:b/>
                <w:bCs/>
                <w:color w:val="000000"/>
                <w:sz w:val="24"/>
                <w:szCs w:val="24"/>
                <w:u w:val="single"/>
              </w:rPr>
              <w:fldChar w:fldCharType="end"/>
            </w:r>
          </w:p>
        </w:tc>
        <w:tc>
          <w:tcPr>
            <w:tcW w:w="1494" w:type="dxa"/>
            <w:tcBorders>
              <w:top w:val="dotted" w:color="auto" w:sz="4" w:space="0"/>
              <w:left w:val="dotted" w:color="auto" w:sz="4" w:space="0"/>
              <w:bottom w:val="dotted" w:color="auto" w:sz="4" w:space="0"/>
              <w:right w:val="dotted" w:color="auto" w:sz="0" w:space="0"/>
              <w:insideH w:val="single" w:sz="4" w:space="0"/>
              <w:insideV w:val="nil"/>
            </w:tcBorders>
            <w:shd w:val="clear" w:color="auto" w:fill="FFFFFF"/>
            <w:noWrap/>
          </w:tcPr>
          <w:p w14:paraId="71288B8A">
            <w:pPr>
              <w:spacing w:after="0" w:line="240" w:lineRule="auto"/>
              <w:jc w:val="center"/>
              <w:rPr>
                <w:rFonts w:hint="default" w:ascii="Times New Roman" w:hAnsi="Times New Roman" w:eastAsia="Times New Roman" w:cs="Times New Roman"/>
                <w:b/>
                <w:bCs/>
                <w:color w:val="000000"/>
                <w:sz w:val="24"/>
                <w:szCs w:val="24"/>
                <w:u w:val="single"/>
              </w:rPr>
            </w:pPr>
            <w:r>
              <w:rPr>
                <w:rFonts w:hint="default" w:ascii="Times New Roman" w:hAnsi="Times New Roman" w:cs="Times New Roman"/>
                <w:color w:val="000000"/>
                <w:sz w:val="24"/>
                <w:szCs w:val="24"/>
              </w:rPr>
              <w:fldChar w:fldCharType="begin"/>
            </w:r>
            <w:r>
              <w:rPr>
                <w:rFonts w:hint="default" w:ascii="Times New Roman" w:hAnsi="Times New Roman" w:cs="Times New Roman"/>
                <w:color w:val="000000"/>
                <w:sz w:val="24"/>
                <w:szCs w:val="24"/>
              </w:rPr>
              <w:instrText xml:space="preserve"> HYPERLINK "file:///J:\\Research%20Work\\OUTPUT%20formate\\panel%20coefficient%20calculation.xlsx" \l "RANGE!_ENREF_106" \o "Pesaran, 2004 #4972" </w:instrText>
            </w:r>
            <w:r>
              <w:rPr>
                <w:rFonts w:hint="default" w:ascii="Times New Roman" w:hAnsi="Times New Roman" w:cs="Times New Roman"/>
                <w:color w:val="000000"/>
                <w:sz w:val="24"/>
                <w:szCs w:val="24"/>
              </w:rPr>
              <w:fldChar w:fldCharType="separate"/>
            </w:r>
            <w:r>
              <w:rPr>
                <w:rFonts w:hint="default" w:ascii="Times New Roman" w:hAnsi="Times New Roman" w:eastAsia="Times New Roman" w:cs="Times New Roman"/>
                <w:b/>
                <w:bCs/>
                <w:color w:val="000000"/>
                <w:sz w:val="24"/>
                <w:szCs w:val="24"/>
                <w:u w:val="single"/>
              </w:rPr>
              <w:t xml:space="preserve"> Pesaran (2004)</w:t>
            </w:r>
            <w:r>
              <w:rPr>
                <w:rFonts w:hint="default" w:ascii="Times New Roman" w:hAnsi="Times New Roman" w:eastAsia="Times New Roman" w:cs="Times New Roman"/>
                <w:b/>
                <w:bCs/>
                <w:color w:val="000000"/>
                <w:sz w:val="24"/>
                <w:szCs w:val="24"/>
                <w:u w:val="single"/>
              </w:rPr>
              <w:fldChar w:fldCharType="end"/>
            </w:r>
          </w:p>
        </w:tc>
        <w:tc>
          <w:tcPr>
            <w:tcW w:w="1618" w:type="dxa"/>
            <w:tcBorders>
              <w:top w:val="dotted" w:color="auto" w:sz="4" w:space="0"/>
              <w:left w:val="dotted" w:color="auto" w:sz="4" w:space="0"/>
              <w:bottom w:val="dotted" w:color="auto" w:sz="4" w:space="0"/>
              <w:right w:val="dotted" w:color="auto" w:sz="0" w:space="0"/>
              <w:insideH w:val="single" w:sz="4" w:space="0"/>
              <w:insideV w:val="nil"/>
            </w:tcBorders>
            <w:shd w:val="clear" w:color="auto" w:fill="FFFFFF"/>
          </w:tcPr>
          <w:p w14:paraId="3B7E173B">
            <w:pPr>
              <w:spacing w:after="0" w:line="240" w:lineRule="auto"/>
              <w:jc w:val="center"/>
              <w:rPr>
                <w:rFonts w:hint="default" w:ascii="Times New Roman" w:hAnsi="Times New Roman" w:eastAsia="Times New Roman" w:cs="Times New Roman"/>
                <w:b/>
                <w:bCs/>
                <w:color w:val="000000"/>
                <w:sz w:val="24"/>
                <w:szCs w:val="24"/>
                <w:u w:val="single"/>
              </w:rPr>
            </w:pPr>
            <w:r>
              <w:rPr>
                <w:rFonts w:hint="default" w:ascii="Times New Roman" w:hAnsi="Times New Roman" w:cs="Times New Roman"/>
                <w:color w:val="000000"/>
                <w:sz w:val="24"/>
                <w:szCs w:val="24"/>
              </w:rPr>
              <w:fldChar w:fldCharType="begin"/>
            </w:r>
            <w:r>
              <w:rPr>
                <w:rFonts w:hint="default" w:ascii="Times New Roman" w:hAnsi="Times New Roman" w:cs="Times New Roman"/>
                <w:color w:val="000000"/>
                <w:sz w:val="24"/>
                <w:szCs w:val="24"/>
              </w:rPr>
              <w:instrText xml:space="preserve"> HYPERLINK "file:///J:\\Research%20Work\\OUTPUT%20formate\\panel%20coefficient%20calculation.xlsx" \l "RANGE!_ENREF_109" \o "Pesaran, 2008 #4976" </w:instrText>
            </w:r>
            <w:r>
              <w:rPr>
                <w:rFonts w:hint="default" w:ascii="Times New Roman" w:hAnsi="Times New Roman" w:cs="Times New Roman"/>
                <w:color w:val="000000"/>
                <w:sz w:val="24"/>
                <w:szCs w:val="24"/>
              </w:rPr>
              <w:fldChar w:fldCharType="separate"/>
            </w:r>
            <w:r>
              <w:rPr>
                <w:rFonts w:hint="default" w:ascii="Times New Roman" w:hAnsi="Times New Roman" w:eastAsia="Times New Roman" w:cs="Times New Roman"/>
                <w:b/>
                <w:bCs/>
                <w:color w:val="000000"/>
                <w:sz w:val="24"/>
                <w:szCs w:val="24"/>
                <w:u w:val="single"/>
              </w:rPr>
              <w:t xml:space="preserve"> Pesaran, Ullah et al. (2008)</w:t>
            </w:r>
            <w:r>
              <w:rPr>
                <w:rFonts w:hint="default" w:ascii="Times New Roman" w:hAnsi="Times New Roman" w:eastAsia="Times New Roman" w:cs="Times New Roman"/>
                <w:b/>
                <w:bCs/>
                <w:color w:val="000000"/>
                <w:sz w:val="24"/>
                <w:szCs w:val="24"/>
                <w:u w:val="single"/>
              </w:rPr>
              <w:fldChar w:fldCharType="end"/>
            </w:r>
          </w:p>
        </w:tc>
        <w:tc>
          <w:tcPr>
            <w:tcW w:w="1605" w:type="dxa"/>
            <w:tcBorders>
              <w:top w:val="dotted" w:color="auto" w:sz="4" w:space="0"/>
              <w:left w:val="dotted" w:color="auto" w:sz="4" w:space="0"/>
              <w:bottom w:val="dotted" w:color="auto" w:sz="4" w:space="0"/>
              <w:right w:val="dotted" w:color="auto" w:sz="0" w:space="0"/>
              <w:insideH w:val="single" w:sz="4" w:space="0"/>
              <w:insideV w:val="nil"/>
            </w:tcBorders>
            <w:shd w:val="clear" w:color="auto" w:fill="FFFFFF"/>
          </w:tcPr>
          <w:p w14:paraId="6F4E1410">
            <w:pPr>
              <w:spacing w:after="0" w:line="240" w:lineRule="auto"/>
              <w:jc w:val="center"/>
              <w:rPr>
                <w:rFonts w:hint="default" w:ascii="Times New Roman" w:hAnsi="Times New Roman" w:eastAsia="Times New Roman" w:cs="Times New Roman"/>
                <w:b/>
                <w:bCs/>
                <w:color w:val="000000"/>
                <w:sz w:val="24"/>
                <w:szCs w:val="24"/>
                <w:u w:val="single"/>
              </w:rPr>
            </w:pPr>
            <w:r>
              <w:rPr>
                <w:rFonts w:hint="default" w:ascii="Times New Roman" w:hAnsi="Times New Roman" w:cs="Times New Roman"/>
                <w:color w:val="000000"/>
                <w:sz w:val="24"/>
                <w:szCs w:val="24"/>
              </w:rPr>
              <w:fldChar w:fldCharType="begin"/>
            </w:r>
            <w:r>
              <w:rPr>
                <w:rFonts w:hint="default" w:ascii="Times New Roman" w:hAnsi="Times New Roman" w:cs="Times New Roman"/>
                <w:color w:val="000000"/>
                <w:sz w:val="24"/>
                <w:szCs w:val="24"/>
              </w:rPr>
              <w:instrText xml:space="preserve"> HYPERLINK "file:///J:\\Research%20Work\\OUTPUT%20formate\\panel%20coefficient%20calculation.xlsx" \l "RANGE!_ENREF_107" \o "Pesaran, 2006 #4975" </w:instrText>
            </w:r>
            <w:r>
              <w:rPr>
                <w:rFonts w:hint="default" w:ascii="Times New Roman" w:hAnsi="Times New Roman" w:cs="Times New Roman"/>
                <w:color w:val="000000"/>
                <w:sz w:val="24"/>
                <w:szCs w:val="24"/>
              </w:rPr>
              <w:fldChar w:fldCharType="separate"/>
            </w:r>
            <w:r>
              <w:rPr>
                <w:rFonts w:hint="default" w:ascii="Times New Roman" w:hAnsi="Times New Roman" w:eastAsia="Times New Roman" w:cs="Times New Roman"/>
                <w:b/>
                <w:bCs/>
                <w:color w:val="000000"/>
                <w:sz w:val="24"/>
                <w:szCs w:val="24"/>
                <w:u w:val="single"/>
              </w:rPr>
              <w:t xml:space="preserve"> Pesaran (2006)</w:t>
            </w:r>
            <w:r>
              <w:rPr>
                <w:rFonts w:hint="default" w:ascii="Times New Roman" w:hAnsi="Times New Roman" w:eastAsia="Times New Roman" w:cs="Times New Roman"/>
                <w:b/>
                <w:bCs/>
                <w:color w:val="000000"/>
                <w:sz w:val="24"/>
                <w:szCs w:val="24"/>
                <w:u w:val="single"/>
              </w:rPr>
              <w:fldChar w:fldCharType="end"/>
            </w:r>
          </w:p>
        </w:tc>
        <w:tc>
          <w:tcPr>
            <w:tcW w:w="1834" w:type="dxa"/>
            <w:tcBorders>
              <w:top w:val="dotted" w:color="auto" w:sz="4" w:space="0"/>
              <w:left w:val="dotted" w:color="auto" w:sz="4" w:space="0"/>
              <w:bottom w:val="dotted" w:color="auto" w:sz="4" w:space="0"/>
              <w:right w:val="dotted" w:color="auto" w:sz="4" w:space="0"/>
              <w:insideH w:val="single" w:sz="4" w:space="0"/>
              <w:insideV w:val="nil"/>
            </w:tcBorders>
            <w:shd w:val="clear" w:color="auto" w:fill="FFFFFF"/>
            <w:noWrap/>
          </w:tcPr>
          <w:p w14:paraId="21649DA7">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Juodis and Reese (2022)</w:t>
            </w:r>
          </w:p>
        </w:tc>
      </w:tr>
      <w:tr w14:paraId="57704E38">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308" w:hRule="atLeast"/>
        </w:trPr>
        <w:tc>
          <w:tcPr>
            <w:tcW w:w="675" w:type="dxa"/>
            <w:tcBorders>
              <w:top w:val="dotted" w:color="auto" w:sz="4" w:space="0"/>
              <w:left w:val="dotted" w:color="auto" w:sz="4" w:space="0"/>
              <w:bottom w:val="dotted" w:color="auto" w:sz="4" w:space="0"/>
              <w:right w:val="dotted" w:color="auto" w:sz="4" w:space="0"/>
            </w:tcBorders>
            <w:shd w:val="clear" w:color="auto" w:fill="FFFFFF"/>
            <w:noWrap/>
          </w:tcPr>
          <w:p w14:paraId="39027DCC">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ZH</w:t>
            </w:r>
          </w:p>
        </w:tc>
        <w:tc>
          <w:tcPr>
            <w:tcW w:w="1292" w:type="dxa"/>
            <w:tcBorders>
              <w:top w:val="dotted" w:color="auto" w:sz="4" w:space="0"/>
              <w:left w:val="dotted" w:color="auto" w:sz="4" w:space="0"/>
              <w:bottom w:val="dotted" w:color="auto" w:sz="4" w:space="0"/>
              <w:right w:val="dotted" w:color="auto" w:sz="4" w:space="0"/>
            </w:tcBorders>
            <w:shd w:val="clear" w:color="auto" w:fill="FFFFFF"/>
            <w:noWrap/>
          </w:tcPr>
          <w:p w14:paraId="2FA0D00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422.4***</w:t>
            </w:r>
          </w:p>
        </w:tc>
        <w:tc>
          <w:tcPr>
            <w:tcW w:w="1494" w:type="dxa"/>
            <w:tcBorders>
              <w:top w:val="dotted" w:color="auto" w:sz="4" w:space="0"/>
              <w:left w:val="dotted" w:color="auto" w:sz="4" w:space="0"/>
              <w:bottom w:val="dotted" w:color="auto" w:sz="4" w:space="0"/>
              <w:right w:val="dotted" w:color="auto" w:sz="4" w:space="0"/>
            </w:tcBorders>
            <w:shd w:val="clear" w:color="auto" w:fill="FFFFFF"/>
            <w:noWrap/>
          </w:tcPr>
          <w:p w14:paraId="4758887C">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30.694***</w:t>
            </w:r>
          </w:p>
        </w:tc>
        <w:tc>
          <w:tcPr>
            <w:tcW w:w="1618" w:type="dxa"/>
            <w:tcBorders>
              <w:top w:val="dotted" w:color="auto" w:sz="4" w:space="0"/>
              <w:left w:val="dotted" w:color="auto" w:sz="4" w:space="0"/>
              <w:bottom w:val="dotted" w:color="auto" w:sz="4" w:space="0"/>
              <w:right w:val="dotted" w:color="auto" w:sz="4" w:space="0"/>
            </w:tcBorders>
            <w:shd w:val="clear" w:color="auto" w:fill="FFFFFF"/>
            <w:noWrap/>
          </w:tcPr>
          <w:p w14:paraId="2A78D9E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181.591***</w:t>
            </w:r>
          </w:p>
        </w:tc>
        <w:tc>
          <w:tcPr>
            <w:tcW w:w="1605" w:type="dxa"/>
            <w:tcBorders>
              <w:top w:val="dotted" w:color="auto" w:sz="4" w:space="0"/>
              <w:left w:val="dotted" w:color="auto" w:sz="4" w:space="0"/>
              <w:bottom w:val="dotted" w:color="auto" w:sz="4" w:space="0"/>
              <w:right w:val="dotted" w:color="auto" w:sz="4" w:space="0"/>
            </w:tcBorders>
            <w:shd w:val="clear" w:color="auto" w:fill="FFFFFF"/>
            <w:noWrap/>
          </w:tcPr>
          <w:p w14:paraId="794B8EF6">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52.375***</w:t>
            </w:r>
          </w:p>
        </w:tc>
        <w:tc>
          <w:tcPr>
            <w:tcW w:w="1834" w:type="dxa"/>
            <w:tcBorders>
              <w:top w:val="dotted" w:color="auto" w:sz="4" w:space="0"/>
              <w:left w:val="dotted" w:color="auto" w:sz="4" w:space="0"/>
              <w:bottom w:val="dotted" w:color="auto" w:sz="4" w:space="0"/>
              <w:right w:val="dotted" w:color="auto" w:sz="4" w:space="0"/>
            </w:tcBorders>
            <w:shd w:val="clear" w:color="auto" w:fill="FFFFFF"/>
            <w:noWrap/>
          </w:tcPr>
          <w:p w14:paraId="62B867B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12.8494***</w:t>
            </w:r>
          </w:p>
        </w:tc>
      </w:tr>
      <w:tr w14:paraId="430A7C1C">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542" w:hRule="atLeast"/>
        </w:trPr>
        <w:tc>
          <w:tcPr>
            <w:tcW w:w="675" w:type="dxa"/>
            <w:tcBorders>
              <w:top w:val="dotted" w:color="auto" w:sz="4" w:space="0"/>
              <w:left w:val="dotted" w:color="auto" w:sz="4" w:space="0"/>
              <w:bottom w:val="dotted" w:color="auto" w:sz="4" w:space="0"/>
              <w:right w:val="dotted" w:color="auto" w:sz="4" w:space="0"/>
            </w:tcBorders>
            <w:shd w:val="clear" w:color="auto" w:fill="FFFFFF"/>
            <w:noWrap/>
          </w:tcPr>
          <w:p w14:paraId="0A7599A8">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II</w:t>
            </w:r>
          </w:p>
        </w:tc>
        <w:tc>
          <w:tcPr>
            <w:tcW w:w="1292" w:type="dxa"/>
            <w:tcBorders>
              <w:top w:val="dotted" w:color="auto" w:sz="4" w:space="0"/>
              <w:left w:val="dotted" w:color="auto" w:sz="4" w:space="0"/>
              <w:bottom w:val="dotted" w:color="auto" w:sz="4" w:space="0"/>
              <w:right w:val="dotted" w:color="auto" w:sz="4" w:space="0"/>
            </w:tcBorders>
            <w:shd w:val="clear" w:color="auto" w:fill="FFFFFF"/>
            <w:noWrap/>
          </w:tcPr>
          <w:p w14:paraId="5C94774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363.861***</w:t>
            </w:r>
          </w:p>
        </w:tc>
        <w:tc>
          <w:tcPr>
            <w:tcW w:w="1494" w:type="dxa"/>
            <w:tcBorders>
              <w:top w:val="dotted" w:color="auto" w:sz="4" w:space="0"/>
              <w:left w:val="dotted" w:color="auto" w:sz="4" w:space="0"/>
              <w:bottom w:val="dotted" w:color="auto" w:sz="4" w:space="0"/>
              <w:right w:val="dotted" w:color="auto" w:sz="4" w:space="0"/>
            </w:tcBorders>
            <w:shd w:val="clear" w:color="auto" w:fill="FFFFFF"/>
            <w:noWrap/>
          </w:tcPr>
          <w:p w14:paraId="46B1CACB">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41.207***</w:t>
            </w:r>
          </w:p>
        </w:tc>
        <w:tc>
          <w:tcPr>
            <w:tcW w:w="1618" w:type="dxa"/>
            <w:tcBorders>
              <w:top w:val="dotted" w:color="auto" w:sz="4" w:space="0"/>
              <w:left w:val="dotted" w:color="auto" w:sz="4" w:space="0"/>
              <w:bottom w:val="dotted" w:color="auto" w:sz="4" w:space="0"/>
              <w:right w:val="dotted" w:color="auto" w:sz="4" w:space="0"/>
            </w:tcBorders>
            <w:shd w:val="clear" w:color="auto" w:fill="FFFFFF"/>
            <w:noWrap/>
          </w:tcPr>
          <w:p w14:paraId="2DBDB75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243.551***</w:t>
            </w:r>
          </w:p>
        </w:tc>
        <w:tc>
          <w:tcPr>
            <w:tcW w:w="1605" w:type="dxa"/>
            <w:tcBorders>
              <w:top w:val="dotted" w:color="auto" w:sz="4" w:space="0"/>
              <w:left w:val="dotted" w:color="auto" w:sz="4" w:space="0"/>
              <w:bottom w:val="dotted" w:color="auto" w:sz="4" w:space="0"/>
              <w:right w:val="dotted" w:color="auto" w:sz="4" w:space="0"/>
            </w:tcBorders>
            <w:shd w:val="clear" w:color="auto" w:fill="FFFFFF"/>
            <w:noWrap/>
          </w:tcPr>
          <w:p w14:paraId="622E9C0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38.1***</w:t>
            </w:r>
          </w:p>
        </w:tc>
        <w:tc>
          <w:tcPr>
            <w:tcW w:w="1834" w:type="dxa"/>
            <w:tcBorders>
              <w:top w:val="dotted" w:color="auto" w:sz="4" w:space="0"/>
              <w:left w:val="dotted" w:color="auto" w:sz="4" w:space="0"/>
              <w:bottom w:val="dotted" w:color="auto" w:sz="4" w:space="0"/>
              <w:right w:val="dotted" w:color="auto" w:sz="4" w:space="0"/>
            </w:tcBorders>
            <w:shd w:val="clear" w:color="auto" w:fill="FFFFFF"/>
            <w:noWrap/>
          </w:tcPr>
          <w:p w14:paraId="3123BCB0">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11.5675***</w:t>
            </w:r>
          </w:p>
        </w:tc>
      </w:tr>
      <w:tr w14:paraId="08AF6CA7">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542" w:hRule="atLeast"/>
        </w:trPr>
        <w:tc>
          <w:tcPr>
            <w:tcW w:w="675" w:type="dxa"/>
            <w:tcBorders>
              <w:top w:val="dotted" w:color="auto" w:sz="4" w:space="0"/>
              <w:left w:val="dotted" w:color="auto" w:sz="4" w:space="0"/>
              <w:bottom w:val="dotted" w:color="auto" w:sz="4" w:space="0"/>
              <w:right w:val="dotted" w:color="auto" w:sz="4" w:space="0"/>
            </w:tcBorders>
            <w:shd w:val="clear" w:color="auto" w:fill="FFFFFF"/>
            <w:noWrap/>
          </w:tcPr>
          <w:p w14:paraId="044825A7">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FI</w:t>
            </w:r>
          </w:p>
        </w:tc>
        <w:tc>
          <w:tcPr>
            <w:tcW w:w="1292" w:type="dxa"/>
            <w:tcBorders>
              <w:top w:val="dotted" w:color="auto" w:sz="4" w:space="0"/>
              <w:left w:val="dotted" w:color="auto" w:sz="4" w:space="0"/>
              <w:bottom w:val="dotted" w:color="auto" w:sz="4" w:space="0"/>
              <w:right w:val="dotted" w:color="auto" w:sz="4" w:space="0"/>
            </w:tcBorders>
            <w:shd w:val="clear" w:color="auto" w:fill="FFFFFF"/>
            <w:noWrap/>
          </w:tcPr>
          <w:p w14:paraId="5ED92539">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280.305***</w:t>
            </w:r>
          </w:p>
        </w:tc>
        <w:tc>
          <w:tcPr>
            <w:tcW w:w="1494" w:type="dxa"/>
            <w:tcBorders>
              <w:top w:val="dotted" w:color="auto" w:sz="4" w:space="0"/>
              <w:left w:val="dotted" w:color="auto" w:sz="4" w:space="0"/>
              <w:bottom w:val="dotted" w:color="auto" w:sz="4" w:space="0"/>
              <w:right w:val="dotted" w:color="auto" w:sz="4" w:space="0"/>
            </w:tcBorders>
            <w:shd w:val="clear" w:color="auto" w:fill="FFFFFF"/>
            <w:noWrap/>
          </w:tcPr>
          <w:p w14:paraId="4B75E65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26.118***</w:t>
            </w:r>
          </w:p>
        </w:tc>
        <w:tc>
          <w:tcPr>
            <w:tcW w:w="1618" w:type="dxa"/>
            <w:tcBorders>
              <w:top w:val="dotted" w:color="auto" w:sz="4" w:space="0"/>
              <w:left w:val="dotted" w:color="auto" w:sz="4" w:space="0"/>
              <w:bottom w:val="dotted" w:color="auto" w:sz="4" w:space="0"/>
              <w:right w:val="dotted" w:color="auto" w:sz="4" w:space="0"/>
            </w:tcBorders>
            <w:shd w:val="clear" w:color="auto" w:fill="FFFFFF"/>
            <w:noWrap/>
          </w:tcPr>
          <w:p w14:paraId="0512109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104.063***</w:t>
            </w:r>
          </w:p>
        </w:tc>
        <w:tc>
          <w:tcPr>
            <w:tcW w:w="1605" w:type="dxa"/>
            <w:tcBorders>
              <w:top w:val="dotted" w:color="auto" w:sz="4" w:space="0"/>
              <w:left w:val="dotted" w:color="auto" w:sz="4" w:space="0"/>
              <w:bottom w:val="dotted" w:color="auto" w:sz="4" w:space="0"/>
              <w:right w:val="dotted" w:color="auto" w:sz="4" w:space="0"/>
            </w:tcBorders>
            <w:shd w:val="clear" w:color="auto" w:fill="FFFFFF"/>
            <w:noWrap/>
          </w:tcPr>
          <w:p w14:paraId="21123B4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16.887***</w:t>
            </w:r>
          </w:p>
        </w:tc>
        <w:tc>
          <w:tcPr>
            <w:tcW w:w="1834" w:type="dxa"/>
            <w:tcBorders>
              <w:top w:val="dotted" w:color="auto" w:sz="4" w:space="0"/>
              <w:left w:val="dotted" w:color="auto" w:sz="4" w:space="0"/>
              <w:bottom w:val="dotted" w:color="auto" w:sz="4" w:space="0"/>
              <w:right w:val="dotted" w:color="auto" w:sz="4" w:space="0"/>
            </w:tcBorders>
            <w:shd w:val="clear" w:color="auto" w:fill="FFFFFF"/>
            <w:noWrap/>
          </w:tcPr>
          <w:p w14:paraId="5379F4C1">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12.1932***</w:t>
            </w:r>
          </w:p>
        </w:tc>
      </w:tr>
      <w:tr w14:paraId="4E3A7BA7">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542" w:hRule="atLeast"/>
        </w:trPr>
        <w:tc>
          <w:tcPr>
            <w:tcW w:w="675" w:type="dxa"/>
            <w:tcBorders>
              <w:top w:val="dotted" w:color="auto" w:sz="4" w:space="0"/>
              <w:left w:val="dotted" w:color="auto" w:sz="4" w:space="0"/>
              <w:bottom w:val="dotted" w:color="auto" w:sz="4" w:space="0"/>
              <w:right w:val="dotted" w:color="auto" w:sz="4" w:space="0"/>
            </w:tcBorders>
            <w:shd w:val="clear" w:color="auto" w:fill="FFFFFF"/>
            <w:noWrap/>
          </w:tcPr>
          <w:p w14:paraId="4CE802A8">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TI</w:t>
            </w:r>
          </w:p>
        </w:tc>
        <w:tc>
          <w:tcPr>
            <w:tcW w:w="1292" w:type="dxa"/>
            <w:tcBorders>
              <w:top w:val="dotted" w:color="auto" w:sz="4" w:space="0"/>
              <w:left w:val="dotted" w:color="auto" w:sz="4" w:space="0"/>
              <w:bottom w:val="dotted" w:color="auto" w:sz="4" w:space="0"/>
              <w:right w:val="dotted" w:color="auto" w:sz="4" w:space="0"/>
            </w:tcBorders>
            <w:shd w:val="clear" w:color="auto" w:fill="FFFFFF"/>
            <w:noWrap/>
          </w:tcPr>
          <w:p w14:paraId="7BBAC58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409.868***</w:t>
            </w:r>
          </w:p>
        </w:tc>
        <w:tc>
          <w:tcPr>
            <w:tcW w:w="1494" w:type="dxa"/>
            <w:tcBorders>
              <w:top w:val="dotted" w:color="auto" w:sz="4" w:space="0"/>
              <w:left w:val="dotted" w:color="auto" w:sz="4" w:space="0"/>
              <w:bottom w:val="dotted" w:color="auto" w:sz="4" w:space="0"/>
              <w:right w:val="dotted" w:color="auto" w:sz="4" w:space="0"/>
            </w:tcBorders>
            <w:shd w:val="clear" w:color="auto" w:fill="FFFFFF"/>
            <w:noWrap/>
          </w:tcPr>
          <w:p w14:paraId="473834AA">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36.221***</w:t>
            </w:r>
          </w:p>
        </w:tc>
        <w:tc>
          <w:tcPr>
            <w:tcW w:w="1618" w:type="dxa"/>
            <w:tcBorders>
              <w:top w:val="dotted" w:color="auto" w:sz="4" w:space="0"/>
              <w:left w:val="dotted" w:color="auto" w:sz="4" w:space="0"/>
              <w:bottom w:val="dotted" w:color="auto" w:sz="4" w:space="0"/>
              <w:right w:val="dotted" w:color="auto" w:sz="4" w:space="0"/>
            </w:tcBorders>
            <w:shd w:val="clear" w:color="auto" w:fill="FFFFFF"/>
            <w:noWrap/>
          </w:tcPr>
          <w:p w14:paraId="5249442F">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208.866***</w:t>
            </w:r>
          </w:p>
        </w:tc>
        <w:tc>
          <w:tcPr>
            <w:tcW w:w="1605" w:type="dxa"/>
            <w:tcBorders>
              <w:top w:val="dotted" w:color="auto" w:sz="4" w:space="0"/>
              <w:left w:val="dotted" w:color="auto" w:sz="4" w:space="0"/>
              <w:bottom w:val="dotted" w:color="auto" w:sz="4" w:space="0"/>
              <w:right w:val="dotted" w:color="auto" w:sz="4" w:space="0"/>
            </w:tcBorders>
            <w:shd w:val="clear" w:color="auto" w:fill="FFFFFF"/>
            <w:noWrap/>
          </w:tcPr>
          <w:p w14:paraId="5FC9A487">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33.735***</w:t>
            </w:r>
          </w:p>
        </w:tc>
        <w:tc>
          <w:tcPr>
            <w:tcW w:w="1834" w:type="dxa"/>
            <w:tcBorders>
              <w:top w:val="dotted" w:color="auto" w:sz="4" w:space="0"/>
              <w:left w:val="dotted" w:color="auto" w:sz="4" w:space="0"/>
              <w:bottom w:val="dotted" w:color="auto" w:sz="4" w:space="0"/>
              <w:right w:val="dotted" w:color="auto" w:sz="4" w:space="0"/>
            </w:tcBorders>
            <w:shd w:val="clear" w:color="auto" w:fill="FFFFFF"/>
            <w:noWrap/>
          </w:tcPr>
          <w:p w14:paraId="55B9A6A2">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12.9124***</w:t>
            </w:r>
          </w:p>
        </w:tc>
      </w:tr>
      <w:tr w14:paraId="3B480CD3">
        <w:tblPrEx>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CellMar>
            <w:top w:w="0" w:type="dxa"/>
            <w:left w:w="108" w:type="dxa"/>
            <w:bottom w:w="0" w:type="dxa"/>
            <w:right w:w="108" w:type="dxa"/>
          </w:tblCellMar>
        </w:tblPrEx>
        <w:trPr>
          <w:trHeight w:val="551" w:hRule="atLeast"/>
        </w:trPr>
        <w:tc>
          <w:tcPr>
            <w:tcW w:w="675" w:type="dxa"/>
            <w:tcBorders>
              <w:top w:val="dotted" w:color="auto" w:sz="4" w:space="0"/>
              <w:left w:val="dotted" w:color="auto" w:sz="4" w:space="0"/>
              <w:bottom w:val="dotted" w:color="auto" w:sz="4" w:space="0"/>
              <w:right w:val="dotted" w:color="auto" w:sz="4" w:space="0"/>
            </w:tcBorders>
            <w:shd w:val="clear" w:color="auto" w:fill="FFFFFF"/>
            <w:noWrap/>
          </w:tcPr>
          <w:p w14:paraId="34A6979A">
            <w:pPr>
              <w:spacing w:after="0" w:line="240" w:lineRule="auto"/>
              <w:rPr>
                <w:rFonts w:hint="default" w:ascii="Times New Roman" w:hAnsi="Times New Roman" w:eastAsia="Times New Roman" w:cs="Times New Roman"/>
                <w:b/>
                <w:bCs/>
                <w:color w:val="000000"/>
                <w:sz w:val="24"/>
                <w:szCs w:val="24"/>
              </w:rPr>
            </w:pPr>
            <w:r>
              <w:rPr>
                <w:rFonts w:hint="default" w:ascii="Times New Roman" w:hAnsi="Times New Roman" w:eastAsia="Times New Roman" w:cs="Times New Roman"/>
                <w:b/>
                <w:bCs/>
                <w:color w:val="000000"/>
                <w:sz w:val="24"/>
                <w:szCs w:val="24"/>
              </w:rPr>
              <w:t>DP</w:t>
            </w:r>
          </w:p>
        </w:tc>
        <w:tc>
          <w:tcPr>
            <w:tcW w:w="1292" w:type="dxa"/>
            <w:tcBorders>
              <w:top w:val="dotted" w:color="auto" w:sz="4" w:space="0"/>
              <w:left w:val="dotted" w:color="auto" w:sz="4" w:space="0"/>
              <w:bottom w:val="dotted" w:color="auto" w:sz="4" w:space="0"/>
              <w:right w:val="dotted" w:color="auto" w:sz="4" w:space="0"/>
            </w:tcBorders>
            <w:shd w:val="clear" w:color="auto" w:fill="FFFFFF"/>
            <w:noWrap/>
          </w:tcPr>
          <w:p w14:paraId="7612B1EE">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152.935***</w:t>
            </w:r>
          </w:p>
        </w:tc>
        <w:tc>
          <w:tcPr>
            <w:tcW w:w="1494" w:type="dxa"/>
            <w:tcBorders>
              <w:top w:val="dotted" w:color="auto" w:sz="4" w:space="0"/>
              <w:left w:val="dotted" w:color="auto" w:sz="4" w:space="0"/>
              <w:bottom w:val="dotted" w:color="auto" w:sz="4" w:space="0"/>
              <w:right w:val="dotted" w:color="auto" w:sz="4" w:space="0"/>
            </w:tcBorders>
            <w:shd w:val="clear" w:color="auto" w:fill="FFFFFF"/>
            <w:noWrap/>
          </w:tcPr>
          <w:p w14:paraId="4640E023">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22.861***</w:t>
            </w:r>
          </w:p>
        </w:tc>
        <w:tc>
          <w:tcPr>
            <w:tcW w:w="1618" w:type="dxa"/>
            <w:tcBorders>
              <w:top w:val="dotted" w:color="auto" w:sz="4" w:space="0"/>
              <w:left w:val="dotted" w:color="auto" w:sz="4" w:space="0"/>
              <w:bottom w:val="dotted" w:color="auto" w:sz="4" w:space="0"/>
              <w:right w:val="dotted" w:color="auto" w:sz="4" w:space="0"/>
            </w:tcBorders>
            <w:shd w:val="clear" w:color="auto" w:fill="FFFFFF"/>
            <w:noWrap/>
          </w:tcPr>
          <w:p w14:paraId="41E36F1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186.758***</w:t>
            </w:r>
          </w:p>
        </w:tc>
        <w:tc>
          <w:tcPr>
            <w:tcW w:w="1605" w:type="dxa"/>
            <w:tcBorders>
              <w:top w:val="dotted" w:color="auto" w:sz="4" w:space="0"/>
              <w:left w:val="dotted" w:color="auto" w:sz="4" w:space="0"/>
              <w:bottom w:val="dotted" w:color="auto" w:sz="4" w:space="0"/>
              <w:right w:val="dotted" w:color="auto" w:sz="4" w:space="0"/>
            </w:tcBorders>
            <w:shd w:val="clear" w:color="auto" w:fill="FFFFFF"/>
            <w:noWrap/>
          </w:tcPr>
          <w:p w14:paraId="4D2A818D">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12.085***</w:t>
            </w:r>
          </w:p>
        </w:tc>
        <w:tc>
          <w:tcPr>
            <w:tcW w:w="1834" w:type="dxa"/>
            <w:tcBorders>
              <w:top w:val="dotted" w:color="auto" w:sz="4" w:space="0"/>
              <w:left w:val="dotted" w:color="auto" w:sz="4" w:space="0"/>
              <w:bottom w:val="dotted" w:color="auto" w:sz="4" w:space="0"/>
              <w:right w:val="dotted" w:color="auto" w:sz="4" w:space="0"/>
            </w:tcBorders>
            <w:shd w:val="clear" w:color="auto" w:fill="FFFFFF"/>
            <w:noWrap/>
          </w:tcPr>
          <w:p w14:paraId="72B8EC24">
            <w:pPr>
              <w:spacing w:after="0" w:line="240" w:lineRule="auto"/>
              <w:rPr>
                <w:rFonts w:hint="default"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rPr>
              <w:t>10.0268***</w:t>
            </w:r>
          </w:p>
        </w:tc>
      </w:tr>
    </w:tbl>
    <w:p w14:paraId="674488B2">
      <w:pPr>
        <w:keepNext w:val="0"/>
        <w:keepLines w:val="0"/>
        <w:widowControl/>
        <w:suppressLineNumbers w:val="0"/>
      </w:pPr>
    </w:p>
    <w:p w14:paraId="5F4CFEEA">
      <w:pPr>
        <w:bidi w:val="0"/>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Panel unit root testing was conducted using CADF, CIPS,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AuthorYear="1"&gt;&lt;Author&gt;Herwartz&lt;/Author&gt;&lt;Year&gt;2008&lt;/Year&gt;&lt;RecNum&gt;133&lt;/RecNum&gt;&lt;DisplayText&gt;Herwartz and Siedenburg (2008)&lt;/DisplayText&gt;&lt;record&gt;&lt;rec-number&gt;133&lt;/rec-number&gt;&lt;foreign-keys&gt;&lt;key app="EN" db-id="2t52ftddjzwsxoerapx5vrxm2fdzpaza5sva" timestamp="1752929044"&gt;133&lt;/key&gt;&lt;/foreign-keys&gt;&lt;ref-type name="Journal Article"&gt;17&lt;/ref-type&gt;&lt;contributors&gt;&lt;authors&gt;&lt;author&gt;Herwartz, Helmut&lt;/author&gt;&lt;author&gt;Siedenburg, Florian&lt;/author&gt;&lt;/authors&gt;&lt;/contributors&gt;&lt;titles&gt;&lt;title&gt;Homogenous panel unit root tests under cross sectional dependence: Finite sample modifications and the wild bootstrap&lt;/title&gt;&lt;secondary-title&gt;Computational Statistics &amp;amp; Data Analysis&lt;/secondary-title&gt;&lt;/titles&gt;&lt;periodical&gt;&lt;full-title&gt;Computational Statistics &amp;amp; Data Analysis&lt;/full-title&gt;&lt;/periodical&gt;&lt;pages&gt;137-150&lt;/pages&gt;&lt;volume&gt;53&lt;/volume&gt;&lt;number&gt;1&lt;/number&gt;&lt;dates&gt;&lt;year&gt;2008&lt;/year&gt;&lt;/dates&gt;&lt;isbn&gt;0167-9473&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Herwartz and Siedenburg (2008)</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methods. The outcomes consistently show that all variables are non-stationary in level form but become stationary after first </w:t>
      </w:r>
      <w:r>
        <w:rPr>
          <w:rFonts w:hint="default" w:ascii="Times New Roman" w:hAnsi="Times New Roman" w:cs="Times New Roman"/>
          <w:sz w:val="24"/>
          <w:szCs w:val="24"/>
          <w:lang w:val="en-US"/>
        </w:rPr>
        <w:t>difference</w:t>
      </w:r>
      <w:r>
        <w:rPr>
          <w:rFonts w:hint="default" w:ascii="Times New Roman" w:hAnsi="Times New Roman" w:cs="Times New Roman"/>
          <w:sz w:val="24"/>
          <w:szCs w:val="24"/>
        </w:rPr>
        <w:t xml:space="preserve">. For instance, ZH improved from -1.298 to -7.85*** under the CADF test. This transformation to </w:t>
      </w:r>
      <w:r>
        <w:rPr>
          <w:rFonts w:hint="default" w:ascii="Times New Roman" w:hAnsi="Times New Roman" w:cs="Times New Roman"/>
          <w:sz w:val="24"/>
          <w:szCs w:val="24"/>
          <w:lang w:val="en-US"/>
        </w:rPr>
        <w:t>stationary</w:t>
      </w:r>
      <w:r>
        <w:rPr>
          <w:rFonts w:hint="default" w:ascii="Times New Roman" w:hAnsi="Times New Roman" w:cs="Times New Roman"/>
          <w:sz w:val="24"/>
          <w:szCs w:val="24"/>
        </w:rPr>
        <w:t xml:space="preserve"> was observed across all variables (II, FI, TI, DP) and all three tests. According to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&lt;EndNote&gt;&lt;Cite&gt;&lt;Author&gt;Pesaran&lt;/Author&gt;&lt;Year&gt;2007&lt;/Year&gt;&lt;RecNum&gt;134&lt;/RecNum&gt;&lt;DisplayText&gt;(Pesaran 2007)&lt;/DisplayText&gt;&lt;record&gt;&lt;rec-number&gt;134&lt;/rec-number&gt;&lt;foreign-keys&gt;&lt;key app="EN" db-id="2t52ftddjzwsxoerapx5vrxm2fdzpaza5sva" timestamp="1752929174"&gt;134&lt;/key&gt;&lt;/foreign-keys&gt;&lt;ref-type name="Journal Article"&gt;17&lt;/ref-type&gt;&lt;contributors&gt;&lt;authors&gt;&lt;author&gt;Pesaran, M Hashem&lt;/author&gt;&lt;/authors&gt;&lt;/contributors&gt;&lt;titles&gt;&lt;title&gt;A simple panel unit root test in the presence of cross‐section dependence&lt;/title&gt;&lt;secondary-title&gt;Journal of applied econometrics&lt;/secondary-title&gt;&lt;/titles&gt;&lt;periodical&gt;&lt;full-title&gt;Journal of applied econometrics&lt;/full-title&gt;&lt;/periodical&gt;&lt;pages&gt;265-312&lt;/pages&gt;&lt;volume&gt;22&lt;/volume&gt;&lt;number&gt;2&lt;/number&gt;&lt;dates&gt;&lt;year&gt;2007&lt;/year&gt;&lt;/dates&gt;&lt;isbn&gt;0883-7252&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(Pesaran 2007)</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CIPS offers a robust framework by incorporating cross-sectional averages to adjust for dependence, making it particularly suitable for panels like ours.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AuthorYear="1"&gt;&lt;Author&gt;Herwartz&lt;/Author&gt;&lt;Year&gt;2008&lt;/Year&gt;&lt;RecNum&gt;133&lt;/RecNum&gt;&lt;DisplayText&gt;Herwartz and Siedenburg (2008)&lt;/DisplayText&gt;&lt;record&gt;&lt;rec-number&gt;133&lt;/rec-number&gt;&lt;foreign-keys&gt;&lt;key app="EN" db-id="2t52ftddjzwsxoerapx5vrxm2fdzpaza5sva" timestamp="1752929044"&gt;133&lt;/key&gt;&lt;/foreign-keys&gt;&lt;ref-type name="Journal Article"&gt;17&lt;/ref-type&gt;&lt;contributors&gt;&lt;authors&gt;&lt;author&gt;Herwartz, Helmut&lt;/author&gt;&lt;author&gt;Siedenburg, Florian&lt;/author&gt;&lt;/authors&gt;&lt;/contributors&gt;&lt;titles&gt;&lt;title&gt;Homogenous panel unit root tests under cross sectional dependence: Finite sample modifications and the wild bootstrap&lt;/title&gt;&lt;secondary-title&gt;Computational Statistics &amp;amp; Data Analysis&lt;/secondary-title&gt;&lt;/titles&gt;&lt;periodical&gt;&lt;full-title&gt;Computational Statistics &amp;amp; Data Analysis&lt;/full-title&gt;&lt;/periodical&gt;&lt;pages&gt;137-150&lt;/pages&gt;&lt;volume&gt;53&lt;/volume&gt;&lt;number&gt;1&lt;/number&gt;&lt;dates&gt;&lt;year&gt;2008&lt;/year&gt;&lt;/dates&gt;&lt;isbn&gt;0167-9473&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Herwartz and Siedenburg (2008)</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structural break-adjusted test further confirmed these findings. These results imply that all variables are integrated of order one, I(1), validating the necessity to apply cointegration techniques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w:instrText>
      </w:r>
      <w:r>
        <w:rPr>
          <w:rFonts w:hint="default" w:ascii="Times New Roman" w:hAnsi="Times New Roman" w:cs="Times New Roman"/>
          <w:sz w:val="24"/>
          <w:szCs w:val="24"/>
          <w:lang w:val="en-US"/>
        </w:rPr>
        <w:fldChar w:fldCharType="begin">
          <w:fldData xml:space="preserve">PEVuZE5vdGU+PENpdGU+PEF1dGhvcj5XZXN0ZXJsdW5kPC9BdXRob3I+PFllYXI+MjAwODwvWWVh
cj48UmVjTnVtPjEyNDwvUmVjTnVtPjxEaXNwbGF5VGV4dD4oV2VzdGVybHVuZCBhbmQgRWRnZXJ0
b24gMjAwOCk8L0Rpc3BsYXlUZXh0PjxyZWNvcmQ+PHJlYy1udW1iZXI+MTI0PC9yZWMtbnVtYmVy
Pjxmb3JlaWduLWtleXM+PGtleSBhcHA9IkVOIiBkYi1pZD0iMnQ1MmZ0ZGRqendzeG9lcmFweDV2
cnhtMmZkenBhemE1c3ZhIiB0aW1lc3RhbXA9IjE3NTI4NTY4MzciPjEyNDwva2V5PjwvZm9yZWln
bi1rZXlzPjxyZWYtdHlwZSBuYW1lPSJKb3VybmFsIEFydGljbGUiPjE3PC9yZWYtdHlwZT48Y29u
dHJpYnV0b3JzPjxhdXRob3JzPjxhdXRob3I+V2VzdGVybHVuZCwgSm9ha2ltPC9hdXRob3I+PGF1
dGhvcj5FZGdlcnRvbiwgRGF2aWQgTDwvYXV0aG9yPjwvYXV0aG9ycz48L2NvbnRyaWJ1dG9ycz48
dGl0bGVzPjx0aXRsZT5BIHNpbXBsZSB0ZXN0IGZvciBjb2ludGVncmF0aW9uIGluIGRlcGVuZGVu
dCBwYW5lbHMgd2l0aCBzdHJ1Y3R1cmFsIGJyZWFrczwvdGl0bGU+PHNlY29uZGFyeS10aXRsZT5P
eGZvcmQgQnVsbGV0aW4gb2YgRWNvbm9taWNzIGFuZCBzdGF0aXN0aWNzPC9zZWNvbmRhcnktdGl0
bGU+PC90aXRsZXM+PHBlcmlvZGljYWw+PGZ1bGwtdGl0bGU+T3hmb3JkIEJ1bGxldGluIG9mIEVj
b25vbWljcyBhbmQgc3RhdGlzdGljczwvZnVsbC10aXRsZT48L3BlcmlvZGljYWw+PHBhZ2VzPjY2
NS03MDQ8L3BhZ2VzPjx2b2x1bWU+NzA8L3ZvbHVtZT48bnVtYmVyPjU8L251bWJlcj48ZGF0ZXM+
PHllYXI+MjAwODwveWVhcj48L2RhdGVzPjxpc2JuPjAzMDUtOTA0OTwvaXNibj48dXJscz48L3Vy
bHM+PC9yZWNvcmQ+PC9DaXRlPjxDaXRlIEF1dGhvclllYXI9IjEiPjxBdXRob3I+V2VzdGVybHVu
ZDwvQXV0aG9yPjxZZWFyPjIwMDg8L1llYXI+PFJlY051bT4xMjQ8L1JlY051bT48cmVjb3JkPjxy
ZWMtbnVtYmVyPjEyNDwvcmVjLW51bWJlcj48Zm9yZWlnbi1rZXlzPjxrZXkgYXBwPSJFTiIgZGIt
aWQ9IjJ0NTJmdGRkanp3c3hvZXJhcHg1dnJ4bTJmZHpwYXphNXN2YSIgdGltZXN0YW1wPSIxNzUy
ODU2ODM3Ij4xMjQ8L2tleT48L2ZvcmVpZ24ta2V5cz48cmVmLXR5cGUgbmFtZT0iSm91cm5hbCBB
cnRpY2xlIj4xNzwvcmVmLXR5cGU+PGNvbnRyaWJ1dG9ycz48YXV0aG9ycz48YXV0aG9yPldlc3Rl
cmx1bmQsIEpvYWtpbTwvYXV0aG9yPjxhdXRob3I+RWRnZXJ0b24sIERhdmlkIEw8L2F1dGhvcj48
L2F1dGhvcnM+PC9jb250cmlidXRvcnM+PHRpdGxlcz48dGl0bGU+QSBzaW1wbGUgdGVzdCBmb3Ig
Y29pbnRlZ3JhdGlvbiBpbiBkZXBlbmRlbnQgcGFuZWxzIHdpdGggc3RydWN0dXJhbCBicmVha3M8
L3RpdGxlPjxzZWNvbmRhcnktdGl0bGU+T3hmb3JkIEJ1bGxldGluIG9mIEVjb25vbWljcyBhbmQg
c3RhdGlzdGljczwvc2Vjb25kYXJ5LXRpdGxlPjwvdGl0bGVzPjxwZXJpb2RpY2FsPjxmdWxsLXRp
dGxlPk94Zm9yZCBCdWxsZXRpbiBvZiBFY29ub21pY3MgYW5kIHN0YXRpc3RpY3M8L2Z1bGwtdGl0
bGU+PC9wZXJpb2RpY2FsPjxwYWdlcz42NjUtNzA0PC9wYWdlcz48dm9sdW1lPjcwPC92b2x1bWU+
PG51bWJlcj41PC9udW1iZXI+PGRhdGVzPjx5ZWFyPjIwMDg8L3llYXI+PC9kYXRlcz48aXNibj4w
MzA1LTkwNDk8L2lzYm4+PHVybHM+PC91cmxzPjwvcmVjb3JkPjwvQ2l0ZT48Q2l0ZSBBdXRob3JZ
ZWFyPSIxIj48QXV0aG9yPldlc3Rlcmx1bmQ8L0F1dGhvcj48WWVhcj4yMDA4PC9ZZWFyPjxSZWNO
dW0+MTI0PC9SZWNOdW0+PHJlY29yZD48cmVjLW51bWJlcj4xMjQ8L3JlYy1udW1iZXI+PGZvcmVp
Z24ta2V5cz48a2V5IGFwcD0iRU4iIGRiLWlkPSIydDUyZnRkZGp6d3N4b2VyYXB4NXZyeG0yZmR6
cGF6YTVzdmEiIHRpbWVzdGFtcD0iMTc1Mjg1NjgzNyI+MTI0PC9rZXk+PC9mb3JlaWduLWtleXM+
PHJlZi10eXBlIG5hbWU9IkpvdXJuYWwgQXJ0aWNsZSI+MTc8L3JlZi10eXBlPjxjb250cmlidXRv
cnM+PGF1dGhvcnM+PGF1dGhvcj5XZXN0ZXJsdW5kLCBKb2FraW08L2F1dGhvcj48YXV0aG9yPkVk
Z2VydG9uLCBEYXZpZCBMPC9hdXRob3I+PC9hdXRob3JzPjwvY29udHJpYnV0b3JzPjx0aXRsZXM+
PHRpdGxlPkEgc2ltcGxlIHRlc3QgZm9yIGNvaW50ZWdyYXRpb24gaW4gZGVwZW5kZW50IHBhbmVs
cyB3aXRoIHN0cnVjdHVyYWwgYnJlYWtzPC90aXRsZT48c2Vjb25kYXJ5LXRpdGxlPk94Zm9yZCBC
dWxsZXRpbiBvZiBFY29ub21pY3MgYW5kIHN0YXRpc3RpY3M8L3NlY29uZGFyeS10aXRsZT48L3Rp
dGxlcz48cGVyaW9kaWNhbD48ZnVsbC10aXRsZT5PeGZvcmQgQnVsbGV0aW4gb2YgRWNvbm9taWNz
IGFuZCBzdGF0aXN0aWNzPC9mdWxsLXRpdGxlPjwvcGVyaW9kaWNhbD48cGFnZXM+NjY1LTcwNDwv
cGFnZXM+PHZvbHVtZT43MDwvdm9sdW1lPjxudW1iZXI+NTwvbnVtYmVyPjxkYXRlcz48eWVhcj4y
MDA4PC95ZWFyPjwvZGF0ZXM+PGlzYm4+MDMwNS05MDQ5PC9pc2JuPjx1cmxzPjwvdXJscz48L3Jl
Y29yZD48L0NpdGU+PC9FbmROb3RlPg==
</w:fldData>
        </w:fldChar>
      </w:r>
      <w:r>
        <w:rPr>
          <w:rFonts w:hint="default" w:ascii="Times New Roman" w:hAnsi="Times New Roman" w:cs="Times New Roman"/>
          <w:sz w:val="24"/>
          <w:szCs w:val="24"/>
          <w:lang w:val="en-US"/>
        </w:rPr>
        <w:instrText xml:space="preserve"> ADDIN EN.CITE.DATA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(Westerlund and Edgerton 2008)</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to explore long-run equilibrium relationships.</w:t>
      </w:r>
    </w:p>
    <w:p w14:paraId="28DE6198">
      <w:pPr>
        <w:pStyle w:val="7"/>
        <w:bidi w:val="0"/>
        <w:rPr>
          <w:rFonts w:hint="default" w:ascii="Times New Roman" w:hAnsi="Times New Roman" w:cs="Times New Roman"/>
          <w:szCs w:val="24"/>
          <w:lang w:val="en-US"/>
        </w:rPr>
      </w:pPr>
      <w:r>
        <w:t xml:space="preserve">Table </w:t>
      </w:r>
      <w:r>
        <w:fldChar w:fldCharType="begin"/>
      </w:r>
      <w:r>
        <w:instrText xml:space="preserve"> SEQ Table \* ARABIC </w:instrText>
      </w:r>
      <w:r>
        <w:fldChar w:fldCharType="separate"/>
      </w:r>
      <w:r>
        <w:t>6</w:t>
      </w:r>
      <w:r>
        <w:fldChar w:fldCharType="end"/>
      </w:r>
      <w:bookmarkStart w:id="183" w:name="_Toc9217"/>
      <w:r>
        <w:rPr>
          <w:rFonts w:hint="default"/>
          <w:lang w:val="en-US"/>
        </w:rPr>
        <w:t>: Panel Unit Root Test</w:t>
      </w:r>
      <w:bookmarkEnd w:id="183"/>
    </w:p>
    <w:tbl>
      <w:tblPr>
        <w:tblStyle w:val="6"/>
        <w:tblW w:w="83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2"/>
        <w:gridCol w:w="827"/>
        <w:gridCol w:w="1221"/>
        <w:gridCol w:w="1178"/>
        <w:gridCol w:w="1257"/>
        <w:gridCol w:w="996"/>
        <w:gridCol w:w="1666"/>
      </w:tblGrid>
      <w:tr w14:paraId="12A5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1252" w:type="dxa"/>
            <w:vMerge w:val="restart"/>
            <w:tcBorders>
              <w:top w:val="single" w:color="auto" w:sz="4" w:space="0"/>
              <w:left w:val="single" w:color="auto" w:sz="4" w:space="0"/>
              <w:bottom w:val="single" w:color="auto" w:sz="4" w:space="0"/>
              <w:right w:val="single" w:color="auto" w:sz="4" w:space="0"/>
            </w:tcBorders>
            <w:shd w:val="clear" w:color="auto" w:fill="FFFFFF"/>
            <w:vAlign w:val="top"/>
          </w:tcPr>
          <w:p w14:paraId="017AF1CE">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Variables</w:t>
            </w:r>
          </w:p>
        </w:tc>
        <w:tc>
          <w:tcPr>
            <w:tcW w:w="2048" w:type="dxa"/>
            <w:gridSpan w:val="2"/>
            <w:tcBorders>
              <w:top w:val="single" w:color="auto" w:sz="4" w:space="0"/>
              <w:left w:val="single" w:color="auto" w:sz="4" w:space="0"/>
              <w:bottom w:val="single" w:color="auto" w:sz="4" w:space="0"/>
              <w:right w:val="single" w:color="auto" w:sz="4" w:space="0"/>
            </w:tcBorders>
            <w:shd w:val="clear" w:color="auto" w:fill="FFFFFF"/>
            <w:vAlign w:val="top"/>
          </w:tcPr>
          <w:p w14:paraId="5AB2B2D8">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CADF test statistic</w:t>
            </w:r>
          </w:p>
        </w:tc>
        <w:tc>
          <w:tcPr>
            <w:tcW w:w="1178" w:type="dxa"/>
            <w:tcBorders>
              <w:top w:val="single" w:color="auto" w:sz="4" w:space="0"/>
              <w:left w:val="single" w:color="auto" w:sz="4" w:space="0"/>
              <w:bottom w:val="single" w:color="auto" w:sz="4" w:space="0"/>
              <w:right w:val="single" w:color="auto" w:sz="4" w:space="0"/>
            </w:tcBorders>
            <w:shd w:val="clear" w:color="auto" w:fill="FFFFFF"/>
            <w:vAlign w:val="top"/>
          </w:tcPr>
          <w:p w14:paraId="169C1E9F">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CIPS test statistic</w:t>
            </w:r>
          </w:p>
        </w:tc>
        <w:tc>
          <w:tcPr>
            <w:tcW w:w="1257" w:type="dxa"/>
            <w:tcBorders>
              <w:top w:val="single" w:color="auto" w:sz="4" w:space="0"/>
              <w:left w:val="single" w:color="auto" w:sz="4" w:space="0"/>
              <w:bottom w:val="single" w:color="auto" w:sz="4" w:space="0"/>
              <w:right w:val="single" w:color="auto" w:sz="4" w:space="0"/>
            </w:tcBorders>
            <w:shd w:val="clear" w:color="auto" w:fill="FFFFFF"/>
            <w:vAlign w:val="top"/>
          </w:tcPr>
          <w:p w14:paraId="65F40355">
            <w:pPr>
              <w:bidi w:val="0"/>
              <w:rPr>
                <w:rFonts w:hint="default" w:ascii="Times New Roman" w:hAnsi="Times New Roman" w:cs="Times New Roman"/>
                <w:b/>
                <w:bCs/>
                <w:sz w:val="24"/>
                <w:szCs w:val="24"/>
              </w:rPr>
            </w:pPr>
          </w:p>
        </w:tc>
        <w:tc>
          <w:tcPr>
            <w:tcW w:w="2662" w:type="dxa"/>
            <w:gridSpan w:val="2"/>
            <w:tcBorders>
              <w:top w:val="single" w:color="auto" w:sz="4" w:space="0"/>
              <w:left w:val="single" w:color="auto" w:sz="4" w:space="0"/>
              <w:bottom w:val="single" w:color="auto" w:sz="4" w:space="0"/>
              <w:right w:val="single" w:color="auto" w:sz="4" w:space="0"/>
            </w:tcBorders>
            <w:shd w:val="clear" w:color="auto" w:fill="FFFFFF"/>
            <w:vAlign w:val="top"/>
          </w:tcPr>
          <w:p w14:paraId="23AA6DA3">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 xml:space="preserve"> Herwartz and Siedenburg -2008</w:t>
            </w:r>
          </w:p>
        </w:tc>
      </w:tr>
      <w:tr w14:paraId="5E6DD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 w:hRule="atLeast"/>
        </w:trPr>
        <w:tc>
          <w:tcPr>
            <w:tcW w:w="1252" w:type="dxa"/>
            <w:vMerge w:val="continue"/>
            <w:tcBorders>
              <w:top w:val="single" w:color="auto" w:sz="4" w:space="0"/>
              <w:left w:val="single" w:color="auto" w:sz="4" w:space="0"/>
              <w:bottom w:val="single" w:color="auto" w:sz="4" w:space="0"/>
              <w:right w:val="single" w:color="auto" w:sz="4" w:space="0"/>
            </w:tcBorders>
            <w:shd w:val="clear" w:color="auto" w:fill="FFFFFF"/>
            <w:vAlign w:val="top"/>
          </w:tcPr>
          <w:p w14:paraId="33FBF814">
            <w:pPr>
              <w:jc w:val="center"/>
              <w:rPr>
                <w:rFonts w:hint="default" w:ascii="Times New Roman" w:hAnsi="Times New Roman" w:cs="Times New Roman"/>
                <w:b/>
                <w:bCs/>
                <w:i w:val="0"/>
                <w:iCs w:val="0"/>
                <w:color w:val="000000"/>
                <w:sz w:val="24"/>
                <w:szCs w:val="24"/>
                <w:u w:val="none"/>
              </w:rPr>
            </w:pPr>
          </w:p>
        </w:tc>
        <w:tc>
          <w:tcPr>
            <w:tcW w:w="827" w:type="dxa"/>
            <w:tcBorders>
              <w:top w:val="single" w:color="auto" w:sz="4" w:space="0"/>
              <w:left w:val="single" w:color="auto" w:sz="4" w:space="0"/>
              <w:bottom w:val="single" w:color="auto" w:sz="4" w:space="0"/>
              <w:right w:val="single" w:color="auto" w:sz="4" w:space="0"/>
            </w:tcBorders>
            <w:shd w:val="clear" w:color="auto" w:fill="FFFFFF"/>
            <w:vAlign w:val="top"/>
          </w:tcPr>
          <w:p w14:paraId="309AA050">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Level</w:t>
            </w:r>
          </w:p>
        </w:tc>
        <w:tc>
          <w:tcPr>
            <w:tcW w:w="1221" w:type="dxa"/>
            <w:tcBorders>
              <w:top w:val="single" w:color="auto" w:sz="4" w:space="0"/>
              <w:left w:val="single" w:color="auto" w:sz="4" w:space="0"/>
              <w:bottom w:val="single" w:color="auto" w:sz="4" w:space="0"/>
              <w:right w:val="single" w:color="auto" w:sz="4" w:space="0"/>
            </w:tcBorders>
            <w:shd w:val="clear" w:color="auto" w:fill="FFFFFF"/>
            <w:vAlign w:val="top"/>
          </w:tcPr>
          <w:p w14:paraId="1FBEBD88">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first difference</w:t>
            </w:r>
          </w:p>
        </w:tc>
        <w:tc>
          <w:tcPr>
            <w:tcW w:w="1178" w:type="dxa"/>
            <w:tcBorders>
              <w:top w:val="single" w:color="auto" w:sz="4" w:space="0"/>
              <w:left w:val="single" w:color="auto" w:sz="4" w:space="0"/>
              <w:bottom w:val="single" w:color="auto" w:sz="4" w:space="0"/>
              <w:right w:val="single" w:color="auto" w:sz="4" w:space="0"/>
            </w:tcBorders>
            <w:shd w:val="clear" w:color="auto" w:fill="FFFFFF"/>
            <w:vAlign w:val="top"/>
          </w:tcPr>
          <w:p w14:paraId="3768781B">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Level</w:t>
            </w:r>
          </w:p>
        </w:tc>
        <w:tc>
          <w:tcPr>
            <w:tcW w:w="1257" w:type="dxa"/>
            <w:tcBorders>
              <w:top w:val="single" w:color="auto" w:sz="4" w:space="0"/>
              <w:left w:val="single" w:color="auto" w:sz="4" w:space="0"/>
              <w:bottom w:val="single" w:color="auto" w:sz="4" w:space="0"/>
              <w:right w:val="single" w:color="auto" w:sz="4" w:space="0"/>
            </w:tcBorders>
            <w:shd w:val="clear" w:color="auto" w:fill="FFFFFF"/>
            <w:vAlign w:val="top"/>
          </w:tcPr>
          <w:p w14:paraId="0096308D">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first difference</w:t>
            </w:r>
          </w:p>
        </w:tc>
        <w:tc>
          <w:tcPr>
            <w:tcW w:w="996" w:type="dxa"/>
            <w:tcBorders>
              <w:top w:val="single" w:color="auto" w:sz="4" w:space="0"/>
              <w:left w:val="single" w:color="auto" w:sz="4" w:space="0"/>
              <w:bottom w:val="single" w:color="auto" w:sz="4" w:space="0"/>
              <w:right w:val="single" w:color="auto" w:sz="4" w:space="0"/>
            </w:tcBorders>
            <w:shd w:val="clear" w:color="auto" w:fill="FFFFFF"/>
            <w:vAlign w:val="top"/>
          </w:tcPr>
          <w:p w14:paraId="6AD83B03">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Level</w:t>
            </w:r>
          </w:p>
        </w:tc>
        <w:tc>
          <w:tcPr>
            <w:tcW w:w="1666" w:type="dxa"/>
            <w:tcBorders>
              <w:top w:val="single" w:color="auto" w:sz="4" w:space="0"/>
              <w:left w:val="single" w:color="auto" w:sz="4" w:space="0"/>
              <w:bottom w:val="single" w:color="auto" w:sz="4" w:space="0"/>
              <w:right w:val="single" w:color="auto" w:sz="4" w:space="0"/>
            </w:tcBorders>
            <w:shd w:val="clear" w:color="auto" w:fill="FFFFFF"/>
            <w:vAlign w:val="top"/>
          </w:tcPr>
          <w:p w14:paraId="36FC3FC4">
            <w:pPr>
              <w:bidi w:val="0"/>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first difference</w:t>
            </w:r>
          </w:p>
        </w:tc>
      </w:tr>
      <w:tr w14:paraId="65A83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trPr>
        <w:tc>
          <w:tcPr>
            <w:tcW w:w="1252" w:type="dxa"/>
            <w:tcBorders>
              <w:top w:val="single" w:color="auto" w:sz="4" w:space="0"/>
              <w:left w:val="single" w:color="auto" w:sz="4" w:space="0"/>
              <w:bottom w:val="single" w:color="auto" w:sz="4" w:space="0"/>
              <w:right w:val="single" w:color="auto" w:sz="4" w:space="0"/>
            </w:tcBorders>
            <w:shd w:val="clear" w:color="auto" w:fill="FFFFFF"/>
            <w:noWrap/>
            <w:vAlign w:val="top"/>
          </w:tcPr>
          <w:p w14:paraId="50E51E13">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ZH</w:t>
            </w:r>
          </w:p>
        </w:tc>
        <w:tc>
          <w:tcPr>
            <w:tcW w:w="827" w:type="dxa"/>
            <w:tcBorders>
              <w:top w:val="single" w:color="auto" w:sz="4" w:space="0"/>
              <w:left w:val="single" w:color="auto" w:sz="4" w:space="0"/>
              <w:bottom w:val="single" w:color="auto" w:sz="4" w:space="0"/>
              <w:right w:val="single" w:color="auto" w:sz="4" w:space="0"/>
            </w:tcBorders>
            <w:shd w:val="clear" w:color="auto" w:fill="FFFFFF"/>
            <w:noWrap/>
            <w:vAlign w:val="top"/>
          </w:tcPr>
          <w:p w14:paraId="53B2C843">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-1.298</w:t>
            </w:r>
          </w:p>
        </w:tc>
        <w:tc>
          <w:tcPr>
            <w:tcW w:w="1221" w:type="dxa"/>
            <w:tcBorders>
              <w:top w:val="single" w:color="auto" w:sz="4" w:space="0"/>
              <w:left w:val="single" w:color="auto" w:sz="4" w:space="0"/>
              <w:bottom w:val="single" w:color="auto" w:sz="4" w:space="0"/>
              <w:right w:val="single" w:color="auto" w:sz="4" w:space="0"/>
            </w:tcBorders>
            <w:shd w:val="clear" w:color="auto" w:fill="FFFFFF"/>
            <w:noWrap/>
            <w:vAlign w:val="top"/>
          </w:tcPr>
          <w:p w14:paraId="2D78DDD1">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-7.85***</w:t>
            </w:r>
          </w:p>
        </w:tc>
        <w:tc>
          <w:tcPr>
            <w:tcW w:w="1178" w:type="dxa"/>
            <w:tcBorders>
              <w:top w:val="single" w:color="auto" w:sz="4" w:space="0"/>
              <w:left w:val="single" w:color="auto" w:sz="4" w:space="0"/>
              <w:bottom w:val="single" w:color="auto" w:sz="4" w:space="0"/>
              <w:right w:val="single" w:color="auto" w:sz="4" w:space="0"/>
            </w:tcBorders>
            <w:shd w:val="clear" w:color="auto" w:fill="FFFFFF"/>
            <w:noWrap/>
            <w:vAlign w:val="top"/>
          </w:tcPr>
          <w:p w14:paraId="3875B377">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-2.003</w:t>
            </w:r>
          </w:p>
        </w:tc>
        <w:tc>
          <w:tcPr>
            <w:tcW w:w="1257" w:type="dxa"/>
            <w:tcBorders>
              <w:top w:val="single" w:color="auto" w:sz="4" w:space="0"/>
              <w:left w:val="single" w:color="auto" w:sz="4" w:space="0"/>
              <w:bottom w:val="single" w:color="auto" w:sz="4" w:space="0"/>
              <w:right w:val="single" w:color="auto" w:sz="4" w:space="0"/>
            </w:tcBorders>
            <w:shd w:val="clear" w:color="auto" w:fill="FFFFFF"/>
            <w:noWrap/>
            <w:vAlign w:val="top"/>
          </w:tcPr>
          <w:p w14:paraId="0DB8B5C1">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-6.539***</w:t>
            </w:r>
          </w:p>
        </w:tc>
        <w:tc>
          <w:tcPr>
            <w:tcW w:w="996" w:type="dxa"/>
            <w:tcBorders>
              <w:top w:val="single" w:color="auto" w:sz="4" w:space="0"/>
              <w:left w:val="single" w:color="auto" w:sz="4" w:space="0"/>
              <w:bottom w:val="single" w:color="auto" w:sz="4" w:space="0"/>
              <w:right w:val="single" w:color="auto" w:sz="4" w:space="0"/>
            </w:tcBorders>
            <w:shd w:val="clear" w:color="auto" w:fill="FFFFFF"/>
            <w:noWrap/>
            <w:vAlign w:val="top"/>
          </w:tcPr>
          <w:p w14:paraId="0C20EC7E">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0.5748</w:t>
            </w:r>
          </w:p>
        </w:tc>
        <w:tc>
          <w:tcPr>
            <w:tcW w:w="1666" w:type="dxa"/>
            <w:tcBorders>
              <w:top w:val="single" w:color="auto" w:sz="4" w:space="0"/>
              <w:left w:val="single" w:color="auto" w:sz="4" w:space="0"/>
              <w:bottom w:val="single" w:color="auto" w:sz="4" w:space="0"/>
              <w:right w:val="single" w:color="auto" w:sz="4" w:space="0"/>
            </w:tcBorders>
            <w:shd w:val="clear" w:color="auto" w:fill="FFFFFF"/>
            <w:noWrap/>
            <w:vAlign w:val="top"/>
          </w:tcPr>
          <w:p w14:paraId="1B57689C">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7.2489***</w:t>
            </w:r>
          </w:p>
        </w:tc>
      </w:tr>
      <w:tr w14:paraId="78F72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trPr>
        <w:tc>
          <w:tcPr>
            <w:tcW w:w="1252" w:type="dxa"/>
            <w:tcBorders>
              <w:top w:val="single" w:color="auto" w:sz="4" w:space="0"/>
              <w:left w:val="single" w:color="auto" w:sz="4" w:space="0"/>
              <w:bottom w:val="single" w:color="auto" w:sz="4" w:space="0"/>
              <w:right w:val="single" w:color="auto" w:sz="4" w:space="0"/>
            </w:tcBorders>
            <w:shd w:val="clear" w:color="auto" w:fill="FFFFFF"/>
            <w:noWrap/>
            <w:vAlign w:val="top"/>
          </w:tcPr>
          <w:p w14:paraId="42BA3EE1">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II</w:t>
            </w:r>
          </w:p>
        </w:tc>
        <w:tc>
          <w:tcPr>
            <w:tcW w:w="827" w:type="dxa"/>
            <w:tcBorders>
              <w:top w:val="single" w:color="auto" w:sz="4" w:space="0"/>
              <w:left w:val="single" w:color="auto" w:sz="4" w:space="0"/>
              <w:bottom w:val="single" w:color="auto" w:sz="4" w:space="0"/>
              <w:right w:val="single" w:color="auto" w:sz="4" w:space="0"/>
            </w:tcBorders>
            <w:shd w:val="clear" w:color="auto" w:fill="FFFFFF"/>
            <w:noWrap/>
            <w:vAlign w:val="top"/>
          </w:tcPr>
          <w:p w14:paraId="48C43941">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-1.213</w:t>
            </w:r>
          </w:p>
        </w:tc>
        <w:tc>
          <w:tcPr>
            <w:tcW w:w="1221" w:type="dxa"/>
            <w:tcBorders>
              <w:top w:val="single" w:color="auto" w:sz="4" w:space="0"/>
              <w:left w:val="single" w:color="auto" w:sz="4" w:space="0"/>
              <w:bottom w:val="single" w:color="auto" w:sz="4" w:space="0"/>
              <w:right w:val="single" w:color="auto" w:sz="4" w:space="0"/>
            </w:tcBorders>
            <w:shd w:val="clear" w:color="auto" w:fill="FFFFFF"/>
            <w:noWrap/>
            <w:vAlign w:val="top"/>
          </w:tcPr>
          <w:p w14:paraId="2A1518A0">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-5.606***</w:t>
            </w:r>
          </w:p>
        </w:tc>
        <w:tc>
          <w:tcPr>
            <w:tcW w:w="1178" w:type="dxa"/>
            <w:tcBorders>
              <w:top w:val="single" w:color="auto" w:sz="4" w:space="0"/>
              <w:left w:val="single" w:color="auto" w:sz="4" w:space="0"/>
              <w:bottom w:val="single" w:color="auto" w:sz="4" w:space="0"/>
              <w:right w:val="single" w:color="auto" w:sz="4" w:space="0"/>
            </w:tcBorders>
            <w:shd w:val="clear" w:color="auto" w:fill="FFFFFF"/>
            <w:noWrap/>
            <w:vAlign w:val="top"/>
          </w:tcPr>
          <w:p w14:paraId="329D101F">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-1.85</w:t>
            </w:r>
          </w:p>
        </w:tc>
        <w:tc>
          <w:tcPr>
            <w:tcW w:w="1257" w:type="dxa"/>
            <w:tcBorders>
              <w:top w:val="single" w:color="auto" w:sz="4" w:space="0"/>
              <w:left w:val="single" w:color="auto" w:sz="4" w:space="0"/>
              <w:bottom w:val="single" w:color="auto" w:sz="4" w:space="0"/>
              <w:right w:val="single" w:color="auto" w:sz="4" w:space="0"/>
            </w:tcBorders>
            <w:shd w:val="clear" w:color="auto" w:fill="FFFFFF"/>
            <w:noWrap/>
            <w:vAlign w:val="top"/>
          </w:tcPr>
          <w:p w14:paraId="44CE89B2">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-3.386***</w:t>
            </w:r>
          </w:p>
        </w:tc>
        <w:tc>
          <w:tcPr>
            <w:tcW w:w="996" w:type="dxa"/>
            <w:tcBorders>
              <w:top w:val="single" w:color="auto" w:sz="4" w:space="0"/>
              <w:left w:val="single" w:color="auto" w:sz="4" w:space="0"/>
              <w:bottom w:val="single" w:color="auto" w:sz="4" w:space="0"/>
              <w:right w:val="single" w:color="auto" w:sz="4" w:space="0"/>
            </w:tcBorders>
            <w:shd w:val="clear" w:color="auto" w:fill="FFFFFF"/>
            <w:noWrap/>
            <w:vAlign w:val="top"/>
          </w:tcPr>
          <w:p w14:paraId="670BAFD6">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0.2233</w:t>
            </w:r>
          </w:p>
        </w:tc>
        <w:tc>
          <w:tcPr>
            <w:tcW w:w="1666" w:type="dxa"/>
            <w:tcBorders>
              <w:top w:val="single" w:color="auto" w:sz="4" w:space="0"/>
              <w:left w:val="single" w:color="auto" w:sz="4" w:space="0"/>
              <w:bottom w:val="single" w:color="auto" w:sz="4" w:space="0"/>
              <w:right w:val="single" w:color="auto" w:sz="4" w:space="0"/>
            </w:tcBorders>
            <w:shd w:val="clear" w:color="auto" w:fill="FFFFFF"/>
            <w:noWrap/>
            <w:vAlign w:val="top"/>
          </w:tcPr>
          <w:p w14:paraId="7AC78463">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4.1552***</w:t>
            </w:r>
          </w:p>
        </w:tc>
      </w:tr>
      <w:tr w14:paraId="6CF6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trPr>
        <w:tc>
          <w:tcPr>
            <w:tcW w:w="1252" w:type="dxa"/>
            <w:tcBorders>
              <w:top w:val="single" w:color="auto" w:sz="4" w:space="0"/>
              <w:left w:val="single" w:color="auto" w:sz="4" w:space="0"/>
              <w:bottom w:val="single" w:color="auto" w:sz="4" w:space="0"/>
              <w:right w:val="single" w:color="auto" w:sz="4" w:space="0"/>
            </w:tcBorders>
            <w:shd w:val="clear" w:color="auto" w:fill="FFFFFF"/>
            <w:noWrap/>
            <w:vAlign w:val="top"/>
          </w:tcPr>
          <w:p w14:paraId="1EF2BC6A">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FI</w:t>
            </w:r>
          </w:p>
        </w:tc>
        <w:tc>
          <w:tcPr>
            <w:tcW w:w="827" w:type="dxa"/>
            <w:tcBorders>
              <w:top w:val="single" w:color="auto" w:sz="4" w:space="0"/>
              <w:left w:val="single" w:color="auto" w:sz="4" w:space="0"/>
              <w:bottom w:val="single" w:color="auto" w:sz="4" w:space="0"/>
              <w:right w:val="single" w:color="auto" w:sz="4" w:space="0"/>
            </w:tcBorders>
            <w:shd w:val="clear" w:color="auto" w:fill="FFFFFF"/>
            <w:noWrap/>
            <w:vAlign w:val="top"/>
          </w:tcPr>
          <w:p w14:paraId="28E6B69D">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-2.48</w:t>
            </w:r>
          </w:p>
        </w:tc>
        <w:tc>
          <w:tcPr>
            <w:tcW w:w="1221" w:type="dxa"/>
            <w:tcBorders>
              <w:top w:val="single" w:color="auto" w:sz="4" w:space="0"/>
              <w:left w:val="single" w:color="auto" w:sz="4" w:space="0"/>
              <w:bottom w:val="single" w:color="auto" w:sz="4" w:space="0"/>
              <w:right w:val="single" w:color="auto" w:sz="4" w:space="0"/>
            </w:tcBorders>
            <w:shd w:val="clear" w:color="auto" w:fill="FFFFFF"/>
            <w:noWrap/>
            <w:vAlign w:val="top"/>
          </w:tcPr>
          <w:p w14:paraId="3D68D717">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-5.636***</w:t>
            </w:r>
          </w:p>
        </w:tc>
        <w:tc>
          <w:tcPr>
            <w:tcW w:w="1178" w:type="dxa"/>
            <w:tcBorders>
              <w:top w:val="single" w:color="auto" w:sz="4" w:space="0"/>
              <w:left w:val="single" w:color="auto" w:sz="4" w:space="0"/>
              <w:bottom w:val="single" w:color="auto" w:sz="4" w:space="0"/>
              <w:right w:val="single" w:color="auto" w:sz="4" w:space="0"/>
            </w:tcBorders>
            <w:shd w:val="clear" w:color="auto" w:fill="FFFFFF"/>
            <w:noWrap/>
            <w:vAlign w:val="top"/>
          </w:tcPr>
          <w:p w14:paraId="0DBFDC9D">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-2.365</w:t>
            </w:r>
          </w:p>
        </w:tc>
        <w:tc>
          <w:tcPr>
            <w:tcW w:w="1257" w:type="dxa"/>
            <w:tcBorders>
              <w:top w:val="single" w:color="auto" w:sz="4" w:space="0"/>
              <w:left w:val="single" w:color="auto" w:sz="4" w:space="0"/>
              <w:bottom w:val="single" w:color="auto" w:sz="4" w:space="0"/>
              <w:right w:val="single" w:color="auto" w:sz="4" w:space="0"/>
            </w:tcBorders>
            <w:shd w:val="clear" w:color="auto" w:fill="FFFFFF"/>
            <w:noWrap/>
            <w:vAlign w:val="top"/>
          </w:tcPr>
          <w:p w14:paraId="323D1326">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-4.348***</w:t>
            </w:r>
          </w:p>
        </w:tc>
        <w:tc>
          <w:tcPr>
            <w:tcW w:w="996" w:type="dxa"/>
            <w:tcBorders>
              <w:top w:val="single" w:color="auto" w:sz="4" w:space="0"/>
              <w:left w:val="single" w:color="auto" w:sz="4" w:space="0"/>
              <w:bottom w:val="single" w:color="auto" w:sz="4" w:space="0"/>
              <w:right w:val="single" w:color="auto" w:sz="4" w:space="0"/>
            </w:tcBorders>
            <w:shd w:val="clear" w:color="auto" w:fill="FFFFFF"/>
            <w:noWrap/>
            <w:vAlign w:val="top"/>
          </w:tcPr>
          <w:p w14:paraId="2830E0D9">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1.6847</w:t>
            </w:r>
          </w:p>
        </w:tc>
        <w:tc>
          <w:tcPr>
            <w:tcW w:w="1666" w:type="dxa"/>
            <w:tcBorders>
              <w:top w:val="single" w:color="auto" w:sz="4" w:space="0"/>
              <w:left w:val="single" w:color="auto" w:sz="4" w:space="0"/>
              <w:bottom w:val="single" w:color="auto" w:sz="4" w:space="0"/>
              <w:right w:val="single" w:color="auto" w:sz="4" w:space="0"/>
            </w:tcBorders>
            <w:shd w:val="clear" w:color="auto" w:fill="FFFFFF"/>
            <w:noWrap/>
            <w:vAlign w:val="top"/>
          </w:tcPr>
          <w:p w14:paraId="45D7CF87">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5.3218***</w:t>
            </w:r>
          </w:p>
        </w:tc>
      </w:tr>
      <w:tr w14:paraId="30FB9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trPr>
        <w:tc>
          <w:tcPr>
            <w:tcW w:w="1252" w:type="dxa"/>
            <w:tcBorders>
              <w:top w:val="single" w:color="auto" w:sz="4" w:space="0"/>
              <w:left w:val="single" w:color="auto" w:sz="4" w:space="0"/>
              <w:bottom w:val="single" w:color="auto" w:sz="4" w:space="0"/>
              <w:right w:val="single" w:color="auto" w:sz="4" w:space="0"/>
            </w:tcBorders>
            <w:shd w:val="clear" w:color="auto" w:fill="FFFFFF"/>
            <w:noWrap/>
            <w:vAlign w:val="top"/>
          </w:tcPr>
          <w:p w14:paraId="17A006FA">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TI</w:t>
            </w:r>
          </w:p>
        </w:tc>
        <w:tc>
          <w:tcPr>
            <w:tcW w:w="827" w:type="dxa"/>
            <w:tcBorders>
              <w:top w:val="single" w:color="auto" w:sz="4" w:space="0"/>
              <w:left w:val="single" w:color="auto" w:sz="4" w:space="0"/>
              <w:bottom w:val="single" w:color="auto" w:sz="4" w:space="0"/>
              <w:right w:val="single" w:color="auto" w:sz="4" w:space="0"/>
            </w:tcBorders>
            <w:shd w:val="clear" w:color="auto" w:fill="FFFFFF"/>
            <w:noWrap/>
            <w:vAlign w:val="top"/>
          </w:tcPr>
          <w:p w14:paraId="61790E23">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-1.001</w:t>
            </w:r>
          </w:p>
        </w:tc>
        <w:tc>
          <w:tcPr>
            <w:tcW w:w="1221" w:type="dxa"/>
            <w:tcBorders>
              <w:top w:val="single" w:color="auto" w:sz="4" w:space="0"/>
              <w:left w:val="single" w:color="auto" w:sz="4" w:space="0"/>
              <w:bottom w:val="single" w:color="auto" w:sz="4" w:space="0"/>
              <w:right w:val="single" w:color="auto" w:sz="4" w:space="0"/>
            </w:tcBorders>
            <w:shd w:val="clear" w:color="auto" w:fill="FFFFFF"/>
            <w:noWrap/>
            <w:vAlign w:val="top"/>
          </w:tcPr>
          <w:p w14:paraId="0188ADD7">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-4.328***</w:t>
            </w:r>
          </w:p>
        </w:tc>
        <w:tc>
          <w:tcPr>
            <w:tcW w:w="1178" w:type="dxa"/>
            <w:tcBorders>
              <w:top w:val="single" w:color="auto" w:sz="4" w:space="0"/>
              <w:left w:val="single" w:color="auto" w:sz="4" w:space="0"/>
              <w:bottom w:val="single" w:color="auto" w:sz="4" w:space="0"/>
              <w:right w:val="single" w:color="auto" w:sz="4" w:space="0"/>
            </w:tcBorders>
            <w:shd w:val="clear" w:color="auto" w:fill="FFFFFF"/>
            <w:noWrap/>
            <w:vAlign w:val="top"/>
          </w:tcPr>
          <w:p w14:paraId="2BACECC4">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-2.896</w:t>
            </w:r>
          </w:p>
        </w:tc>
        <w:tc>
          <w:tcPr>
            <w:tcW w:w="1257" w:type="dxa"/>
            <w:tcBorders>
              <w:top w:val="single" w:color="auto" w:sz="4" w:space="0"/>
              <w:left w:val="single" w:color="auto" w:sz="4" w:space="0"/>
              <w:bottom w:val="single" w:color="auto" w:sz="4" w:space="0"/>
              <w:right w:val="single" w:color="auto" w:sz="4" w:space="0"/>
            </w:tcBorders>
            <w:shd w:val="clear" w:color="auto" w:fill="FFFFFF"/>
            <w:noWrap/>
            <w:vAlign w:val="top"/>
          </w:tcPr>
          <w:p w14:paraId="5FAA581E">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-6.32***</w:t>
            </w:r>
          </w:p>
        </w:tc>
        <w:tc>
          <w:tcPr>
            <w:tcW w:w="996" w:type="dxa"/>
            <w:tcBorders>
              <w:top w:val="single" w:color="auto" w:sz="4" w:space="0"/>
              <w:left w:val="single" w:color="auto" w:sz="4" w:space="0"/>
              <w:bottom w:val="single" w:color="auto" w:sz="4" w:space="0"/>
              <w:right w:val="single" w:color="auto" w:sz="4" w:space="0"/>
            </w:tcBorders>
            <w:shd w:val="clear" w:color="auto" w:fill="FFFFFF"/>
            <w:noWrap/>
            <w:vAlign w:val="top"/>
          </w:tcPr>
          <w:p w14:paraId="470C5AE4">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1.5562</w:t>
            </w:r>
          </w:p>
        </w:tc>
        <w:tc>
          <w:tcPr>
            <w:tcW w:w="1666" w:type="dxa"/>
            <w:tcBorders>
              <w:top w:val="single" w:color="auto" w:sz="4" w:space="0"/>
              <w:left w:val="single" w:color="auto" w:sz="4" w:space="0"/>
              <w:bottom w:val="single" w:color="auto" w:sz="4" w:space="0"/>
              <w:right w:val="single" w:color="auto" w:sz="4" w:space="0"/>
            </w:tcBorders>
            <w:shd w:val="clear" w:color="auto" w:fill="FFFFFF"/>
            <w:noWrap/>
            <w:vAlign w:val="top"/>
          </w:tcPr>
          <w:p w14:paraId="51AD2709">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4.5827***</w:t>
            </w:r>
          </w:p>
        </w:tc>
      </w:tr>
      <w:tr w14:paraId="1094E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252" w:type="dxa"/>
            <w:tcBorders>
              <w:top w:val="single" w:color="auto" w:sz="4" w:space="0"/>
              <w:left w:val="single" w:color="auto" w:sz="4" w:space="0"/>
              <w:bottom w:val="single" w:color="auto" w:sz="4" w:space="0"/>
              <w:right w:val="single" w:color="auto" w:sz="4" w:space="0"/>
            </w:tcBorders>
            <w:shd w:val="clear" w:color="auto" w:fill="FFFFFF"/>
            <w:noWrap/>
            <w:vAlign w:val="top"/>
          </w:tcPr>
          <w:p w14:paraId="424D0E96">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DP</w:t>
            </w:r>
          </w:p>
        </w:tc>
        <w:tc>
          <w:tcPr>
            <w:tcW w:w="827" w:type="dxa"/>
            <w:tcBorders>
              <w:top w:val="single" w:color="auto" w:sz="4" w:space="0"/>
              <w:left w:val="single" w:color="auto" w:sz="4" w:space="0"/>
              <w:bottom w:val="single" w:color="auto" w:sz="4" w:space="0"/>
              <w:right w:val="single" w:color="auto" w:sz="4" w:space="0"/>
            </w:tcBorders>
            <w:shd w:val="clear" w:color="auto" w:fill="FFFFFF"/>
            <w:noWrap/>
            <w:vAlign w:val="top"/>
          </w:tcPr>
          <w:p w14:paraId="5DCE8F0D">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-1.976</w:t>
            </w:r>
          </w:p>
        </w:tc>
        <w:tc>
          <w:tcPr>
            <w:tcW w:w="1221" w:type="dxa"/>
            <w:tcBorders>
              <w:top w:val="single" w:color="auto" w:sz="4" w:space="0"/>
              <w:left w:val="single" w:color="auto" w:sz="4" w:space="0"/>
              <w:bottom w:val="single" w:color="auto" w:sz="4" w:space="0"/>
              <w:right w:val="single" w:color="auto" w:sz="4" w:space="0"/>
            </w:tcBorders>
            <w:shd w:val="clear" w:color="auto" w:fill="FFFFFF"/>
            <w:noWrap/>
            <w:vAlign w:val="top"/>
          </w:tcPr>
          <w:p w14:paraId="409E5547">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-5.539***</w:t>
            </w:r>
          </w:p>
        </w:tc>
        <w:tc>
          <w:tcPr>
            <w:tcW w:w="1178" w:type="dxa"/>
            <w:tcBorders>
              <w:top w:val="single" w:color="auto" w:sz="4" w:space="0"/>
              <w:left w:val="single" w:color="auto" w:sz="4" w:space="0"/>
              <w:bottom w:val="single" w:color="auto" w:sz="4" w:space="0"/>
              <w:right w:val="single" w:color="auto" w:sz="4" w:space="0"/>
            </w:tcBorders>
            <w:shd w:val="clear" w:color="auto" w:fill="FFFFFF"/>
            <w:noWrap/>
            <w:vAlign w:val="top"/>
          </w:tcPr>
          <w:p w14:paraId="111401EF">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-1.066</w:t>
            </w:r>
          </w:p>
        </w:tc>
        <w:tc>
          <w:tcPr>
            <w:tcW w:w="1257" w:type="dxa"/>
            <w:tcBorders>
              <w:top w:val="single" w:color="auto" w:sz="4" w:space="0"/>
              <w:left w:val="single" w:color="auto" w:sz="4" w:space="0"/>
              <w:bottom w:val="single" w:color="auto" w:sz="4" w:space="0"/>
              <w:right w:val="single" w:color="auto" w:sz="4" w:space="0"/>
            </w:tcBorders>
            <w:shd w:val="clear" w:color="auto" w:fill="FFFFFF"/>
            <w:noWrap/>
            <w:vAlign w:val="top"/>
          </w:tcPr>
          <w:p w14:paraId="6A777751">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-4.317***</w:t>
            </w:r>
          </w:p>
        </w:tc>
        <w:tc>
          <w:tcPr>
            <w:tcW w:w="996" w:type="dxa"/>
            <w:tcBorders>
              <w:top w:val="single" w:color="auto" w:sz="4" w:space="0"/>
              <w:left w:val="single" w:color="auto" w:sz="4" w:space="0"/>
              <w:bottom w:val="single" w:color="auto" w:sz="4" w:space="0"/>
              <w:right w:val="single" w:color="auto" w:sz="4" w:space="0"/>
            </w:tcBorders>
            <w:shd w:val="clear" w:color="auto" w:fill="FFFFFF"/>
            <w:noWrap/>
            <w:vAlign w:val="top"/>
          </w:tcPr>
          <w:p w14:paraId="2B1302B9">
            <w:pPr>
              <w:keepNext w:val="0"/>
              <w:keepLines w:val="0"/>
              <w:widowControl/>
              <w:suppressLineNumbers w:val="0"/>
              <w:jc w:val="center"/>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-0.4873</w:t>
            </w:r>
          </w:p>
        </w:tc>
        <w:tc>
          <w:tcPr>
            <w:tcW w:w="1666" w:type="dxa"/>
            <w:tcBorders>
              <w:top w:val="single" w:color="auto" w:sz="4" w:space="0"/>
              <w:left w:val="single" w:color="auto" w:sz="4" w:space="0"/>
              <w:bottom w:val="single" w:color="auto" w:sz="4" w:space="0"/>
              <w:right w:val="single" w:color="auto" w:sz="4" w:space="0"/>
            </w:tcBorders>
            <w:shd w:val="clear" w:color="auto" w:fill="FFFFFF"/>
            <w:noWrap/>
            <w:vAlign w:val="top"/>
          </w:tcPr>
          <w:p w14:paraId="56CE95CB">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7.3914***</w:t>
            </w:r>
          </w:p>
        </w:tc>
      </w:tr>
    </w:tbl>
    <w:p w14:paraId="2A3DBF3B">
      <w:pPr>
        <w:bidi w:val="0"/>
        <w:jc w:val="both"/>
        <w:rPr>
          <w:rFonts w:hint="default" w:ascii="Times New Roman" w:hAnsi="Times New Roman" w:cs="Times New Roman"/>
          <w:sz w:val="24"/>
          <w:szCs w:val="24"/>
          <w:lang w:val="en-US"/>
        </w:rPr>
      </w:pPr>
    </w:p>
    <w:p w14:paraId="1315619A">
      <w:pPr>
        <w:bidi w:val="0"/>
        <w:ind w:firstLine="480" w:firstLineChars="200"/>
        <w:jc w:val="both"/>
        <w:rPr>
          <w:rFonts w:hint="default" w:ascii="Times New Roman" w:hAnsi="Times New Roman" w:cs="Times New Roman"/>
          <w:b w:val="0"/>
          <w:bCs w:val="0"/>
          <w:sz w:val="24"/>
          <w:szCs w:val="24"/>
        </w:rPr>
      </w:pPr>
      <w:r>
        <w:rPr>
          <w:rFonts w:hint="default" w:ascii="Times New Roman" w:hAnsi="Times New Roman" w:cs="Times New Roman"/>
          <w:sz w:val="24"/>
          <w:szCs w:val="24"/>
          <w:lang w:val="en-US"/>
        </w:rPr>
        <w:t>T</w:t>
      </w:r>
      <w:r>
        <w:rPr>
          <w:rFonts w:hint="default" w:ascii="Times New Roman" w:hAnsi="Times New Roman" w:cs="Times New Roman"/>
          <w:sz w:val="24"/>
          <w:szCs w:val="24"/>
        </w:rPr>
        <w:t xml:space="preserve">he cointegration test proposed by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AuthorYear="1"&gt;&lt;Author&gt;Westerlund&lt;/Author&gt;&lt;Year&gt;2008&lt;/Year&gt;&lt;RecNum&gt;124&lt;/RecNum&gt;&lt;DisplayText&gt;Westerlund and Edgerton (2008)&lt;/DisplayText&gt;&lt;record&gt;&lt;rec-number&gt;124&lt;/rec-number&gt;&lt;foreign-keys&gt;&lt;key app="EN" db-id="2t52ftddjzwsxoerapx5vrxm2fdzpaza5sva" timestamp="1752856837"&gt;124&lt;/key&gt;&lt;/foreign-keys&gt;&lt;ref-type name="Journal Article"&gt;17&lt;/ref-type&gt;&lt;contributors&gt;&lt;authors&gt;&lt;author&gt;Westerlund, Joakim&lt;/author&gt;&lt;author&gt;Edgerton, David L&lt;/author&gt;&lt;/authors&gt;&lt;/contributors&gt;&lt;titles&gt;&lt;title&gt;A simple test for cointegration in dependent panels with structural breaks&lt;/title&gt;&lt;secondary-title&gt;Oxford Bulletin of Economics and statistics&lt;/secondary-title&gt;&lt;/titles&gt;&lt;periodical&gt;&lt;full-title&gt;Oxford Bulletin of Economics and statistics&lt;/full-title&gt;&lt;/periodical&gt;&lt;pages&gt;665-704&lt;/pages&gt;&lt;volume&gt;70&lt;/volume&gt;&lt;number&gt;5&lt;/number&gt;&lt;dates&gt;&lt;year&gt;2008&lt;/year&gt;&lt;/dates&gt;&lt;isbn&gt;0305-9049&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Westerlund and Edgerton (2008)</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was employed to determine the existence of long-run relationships among the variables. The test allows for structural breaks and cross-sectional dependence. In all three regimes—no shift, mean shift, and regime shift—the LMг and LMΦ statistics were highly significant.</w:t>
      </w:r>
      <w:r>
        <w:rPr>
          <w:rFonts w:hint="default" w:ascii="Times New Roman" w:hAnsi="Times New Roman" w:cs="Times New Roman"/>
          <w:b w:val="0"/>
          <w:bCs w:val="0"/>
          <w:sz w:val="24"/>
          <w:szCs w:val="24"/>
        </w:rPr>
        <w:t xml:space="preserve"> </w:t>
      </w:r>
      <w:r>
        <w:rPr>
          <w:rFonts w:hint="default" w:ascii="Times New Roman" w:hAnsi="Times New Roman"/>
          <w:b w:val="0"/>
          <w:bCs w:val="0"/>
          <w:sz w:val="24"/>
          <w:szCs w:val="24"/>
        </w:rPr>
        <w:t>As an illustration, LMг = -4.6808*** and LMPhi = -4.2937*** in Model 1 (no shift) and LMг = -2.5259*** and LMPhi = -3.5823*** in Model 2 (regime shift). Complementary tests such as Gt, Ga, Pt, and Pa did the same (e.g. Pt = -15.585*** for Model 2).</w:t>
      </w:r>
      <w:r>
        <w:rPr>
          <w:rFonts w:hint="default" w:ascii="Times New Roman" w:hAnsi="Times New Roman" w:cs="Times New Roman"/>
          <w:b w:val="0"/>
          <w:bCs w:val="0"/>
          <w:sz w:val="24"/>
          <w:szCs w:val="24"/>
        </w:rPr>
        <w:t xml:space="preserve">These outcomes suggest that the variables share a stable long-run equilibrium, even under structural changes. The robustness of this approach in the presence of cross-sectional dependence and </w:t>
      </w:r>
      <w:r>
        <w:rPr>
          <w:rFonts w:hint="default" w:ascii="Times New Roman" w:hAnsi="Times New Roman" w:cs="Times New Roman"/>
          <w:b w:val="0"/>
          <w:bCs w:val="0"/>
          <w:sz w:val="24"/>
          <w:szCs w:val="24"/>
          <w:lang w:val="en-US"/>
        </w:rPr>
        <w:t>non-stationary</w:t>
      </w:r>
      <w:r>
        <w:rPr>
          <w:rFonts w:hint="default" w:ascii="Times New Roman" w:hAnsi="Times New Roman" w:cs="Times New Roman"/>
          <w:b w:val="0"/>
          <w:bCs w:val="0"/>
          <w:sz w:val="24"/>
          <w:szCs w:val="24"/>
        </w:rPr>
        <w:t xml:space="preserve"> makes it a reliable technique for long-term panel analysis, as advocated by </w:t>
      </w:r>
      <w:r>
        <w:rPr>
          <w:rFonts w:hint="default" w:ascii="Times New Roman" w:hAnsi="Times New Roman" w:cs="Times New Roman"/>
          <w:b w:val="0"/>
          <w:bCs w:val="0"/>
          <w:sz w:val="24"/>
          <w:szCs w:val="24"/>
        </w:rPr>
        <w:fldChar w:fldCharType="begin"/>
      </w:r>
      <w:r>
        <w:rPr>
          <w:rFonts w:hint="default" w:ascii="Times New Roman" w:hAnsi="Times New Roman" w:cs="Times New Roman"/>
          <w:b w:val="0"/>
          <w:bCs w:val="0"/>
          <w:sz w:val="24"/>
          <w:szCs w:val="24"/>
          <w:lang w:val="en-US"/>
        </w:rPr>
        <w:instrText xml:space="preserve"> ADDIN EN.CITE &lt;EndNote&gt;&lt;Cite AuthorYear="1"&gt;&lt;Author&gt;Westerlund&lt;/Author&gt;&lt;Year&gt;2008&lt;/Year&gt;&lt;RecNum&gt;124&lt;/RecNum&gt;&lt;DisplayText&gt;Westerlund and Edgerton (2008)&lt;/DisplayText&gt;&lt;record&gt;&lt;rec-number&gt;124&lt;/rec-number&gt;&lt;foreign-keys&gt;&lt;key app="EN" db-id="2t52ftddjzwsxoerapx5vrxm2fdzpaza5sva" timestamp="1752856837"&gt;124&lt;/key&gt;&lt;/foreign-keys&gt;&lt;ref-type name="Journal Article"&gt;17&lt;/ref-type&gt;&lt;contributors&gt;&lt;authors&gt;&lt;author&gt;Westerlund, Joakim&lt;/author&gt;&lt;author&gt;Edgerton, David L&lt;/author&gt;&lt;/authors&gt;&lt;/contributors&gt;&lt;titles&gt;&lt;title&gt;A simple test for cointegration in dependent panels with structural breaks&lt;/title&gt;&lt;secondary-title&gt;Oxford Bulletin of Economics and statistics&lt;/secondary-title&gt;&lt;/titles&gt;&lt;periodical&gt;&lt;full-title&gt;Oxford Bulletin of Economics and statistics&lt;/full-title&gt;&lt;/periodical&gt;&lt;pages&gt;665-704&lt;/pages&gt;&lt;volume&gt;70&lt;/volume&gt;&lt;number&gt;5&lt;/number&gt;&lt;dates&gt;&lt;year&gt;2008&lt;/year&gt;&lt;/dates&gt;&lt;isbn&gt;0305-9049&lt;/isbn&gt;&lt;urls&gt;&lt;/urls&gt;&lt;/record&gt;&lt;/Cite&gt;&lt;/EndNote&gt;</w:instrText>
      </w:r>
      <w:r>
        <w:rPr>
          <w:rFonts w:hint="default" w:ascii="Times New Roman" w:hAnsi="Times New Roman" w:cs="Times New Roman"/>
          <w:b w:val="0"/>
          <w:bCs w:val="0"/>
          <w:sz w:val="24"/>
          <w:szCs w:val="24"/>
        </w:rPr>
        <w:fldChar w:fldCharType="separate"/>
      </w:r>
      <w:r>
        <w:rPr>
          <w:rFonts w:hint="default" w:ascii="Times New Roman" w:hAnsi="Times New Roman" w:cs="Times New Roman" w:eastAsiaTheme="minorHAnsi"/>
          <w:b w:val="0"/>
          <w:bCs w:val="0"/>
          <w:sz w:val="24"/>
          <w:szCs w:val="24"/>
          <w:lang w:val="en-US" w:eastAsia="en-US" w:bidi="ar-SA"/>
        </w:rPr>
        <w:t>Westerlund and Edgerton (2008)</w:t>
      </w:r>
      <w:r>
        <w:rPr>
          <w:rFonts w:hint="default" w:ascii="Times New Roman" w:hAnsi="Times New Roman" w:cs="Times New Roman"/>
          <w:b w:val="0"/>
          <w:bCs w:val="0"/>
          <w:sz w:val="24"/>
          <w:szCs w:val="24"/>
        </w:rPr>
        <w:fldChar w:fldCharType="end"/>
      </w:r>
      <w:r>
        <w:rPr>
          <w:rFonts w:hint="default" w:ascii="Times New Roman" w:hAnsi="Times New Roman" w:cs="Times New Roman"/>
          <w:b w:val="0"/>
          <w:bCs w:val="0"/>
          <w:sz w:val="24"/>
          <w:szCs w:val="24"/>
        </w:rPr>
        <w:t>.</w:t>
      </w:r>
    </w:p>
    <w:p w14:paraId="090E0132">
      <w:pPr>
        <w:bidi w:val="0"/>
        <w:ind w:firstLine="480" w:firstLineChars="200"/>
        <w:jc w:val="both"/>
        <w:rPr>
          <w:rFonts w:hint="default" w:ascii="Times New Roman" w:hAnsi="Times New Roman" w:cs="Times New Roman"/>
          <w:b w:val="0"/>
          <w:bCs w:val="0"/>
          <w:sz w:val="24"/>
          <w:szCs w:val="24"/>
        </w:rPr>
      </w:pPr>
    </w:p>
    <w:p w14:paraId="3BEF50F1">
      <w:pPr>
        <w:bidi w:val="0"/>
        <w:ind w:firstLine="480" w:firstLineChars="200"/>
        <w:jc w:val="both"/>
        <w:rPr>
          <w:rFonts w:hint="default" w:ascii="Times New Roman" w:hAnsi="Times New Roman" w:cs="Times New Roman"/>
          <w:b w:val="0"/>
          <w:bCs w:val="0"/>
          <w:sz w:val="24"/>
          <w:szCs w:val="24"/>
        </w:rPr>
      </w:pPr>
    </w:p>
    <w:p w14:paraId="56BFB1E4">
      <w:pPr>
        <w:bidi w:val="0"/>
        <w:ind w:firstLine="480" w:firstLineChars="200"/>
        <w:jc w:val="both"/>
        <w:rPr>
          <w:rFonts w:hint="default" w:ascii="Times New Roman" w:hAnsi="Times New Roman" w:cs="Times New Roman"/>
          <w:b w:val="0"/>
          <w:bCs w:val="0"/>
          <w:sz w:val="24"/>
          <w:szCs w:val="24"/>
        </w:rPr>
      </w:pPr>
    </w:p>
    <w:p w14:paraId="7367586E">
      <w:pPr>
        <w:bidi w:val="0"/>
        <w:ind w:firstLine="480" w:firstLineChars="200"/>
        <w:jc w:val="both"/>
        <w:rPr>
          <w:rFonts w:hint="default" w:ascii="Times New Roman" w:hAnsi="Times New Roman" w:cs="Times New Roman"/>
          <w:b w:val="0"/>
          <w:bCs w:val="0"/>
          <w:sz w:val="24"/>
          <w:szCs w:val="24"/>
        </w:rPr>
      </w:pPr>
    </w:p>
    <w:p w14:paraId="04060109">
      <w:pPr>
        <w:bidi w:val="0"/>
        <w:ind w:firstLine="480" w:firstLineChars="200"/>
        <w:jc w:val="both"/>
        <w:rPr>
          <w:rFonts w:hint="default" w:ascii="Times New Roman" w:hAnsi="Times New Roman" w:cs="Times New Roman"/>
          <w:b w:val="0"/>
          <w:bCs w:val="0"/>
          <w:sz w:val="24"/>
          <w:szCs w:val="24"/>
        </w:rPr>
      </w:pPr>
    </w:p>
    <w:p w14:paraId="36F7A576">
      <w:pPr>
        <w:bidi w:val="0"/>
        <w:ind w:firstLine="480" w:firstLineChars="200"/>
        <w:jc w:val="both"/>
        <w:rPr>
          <w:rFonts w:hint="default" w:ascii="Times New Roman" w:hAnsi="Times New Roman" w:cs="Times New Roman"/>
          <w:b w:val="0"/>
          <w:bCs w:val="0"/>
          <w:sz w:val="24"/>
          <w:szCs w:val="24"/>
        </w:rPr>
      </w:pPr>
    </w:p>
    <w:p w14:paraId="1D948DB1">
      <w:pPr>
        <w:bidi w:val="0"/>
        <w:ind w:firstLine="480" w:firstLineChars="200"/>
        <w:jc w:val="both"/>
        <w:rPr>
          <w:rFonts w:hint="default" w:ascii="Times New Roman" w:hAnsi="Times New Roman" w:cs="Times New Roman"/>
          <w:b w:val="0"/>
          <w:bCs w:val="0"/>
          <w:sz w:val="24"/>
          <w:szCs w:val="24"/>
        </w:rPr>
      </w:pPr>
    </w:p>
    <w:p w14:paraId="112FCF0C">
      <w:pPr>
        <w:bidi w:val="0"/>
        <w:ind w:firstLine="480" w:firstLineChars="200"/>
        <w:jc w:val="both"/>
        <w:rPr>
          <w:rFonts w:hint="default" w:ascii="Times New Roman" w:hAnsi="Times New Roman" w:cs="Times New Roman"/>
          <w:b w:val="0"/>
          <w:bCs w:val="0"/>
          <w:sz w:val="24"/>
          <w:szCs w:val="24"/>
        </w:rPr>
      </w:pPr>
    </w:p>
    <w:p w14:paraId="75D631FE">
      <w:pPr>
        <w:pStyle w:val="7"/>
        <w:bidi w:val="0"/>
        <w:rPr>
          <w:rFonts w:hint="default"/>
        </w:rPr>
      </w:pPr>
      <w:bookmarkStart w:id="184" w:name="_Toc7750"/>
      <w:r>
        <w:t xml:space="preserve">Table </w:t>
      </w:r>
      <w:r>
        <w:fldChar w:fldCharType="begin"/>
      </w:r>
      <w:r>
        <w:instrText xml:space="preserve"> SEQ Table \* ARABIC </w:instrText>
      </w:r>
      <w:r>
        <w:fldChar w:fldCharType="separate"/>
      </w:r>
      <w:r>
        <w:t>7</w:t>
      </w:r>
      <w:r>
        <w:fldChar w:fldCharType="end"/>
      </w:r>
      <w:bookmarkStart w:id="185" w:name="_Toc811"/>
      <w:r>
        <w:rPr>
          <w:rFonts w:hint="default"/>
        </w:rPr>
        <w:t>: Panel cointegration test</w:t>
      </w:r>
      <w:bookmarkEnd w:id="184"/>
      <w:r>
        <w:rPr>
          <w:rFonts w:hint="default"/>
        </w:rPr>
        <w:t xml:space="preserve"> </w:t>
      </w:r>
      <w:bookmarkEnd w:id="185"/>
    </w:p>
    <w:tbl>
      <w:tblPr>
        <w:tblStyle w:val="6"/>
        <w:tblW w:w="8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5"/>
        <w:gridCol w:w="1181"/>
        <w:gridCol w:w="1182"/>
        <w:gridCol w:w="1181"/>
        <w:gridCol w:w="1368"/>
        <w:gridCol w:w="1534"/>
        <w:gridCol w:w="1199"/>
      </w:tblGrid>
      <w:tr w14:paraId="29D02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8580" w:type="dxa"/>
            <w:gridSpan w:val="7"/>
            <w:tcBorders>
              <w:top w:val="single" w:color="auto" w:sz="4" w:space="0"/>
              <w:left w:val="single" w:color="auto" w:sz="4" w:space="0"/>
              <w:bottom w:val="single" w:color="auto" w:sz="4" w:space="0"/>
              <w:right w:val="single" w:color="auto" w:sz="4" w:space="0"/>
            </w:tcBorders>
            <w:shd w:val="clear" w:color="auto" w:fill="FFFFFF"/>
            <w:noWrap/>
            <w:vAlign w:val="top"/>
          </w:tcPr>
          <w:p w14:paraId="0EC86B89">
            <w:pPr>
              <w:keepNext w:val="0"/>
              <w:keepLines w:val="0"/>
              <w:widowControl/>
              <w:suppressLineNumbers w:val="0"/>
              <w:jc w:val="left"/>
              <w:textAlignment w:val="top"/>
              <w:rPr>
                <w:rFonts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 xml:space="preserve">Panel B: Cointegration test of </w:t>
            </w:r>
            <w:r>
              <w:rPr>
                <w:rFonts w:hint="default" w:ascii="Calibri" w:hAnsi="Calibri" w:eastAsia="SimSun" w:cs="Calibri"/>
                <w:b/>
                <w:bCs/>
                <w:i w:val="0"/>
                <w:iCs w:val="0"/>
                <w:color w:val="000000"/>
                <w:kern w:val="0"/>
                <w:sz w:val="22"/>
                <w:szCs w:val="22"/>
                <w:u w:val="none"/>
                <w:lang w:val="en-US" w:eastAsia="zh-CN" w:bidi="ar"/>
              </w:rPr>
              <w:fldChar w:fldCharType="begin"/>
            </w:r>
            <w:r>
              <w:rPr>
                <w:rFonts w:hint="default" w:ascii="Calibri" w:hAnsi="Calibri" w:eastAsia="SimSun" w:cs="Calibri"/>
                <w:b/>
                <w:bCs/>
                <w:i w:val="0"/>
                <w:iCs w:val="0"/>
                <w:color w:val="000000"/>
                <w:kern w:val="0"/>
                <w:sz w:val="22"/>
                <w:szCs w:val="22"/>
                <w:u w:val="none"/>
                <w:lang w:val="en-US" w:eastAsia="zh-CN" w:bidi="ar"/>
              </w:rPr>
              <w:instrText xml:space="preserve"> ADDIN EN.CITE &lt;EndNote&gt;&lt;Cite&gt;&lt;Author&gt;Westerlund&lt;/Author&gt;&lt;Year&gt;2008&lt;/Year&gt;&lt;RecNum&gt;124&lt;/RecNum&gt;&lt;DisplayText&gt;(Westerlund and Edgerton 2008)&lt;/DisplayText&gt;&lt;record&gt;&lt;rec-number&gt;124&lt;/rec-number&gt;&lt;foreign-keys&gt;&lt;key app="EN" db-id="2t52ftddjzwsxoerapx5vrxm2fdzpaza5sva" timestamp="1752856837"&gt;124&lt;/key&gt;&lt;/foreign-keys&gt;&lt;ref-type name="Journal Article"&gt;17&lt;/ref-type&gt;&lt;contributors&gt;&lt;authors&gt;&lt;author&gt;Westerlund, Joakim&lt;/author&gt;&lt;author&gt;Edgerton, David L&lt;/author&gt;&lt;/authors&gt;&lt;/contributors&gt;&lt;titles&gt;&lt;title&gt;A simple test for cointegration in dependent panels with structural breaks&lt;/title&gt;&lt;secondary-title&gt;Oxford Bulletin of Economics and statistics&lt;/secondary-title&gt;&lt;/titles&gt;&lt;periodical&gt;&lt;full-title&gt;Oxford Bulletin of Economics and statistics&lt;/full-title&gt;&lt;/periodical&gt;&lt;pages&gt;665-704&lt;/pages&gt;&lt;volume&gt;70&lt;/volume&gt;&lt;number&gt;5&lt;/number&gt;&lt;dates&gt;&lt;year&gt;2008&lt;/year&gt;&lt;/dates&gt;&lt;isbn&gt;0305-9049&lt;/isbn&gt;&lt;urls&gt;&lt;/urls&gt;&lt;/record&gt;&lt;/Cite&gt;&lt;/EndNote&gt;</w:instrText>
            </w:r>
            <w:r>
              <w:rPr>
                <w:rFonts w:hint="default" w:ascii="Calibri" w:hAnsi="Calibri" w:eastAsia="SimSun" w:cs="Calibri"/>
                <w:b/>
                <w:bCs/>
                <w:i w:val="0"/>
                <w:iCs w:val="0"/>
                <w:color w:val="000000"/>
                <w:kern w:val="0"/>
                <w:sz w:val="22"/>
                <w:szCs w:val="22"/>
                <w:u w:val="none"/>
                <w:lang w:val="en-US" w:eastAsia="zh-CN" w:bidi="ar"/>
              </w:rPr>
              <w:fldChar w:fldCharType="separate"/>
            </w:r>
            <w:r>
              <w:rPr>
                <w:rFonts w:hint="default" w:ascii="Calibri" w:hAnsi="Calibri" w:eastAsia="SimSun" w:cs="Calibri"/>
                <w:b/>
                <w:bCs/>
                <w:i w:val="0"/>
                <w:iCs w:val="0"/>
                <w:color w:val="000000"/>
                <w:kern w:val="0"/>
                <w:sz w:val="22"/>
                <w:szCs w:val="22"/>
                <w:u w:val="none"/>
                <w:lang w:val="en-US" w:eastAsia="zh-CN" w:bidi="ar"/>
              </w:rPr>
              <w:t>(Westerlund and Edgerton 2008)</w:t>
            </w:r>
            <w:r>
              <w:rPr>
                <w:rFonts w:hint="default" w:ascii="Calibri" w:hAnsi="Calibri" w:eastAsia="SimSun" w:cs="Calibri"/>
                <w:b/>
                <w:bCs/>
                <w:i w:val="0"/>
                <w:iCs w:val="0"/>
                <w:color w:val="000000"/>
                <w:kern w:val="0"/>
                <w:sz w:val="22"/>
                <w:szCs w:val="22"/>
                <w:u w:val="none"/>
                <w:lang w:val="en-US" w:eastAsia="zh-CN" w:bidi="ar"/>
              </w:rPr>
              <w:fldChar w:fldCharType="end"/>
            </w:r>
            <w:r>
              <w:rPr>
                <w:rFonts w:hint="default" w:ascii="Calibri" w:hAnsi="Calibri" w:eastAsia="SimSun" w:cs="Calibri"/>
                <w:b/>
                <w:bCs/>
                <w:i w:val="0"/>
                <w:iCs w:val="0"/>
                <w:color w:val="000000"/>
                <w:kern w:val="0"/>
                <w:sz w:val="22"/>
                <w:szCs w:val="22"/>
                <w:u w:val="none"/>
                <w:lang w:val="en-US" w:eastAsia="zh-CN" w:bidi="ar"/>
              </w:rPr>
              <w:t xml:space="preserve"> </w:t>
            </w:r>
          </w:p>
        </w:tc>
      </w:tr>
      <w:tr w14:paraId="0492D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3D463F45">
            <w:pPr>
              <w:rPr>
                <w:rFonts w:hint="default" w:ascii="Calibri" w:hAnsi="Calibri" w:cs="Calibri"/>
                <w:b/>
                <w:bCs/>
                <w:i w:val="0"/>
                <w:iCs w:val="0"/>
                <w:color w:val="000000"/>
                <w:sz w:val="22"/>
                <w:szCs w:val="22"/>
                <w:u w:val="none"/>
              </w:rPr>
            </w:pPr>
          </w:p>
        </w:tc>
        <w:tc>
          <w:tcPr>
            <w:tcW w:w="2363" w:type="dxa"/>
            <w:gridSpan w:val="2"/>
            <w:tcBorders>
              <w:top w:val="single" w:color="auto" w:sz="4" w:space="0"/>
              <w:left w:val="single" w:color="auto" w:sz="4" w:space="0"/>
              <w:bottom w:val="single" w:color="auto" w:sz="4" w:space="0"/>
              <w:right w:val="single" w:color="auto" w:sz="4" w:space="0"/>
            </w:tcBorders>
            <w:shd w:val="clear" w:color="auto" w:fill="FFFFFF"/>
            <w:noWrap/>
            <w:vAlign w:val="top"/>
          </w:tcPr>
          <w:p w14:paraId="4C737120">
            <w:pPr>
              <w:keepNext w:val="0"/>
              <w:keepLines w:val="0"/>
              <w:widowControl/>
              <w:suppressLineNumbers w:val="0"/>
              <w:jc w:val="center"/>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no shift</w:t>
            </w:r>
          </w:p>
        </w:tc>
        <w:tc>
          <w:tcPr>
            <w:tcW w:w="2549" w:type="dxa"/>
            <w:gridSpan w:val="2"/>
            <w:tcBorders>
              <w:top w:val="single" w:color="auto" w:sz="4" w:space="0"/>
              <w:left w:val="single" w:color="auto" w:sz="4" w:space="0"/>
              <w:bottom w:val="single" w:color="auto" w:sz="4" w:space="0"/>
              <w:right w:val="single" w:color="auto" w:sz="4" w:space="0"/>
            </w:tcBorders>
            <w:shd w:val="clear" w:color="auto" w:fill="FFFFFF"/>
            <w:noWrap/>
            <w:vAlign w:val="top"/>
          </w:tcPr>
          <w:p w14:paraId="64E77642">
            <w:pPr>
              <w:keepNext w:val="0"/>
              <w:keepLines w:val="0"/>
              <w:widowControl/>
              <w:suppressLineNumbers w:val="0"/>
              <w:jc w:val="center"/>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mean shift</w:t>
            </w:r>
          </w:p>
        </w:tc>
        <w:tc>
          <w:tcPr>
            <w:tcW w:w="1534" w:type="dxa"/>
            <w:tcBorders>
              <w:top w:val="single" w:color="auto" w:sz="4" w:space="0"/>
              <w:left w:val="single" w:color="auto" w:sz="4" w:space="0"/>
              <w:bottom w:val="single" w:color="auto" w:sz="4" w:space="0"/>
              <w:right w:val="single" w:color="auto" w:sz="4" w:space="0"/>
            </w:tcBorders>
            <w:shd w:val="clear" w:color="auto" w:fill="FFFFFF"/>
            <w:noWrap/>
            <w:vAlign w:val="top"/>
          </w:tcPr>
          <w:p w14:paraId="700BD3A3">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regiem shift</w:t>
            </w: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top"/>
          </w:tcPr>
          <w:p w14:paraId="1C76C56B">
            <w:pPr>
              <w:rPr>
                <w:rFonts w:hint="default" w:ascii="Calibri" w:hAnsi="Calibri" w:cs="Calibri"/>
                <w:i w:val="0"/>
                <w:iCs w:val="0"/>
                <w:color w:val="000000"/>
                <w:sz w:val="22"/>
                <w:szCs w:val="22"/>
                <w:u w:val="none"/>
              </w:rPr>
            </w:pPr>
          </w:p>
        </w:tc>
      </w:tr>
      <w:tr w14:paraId="0E11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096E2463">
            <w:pPr>
              <w:rPr>
                <w:rFonts w:hint="default" w:ascii="Calibri" w:hAnsi="Calibri" w:cs="Calibri"/>
                <w:b/>
                <w:bCs/>
                <w:i w:val="0"/>
                <w:iCs w:val="0"/>
                <w:color w:val="000000"/>
                <w:sz w:val="22"/>
                <w:szCs w:val="22"/>
                <w:u w:val="none"/>
              </w:rPr>
            </w:pP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3FCD0C2F">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LMг</w:t>
            </w:r>
          </w:p>
        </w:tc>
        <w:tc>
          <w:tcPr>
            <w:tcW w:w="1182" w:type="dxa"/>
            <w:tcBorders>
              <w:top w:val="single" w:color="auto" w:sz="4" w:space="0"/>
              <w:left w:val="single" w:color="auto" w:sz="4" w:space="0"/>
              <w:bottom w:val="single" w:color="auto" w:sz="4" w:space="0"/>
              <w:right w:val="single" w:color="auto" w:sz="4" w:space="0"/>
            </w:tcBorders>
            <w:shd w:val="clear" w:color="auto" w:fill="FFFFFF"/>
            <w:noWrap/>
            <w:vAlign w:val="top"/>
          </w:tcPr>
          <w:p w14:paraId="1F139149">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LMΦ</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74BC8CAE">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LMг</w:t>
            </w:r>
          </w:p>
        </w:tc>
        <w:tc>
          <w:tcPr>
            <w:tcW w:w="1368" w:type="dxa"/>
            <w:tcBorders>
              <w:top w:val="single" w:color="auto" w:sz="4" w:space="0"/>
              <w:left w:val="single" w:color="auto" w:sz="4" w:space="0"/>
              <w:bottom w:val="single" w:color="auto" w:sz="4" w:space="0"/>
              <w:right w:val="single" w:color="auto" w:sz="4" w:space="0"/>
            </w:tcBorders>
            <w:shd w:val="clear" w:color="auto" w:fill="FFFFFF"/>
            <w:noWrap/>
            <w:vAlign w:val="top"/>
          </w:tcPr>
          <w:p w14:paraId="2958FCF8">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LMΦ</w:t>
            </w:r>
          </w:p>
        </w:tc>
        <w:tc>
          <w:tcPr>
            <w:tcW w:w="1534" w:type="dxa"/>
            <w:tcBorders>
              <w:top w:val="single" w:color="auto" w:sz="4" w:space="0"/>
              <w:left w:val="single" w:color="auto" w:sz="4" w:space="0"/>
              <w:bottom w:val="single" w:color="auto" w:sz="4" w:space="0"/>
              <w:right w:val="single" w:color="auto" w:sz="4" w:space="0"/>
            </w:tcBorders>
            <w:shd w:val="clear" w:color="auto" w:fill="FFFFFF"/>
            <w:noWrap/>
            <w:vAlign w:val="top"/>
          </w:tcPr>
          <w:p w14:paraId="0E1363F4">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LMг</w:t>
            </w: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top"/>
          </w:tcPr>
          <w:p w14:paraId="3FCE393B">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LMΦ</w:t>
            </w:r>
          </w:p>
        </w:tc>
      </w:tr>
      <w:tr w14:paraId="4BE46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65CEBD77">
            <w:pPr>
              <w:rPr>
                <w:rFonts w:hint="default" w:ascii="Calibri" w:hAnsi="Calibri" w:cs="Calibri"/>
                <w:b/>
                <w:bCs/>
                <w:i w:val="0"/>
                <w:iCs w:val="0"/>
                <w:color w:val="000000"/>
                <w:sz w:val="22"/>
                <w:szCs w:val="22"/>
                <w:u w:val="none"/>
              </w:rPr>
            </w:pP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3C5A851C">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stat.</w:t>
            </w:r>
          </w:p>
        </w:tc>
        <w:tc>
          <w:tcPr>
            <w:tcW w:w="1182" w:type="dxa"/>
            <w:tcBorders>
              <w:top w:val="single" w:color="auto" w:sz="4" w:space="0"/>
              <w:left w:val="single" w:color="auto" w:sz="4" w:space="0"/>
              <w:bottom w:val="single" w:color="auto" w:sz="4" w:space="0"/>
              <w:right w:val="single" w:color="auto" w:sz="4" w:space="0"/>
            </w:tcBorders>
            <w:shd w:val="clear" w:color="auto" w:fill="FFFFFF"/>
            <w:noWrap/>
            <w:vAlign w:val="top"/>
          </w:tcPr>
          <w:p w14:paraId="6AFFD262">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stat.</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77A3F67E">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stat.</w:t>
            </w:r>
          </w:p>
        </w:tc>
        <w:tc>
          <w:tcPr>
            <w:tcW w:w="1368" w:type="dxa"/>
            <w:tcBorders>
              <w:top w:val="single" w:color="auto" w:sz="4" w:space="0"/>
              <w:left w:val="single" w:color="auto" w:sz="4" w:space="0"/>
              <w:bottom w:val="single" w:color="auto" w:sz="4" w:space="0"/>
              <w:right w:val="single" w:color="auto" w:sz="4" w:space="0"/>
            </w:tcBorders>
            <w:shd w:val="clear" w:color="auto" w:fill="FFFFFF"/>
            <w:noWrap/>
            <w:vAlign w:val="top"/>
          </w:tcPr>
          <w:p w14:paraId="7748FBFA">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stat.</w:t>
            </w:r>
          </w:p>
        </w:tc>
        <w:tc>
          <w:tcPr>
            <w:tcW w:w="1534" w:type="dxa"/>
            <w:tcBorders>
              <w:top w:val="single" w:color="auto" w:sz="4" w:space="0"/>
              <w:left w:val="single" w:color="auto" w:sz="4" w:space="0"/>
              <w:bottom w:val="single" w:color="auto" w:sz="4" w:space="0"/>
              <w:right w:val="single" w:color="auto" w:sz="4" w:space="0"/>
            </w:tcBorders>
            <w:shd w:val="clear" w:color="auto" w:fill="FFFFFF"/>
            <w:noWrap/>
            <w:vAlign w:val="top"/>
          </w:tcPr>
          <w:p w14:paraId="74C999A5">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stat.</w:t>
            </w: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top"/>
          </w:tcPr>
          <w:p w14:paraId="7757CEDC">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stat.</w:t>
            </w:r>
          </w:p>
        </w:tc>
      </w:tr>
      <w:tr w14:paraId="29E3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4B2A3CFA">
            <w:pPr>
              <w:keepNext w:val="0"/>
              <w:keepLines w:val="0"/>
              <w:widowControl/>
              <w:suppressLineNumbers w:val="0"/>
              <w:jc w:val="left"/>
              <w:textAlignment w:val="top"/>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Model 1</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61EB3CC1">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-4.6808***</w:t>
            </w:r>
          </w:p>
        </w:tc>
        <w:tc>
          <w:tcPr>
            <w:tcW w:w="1182" w:type="dxa"/>
            <w:tcBorders>
              <w:top w:val="single" w:color="auto" w:sz="4" w:space="0"/>
              <w:left w:val="single" w:color="auto" w:sz="4" w:space="0"/>
              <w:bottom w:val="single" w:color="auto" w:sz="4" w:space="0"/>
              <w:right w:val="single" w:color="auto" w:sz="4" w:space="0"/>
            </w:tcBorders>
            <w:shd w:val="clear" w:color="auto" w:fill="FFFFFF"/>
            <w:noWrap/>
            <w:vAlign w:val="top"/>
          </w:tcPr>
          <w:p w14:paraId="07B33CE1">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-4.2937***</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49E32DF3">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-2.4824***</w:t>
            </w:r>
          </w:p>
        </w:tc>
        <w:tc>
          <w:tcPr>
            <w:tcW w:w="1368" w:type="dxa"/>
            <w:tcBorders>
              <w:top w:val="single" w:color="auto" w:sz="4" w:space="0"/>
              <w:left w:val="single" w:color="auto" w:sz="4" w:space="0"/>
              <w:bottom w:val="single" w:color="auto" w:sz="4" w:space="0"/>
              <w:right w:val="single" w:color="auto" w:sz="4" w:space="0"/>
            </w:tcBorders>
            <w:shd w:val="clear" w:color="auto" w:fill="FFFFFF"/>
            <w:noWrap/>
            <w:vAlign w:val="top"/>
          </w:tcPr>
          <w:p w14:paraId="72A826AB">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-4.6347***</w:t>
            </w:r>
          </w:p>
        </w:tc>
        <w:tc>
          <w:tcPr>
            <w:tcW w:w="1534" w:type="dxa"/>
            <w:tcBorders>
              <w:top w:val="single" w:color="auto" w:sz="4" w:space="0"/>
              <w:left w:val="single" w:color="auto" w:sz="4" w:space="0"/>
              <w:bottom w:val="single" w:color="auto" w:sz="4" w:space="0"/>
              <w:right w:val="single" w:color="auto" w:sz="4" w:space="0"/>
            </w:tcBorders>
            <w:shd w:val="clear" w:color="auto" w:fill="FFFFFF"/>
            <w:noWrap/>
            <w:vAlign w:val="top"/>
          </w:tcPr>
          <w:p w14:paraId="26C137BB">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-4.5229***</w:t>
            </w: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top"/>
          </w:tcPr>
          <w:p w14:paraId="42ACEBA7">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-2.5746***</w:t>
            </w:r>
          </w:p>
        </w:tc>
      </w:tr>
      <w:tr w14:paraId="6AEF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26D849D5">
            <w:pPr>
              <w:keepNext w:val="0"/>
              <w:keepLines w:val="0"/>
              <w:widowControl/>
              <w:suppressLineNumbers w:val="0"/>
              <w:jc w:val="left"/>
              <w:textAlignment w:val="top"/>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Model 2</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5E3AE291">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-4.6182***</w:t>
            </w:r>
          </w:p>
        </w:tc>
        <w:tc>
          <w:tcPr>
            <w:tcW w:w="1182" w:type="dxa"/>
            <w:tcBorders>
              <w:top w:val="single" w:color="auto" w:sz="4" w:space="0"/>
              <w:left w:val="single" w:color="auto" w:sz="4" w:space="0"/>
              <w:bottom w:val="single" w:color="auto" w:sz="4" w:space="0"/>
              <w:right w:val="single" w:color="auto" w:sz="4" w:space="0"/>
            </w:tcBorders>
            <w:shd w:val="clear" w:color="auto" w:fill="FFFFFF"/>
            <w:noWrap/>
            <w:vAlign w:val="top"/>
          </w:tcPr>
          <w:p w14:paraId="55C72FD6">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-4.6522***</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6C77E833">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-2.4277***</w:t>
            </w:r>
          </w:p>
        </w:tc>
        <w:tc>
          <w:tcPr>
            <w:tcW w:w="1368" w:type="dxa"/>
            <w:tcBorders>
              <w:top w:val="single" w:color="auto" w:sz="4" w:space="0"/>
              <w:left w:val="single" w:color="auto" w:sz="4" w:space="0"/>
              <w:bottom w:val="single" w:color="auto" w:sz="4" w:space="0"/>
              <w:right w:val="single" w:color="auto" w:sz="4" w:space="0"/>
            </w:tcBorders>
            <w:shd w:val="clear" w:color="auto" w:fill="FFFFFF"/>
            <w:noWrap/>
            <w:vAlign w:val="top"/>
          </w:tcPr>
          <w:p w14:paraId="58BFD9FC">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-2.0682***</w:t>
            </w:r>
          </w:p>
        </w:tc>
        <w:tc>
          <w:tcPr>
            <w:tcW w:w="1534" w:type="dxa"/>
            <w:tcBorders>
              <w:top w:val="single" w:color="auto" w:sz="4" w:space="0"/>
              <w:left w:val="single" w:color="auto" w:sz="4" w:space="0"/>
              <w:bottom w:val="single" w:color="auto" w:sz="4" w:space="0"/>
              <w:right w:val="single" w:color="auto" w:sz="4" w:space="0"/>
            </w:tcBorders>
            <w:shd w:val="clear" w:color="auto" w:fill="FFFFFF"/>
            <w:noWrap/>
            <w:vAlign w:val="top"/>
          </w:tcPr>
          <w:p w14:paraId="57E01451">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-2.5259***</w:t>
            </w: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top"/>
          </w:tcPr>
          <w:p w14:paraId="3C32D11B">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-3.5823***</w:t>
            </w:r>
          </w:p>
        </w:tc>
      </w:tr>
      <w:tr w14:paraId="0242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5722B470">
            <w:pPr>
              <w:keepNext w:val="0"/>
              <w:keepLines w:val="0"/>
              <w:widowControl/>
              <w:suppressLineNumbers w:val="0"/>
              <w:jc w:val="left"/>
              <w:textAlignment w:val="top"/>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Model</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79274EF7">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Gt</w:t>
            </w:r>
          </w:p>
        </w:tc>
        <w:tc>
          <w:tcPr>
            <w:tcW w:w="1182" w:type="dxa"/>
            <w:tcBorders>
              <w:top w:val="single" w:color="auto" w:sz="4" w:space="0"/>
              <w:left w:val="single" w:color="auto" w:sz="4" w:space="0"/>
              <w:bottom w:val="single" w:color="auto" w:sz="4" w:space="0"/>
              <w:right w:val="single" w:color="auto" w:sz="4" w:space="0"/>
            </w:tcBorders>
            <w:shd w:val="clear" w:color="auto" w:fill="FFFFFF"/>
            <w:noWrap/>
            <w:vAlign w:val="top"/>
          </w:tcPr>
          <w:p w14:paraId="67ED13DB">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Ga</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6704374E">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Pt</w:t>
            </w:r>
          </w:p>
        </w:tc>
        <w:tc>
          <w:tcPr>
            <w:tcW w:w="1368" w:type="dxa"/>
            <w:tcBorders>
              <w:top w:val="single" w:color="auto" w:sz="4" w:space="0"/>
              <w:left w:val="single" w:color="auto" w:sz="4" w:space="0"/>
              <w:bottom w:val="single" w:color="auto" w:sz="4" w:space="0"/>
              <w:right w:val="single" w:color="auto" w:sz="4" w:space="0"/>
            </w:tcBorders>
            <w:shd w:val="clear" w:color="auto" w:fill="FFFFFF"/>
            <w:noWrap/>
            <w:vAlign w:val="top"/>
          </w:tcPr>
          <w:p w14:paraId="6B184A3C">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Pa</w:t>
            </w:r>
          </w:p>
        </w:tc>
        <w:tc>
          <w:tcPr>
            <w:tcW w:w="1534" w:type="dxa"/>
            <w:tcBorders>
              <w:top w:val="single" w:color="auto" w:sz="4" w:space="0"/>
              <w:left w:val="single" w:color="auto" w:sz="4" w:space="0"/>
              <w:bottom w:val="single" w:color="auto" w:sz="4" w:space="0"/>
              <w:right w:val="single" w:color="auto" w:sz="4" w:space="0"/>
            </w:tcBorders>
            <w:shd w:val="clear" w:color="auto" w:fill="FFFFFF"/>
            <w:noWrap/>
            <w:vAlign w:val="top"/>
          </w:tcPr>
          <w:p w14:paraId="422A1CF2">
            <w:pPr>
              <w:rPr>
                <w:rFonts w:hint="default" w:ascii="Calibri" w:hAnsi="Calibri" w:cs="Calibri"/>
                <w:i w:val="0"/>
                <w:iCs w:val="0"/>
                <w:color w:val="000000"/>
                <w:sz w:val="22"/>
                <w:szCs w:val="22"/>
                <w:u w:val="none"/>
              </w:rPr>
            </w:pP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top"/>
          </w:tcPr>
          <w:p w14:paraId="7AD6E9BE">
            <w:pPr>
              <w:rPr>
                <w:rFonts w:hint="default" w:ascii="Times New Roman" w:hAnsi="Times New Roman" w:cs="Times New Roman"/>
                <w:i w:val="0"/>
                <w:iCs w:val="0"/>
                <w:color w:val="000000"/>
                <w:sz w:val="20"/>
                <w:szCs w:val="20"/>
                <w:u w:val="none"/>
              </w:rPr>
            </w:pPr>
          </w:p>
        </w:tc>
      </w:tr>
      <w:tr w14:paraId="49D0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6F228D7D">
            <w:pPr>
              <w:keepNext w:val="0"/>
              <w:keepLines w:val="0"/>
              <w:widowControl/>
              <w:suppressLineNumbers w:val="0"/>
              <w:jc w:val="left"/>
              <w:textAlignment w:val="top"/>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Model 1</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1E1017E5">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-11.031***</w:t>
            </w:r>
          </w:p>
        </w:tc>
        <w:tc>
          <w:tcPr>
            <w:tcW w:w="1182" w:type="dxa"/>
            <w:tcBorders>
              <w:top w:val="single" w:color="auto" w:sz="4" w:space="0"/>
              <w:left w:val="single" w:color="auto" w:sz="4" w:space="0"/>
              <w:bottom w:val="single" w:color="auto" w:sz="4" w:space="0"/>
              <w:right w:val="single" w:color="auto" w:sz="4" w:space="0"/>
            </w:tcBorders>
            <w:shd w:val="clear" w:color="auto" w:fill="FFFFFF"/>
            <w:noWrap/>
            <w:vAlign w:val="top"/>
          </w:tcPr>
          <w:p w14:paraId="0429FE34">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-13.253***</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5B992A59">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-10.219***</w:t>
            </w:r>
          </w:p>
        </w:tc>
        <w:tc>
          <w:tcPr>
            <w:tcW w:w="2902" w:type="dxa"/>
            <w:gridSpan w:val="2"/>
            <w:tcBorders>
              <w:top w:val="single" w:color="auto" w:sz="4" w:space="0"/>
              <w:left w:val="single" w:color="auto" w:sz="4" w:space="0"/>
              <w:bottom w:val="single" w:color="auto" w:sz="4" w:space="0"/>
              <w:right w:val="single" w:color="auto" w:sz="4" w:space="0"/>
            </w:tcBorders>
            <w:shd w:val="clear" w:color="auto" w:fill="FFFFFF"/>
            <w:noWrap/>
            <w:vAlign w:val="top"/>
          </w:tcPr>
          <w:p w14:paraId="322C3AA3">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-12.602***</w:t>
            </w: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top"/>
          </w:tcPr>
          <w:p w14:paraId="5DE8AEAF">
            <w:pPr>
              <w:rPr>
                <w:rFonts w:hint="default" w:ascii="Calibri" w:hAnsi="Calibri" w:cs="Calibri"/>
                <w:i w:val="0"/>
                <w:iCs w:val="0"/>
                <w:color w:val="000000"/>
                <w:sz w:val="22"/>
                <w:szCs w:val="22"/>
                <w:u w:val="none"/>
              </w:rPr>
            </w:pPr>
          </w:p>
        </w:tc>
      </w:tr>
      <w:tr w14:paraId="60167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35" w:type="dxa"/>
            <w:tcBorders>
              <w:top w:val="single" w:color="auto" w:sz="4" w:space="0"/>
              <w:left w:val="single" w:color="auto" w:sz="4" w:space="0"/>
              <w:bottom w:val="single" w:color="auto" w:sz="4" w:space="0"/>
              <w:right w:val="single" w:color="auto" w:sz="4" w:space="0"/>
            </w:tcBorders>
            <w:shd w:val="clear" w:color="auto" w:fill="FFFFFF"/>
            <w:noWrap/>
            <w:vAlign w:val="top"/>
          </w:tcPr>
          <w:p w14:paraId="05C44F0F">
            <w:pPr>
              <w:keepNext w:val="0"/>
              <w:keepLines w:val="0"/>
              <w:widowControl/>
              <w:suppressLineNumbers w:val="0"/>
              <w:jc w:val="left"/>
              <w:textAlignment w:val="top"/>
              <w:rPr>
                <w:rFonts w:hint="default" w:ascii="Calibri" w:hAnsi="Calibri" w:cs="Calibri"/>
                <w:b/>
                <w:bCs/>
                <w:i w:val="0"/>
                <w:iCs w:val="0"/>
                <w:color w:val="000000"/>
                <w:sz w:val="22"/>
                <w:szCs w:val="22"/>
                <w:u w:val="none"/>
              </w:rPr>
            </w:pPr>
            <w:r>
              <w:rPr>
                <w:rFonts w:hint="default" w:ascii="Calibri" w:hAnsi="Calibri" w:eastAsia="SimSun" w:cs="Calibri"/>
                <w:b/>
                <w:bCs/>
                <w:i w:val="0"/>
                <w:iCs w:val="0"/>
                <w:color w:val="000000"/>
                <w:kern w:val="0"/>
                <w:sz w:val="22"/>
                <w:szCs w:val="22"/>
                <w:u w:val="none"/>
                <w:lang w:val="en-US" w:eastAsia="zh-CN" w:bidi="ar"/>
              </w:rPr>
              <w:t>Model 2</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764F3756">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-9.072***</w:t>
            </w:r>
          </w:p>
        </w:tc>
        <w:tc>
          <w:tcPr>
            <w:tcW w:w="1182" w:type="dxa"/>
            <w:tcBorders>
              <w:top w:val="single" w:color="auto" w:sz="4" w:space="0"/>
              <w:left w:val="single" w:color="auto" w:sz="4" w:space="0"/>
              <w:bottom w:val="single" w:color="auto" w:sz="4" w:space="0"/>
              <w:right w:val="single" w:color="auto" w:sz="4" w:space="0"/>
            </w:tcBorders>
            <w:shd w:val="clear" w:color="auto" w:fill="FFFFFF"/>
            <w:noWrap/>
            <w:vAlign w:val="top"/>
          </w:tcPr>
          <w:p w14:paraId="4D64F585">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-6.325***</w:t>
            </w:r>
          </w:p>
        </w:tc>
        <w:tc>
          <w:tcPr>
            <w:tcW w:w="1181" w:type="dxa"/>
            <w:tcBorders>
              <w:top w:val="single" w:color="auto" w:sz="4" w:space="0"/>
              <w:left w:val="single" w:color="auto" w:sz="4" w:space="0"/>
              <w:bottom w:val="single" w:color="auto" w:sz="4" w:space="0"/>
              <w:right w:val="single" w:color="auto" w:sz="4" w:space="0"/>
            </w:tcBorders>
            <w:shd w:val="clear" w:color="auto" w:fill="FFFFFF"/>
            <w:noWrap/>
            <w:vAlign w:val="top"/>
          </w:tcPr>
          <w:p w14:paraId="0A3C2D2B">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-15.585***</w:t>
            </w:r>
          </w:p>
        </w:tc>
        <w:tc>
          <w:tcPr>
            <w:tcW w:w="1368" w:type="dxa"/>
            <w:tcBorders>
              <w:top w:val="single" w:color="auto" w:sz="4" w:space="0"/>
              <w:left w:val="single" w:color="auto" w:sz="4" w:space="0"/>
              <w:bottom w:val="single" w:color="auto" w:sz="4" w:space="0"/>
              <w:right w:val="single" w:color="auto" w:sz="4" w:space="0"/>
            </w:tcBorders>
            <w:shd w:val="clear" w:color="auto" w:fill="FFFFFF"/>
            <w:noWrap/>
            <w:vAlign w:val="top"/>
          </w:tcPr>
          <w:p w14:paraId="41EE15DD">
            <w:pPr>
              <w:keepNext w:val="0"/>
              <w:keepLines w:val="0"/>
              <w:widowControl/>
              <w:suppressLineNumbers w:val="0"/>
              <w:jc w:val="left"/>
              <w:textAlignment w:val="top"/>
              <w:rPr>
                <w:rFonts w:hint="default" w:ascii="Calibri" w:hAnsi="Calibri" w:cs="Calibri"/>
                <w:i w:val="0"/>
                <w:iCs w:val="0"/>
                <w:color w:val="000000"/>
                <w:sz w:val="22"/>
                <w:szCs w:val="22"/>
                <w:u w:val="none"/>
              </w:rPr>
            </w:pPr>
            <w:r>
              <w:rPr>
                <w:rFonts w:hint="default" w:ascii="Calibri" w:hAnsi="Calibri" w:eastAsia="SimSun" w:cs="Calibri"/>
                <w:i w:val="0"/>
                <w:iCs w:val="0"/>
                <w:color w:val="000000"/>
                <w:kern w:val="0"/>
                <w:sz w:val="22"/>
                <w:szCs w:val="22"/>
                <w:u w:val="none"/>
                <w:lang w:val="en-US" w:eastAsia="zh-CN" w:bidi="ar"/>
              </w:rPr>
              <w:t>-12.11***</w:t>
            </w:r>
          </w:p>
        </w:tc>
        <w:tc>
          <w:tcPr>
            <w:tcW w:w="1534" w:type="dxa"/>
            <w:tcBorders>
              <w:top w:val="single" w:color="auto" w:sz="4" w:space="0"/>
              <w:left w:val="single" w:color="auto" w:sz="4" w:space="0"/>
              <w:bottom w:val="single" w:color="auto" w:sz="4" w:space="0"/>
              <w:right w:val="single" w:color="auto" w:sz="4" w:space="0"/>
            </w:tcBorders>
            <w:shd w:val="clear" w:color="auto" w:fill="FFFFFF"/>
            <w:noWrap/>
            <w:vAlign w:val="top"/>
          </w:tcPr>
          <w:p w14:paraId="3CDDDC08">
            <w:pPr>
              <w:rPr>
                <w:rFonts w:hint="default" w:ascii="Calibri" w:hAnsi="Calibri" w:cs="Calibri"/>
                <w:i w:val="0"/>
                <w:iCs w:val="0"/>
                <w:color w:val="000000"/>
                <w:sz w:val="22"/>
                <w:szCs w:val="22"/>
                <w:u w:val="none"/>
              </w:rPr>
            </w:pPr>
          </w:p>
        </w:tc>
        <w:tc>
          <w:tcPr>
            <w:tcW w:w="119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B1534B">
            <w:pPr>
              <w:rPr>
                <w:rFonts w:hint="default" w:ascii="Calibri" w:hAnsi="Calibri" w:cs="Calibri"/>
                <w:i w:val="0"/>
                <w:iCs w:val="0"/>
                <w:color w:val="000000"/>
                <w:sz w:val="22"/>
                <w:szCs w:val="22"/>
                <w:u w:val="none"/>
              </w:rPr>
            </w:pPr>
          </w:p>
        </w:tc>
      </w:tr>
    </w:tbl>
    <w:p w14:paraId="684E9871">
      <w:pPr>
        <w:bidi w:val="0"/>
        <w:jc w:val="both"/>
        <w:rPr>
          <w:rFonts w:hint="default" w:ascii="Times New Roman" w:hAnsi="Times New Roman" w:cs="Times New Roman"/>
          <w:b w:val="0"/>
          <w:bCs w:val="0"/>
          <w:sz w:val="24"/>
          <w:szCs w:val="24"/>
        </w:rPr>
      </w:pPr>
    </w:p>
    <w:p w14:paraId="3E2CF8CC">
      <w:pPr>
        <w:bidi w:val="0"/>
        <w:ind w:firstLine="360" w:firstLineChars="150"/>
        <w:jc w:val="both"/>
        <w:rPr>
          <w:rFonts w:hint="default" w:ascii="Times New Roman" w:hAnsi="Times New Roman"/>
          <w:b w:val="0"/>
          <w:bCs w:val="0"/>
          <w:sz w:val="24"/>
          <w:szCs w:val="24"/>
        </w:rPr>
      </w:pPr>
      <w:r>
        <w:rPr>
          <w:rFonts w:hint="default" w:ascii="Times New Roman" w:hAnsi="Times New Roman"/>
          <w:b w:val="0"/>
          <w:bCs w:val="0"/>
          <w:sz w:val="24"/>
          <w:szCs w:val="24"/>
        </w:rPr>
        <w:t>The variables of explanation in long term estimates of Zero hunger all have a negative large coefficient with a p value indicating their effectiveness in curbing food insecurity in the long-term. As an example, 1 unit change in technological innovation (TI) is linked to 0.1749 unit drop in hunger (t = -48.58), 0.1321 unit drop in financial development (FD) (t = -16.72) and 0.1239 unit drop in financial inclusion (FI) (t = -12.15). Digital payment (DP) also makes a significant contribution towards hunger reduction, plunging at (-0.1489, t = -59.56), highlighting why it is important to use digital finance to enhance food access and market efficiency. The adverse and substantial coefficient of FDI (-0.0858, t = -8.94) indicates that foreign investment aids in food security through infrastructure and productivity increase. The coefficient of governance (GG) indicates its significant impact as -0.1536 (t = -27.93), which denotes that institutional quality is significant in polices covering food.</w:t>
      </w:r>
    </w:p>
    <w:p w14:paraId="67205BE1">
      <w:pPr>
        <w:bidi w:val="0"/>
        <w:jc w:val="both"/>
        <w:rPr>
          <w:rFonts w:hint="default" w:ascii="Times New Roman" w:hAnsi="Times New Roman"/>
          <w:b w:val="0"/>
          <w:bCs w:val="0"/>
          <w:sz w:val="24"/>
          <w:szCs w:val="24"/>
        </w:rPr>
      </w:pPr>
      <w:r>
        <w:rPr>
          <w:rFonts w:hint="default" w:ascii="Times New Roman" w:hAnsi="Times New Roman"/>
          <w:b w:val="0"/>
          <w:bCs w:val="0"/>
          <w:sz w:val="24"/>
          <w:szCs w:val="24"/>
        </w:rPr>
        <w:t>Conversely, the long-run coefficients of DP, FI, TI, FD and FDI are positive and significant in case of SDG 9 (Industrial Innovation) which signifies the contribution of the factors to industry growth and innovation. It can be noted that technological innovation (TI) has the highest positive influence (0.1740, t = 16.11), and this is in line with the theories that innovation is the fore runner to productivity and competitive industrial performance. Correlation of the modern industrial change with financial development (0.1681, t = 29.49) and digital payments (0.1183, t = 10.20) may also be described as critical drivers of industry modernization. Indicators such as financial inclusion and FDI have also positive coefficients as 0.0453 and 0.0793 respectively. Yet, GG presents a bad coefficient of -0.1117 (t = 24.28), which might confirm the presence of regulatory choke points or inefficiencies of the industrial branch of the economy.</w:t>
      </w:r>
    </w:p>
    <w:p w14:paraId="12609C50">
      <w:pPr>
        <w:bidi w:val="0"/>
        <w:jc w:val="both"/>
        <w:rPr>
          <w:rFonts w:hint="default" w:ascii="Times New Roman" w:hAnsi="Times New Roman"/>
          <w:b w:val="0"/>
          <w:bCs w:val="0"/>
          <w:sz w:val="24"/>
          <w:szCs w:val="24"/>
        </w:rPr>
      </w:pPr>
      <w:r>
        <w:rPr>
          <w:rFonts w:hint="default" w:ascii="Times New Roman" w:hAnsi="Times New Roman"/>
          <w:b w:val="0"/>
          <w:bCs w:val="0"/>
          <w:sz w:val="24"/>
          <w:szCs w:val="24"/>
        </w:rPr>
        <w:t>The short-run patterns involve the two models with smaller-scale coefficients though notable coefficients indicating transitional realizations. Zero hunger has the similar variables to the last one of FI (-0.0810, t = -10.39), FD (-0.0385, t = -12.42), and TI (-0.0768, t = -6.80), which all have a negative impact at the onset, whereas GG has a small positive impact (0.0260, t = 4.26), perhaps because of responsiveness of the policy in the short term. The term of correction of error (-0.4512, t = -141) is of high significance and it is negative confirming the fact that the system tends to reverse to the long run equilibrium following shocks.</w:t>
      </w:r>
    </w:p>
    <w:p w14:paraId="23B6E227">
      <w:pPr>
        <w:bidi w:val="0"/>
        <w:jc w:val="both"/>
        <w:rPr>
          <w:rFonts w:hint="default" w:ascii="Times New Roman" w:hAnsi="Times New Roman"/>
          <w:b w:val="0"/>
          <w:bCs w:val="0"/>
          <w:sz w:val="24"/>
          <w:szCs w:val="24"/>
        </w:rPr>
      </w:pPr>
      <w:r>
        <w:rPr>
          <w:rFonts w:hint="default" w:ascii="Times New Roman" w:hAnsi="Times New Roman"/>
          <w:b w:val="0"/>
          <w:bCs w:val="0"/>
          <w:sz w:val="24"/>
          <w:szCs w:val="24"/>
        </w:rPr>
        <w:t>Most of the short-run effects of Industrial Innovation are also adverse such as DP (-0.0641, t = 10.02), TI (-0.0786, t = 7.42), and FDI (-0.0735, t = 6.45). These adverse indicators can be short-term upheaval or delayed adjustment to electronic or economic interventions. In the short run GG also shows a negative (-0.0672, t = 10.34) meaning that there will be a long standing governance problem. Mean reversion and stability of the CS-ARDL model is also confirmed by the error correction coefficient (-0.4077, t = -34.55).</w:t>
      </w:r>
    </w:p>
    <w:p w14:paraId="5E72586E">
      <w:pPr>
        <w:bidi w:val="0"/>
        <w:jc w:val="both"/>
        <w:rPr>
          <w:rFonts w:hint="default" w:ascii="Times New Roman" w:hAnsi="Times New Roman" w:cs="Times New Roman"/>
          <w:sz w:val="24"/>
          <w:szCs w:val="24"/>
        </w:rPr>
      </w:pPr>
      <w:bookmarkStart w:id="186" w:name="_Toc10458"/>
      <w:r>
        <w:rPr>
          <w:rFonts w:hint="default" w:ascii="Times New Roman" w:hAnsi="Times New Roman"/>
          <w:sz w:val="24"/>
          <w:szCs w:val="24"/>
        </w:rPr>
        <w:t>The diagnostic test results are that there are no serious</w:t>
      </w:r>
      <w:r>
        <w:rPr>
          <w:rFonts w:hint="default" w:ascii="Times New Roman" w:hAnsi="Times New Roman" w:cs="Times New Roman"/>
          <w:sz w:val="24"/>
          <w:szCs w:val="24"/>
        </w:rPr>
        <w:t xml:space="preserve"> econometric issues. These results of Cross-Sectional Dependence (CD) test (0.0232 in SDG 2, 0.0240 in SDG 9) indicate rather modest cross-sectional interdependence of SDG 2 and SDG 9 following the correction of the cross-sectional interdependence. The autocorrelation tests done by Wooldridge produce the value of 0.4557 and 0.7622, which means no existence of serial correlation. Normality tests (0.3954 and 0.9118) and Ramsey RESET tests (0.5375 and 0.2090) underline that the models are well-specified and residuals have normal distributions, which once again confirms the consistency of estimations.</w:t>
      </w:r>
    </w:p>
    <w:p w14:paraId="3B95B885">
      <w:pPr>
        <w:pStyle w:val="7"/>
        <w:bidi w:val="0"/>
        <w:rPr>
          <w:rFonts w:hint="default"/>
        </w:rPr>
      </w:pPr>
      <w:r>
        <w:t xml:space="preserve">Table </w:t>
      </w:r>
      <w:r>
        <w:fldChar w:fldCharType="begin"/>
      </w:r>
      <w:r>
        <w:instrText xml:space="preserve"> SEQ Table \* ARABIC </w:instrText>
      </w:r>
      <w:r>
        <w:fldChar w:fldCharType="separate"/>
      </w:r>
      <w:r>
        <w:t>8</w:t>
      </w:r>
      <w:r>
        <w:fldChar w:fldCharType="end"/>
      </w:r>
      <w:bookmarkStart w:id="187" w:name="_Toc32610"/>
      <w:r>
        <w:rPr>
          <w:rFonts w:hint="default"/>
        </w:rPr>
        <w:t>: Coefficient estimation: CS-ARDL</w:t>
      </w:r>
      <w:bookmarkEnd w:id="186"/>
      <w:bookmarkEnd w:id="187"/>
    </w:p>
    <w:tbl>
      <w:tblPr>
        <w:tblStyle w:val="6"/>
        <w:tblW w:w="67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65"/>
        <w:gridCol w:w="1352"/>
        <w:gridCol w:w="1075"/>
        <w:gridCol w:w="1075"/>
        <w:gridCol w:w="1247"/>
        <w:gridCol w:w="1075"/>
        <w:gridCol w:w="1037"/>
      </w:tblGrid>
      <w:tr w14:paraId="42B65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960" w:type="dxa"/>
            <w:tcBorders>
              <w:top w:val="single" w:color="auto" w:sz="4" w:space="0"/>
              <w:left w:val="single" w:color="auto" w:sz="4" w:space="0"/>
              <w:bottom w:val="single" w:color="auto" w:sz="4" w:space="0"/>
              <w:right w:val="single" w:color="auto" w:sz="4" w:space="0"/>
            </w:tcBorders>
            <w:shd w:val="clear" w:color="auto" w:fill="FFFFFF"/>
            <w:noWrap/>
            <w:vAlign w:val="top"/>
          </w:tcPr>
          <w:p w14:paraId="40058B22">
            <w:pPr>
              <w:rPr>
                <w:rFonts w:hint="default" w:ascii="Times New Roman" w:hAnsi="Times New Roman" w:cs="Times New Roman"/>
                <w:b/>
                <w:bCs/>
                <w:i w:val="0"/>
                <w:iCs w:val="0"/>
                <w:color w:val="000000"/>
                <w:sz w:val="24"/>
                <w:szCs w:val="24"/>
                <w:u w:val="none"/>
              </w:rPr>
            </w:pPr>
          </w:p>
        </w:tc>
        <w:tc>
          <w:tcPr>
            <w:tcW w:w="2880" w:type="dxa"/>
            <w:gridSpan w:val="3"/>
            <w:tcBorders>
              <w:top w:val="single" w:color="auto" w:sz="4" w:space="0"/>
              <w:left w:val="single" w:color="auto" w:sz="4" w:space="0"/>
              <w:bottom w:val="single" w:color="auto" w:sz="4" w:space="0"/>
              <w:right w:val="single" w:color="auto" w:sz="4" w:space="0"/>
            </w:tcBorders>
            <w:shd w:val="clear" w:color="auto" w:fill="FFFFFF"/>
            <w:noWrap/>
            <w:vAlign w:val="top"/>
          </w:tcPr>
          <w:p w14:paraId="044F82CF">
            <w:pPr>
              <w:keepNext w:val="0"/>
              <w:keepLines w:val="0"/>
              <w:widowControl/>
              <w:suppressLineNumbers w:val="0"/>
              <w:jc w:val="center"/>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 xml:space="preserve">Zero hunger  </w:t>
            </w:r>
          </w:p>
        </w:tc>
        <w:tc>
          <w:tcPr>
            <w:tcW w:w="2880" w:type="dxa"/>
            <w:gridSpan w:val="3"/>
            <w:tcBorders>
              <w:top w:val="single" w:color="auto" w:sz="4" w:space="0"/>
              <w:left w:val="single" w:color="auto" w:sz="4" w:space="0"/>
              <w:bottom w:val="single" w:color="auto" w:sz="4" w:space="0"/>
              <w:right w:val="single" w:color="auto" w:sz="4" w:space="0"/>
            </w:tcBorders>
            <w:shd w:val="clear" w:color="auto" w:fill="FFFFFF"/>
            <w:noWrap/>
            <w:vAlign w:val="top"/>
          </w:tcPr>
          <w:p w14:paraId="5603DA43">
            <w:pPr>
              <w:keepNext w:val="0"/>
              <w:keepLines w:val="0"/>
              <w:widowControl/>
              <w:suppressLineNumbers w:val="0"/>
              <w:jc w:val="center"/>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 xml:space="preserve">Industrial innovation  </w:t>
            </w:r>
          </w:p>
        </w:tc>
      </w:tr>
      <w:tr w14:paraId="38DF3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68DA94E">
            <w:pPr>
              <w:rPr>
                <w:rFonts w:hint="default" w:ascii="Times New Roman" w:hAnsi="Times New Roman" w:cs="Times New Roman"/>
                <w:b/>
                <w:bCs/>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8D9DECB">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Coefficient</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D915E9A">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std.error</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0CD4104">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t-stat</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C06FF5F">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Coefficient</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EB3CCCC">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std.error</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3DEB4B9">
            <w:pPr>
              <w:keepNext w:val="0"/>
              <w:keepLines w:val="0"/>
              <w:widowControl/>
              <w:suppressLineNumbers w:val="0"/>
              <w:jc w:val="lef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t-stat</w:t>
            </w:r>
          </w:p>
        </w:tc>
      </w:tr>
      <w:tr w14:paraId="31BE0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02BE77F">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LONG RUN</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BC8B962">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4AFCB52">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41461E1">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1593133">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ABC5E10">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421D792">
            <w:pPr>
              <w:rPr>
                <w:rFonts w:hint="default" w:ascii="Times New Roman" w:hAnsi="Times New Roman" w:cs="Times New Roman"/>
                <w:i w:val="0"/>
                <w:iCs w:val="0"/>
                <w:color w:val="000000"/>
                <w:sz w:val="24"/>
                <w:szCs w:val="24"/>
                <w:u w:val="none"/>
              </w:rPr>
            </w:pPr>
          </w:p>
        </w:tc>
      </w:tr>
      <w:tr w14:paraId="0048F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F3F5BAD">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DP</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01CA33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-0.1489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1A662F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0.0025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A6C54C0">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-59.56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6AFB4F6">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0.1183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78F7E07">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0.0116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A1689B8">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10.1982</w:t>
            </w:r>
          </w:p>
        </w:tc>
      </w:tr>
      <w:tr w14:paraId="78B6E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084CBC6">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FI</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820D568">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-0.1239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9DD4301">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0.0102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72A0EC6">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-12.147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1CE1263">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0.0453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D322A1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0.0075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916F94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6.04</w:t>
            </w:r>
          </w:p>
        </w:tc>
      </w:tr>
      <w:tr w14:paraId="4BB35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4FF970E">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TI</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E5529D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-0.1749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A62E35B">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0.0036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51F8A7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-48.5833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AB1DB2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0.174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136570C">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0.0108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EFABDB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16.1111</w:t>
            </w:r>
          </w:p>
        </w:tc>
      </w:tr>
      <w:tr w14:paraId="143E6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34390AF">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FD</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F928E0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-0.1321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B3AFC5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0.0079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E31E46E">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-16.7215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5CE963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0.1681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864828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0.0057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C1F194E">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29.4912</w:t>
            </w:r>
          </w:p>
        </w:tc>
      </w:tr>
      <w:tr w14:paraId="33416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6CFE5A3">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FDI</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ECD4BF1">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-0.0858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78212B3">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0.0096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012C5D3">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-8.9375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79E8E95">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0.0793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7D0E7F0">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0.0098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F9FB44D">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8.0918</w:t>
            </w:r>
          </w:p>
        </w:tc>
      </w:tr>
      <w:tr w14:paraId="6F474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46B9304">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GG</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4DE6DB3">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-0.1536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E07836B">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0.0055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181890E">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-27.9272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5606B5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-0.1117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2F442A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0.0046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2A30531">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24.2826</w:t>
            </w:r>
          </w:p>
        </w:tc>
      </w:tr>
      <w:tr w14:paraId="47956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402F0F1">
            <w:pPr>
              <w:keepNext w:val="0"/>
              <w:keepLines w:val="0"/>
              <w:widowControl/>
              <w:suppressLineNumbers w:val="0"/>
              <w:jc w:val="lef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C</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2C6779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1.1589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079961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0.0107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1E39B53">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108.3084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9D0BD45">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0.3133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5B57EFB">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0.0038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392FD7D">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82.4473</w:t>
            </w:r>
          </w:p>
        </w:tc>
      </w:tr>
      <w:tr w14:paraId="51721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FE3C9CB">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short-run</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BB5FA2E">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45876EC">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4C0144C">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3CD652C">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554EF0E">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C9D2560">
            <w:pPr>
              <w:rPr>
                <w:rFonts w:hint="default" w:ascii="Times New Roman" w:hAnsi="Times New Roman" w:cs="Times New Roman"/>
                <w:i w:val="0"/>
                <w:iCs w:val="0"/>
                <w:color w:val="000000"/>
                <w:sz w:val="24"/>
                <w:szCs w:val="24"/>
                <w:u w:val="none"/>
              </w:rPr>
            </w:pPr>
          </w:p>
        </w:tc>
      </w:tr>
      <w:tr w14:paraId="42C0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7B162D5">
            <w:pPr>
              <w:keepNext w:val="0"/>
              <w:keepLines w:val="0"/>
              <w:widowControl/>
              <w:suppressLineNumbers w:val="0"/>
              <w:jc w:val="lef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DP</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C1ED1F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-0.0165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5CAC24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0.0076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6AEFE9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-2.171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84C166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-0.0641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964E9F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0.0064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BADF5AE">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10.0156</w:t>
            </w:r>
          </w:p>
        </w:tc>
      </w:tr>
      <w:tr w14:paraId="6749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5A30442">
            <w:pPr>
              <w:keepNext w:val="0"/>
              <w:keepLines w:val="0"/>
              <w:widowControl/>
              <w:suppressLineNumbers w:val="0"/>
              <w:jc w:val="lef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FI</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25C4B0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-0.081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93A083C">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0.0077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1A35A2B">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-10.3896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6A3524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-0.0581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BD368FC">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0.0048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4DEA104">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12.1041</w:t>
            </w:r>
          </w:p>
        </w:tc>
      </w:tr>
      <w:tr w14:paraId="3634E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3F76900">
            <w:pPr>
              <w:keepNext w:val="0"/>
              <w:keepLines w:val="0"/>
              <w:widowControl/>
              <w:suppressLineNumbers w:val="0"/>
              <w:jc w:val="lef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TI</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1FE9C6D">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-0.0768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972367C">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0.0113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017D0F8">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-6.7964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6F4E9F8">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-0.0786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D41446C">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0.0106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CF9C71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7.415</w:t>
            </w:r>
          </w:p>
        </w:tc>
      </w:tr>
      <w:tr w14:paraId="510E0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9CA5E5D">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FD</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5C14B27">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-0.0385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6B0DA4B">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0.0031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717D91E">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-12.4193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7EE90EE">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-0.0467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1CAAAD11">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0.0019</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76D6427">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24.5789</w:t>
            </w:r>
          </w:p>
        </w:tc>
      </w:tr>
      <w:tr w14:paraId="6D62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DBE3F17">
            <w:pPr>
              <w:keepNext w:val="0"/>
              <w:keepLines w:val="0"/>
              <w:widowControl/>
              <w:suppressLineNumbers w:val="0"/>
              <w:jc w:val="right"/>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FDI</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611AC9C">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-0.0418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D0798B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0.0091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FAF2B85">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-4.5934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9571A0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-0.0735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6C092AD">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0.0114</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7FDD17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6.4473</w:t>
            </w:r>
          </w:p>
        </w:tc>
      </w:tr>
      <w:tr w14:paraId="7D33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CA8887C">
            <w:pPr>
              <w:keepNext w:val="0"/>
              <w:keepLines w:val="0"/>
              <w:widowControl/>
              <w:suppressLineNumbers w:val="0"/>
              <w:jc w:val="center"/>
              <w:textAlignment w:val="top"/>
              <w:rPr>
                <w:rFonts w:hint="default" w:ascii="Times New Roman" w:hAnsi="Times New Roman" w:eastAsia="Palatino Linotype" w:cs="Times New Roman"/>
                <w:b/>
                <w:bCs/>
                <w:i w:val="0"/>
                <w:iCs w:val="0"/>
                <w:color w:val="000000"/>
                <w:sz w:val="24"/>
                <w:szCs w:val="24"/>
                <w:u w:val="none"/>
              </w:rPr>
            </w:pPr>
            <w:r>
              <w:rPr>
                <w:rFonts w:hint="default" w:ascii="Times New Roman" w:hAnsi="Times New Roman" w:eastAsia="Palatino Linotype" w:cs="Times New Roman"/>
                <w:b/>
                <w:bCs/>
                <w:i w:val="0"/>
                <w:iCs w:val="0"/>
                <w:color w:val="000000"/>
                <w:kern w:val="0"/>
                <w:sz w:val="24"/>
                <w:szCs w:val="24"/>
                <w:u w:val="none"/>
                <w:lang w:val="en-US" w:eastAsia="zh-CN" w:bidi="ar"/>
              </w:rPr>
              <w:t>GG</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DCB0F5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0.026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11218F0">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0.0061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9EB4A5C">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4.2622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8C56B3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-0.0672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127BA08">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0.0065</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EB1CD24">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10.3384</w:t>
            </w:r>
          </w:p>
        </w:tc>
      </w:tr>
      <w:tr w14:paraId="488F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90815CB">
            <w:pPr>
              <w:keepNext w:val="0"/>
              <w:keepLines w:val="0"/>
              <w:widowControl/>
              <w:suppressLineNumbers w:val="0"/>
              <w:jc w:val="left"/>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etc</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D2508D0">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-0.4512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4F8EBE8">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0.0032</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A4A58D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-141</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6FEC5D2">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-0.4077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F3EEF99">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0.0118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7FAA586">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-34.5508</w:t>
            </w:r>
          </w:p>
        </w:tc>
      </w:tr>
      <w:tr w14:paraId="7D2BB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FFFFFF"/>
            <w:noWrap/>
            <w:vAlign w:val="top"/>
          </w:tcPr>
          <w:p w14:paraId="1FCA4B14">
            <w:pPr>
              <w:keepNext w:val="0"/>
              <w:keepLines w:val="0"/>
              <w:widowControl/>
              <w:suppressLineNumbers w:val="0"/>
              <w:jc w:val="center"/>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CD test</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3D617FD">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0.023187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B4E0BD5">
            <w:pPr>
              <w:jc w:val="right"/>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8A4817F">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4AE11BF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0.024027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4496A30">
            <w:pPr>
              <w:jc w:val="right"/>
              <w:rPr>
                <w:rFonts w:hint="default" w:ascii="Times New Roman" w:hAnsi="Times New Roman" w:cs="Times New Roman"/>
                <w:i w:val="0"/>
                <w:iCs w:val="0"/>
                <w:color w:val="000000"/>
                <w:sz w:val="24"/>
                <w:szCs w:val="24"/>
                <w:u w:val="none"/>
              </w:rPr>
            </w:pPr>
          </w:p>
        </w:tc>
      </w:tr>
      <w:tr w14:paraId="2672E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FFFFFF"/>
            <w:noWrap/>
            <w:vAlign w:val="top"/>
          </w:tcPr>
          <w:p w14:paraId="76C0FE2E">
            <w:pPr>
              <w:keepNext w:val="0"/>
              <w:keepLines w:val="0"/>
              <w:widowControl/>
              <w:suppressLineNumbers w:val="0"/>
              <w:jc w:val="center"/>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Wooldridge Test for autoco</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F3A5FF3">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0.455747</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6BFC4225">
            <w:pPr>
              <w:jc w:val="right"/>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9F5E4C2">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D7346C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0.762168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66088FE">
            <w:pPr>
              <w:jc w:val="right"/>
              <w:rPr>
                <w:rFonts w:hint="default" w:ascii="Times New Roman" w:hAnsi="Times New Roman" w:cs="Times New Roman"/>
                <w:i w:val="0"/>
                <w:iCs w:val="0"/>
                <w:color w:val="000000"/>
                <w:sz w:val="24"/>
                <w:szCs w:val="24"/>
                <w:u w:val="none"/>
              </w:rPr>
            </w:pPr>
          </w:p>
        </w:tc>
      </w:tr>
      <w:tr w14:paraId="6E9C7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FFFFFF"/>
            <w:noWrap/>
            <w:vAlign w:val="top"/>
          </w:tcPr>
          <w:p w14:paraId="5E46A480">
            <w:pPr>
              <w:keepNext w:val="0"/>
              <w:keepLines w:val="0"/>
              <w:widowControl/>
              <w:suppressLineNumbers w:val="0"/>
              <w:jc w:val="center"/>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Normality test</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0AEB3537">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0.395433</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8D90B01">
            <w:pPr>
              <w:jc w:val="right"/>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81088FD">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5BDBAC6F">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0.911816</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381B0162">
            <w:pPr>
              <w:jc w:val="right"/>
              <w:rPr>
                <w:rFonts w:hint="default" w:ascii="Times New Roman" w:hAnsi="Times New Roman" w:cs="Times New Roman"/>
                <w:i w:val="0"/>
                <w:iCs w:val="0"/>
                <w:color w:val="000000"/>
                <w:sz w:val="24"/>
                <w:szCs w:val="24"/>
                <w:u w:val="none"/>
              </w:rPr>
            </w:pPr>
          </w:p>
        </w:tc>
      </w:tr>
      <w:tr w14:paraId="7BCB7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gridSpan w:val="2"/>
            <w:tcBorders>
              <w:top w:val="single" w:color="auto" w:sz="4" w:space="0"/>
              <w:left w:val="single" w:color="auto" w:sz="4" w:space="0"/>
              <w:bottom w:val="single" w:color="auto" w:sz="4" w:space="0"/>
              <w:right w:val="single" w:color="auto" w:sz="4" w:space="0"/>
            </w:tcBorders>
            <w:shd w:val="clear" w:color="auto" w:fill="FFFFFF"/>
            <w:noWrap/>
            <w:vAlign w:val="top"/>
          </w:tcPr>
          <w:p w14:paraId="248E964B">
            <w:pPr>
              <w:keepNext w:val="0"/>
              <w:keepLines w:val="0"/>
              <w:widowControl/>
              <w:suppressLineNumbers w:val="0"/>
              <w:jc w:val="center"/>
              <w:textAlignment w:val="top"/>
              <w:rPr>
                <w:rFonts w:hint="default" w:ascii="Times New Roman" w:hAnsi="Times New Roman" w:cs="Times New Roman"/>
                <w:b/>
                <w:bCs/>
                <w:i w:val="0"/>
                <w:iCs w:val="0"/>
                <w:color w:val="000000"/>
                <w:sz w:val="24"/>
                <w:szCs w:val="24"/>
                <w:u w:val="none"/>
              </w:rPr>
            </w:pPr>
            <w:r>
              <w:rPr>
                <w:rFonts w:hint="default" w:ascii="Times New Roman" w:hAnsi="Times New Roman" w:eastAsia="SimSun" w:cs="Times New Roman"/>
                <w:b/>
                <w:bCs/>
                <w:i w:val="0"/>
                <w:iCs w:val="0"/>
                <w:color w:val="000000"/>
                <w:kern w:val="0"/>
                <w:sz w:val="24"/>
                <w:szCs w:val="24"/>
                <w:u w:val="none"/>
                <w:lang w:val="en-US" w:eastAsia="zh-CN" w:bidi="ar"/>
              </w:rPr>
              <w:t>Remsey RESET test</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94DD73A">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0.53748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8B17DEF">
            <w:pPr>
              <w:jc w:val="right"/>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7A0EE146">
            <w:pPr>
              <w:rPr>
                <w:rFonts w:hint="default" w:ascii="Times New Roman" w:hAnsi="Times New Roman" w:cs="Times New Roman"/>
                <w:i w:val="0"/>
                <w:iCs w:val="0"/>
                <w:color w:val="000000"/>
                <w:sz w:val="24"/>
                <w:szCs w:val="24"/>
                <w:u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top"/>
          </w:tcPr>
          <w:p w14:paraId="25042787">
            <w:pPr>
              <w:keepNext w:val="0"/>
              <w:keepLines w:val="0"/>
              <w:widowControl/>
              <w:suppressLineNumbers w:val="0"/>
              <w:jc w:val="right"/>
              <w:textAlignment w:val="top"/>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0.209038</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ign w:val="center"/>
          </w:tcPr>
          <w:p w14:paraId="7C7DAA83">
            <w:pPr>
              <w:rPr>
                <w:rFonts w:hint="default" w:ascii="Times New Roman" w:hAnsi="Times New Roman" w:cs="Times New Roman"/>
                <w:i w:val="0"/>
                <w:iCs w:val="0"/>
                <w:color w:val="000000"/>
                <w:sz w:val="24"/>
                <w:szCs w:val="24"/>
                <w:u w:val="none"/>
              </w:rPr>
            </w:pPr>
          </w:p>
        </w:tc>
      </w:tr>
    </w:tbl>
    <w:p w14:paraId="74761BC6">
      <w:pPr>
        <w:pStyle w:val="2"/>
        <w:bidi w:val="0"/>
        <w:jc w:val="center"/>
        <w:rPr>
          <w:rFonts w:hint="default" w:ascii="Times New Roman" w:hAnsi="Times New Roman" w:cs="Times New Roman"/>
          <w:sz w:val="28"/>
          <w:szCs w:val="28"/>
        </w:rPr>
      </w:pPr>
    </w:p>
    <w:p w14:paraId="269EB248">
      <w:pPr>
        <w:pStyle w:val="2"/>
        <w:bidi w:val="0"/>
        <w:jc w:val="both"/>
        <w:rPr>
          <w:rFonts w:hint="default" w:ascii="Times New Roman" w:hAnsi="Times New Roman" w:cs="Times New Roman"/>
          <w:sz w:val="28"/>
          <w:szCs w:val="28"/>
        </w:rPr>
      </w:pPr>
    </w:p>
    <w:p w14:paraId="65201FD2">
      <w:pPr>
        <w:rPr>
          <w:rFonts w:hint="default" w:ascii="Times New Roman" w:hAnsi="Times New Roman" w:cs="Times New Roman"/>
          <w:sz w:val="28"/>
          <w:szCs w:val="28"/>
        </w:rPr>
      </w:pPr>
    </w:p>
    <w:p w14:paraId="305715D5">
      <w:pPr>
        <w:rPr>
          <w:rFonts w:hint="default" w:ascii="Times New Roman" w:hAnsi="Times New Roman" w:cs="Times New Roman"/>
          <w:sz w:val="28"/>
          <w:szCs w:val="28"/>
        </w:rPr>
      </w:pPr>
    </w:p>
    <w:p w14:paraId="75ADC340">
      <w:pPr>
        <w:rPr>
          <w:rFonts w:hint="default" w:ascii="Times New Roman" w:hAnsi="Times New Roman" w:cs="Times New Roman"/>
          <w:sz w:val="28"/>
          <w:szCs w:val="28"/>
        </w:rPr>
      </w:pPr>
    </w:p>
    <w:p w14:paraId="64439C4A">
      <w:pPr>
        <w:rPr>
          <w:rFonts w:hint="default" w:ascii="Times New Roman" w:hAnsi="Times New Roman" w:cs="Times New Roman"/>
          <w:sz w:val="28"/>
          <w:szCs w:val="28"/>
        </w:rPr>
      </w:pPr>
    </w:p>
    <w:p w14:paraId="65316882">
      <w:pPr>
        <w:rPr>
          <w:rFonts w:hint="default" w:ascii="Times New Roman" w:hAnsi="Times New Roman" w:cs="Times New Roman"/>
          <w:sz w:val="28"/>
          <w:szCs w:val="28"/>
        </w:rPr>
      </w:pPr>
    </w:p>
    <w:p w14:paraId="2F00EB86">
      <w:pPr>
        <w:rPr>
          <w:rFonts w:hint="default" w:ascii="Times New Roman" w:hAnsi="Times New Roman" w:cs="Times New Roman"/>
          <w:sz w:val="28"/>
          <w:szCs w:val="28"/>
        </w:rPr>
      </w:pPr>
    </w:p>
    <w:p w14:paraId="09C4BEEA">
      <w:pPr>
        <w:rPr>
          <w:rFonts w:hint="default" w:ascii="Times New Roman" w:hAnsi="Times New Roman" w:cs="Times New Roman"/>
          <w:sz w:val="28"/>
          <w:szCs w:val="28"/>
        </w:rPr>
      </w:pPr>
    </w:p>
    <w:p w14:paraId="0DC57979">
      <w:pPr>
        <w:rPr>
          <w:rFonts w:hint="default" w:ascii="Times New Roman" w:hAnsi="Times New Roman" w:cs="Times New Roman"/>
          <w:sz w:val="28"/>
          <w:szCs w:val="28"/>
        </w:rPr>
      </w:pPr>
    </w:p>
    <w:p w14:paraId="4F98E5C8">
      <w:pPr>
        <w:pStyle w:val="2"/>
        <w:bidi w:val="0"/>
        <w:jc w:val="center"/>
        <w:rPr>
          <w:rFonts w:hint="default" w:ascii="Times New Roman" w:hAnsi="Times New Roman" w:cs="Times New Roman"/>
          <w:sz w:val="28"/>
          <w:szCs w:val="28"/>
          <w:u w:val="single"/>
          <w:lang w:val="en-US"/>
        </w:rPr>
      </w:pPr>
      <w:bookmarkStart w:id="188" w:name="_Toc15919"/>
      <w:r>
        <w:rPr>
          <w:rFonts w:hint="default" w:ascii="Times New Roman" w:hAnsi="Times New Roman" w:cs="Times New Roman"/>
          <w:sz w:val="28"/>
          <w:szCs w:val="28"/>
          <w:u w:val="single"/>
          <w:lang w:val="en-US"/>
        </w:rPr>
        <w:t>Chapter-5: Discussion Of The Findings</w:t>
      </w:r>
      <w:bookmarkEnd w:id="188"/>
    </w:p>
    <w:p w14:paraId="6D80AA51">
      <w:pPr>
        <w:bidi w:val="0"/>
        <w:jc w:val="both"/>
        <w:rPr>
          <w:rFonts w:hint="default" w:ascii="Times New Roman" w:hAnsi="Times New Roman" w:cs="Times New Roman"/>
          <w:sz w:val="24"/>
          <w:szCs w:val="24"/>
        </w:rPr>
      </w:pPr>
    </w:p>
    <w:p w14:paraId="69419F6F">
      <w:pPr>
        <w:bidi w:val="0"/>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The study was developed to examine the role played by digital payment systems, technological innovation, and financial inclusion in supporting the Sustainable Development Goals (SDG) 2 and 9. SDG 2 is concerned with the eradication of hunger and food security and access to sustainable agriculture, and SDG 9 engulfs resilient infrastructure, sustainable industrialization, technology innovation, etc. in terms of global development strategies. Although the world is becoming more technologically and digitally connected and there is more access to financial capabilities, there is still insufficient empirical evidence of how these technologies may directly benefit these two SDGs. This research employs the extensive use of econometric techniques and adopts the econometric techniques including CS-ARDL, NARDL, and causality tests of panel data which allows strong empirical knowledge and theoretical framework covering these relations as an output supporting sustainable development.</w:t>
      </w:r>
    </w:p>
    <w:p w14:paraId="3E49DE86">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One of the main results is that the </w:t>
      </w:r>
      <w:r>
        <w:rPr>
          <w:rFonts w:hint="default" w:ascii="Times New Roman" w:hAnsi="Times New Roman"/>
          <w:sz w:val="24"/>
          <w:szCs w:val="24"/>
        </w:rPr>
        <w:t>digital payment system exercises high positive impact on</w:t>
      </w:r>
      <w:r>
        <w:rPr>
          <w:rFonts w:hint="default" w:ascii="Times New Roman" w:hAnsi="Times New Roman" w:cs="Times New Roman"/>
          <w:sz w:val="24"/>
          <w:szCs w:val="24"/>
        </w:rPr>
        <w:t xml:space="preserve"> SDG 2 as well as SPD 9. With payments and e-wallets being made possible through the mobile, farmers are able to access subsidies, credit, and markets efficiently; especially in the rural places where there is limited conventional banking infrastructure. Such systems </w:t>
      </w:r>
      <w:r>
        <w:rPr>
          <w:rFonts w:hint="default" w:ascii="Times New Roman" w:hAnsi="Times New Roman" w:cs="Times New Roman"/>
          <w:sz w:val="24"/>
          <w:szCs w:val="24"/>
          <w:lang w:val="en-US"/>
        </w:rPr>
        <w:t>minimize</w:t>
      </w:r>
      <w:r>
        <w:rPr>
          <w:rFonts w:hint="default" w:ascii="Times New Roman" w:hAnsi="Times New Roman" w:cs="Times New Roman"/>
          <w:sz w:val="24"/>
          <w:szCs w:val="24"/>
        </w:rPr>
        <w:t xml:space="preserve"> costs of transactions, mediation and increase transparency ultimately </w:t>
      </w:r>
      <w:r>
        <w:rPr>
          <w:rFonts w:hint="default" w:ascii="Times New Roman" w:hAnsi="Times New Roman" w:cs="Times New Roman"/>
          <w:sz w:val="24"/>
          <w:szCs w:val="24"/>
          <w:lang w:val="en-US"/>
        </w:rPr>
        <w:t>establishing</w:t>
      </w:r>
      <w:r>
        <w:rPr>
          <w:rFonts w:hint="default" w:ascii="Times New Roman" w:hAnsi="Times New Roman" w:cs="Times New Roman"/>
          <w:sz w:val="24"/>
          <w:szCs w:val="24"/>
        </w:rPr>
        <w:t xml:space="preserve"> incomes and ensuring food security to vulnerable groups. The present study augments the role of digital payments as drivers of financial efficiency identified in previous research (Ghosh, 2022; Bhavsar &amp; Samanta, 2022) because of showing a direct association of digital payments with the development indicators hunger alleviation and industrial inclusiveness</w:t>
      </w:r>
    </w:p>
    <w:p w14:paraId="05323482">
      <w:pPr>
        <w:bidi w:val="0"/>
        <w:jc w:val="both"/>
        <w:rPr>
          <w:rFonts w:hint="default" w:ascii="Times New Roman" w:hAnsi="Times New Roman" w:cs="Times New Roman"/>
          <w:sz w:val="24"/>
          <w:szCs w:val="24"/>
          <w:lang w:val="en-US"/>
        </w:rPr>
      </w:pPr>
      <w:r>
        <w:rPr>
          <w:rFonts w:hint="default" w:ascii="Times New Roman" w:hAnsi="Times New Roman" w:cs="Times New Roman"/>
          <w:sz w:val="24"/>
          <w:szCs w:val="24"/>
        </w:rPr>
        <w:t>Findings of the study imply that the digital payment systems contribute largely to SDG 2 and SDG 9 through efficient money exchanges, market access improvements, and better transparency in the agriculture and manufacturing sectors. The digital payment technologies allow reducing transaction costs, the elimination of intermediaries and speed transactions up and enhance their security. The payment system in rural areas has empowered the smallholder farmers, as the mobile oriented payment systems and e-wallets have allowed improved access to subsidies, credit, and markets, where the traditional banking infrastructure is less developed. This capacity by the farmers to access timely payments and state support through digital platforms has largely influenced their productivity levels, income stability levels and the levels of food security. More so, mobile financial services have assisted in curbing the leakage and managing functions that were prone to cash-based aid delivery like it has been the case since the start of the program, distributing the aid to the vulnerable populations as intended</w:t>
      </w:r>
      <w:r>
        <w:rPr>
          <w:rFonts w:hint="default" w:ascii="Times New Roman" w:hAnsi="Times New Roman" w:cs="Times New Roman"/>
          <w:sz w:val="24"/>
          <w:szCs w:val="24"/>
          <w:lang w:val="en-US"/>
        </w:rPr>
        <w:t>.</w:t>
      </w:r>
    </w:p>
    <w:p w14:paraId="6DA805A9">
      <w:pPr>
        <w:bidi w:val="0"/>
        <w:jc w:val="both"/>
        <w:rPr>
          <w:rFonts w:hint="default" w:ascii="Times New Roman" w:hAnsi="Times New Roman" w:cs="Times New Roman"/>
          <w:sz w:val="24"/>
          <w:szCs w:val="24"/>
        </w:rPr>
      </w:pPr>
      <w:r>
        <w:rPr>
          <w:rFonts w:hint="default" w:ascii="Times New Roman" w:hAnsi="Times New Roman" w:cs="Times New Roman"/>
          <w:sz w:val="24"/>
          <w:szCs w:val="24"/>
        </w:rPr>
        <w:t>Results of the research also suggest that the digital payment systems reap significant benefits in terms of SDG 2 and SDG 9 due to the efficient money exchanges, enhancement of market accessibility and enhancement of transparency in the agriculture and manufacturing industries. The digital payment technologies make it possible to minimize the transaction costs, get rid of the intermediaries, accelerate and make them more secure. The rural payment system has given the smallholder farmers power since the mobile oriented payment systems and e-wallets have given them a better access to the subsidies, credit, and markets, where the worlds banking system is less advanced. This ability of the farmers to receive timely payments and government assistance through the digital channels has significantly determined the productivity levels, the level of income stability and the levels of food security. Besides, the mobile financial services have helped in checking the leakage and performing functions that had the vulnerability of delivering aid handouts in cash form as it has been since the inception of the program, hence recouping the cash to the worthy population as intended.</w:t>
      </w:r>
    </w:p>
    <w:p w14:paraId="74218FFE">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It is also demonstrated that technological innovation has a </w:t>
      </w:r>
      <w:r>
        <w:rPr>
          <w:rFonts w:hint="default" w:ascii="Times New Roman" w:hAnsi="Times New Roman" w:cs="Times New Roman"/>
          <w:sz w:val="24"/>
          <w:szCs w:val="24"/>
          <w:lang w:val="en-US"/>
        </w:rPr>
        <w:t>transformation</w:t>
      </w:r>
      <w:r>
        <w:rPr>
          <w:rFonts w:hint="default" w:ascii="Times New Roman" w:hAnsi="Times New Roman" w:cs="Times New Roman"/>
          <w:sz w:val="24"/>
          <w:szCs w:val="24"/>
        </w:rPr>
        <w:t xml:space="preserve"> role to play in anchoring SDG 2 and SDG 9. Diffusion of innovation, especially that of financial and agricultural technologies, makes production more effective, waste diminishes, and the rationale use of the tool improves. The study points to the fact that industrial competitiveness and efficiency in agriculture can be facilitated greatly through investment on research and </w:t>
      </w:r>
      <w:r>
        <w:rPr>
          <w:rFonts w:hint="default" w:ascii="Times New Roman" w:hAnsi="Times New Roman"/>
          <w:sz w:val="24"/>
          <w:szCs w:val="24"/>
        </w:rPr>
        <w:t>the advancement of the artificial intelligence, the block chain technology implementation,</w:t>
      </w:r>
      <w:r>
        <w:rPr>
          <w:rFonts w:hint="default" w:ascii="Times New Roman" w:hAnsi="Times New Roman" w:cs="Times New Roman"/>
          <w:sz w:val="24"/>
          <w:szCs w:val="24"/>
        </w:rPr>
        <w:t xml:space="preserve"> artificial intelligence and precision agriculture. In farming, precision farming implements can give them an opportunity to become more resourceful, produce higher yields and cope in cases of climate variability. Sophisticated breeding and drone surveillance also enhance more agricultural production and saves on environmental resources. Nonetheless, the research also considers that such technologies are often localized in more developed areas giving rise to the issue of technological disparity. With a shortage of infrastructure and digital literacy, the effect of positive impact of innovation may not be achieved.</w:t>
      </w:r>
    </w:p>
    <w:p w14:paraId="25DC8EFA">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asymmetric effect of technological innovation on SDG 2 is </w:t>
      </w:r>
      <w:r>
        <w:rPr>
          <w:rFonts w:hint="default" w:ascii="Times New Roman" w:hAnsi="Times New Roman"/>
          <w:sz w:val="24"/>
          <w:szCs w:val="24"/>
        </w:rPr>
        <w:t>one of the major conclusions of the</w:t>
      </w:r>
      <w:r>
        <w:rPr>
          <w:rFonts w:hint="default" w:ascii="Times New Roman" w:hAnsi="Times New Roman" w:cs="Times New Roman"/>
          <w:sz w:val="24"/>
          <w:szCs w:val="24"/>
        </w:rPr>
        <w:t xml:space="preserve"> current study. Innovation tends to yield desirable results, according to the study, the negative effects of shocks or disruption to technological investment, which include reduction of funds or policy changes, significantly affect food security more than the positive shock does. This implies that there should be sustained policy implications and institutional culpability to keep it long-term sustainable. Many countries are still not resistant to the disturbances of the innovation cycle, as the agricultural system is always very fragile, and the creation of resolute technological infrastructure is of essence. It is also true with industrial development, whereby poorly ventured investment or undertaking integrated digital tools may result in stagnation and inefficiency.</w:t>
      </w:r>
    </w:p>
    <w:p w14:paraId="2294E448">
      <w:pPr>
        <w:bidi w:val="0"/>
        <w:jc w:val="both"/>
        <w:rPr>
          <w:rFonts w:hint="default" w:ascii="Times New Roman" w:hAnsi="Times New Roman" w:cs="Times New Roman"/>
          <w:sz w:val="24"/>
          <w:szCs w:val="24"/>
        </w:rPr>
      </w:pPr>
      <w:r>
        <w:rPr>
          <w:rFonts w:hint="default" w:ascii="Times New Roman" w:hAnsi="Times New Roman" w:cs="Times New Roman"/>
          <w:sz w:val="24"/>
          <w:szCs w:val="24"/>
        </w:rPr>
        <w:t>In the given study, the role of financial inclusion is also highlighted as an important intermediary variable between technology and finance and sustainable development. Financial inclusion provides citizens and enterprises with access to credit, savings, and insurance, thereby decreasing the exposure to shocks and making it possible to implement long-term investments. To the smallholder farmer, financial inclusion can be expressed as his or her capability to adopt improved inputs, to hire labour, to invest in newer technology, and to deal with the risks related to climatic change or market fluctuations. Findings of the study have implied that financial inclusion in agriculture productively contributes to food security, thus, achieving SDG goal 2. Meanwhile, financial inclusion also fosters entrepreneurship and industrialization because it enables access to capital investment in business growth, acquisition of equipment and innovation. These developments have been supported by the growth of mobile banking, agent networks as well as online lending platforms.</w:t>
      </w:r>
    </w:p>
    <w:p w14:paraId="36C395B5">
      <w:pPr>
        <w:bidi w:val="0"/>
        <w:jc w:val="both"/>
        <w:rPr>
          <w:rFonts w:hint="default" w:ascii="Times New Roman" w:hAnsi="Times New Roman" w:cs="Times New Roman"/>
          <w:sz w:val="24"/>
          <w:szCs w:val="24"/>
        </w:rPr>
      </w:pPr>
      <w:r>
        <w:rPr>
          <w:rFonts w:hint="default" w:ascii="Times New Roman" w:hAnsi="Times New Roman" w:cs="Times New Roman"/>
          <w:sz w:val="24"/>
          <w:szCs w:val="24"/>
        </w:rPr>
        <w:t>In comparison, the research under analysis contributes and expands the previous research. Although researchers such as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AuthorYear="1"&gt;&lt;Author&gt;SINGH&lt;/Author&gt;&lt;Year&gt;2022&lt;/Year&gt;&lt;RecNum&gt;85&lt;/RecNum&gt;&lt;DisplayText&gt;SINGH, GAUTAM et al. (2022)&lt;/DisplayText&gt;&lt;record&gt;&lt;rec-number&gt;85&lt;/rec-number&gt;&lt;foreign-keys&gt;&lt;key app="EN" db-id="2t52ftddjzwsxoerapx5vrxm2fdzpaza5sva" timestamp="1752405783"&gt;85&lt;/key&gt;&lt;/foreign-keys&gt;&lt;ref-type name="Journal Article"&gt;17&lt;/ref-type&gt;&lt;contributors&gt;&lt;authors&gt;&lt;author&gt;SINGH, Saumya&lt;/author&gt;&lt;author&gt;GAUTAM, Rahul Singh&lt;/author&gt;&lt;author&gt;AGARWAL, Bhakti&lt;/author&gt;&lt;author&gt;PUSHP, Aman&lt;/author&gt;&lt;author&gt;BARGE, Prashant&lt;/author&gt;&lt;author&gt;RASTOGI, Shailesh&lt;/author&gt;&lt;/authors&gt;&lt;/contributors&gt;&lt;titles&gt;&lt;title&gt;Impacts of financial inclusion on sustainable development in India&lt;/title&gt;&lt;secondary-title&gt;The Journal of Asian Finance, Economics and Business&lt;/secondary-title&gt;&lt;/titles&gt;&lt;periodical&gt;&lt;full-title&gt;The Journal of Asian Finance, Economics and Business&lt;/full-title&gt;&lt;/periodical&gt;&lt;pages&gt;235-242&lt;/pages&gt;&lt;volume&gt;9&lt;/volume&gt;&lt;number&gt;10&lt;/number&gt;&lt;dates&gt;&lt;year&gt;2022&lt;/year&gt;&lt;/dates&gt;&lt;isbn&gt;2288-4637&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SINGH, GAUTAM et al. (2022)</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and</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AuthorYear="1"&gt;&lt;Author&gt;Tay&lt;/Author&gt;&lt;Year&gt;2022&lt;/Year&gt;&lt;RecNum&gt;20&lt;/RecNum&gt;&lt;DisplayText&gt;Tay, Tai et al. (2022)&lt;/DisplayText&gt;&lt;record&gt;&lt;rec-number&gt;20&lt;/rec-number&gt;&lt;foreign-keys&gt;&lt;key app="EN" db-id="2t52ftddjzwsxoerapx5vrxm2fdzpaza5sva" timestamp="1752328617"&gt;20&lt;/key&gt;&lt;/foreign-keys&gt;&lt;ref-type name="Journal Article"&gt;17&lt;/ref-type&gt;&lt;contributors&gt;&lt;authors&gt;&lt;author&gt;Tay, Lee-Ying&lt;/author&gt;&lt;author&gt;Tai, Hen-Toong&lt;/author&gt;&lt;author&gt;Tan, Gek-Siang&lt;/author&gt;&lt;/authors&gt;&lt;/contributors&gt;&lt;titles&gt;&lt;title&gt;Digital financial inclusion: A gateway to sustainable development&lt;/title&gt;&lt;secondary-title&gt;Heliyon&lt;/secondary-title&gt;&lt;/titles&gt;&lt;periodical&gt;&lt;full-title&gt;Heliyon&lt;/full-title&gt;&lt;/periodical&gt;&lt;volume&gt;8&lt;/volume&gt;&lt;number&gt;6&lt;/number&gt;&lt;dates&gt;&lt;year&gt;2022&lt;/year&gt;&lt;/dates&gt;&lt;isbn&gt;2405-8440&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Tay, Tai et al. (2022)</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have mentioned that digital finance is one of the components of development, not many have been able to relate these factors to specific SDGs. The study of this relationship is beneficial as it is an advance in the field and shows the synergistic relationship between digital payments, innovation, and financial inclusion. An example will content that when these tools are used in combination the overall effect they have on the food security and industrial innovation is significantly high compared to their individual application.</w:t>
      </w:r>
    </w:p>
    <w:p w14:paraId="10FCCB6B">
      <w:pPr>
        <w:bidi w:val="0"/>
        <w:jc w:val="both"/>
        <w:rPr>
          <w:rFonts w:hint="default" w:ascii="Times New Roman" w:hAnsi="Times New Roman" w:cs="Times New Roman"/>
          <w:sz w:val="24"/>
          <w:szCs w:val="24"/>
        </w:rPr>
      </w:pPr>
      <w:r>
        <w:rPr>
          <w:rFonts w:hint="default" w:ascii="Times New Roman" w:hAnsi="Times New Roman" w:cs="Times New Roman"/>
          <w:sz w:val="24"/>
          <w:szCs w:val="24"/>
        </w:rPr>
        <w:t>Theoretical frameworks, used in this research i.e. Innovation Diffusion Theory (IDT), Financial Intermediate Theory, and Resource-Based View (RBV) gave useful windows through which the results could be interpreted. IDT aids in the understanding of the process when people and organizations integrate the world of money transactions, as well as digital financing and payments, step by step, and finally, normalize it socially. Financial Intermediate Theory facilitating the opinion that digital and traditional financial services have great importance in the time-saving multi-tasking of resources is quite consistent with the current experience of deeper financial access yielding better development outcomes. RBV lays stress on the fact that digital infrastructure, technical competence, and institutional strength are the strategic resources of competitive advantage. As RBV suggests, those nations that have invested on powerful online platforms and open financial systems are more likely to achieve success by using these tools in terms of sustainable development.</w:t>
      </w:r>
    </w:p>
    <w:p w14:paraId="6152637A">
      <w:pPr>
        <w:bidi w:val="0"/>
        <w:jc w:val="both"/>
        <w:rPr>
          <w:rFonts w:hint="default" w:ascii="Times New Roman" w:hAnsi="Times New Roman" w:cs="Times New Roman"/>
          <w:sz w:val="24"/>
          <w:szCs w:val="24"/>
        </w:rPr>
      </w:pPr>
      <w:r>
        <w:rPr>
          <w:rFonts w:hint="default" w:ascii="Times New Roman" w:hAnsi="Times New Roman" w:cs="Times New Roman"/>
          <w:sz w:val="24"/>
          <w:szCs w:val="24"/>
        </w:rPr>
        <w:t>Some relevant policy implications can also be drawn with such findings. It is advisable to require governments to spend money on digital infrastructure, especially in undeserved and rural regions. Increasing internet coverage, decreasing the price of smartphones, and raising the level of digital literacy can do much to increase the usage of and success of digital financial services. Policymakers and financial institutions ought to work together so as to come up with financial products that are inclusive and respond to individual needs of farmers, small business, women and other stigmatized groups. Such products are to be of low cost, easy accessibility, and risk guarantees like insurance and savings. The regulation systems should also be changed so that the consumers will be better off, as well as the data privacy and the financial security, considering that the digital world is growing bigger and bigger. Besides, technological innovation can be fast-tracked through public-private partnerships and the innovations made must be affordable, accessible, and directed towards local development requirements. Other ways during which innovation can be accelerated by government include tax measures promoting R&amp;D, and encouraging access to international markets by domestic digital enterprises.</w:t>
      </w:r>
    </w:p>
    <w:p w14:paraId="2022F32C">
      <w:pPr>
        <w:bidi w:val="0"/>
        <w:jc w:val="both"/>
        <w:rPr>
          <w:rFonts w:hint="default" w:ascii="Times New Roman" w:hAnsi="Times New Roman" w:cs="Times New Roman"/>
          <w:sz w:val="24"/>
          <w:szCs w:val="24"/>
        </w:rPr>
      </w:pPr>
      <w:r>
        <w:rPr>
          <w:rFonts w:hint="default" w:ascii="Times New Roman" w:hAnsi="Times New Roman" w:cs="Times New Roman"/>
          <w:sz w:val="24"/>
          <w:szCs w:val="24"/>
        </w:rPr>
        <w:t>On top of its direct applications, this research is revealing of larger problems of digital inequality, gender inequity, and institutional preparedness. The digital divide despite the advancement in technology is a major setback to people in many parts of the world and scores of millions of people are unable to gain access to tools that can enable them to participate in economic activities. To overcome this divide, the investment in infrastructure is not the only solution but there is a need to invest in education, policies, and communities. There are also gender differences in financial inclusion and digital access due to different social, legal, and economic obstacles which women encounter. When making policy choices on financial inclusion, policymakers should take into account these diversities when implementing and designing financial inclusion strategies. Another point to watch is institutional preparedness. The future of digital and financial innovation cannot be achieved without proper policy structures, regulatory and governance systems. Nations should develop institutional capacity to deal with the swift movement introduced by the digital change.</w:t>
      </w:r>
    </w:p>
    <w:p w14:paraId="27122F9E">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However, a number of study weaknesses have to be admitted. To begin with, secondary data and aggregate indicators are not likely to encapsulate the individual </w:t>
      </w:r>
      <w:r>
        <w:rPr>
          <w:rFonts w:hint="default" w:ascii="Times New Roman" w:hAnsi="Times New Roman" w:cs="Times New Roman"/>
          <w:sz w:val="24"/>
          <w:szCs w:val="24"/>
          <w:lang w:val="en-US"/>
        </w:rPr>
        <w:t>behavior</w:t>
      </w:r>
      <w:r>
        <w:rPr>
          <w:rFonts w:hint="default" w:ascii="Times New Roman" w:hAnsi="Times New Roman" w:cs="Times New Roman"/>
          <w:sz w:val="24"/>
          <w:szCs w:val="24"/>
        </w:rPr>
        <w:t xml:space="preserve"> in detail and regional variation. Though the panel data econometrics takes some aspects of heterogeneity into consideration, it does not eradicate all the areas of bias and measurement errors. Others proxies like mobile penetration levels or R&amp;D investments might not vividly showed the qualitative characteristics of technology penetration or quality of innovations. Furthermore, the study period might not reflect the long term consequence as policy effects in some sectors like agriculture have long time effects. Future studies could take into account adopting dis aggregated, micro-level databases, qualitative research methods, or research on individual country cases that allow to learn more about the context-specific forces.</w:t>
      </w:r>
    </w:p>
    <w:p w14:paraId="0FAA981A">
      <w:pPr>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In conclusion, this chapter has discussed and elaborated </w:t>
      </w:r>
      <w:r>
        <w:rPr>
          <w:rFonts w:hint="default" w:ascii="Times New Roman" w:hAnsi="Times New Roman"/>
          <w:sz w:val="24"/>
          <w:szCs w:val="24"/>
        </w:rPr>
        <w:t>the significant results of the research</w:t>
      </w:r>
      <w:r>
        <w:rPr>
          <w:rFonts w:hint="default" w:ascii="Times New Roman" w:hAnsi="Times New Roman" w:cs="Times New Roman"/>
          <w:sz w:val="24"/>
          <w:szCs w:val="24"/>
        </w:rPr>
        <w:t xml:space="preserve"> and put it in the parameters of the existing research work and provided the theoretical, practical and policy implications of the same. According to the testimonies, it is highly possible that the digital payment systems, the rise of technology, and financial inclusion are relevant factors of sustainable development, particularly in transitioning the SDG 2 and SDG 9. These three are similar and complemented to each other and form a triad of determiners of the establishment of contemporary development. It is also obvious that the digital technologies are under construction and continue expanding all over the globe extensively, and thus, the tendency needs to be seized as much as possible to promote inclusive development, reduce hunger, and create resilient infrastructure through strategic investment, inclusive policies, and participatory governance. To achieve the SDGs by the year 2030, there must be more than innovation; there must also be inclusion, equity, and system change.</w:t>
      </w:r>
    </w:p>
    <w:p w14:paraId="020FAF92">
      <w:pPr>
        <w:bidi w:val="0"/>
        <w:jc w:val="both"/>
        <w:rPr>
          <w:rFonts w:hint="default" w:ascii="Times New Roman" w:hAnsi="Times New Roman" w:cs="Times New Roman"/>
          <w:sz w:val="24"/>
          <w:szCs w:val="24"/>
        </w:rPr>
      </w:pPr>
    </w:p>
    <w:p w14:paraId="14CC0330">
      <w:pPr>
        <w:rPr>
          <w:b w:val="0"/>
          <w:bCs w:val="0"/>
          <w:sz w:val="24"/>
          <w:szCs w:val="24"/>
        </w:rPr>
      </w:pPr>
    </w:p>
    <w:p w14:paraId="146E45B2">
      <w:pPr>
        <w:rPr>
          <w:b w:val="0"/>
          <w:bCs w:val="0"/>
          <w:sz w:val="24"/>
          <w:szCs w:val="24"/>
        </w:rPr>
      </w:pPr>
    </w:p>
    <w:p w14:paraId="008B03F7">
      <w:pPr>
        <w:pStyle w:val="2"/>
        <w:bidi w:val="0"/>
        <w:jc w:val="center"/>
        <w:rPr>
          <w:rFonts w:hint="default" w:ascii="Times New Roman" w:hAnsi="Times New Roman" w:cs="Times New Roman"/>
          <w:sz w:val="28"/>
          <w:szCs w:val="28"/>
          <w:u w:val="single"/>
          <w:lang w:val="en-US"/>
        </w:rPr>
      </w:pPr>
      <w:bookmarkStart w:id="189" w:name="_Toc22655"/>
      <w:bookmarkStart w:id="190" w:name="_Toc18785"/>
      <w:r>
        <w:rPr>
          <w:rFonts w:hint="default" w:ascii="Times New Roman" w:hAnsi="Times New Roman" w:cs="Times New Roman"/>
          <w:sz w:val="28"/>
          <w:szCs w:val="28"/>
          <w:u w:val="single"/>
          <w:lang w:val="en-US"/>
        </w:rPr>
        <w:t>Chapter-6: Conclusion and Policy Suggestions</w:t>
      </w:r>
      <w:bookmarkEnd w:id="189"/>
    </w:p>
    <w:bookmarkEnd w:id="190"/>
    <w:p w14:paraId="679B5A15">
      <w:pPr>
        <w:pStyle w:val="2"/>
        <w:numPr>
          <w:ilvl w:val="0"/>
          <w:numId w:val="44"/>
        </w:numPr>
        <w:bidi w:val="0"/>
        <w:ind w:left="720" w:leftChars="0" w:hanging="360" w:firstLineChars="0"/>
        <w:rPr>
          <w:rFonts w:hint="default" w:ascii="Times New Roman" w:hAnsi="Times New Roman" w:cs="Times New Roman"/>
          <w:sz w:val="28"/>
          <w:szCs w:val="28"/>
        </w:rPr>
      </w:pPr>
      <w:bookmarkStart w:id="191" w:name="_Toc27922"/>
      <w:bookmarkStart w:id="192" w:name="_Toc19100"/>
      <w:r>
        <w:rPr>
          <w:rFonts w:hint="default" w:ascii="Times New Roman" w:hAnsi="Times New Roman" w:cs="Times New Roman"/>
          <w:sz w:val="28"/>
          <w:szCs w:val="28"/>
        </w:rPr>
        <w:t>Conclusion</w:t>
      </w:r>
      <w:bookmarkEnd w:id="191"/>
      <w:bookmarkEnd w:id="192"/>
    </w:p>
    <w:p w14:paraId="17531235"/>
    <w:p w14:paraId="6CE81635">
      <w:pPr>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paper was an exploration by the researcher on how digital payment systems, technology innovation as well as financial inclusion could be used to achieve Sustainable Development Goal 2 (Zero Hunger) and Sustainable Development Goal 9 (Industry, Innovation, and Infrastructure). It has also </w:t>
      </w:r>
      <w:r>
        <w:rPr>
          <w:rFonts w:hint="default" w:ascii="Times New Roman" w:hAnsi="Times New Roman" w:cs="Times New Roman"/>
          <w:sz w:val="24"/>
          <w:szCs w:val="24"/>
          <w:lang w:val="en-US"/>
        </w:rPr>
        <w:t>analyse</w:t>
      </w:r>
      <w:r>
        <w:rPr>
          <w:rFonts w:hint="default" w:ascii="Times New Roman" w:hAnsi="Times New Roman" w:cs="Times New Roman"/>
          <w:sz w:val="24"/>
          <w:szCs w:val="24"/>
        </w:rPr>
        <w:t xml:space="preserve"> the long-run dynamics and short-run dynamics based on some powerful measures of panel econometrics such as </w:t>
      </w:r>
      <w:r>
        <w:rPr>
          <w:rFonts w:hint="default" w:ascii="Times New Roman" w:hAnsi="Times New Roman" w:cs="Times New Roman"/>
          <w:sz w:val="24"/>
          <w:szCs w:val="24"/>
          <w:lang w:val="en-US"/>
        </w:rPr>
        <w:t>Cross-Sensationally</w:t>
      </w:r>
      <w:r>
        <w:rPr>
          <w:rFonts w:hint="default" w:ascii="Times New Roman" w:hAnsi="Times New Roman" w:cs="Times New Roman"/>
          <w:sz w:val="24"/>
          <w:szCs w:val="24"/>
        </w:rPr>
        <w:t xml:space="preserve"> Augmented </w:t>
      </w:r>
      <w:r>
        <w:rPr>
          <w:rFonts w:hint="default" w:ascii="Times New Roman" w:hAnsi="Times New Roman" w:cs="Times New Roman"/>
          <w:sz w:val="24"/>
          <w:szCs w:val="24"/>
          <w:lang w:val="en-US"/>
        </w:rPr>
        <w:t>Auto-regressive</w:t>
      </w:r>
      <w:r>
        <w:rPr>
          <w:rFonts w:hint="default" w:ascii="Times New Roman" w:hAnsi="Times New Roman" w:cs="Times New Roman"/>
          <w:sz w:val="24"/>
          <w:szCs w:val="24"/>
        </w:rPr>
        <w:t xml:space="preserve"> Distributed Lag (CS-ARDL), Nonlinear ARDL (NARDL), and Dumitrescu-Hurlin (DH) examination of panel causality, whereby the data has been derived based on cross-section of countries. The motivation behind conducting the research was determined by the fact that there is a growing realization that to address some of the very critical development challenges such as food insecurity and poor infrastructure, technology-enabled financial ecosystems are playing a leading role especially in developing and emerging economies.</w:t>
      </w:r>
    </w:p>
    <w:p w14:paraId="6E23BDB2">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The results are suggesting that the digital financial instruments, including mobile payments and </w:t>
      </w:r>
      <w:r>
        <w:rPr>
          <w:rFonts w:hint="default" w:ascii="Times New Roman" w:hAnsi="Times New Roman" w:cs="Times New Roman"/>
          <w:sz w:val="24"/>
          <w:szCs w:val="24"/>
          <w:lang w:val="en-US"/>
        </w:rPr>
        <w:t>block-chain</w:t>
      </w:r>
      <w:r>
        <w:rPr>
          <w:rFonts w:hint="default" w:ascii="Times New Roman" w:hAnsi="Times New Roman" w:cs="Times New Roman"/>
          <w:sz w:val="24"/>
          <w:szCs w:val="24"/>
        </w:rPr>
        <w:t>, are a critical aspect to enhance agricultural productivity and industrial sustainability by providing direct access to credit, markets and subsidies to the marginalized communities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Danladi, Prasad et al. (2023)</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Beirne &amp; Fernandez</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2023). The development of technologies such as AI, precision farming and digital platforms make better use of resources and minimize inefficiencies in the food systems and industrial production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AuthorYear="1"&gt;&lt;Author&gt;Bagheri&lt;/Author&gt;&lt;Year&gt;2019&lt;/Year&gt;&lt;RecNum&gt;29&lt;/RecNum&gt;&lt;DisplayText&gt;Bagheri, Emami et al. (2019)&lt;/DisplayText&gt;&lt;record&gt;&lt;rec-number&gt;29&lt;/rec-number&gt;&lt;foreign-keys&gt;&lt;key app="EN" db-id="2t52ftddjzwsxoerapx5vrxm2fdzpaza5sva" timestamp="1752330630"&gt;29&lt;/key&gt;&lt;/foreign-keys&gt;&lt;ref-type name="Journal Article"&gt;17&lt;/ref-type&gt;&lt;contributors&gt;&lt;authors&gt;&lt;author&gt;Bagheri, Asghar&lt;/author&gt;&lt;author&gt;Emami, Naier&lt;/author&gt;&lt;author&gt;Damalas, Christos A&lt;/author&gt;&lt;author&gt;Allahyari, Mohammad Sadegh&lt;/author&gt;&lt;/authors&gt;&lt;/contributors&gt;&lt;titles&gt;&lt;title&gt;Farmers’ knowledge, attitudes, and perceptions of pesticide use in apple farms of northern Iran: impact on safety behavior&lt;/title&gt;&lt;secondary-title&gt;Environmental Science and Pollution Research&lt;/secondary-title&gt;&lt;/titles&gt;&lt;periodical&gt;&lt;full-title&gt;Environmental Science and Pollution Research&lt;/full-title&gt;&lt;/periodical&gt;&lt;pages&gt;9343-9351&lt;/pages&gt;&lt;volume&gt;26&lt;/volume&gt;&lt;number&gt;9&lt;/number&gt;&lt;dates&gt;&lt;year&gt;2019&lt;/year&gt;&lt;/dates&gt;&lt;isbn&gt;0944-1344&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Bagheri, Emami et al. (2019)</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Kaur et al.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2023). Additionally, higher financial inclusion promotes entrepreneurship, sustaining the growth of SMEs and boosting the rural economy, contributing </w:t>
      </w:r>
      <w:r>
        <w:rPr>
          <w:rFonts w:hint="default" w:ascii="Times New Roman" w:hAnsi="Times New Roman" w:cs="Times New Roman"/>
          <w:sz w:val="24"/>
          <w:szCs w:val="24"/>
          <w:lang w:val="en-US"/>
        </w:rPr>
        <w:t>quantifiable</w:t>
      </w:r>
      <w:r>
        <w:rPr>
          <w:rFonts w:hint="default" w:ascii="Times New Roman" w:hAnsi="Times New Roman" w:cs="Times New Roman"/>
          <w:sz w:val="24"/>
          <w:szCs w:val="24"/>
        </w:rPr>
        <w:t xml:space="preserve"> towards economic diversification and development of infrastructure</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AuthorYear="1"&gt;&lt;Author&gt;Mpofu&lt;/Author&gt;&lt;Year&gt;2023&lt;/Year&gt;&lt;RecNum&gt;28&lt;/RecNum&gt;&lt;DisplayText&gt;Mpofu (2023)&lt;/DisplayText&gt;&lt;record&gt;&lt;rec-number&gt;28&lt;/rec-number&gt;&lt;foreign-keys&gt;&lt;key app="EN" db-id="2t52ftddjzwsxoerapx5vrxm2fdzpaza5sva" timestamp="1752330490"&gt;28&lt;/key&gt;&lt;/foreign-keys&gt;&lt;ref-type name="Journal Article"&gt;17&lt;/ref-type&gt;&lt;contributors&gt;&lt;authors&gt;&lt;author&gt;Mpofu, Favourate Y&lt;/author&gt;&lt;/authors&gt;&lt;/contributors&gt;&lt;titles&gt;&lt;title&gt;Digital entrepreneurship, taxation of the digital economy, digital transformation, and sustainable development in Africa&lt;/title&gt;&lt;secondary-title&gt;The Fourth Industrial Revolution in Africa: Exploring the Development Implications of Smart Technologies in Africa&lt;/secondary-title&gt;&lt;/titles&gt;&lt;periodical&gt;&lt;full-title&gt;The Fourth Industrial Revolution in Africa: Exploring the Development Implications of Smart Technologies in Africa&lt;/full-title&gt;&lt;/periodical&gt;&lt;pages&gt;193-219&lt;/pages&gt;&lt;dates&gt;&lt;year&gt;2023&lt;/year&gt;&lt;/dates&gt;&lt;urls&gt;&lt;/urls&gt;&lt;/record&gt;&lt;/Cite&gt;&lt;/EndNote&gt;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Mpofu (2023)</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ADDIN EN.CITE &lt;EndNote&gt;&lt;Cite AuthorYear="1"&gt;&lt;Author&gt;Abduh&lt;/Author&gt;&lt;Year&gt;2019&lt;/Year&gt;&lt;RecNum&gt;27&lt;/RecNum&gt;&lt;DisplayText&gt;Abduh (2019)&lt;/DisplayText&gt;&lt;record&gt;&lt;rec-number&gt;27&lt;/rec-number&gt;&lt;foreign-keys&gt;&lt;key app="EN" db-id="2t52ftddjzwsxoerapx5vrxm2fdzpaza5sva" timestamp="1752330293"&gt;27&lt;/key&gt;&lt;/foreign-keys&gt;&lt;ref-type name="Journal Article"&gt;17&lt;/ref-type&gt;&lt;contributors&gt;&lt;authors&gt;&lt;author&gt;Abduh, Muhamad&lt;/author&gt;&lt;/authors&gt;&lt;/contributors&gt;&lt;titles&gt;&lt;title&gt;The role of Islamic social finance in achieving SDG number 2: end hunger, achieve food security and improved nutrition and promote sustainable agriculture&lt;/title&gt;&lt;secondary-title&gt;Al-Shajarah: Journal of the International Institute of Islamic Thought and Civilisation (ISTAC)&lt;/secondary-title&gt;&lt;/titles&gt;&lt;periodical&gt;&lt;full-title&gt;Al-Shajarah: Journal of the International Institute of Islamic Thought and Civilisation (ISTAC)&lt;/full-title&gt;&lt;/periodical&gt;&lt;dates&gt;&lt;year&gt;2019&lt;/year&gt;&lt;/dates&gt;&lt;isbn&gt;2735-1866&lt;/isbn&gt;&lt;urls&gt;&lt;/urls&gt;&lt;/record&gt;&lt;/Cite&gt;&lt;/EndNote&gt;</w:instrText>
      </w:r>
      <w:r>
        <w:rPr>
          <w:rFonts w:hint="default" w:ascii="Times New Roman" w:hAnsi="Times New Roman" w:cs="Times New Roman"/>
          <w:sz w:val="24"/>
          <w:szCs w:val="24"/>
          <w:lang w:val="en-US"/>
        </w:rPr>
        <w:fldChar w:fldCharType="separate"/>
      </w:r>
      <w:r>
        <w:rPr>
          <w:rFonts w:hint="default" w:ascii="Times New Roman" w:hAnsi="Times New Roman" w:cs="Times New Roman" w:eastAsiaTheme="minorHAnsi"/>
          <w:sz w:val="24"/>
          <w:szCs w:val="24"/>
          <w:lang w:val="en-US" w:eastAsia="en-US" w:bidi="ar-SA"/>
        </w:rPr>
        <w:t>Abduh (2019)</w:t>
      </w:r>
      <w:r>
        <w:rPr>
          <w:rFonts w:hint="default" w:ascii="Times New Roman" w:hAnsi="Times New Roman" w:cs="Times New Roman"/>
          <w:sz w:val="24"/>
          <w:szCs w:val="24"/>
          <w:lang w:val="en-US"/>
        </w:rPr>
        <w:fldChar w:fldCharType="end"/>
      </w:r>
      <w:r>
        <w:rPr>
          <w:rFonts w:hint="default" w:ascii="Times New Roman" w:hAnsi="Times New Roman" w:cs="Times New Roman"/>
          <w:sz w:val="24"/>
          <w:szCs w:val="24"/>
        </w:rPr>
        <w:t xml:space="preserve">. It was also revealed how technological innovation is an effective </w:t>
      </w:r>
      <w:r>
        <w:rPr>
          <w:rFonts w:hint="default" w:ascii="Times New Roman" w:hAnsi="Times New Roman" w:cs="Times New Roman"/>
          <w:sz w:val="24"/>
          <w:szCs w:val="24"/>
          <w:lang w:val="en-US"/>
        </w:rPr>
        <w:t>stimulation</w:t>
      </w:r>
      <w:r>
        <w:rPr>
          <w:rFonts w:hint="default" w:ascii="Times New Roman" w:hAnsi="Times New Roman" w:cs="Times New Roman"/>
          <w:sz w:val="24"/>
          <w:szCs w:val="24"/>
        </w:rPr>
        <w:t xml:space="preserve"> of SDG 9 progress. The study supported the fact that innovation enhances amenability, increases operational output, and makes it more sustainable in infrastructure development. Innovation assists climate-smart activities in agriculture, using the supply chain and food production systems in a better way. The findings were however asymmetric in the sense in that negative shocks to innovation both in terms of policy cuts or shocks to the system are more likely to have a disproportionately negative impacts on the outcomes of development. The significance of a policy continuity and robust institutional structures to maintain an innovation ecosystem in the long-run is highlighted by this.</w:t>
      </w:r>
    </w:p>
    <w:p w14:paraId="291F3064">
      <w:pPr>
        <w:jc w:val="both"/>
        <w:rPr>
          <w:rFonts w:hint="default" w:ascii="Times New Roman" w:hAnsi="Times New Roman" w:cs="Times New Roman"/>
          <w:sz w:val="24"/>
          <w:szCs w:val="24"/>
        </w:rPr>
      </w:pPr>
      <w:r>
        <w:rPr>
          <w:rFonts w:hint="default" w:ascii="Times New Roman" w:hAnsi="Times New Roman" w:cs="Times New Roman"/>
          <w:sz w:val="24"/>
          <w:szCs w:val="24"/>
        </w:rPr>
        <w:t>Financial inclusion was also pointed out as a key facilitator that helps to connect digital payments and innovations to actual developmental changes. Financial inclusion levels the playing field by giving the vulnerable groups more access to credit, savings, insurance and digital tools of finance to invest, manage risk and join in economic activities. It is a key component to enhance food security and business establishment, growth, and employment. The interactions found in the analysis are indicating that the combined effect of the digital payment and innovation is much stronger in the case of inclusive financial access supported together.</w:t>
      </w:r>
    </w:p>
    <w:p w14:paraId="334FE824">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study has varied contributions. In terms of theory, it combines the insights of Innovation Diffusion Theory, Financial </w:t>
      </w:r>
      <w:r>
        <w:rPr>
          <w:rFonts w:hint="default" w:ascii="Times New Roman" w:hAnsi="Times New Roman" w:cs="Times New Roman"/>
          <w:sz w:val="24"/>
          <w:szCs w:val="24"/>
          <w:lang w:val="en-US"/>
        </w:rPr>
        <w:t>Intermediate</w:t>
      </w:r>
      <w:r>
        <w:rPr>
          <w:rFonts w:hint="default" w:ascii="Times New Roman" w:hAnsi="Times New Roman" w:cs="Times New Roman"/>
          <w:sz w:val="24"/>
          <w:szCs w:val="24"/>
        </w:rPr>
        <w:t xml:space="preserve"> Theory and Resource-Based view to illustrate how adoption of technology and financial change lead to sustainable development. Empirically, it contributes to literature in that the current study can analyze three key enablers _ digital payment, technological innovation, and financial inclusion _ collectively in a single framework. In practice, it provides information on how they can use digital technologies to deal with systemic problems in the industry and agriculture. Notably, it comes as a me-on-time response to the emerging global development agenda, which now pays more attention to digital inclusion and innovation being crucial components of inclusive and resilient development.</w:t>
      </w:r>
    </w:p>
    <w:p w14:paraId="0DA7A032">
      <w:pPr>
        <w:jc w:val="both"/>
        <w:rPr>
          <w:rFonts w:hint="default" w:ascii="Times New Roman" w:hAnsi="Times New Roman"/>
          <w:sz w:val="24"/>
          <w:szCs w:val="24"/>
        </w:rPr>
      </w:pPr>
      <w:r>
        <w:rPr>
          <w:rFonts w:hint="default" w:ascii="Times New Roman" w:hAnsi="Times New Roman"/>
          <w:sz w:val="24"/>
          <w:szCs w:val="24"/>
        </w:rPr>
        <w:t xml:space="preserve">Nevertheless, the study also takes into consideration limitations. The access and uniformity of the secondary data by countries were also limiting. Both the digital and the financial indicators can be represented by a proxy variable but will not reflect the whole scale of qualitative factors. Although panel data estimation is used to address the heterogeneity problem, countries-specific dynamics, which are invisible in the analysis, could have a reflection on the outcome. A further research might utilize micro-level data, or conduct region-specific case study, or, apply mixed-methods, to better understand the situation. The future research could be enriched with environmental sustainability and </w:t>
      </w:r>
      <w:r>
        <w:rPr>
          <w:rFonts w:hint="default" w:ascii="Times New Roman" w:hAnsi="Times New Roman"/>
          <w:sz w:val="24"/>
          <w:szCs w:val="24"/>
          <w:lang w:val="en-US"/>
        </w:rPr>
        <w:t>gender-dis-aggregated</w:t>
      </w:r>
      <w:r>
        <w:rPr>
          <w:rFonts w:hint="default" w:ascii="Times New Roman" w:hAnsi="Times New Roman"/>
          <w:sz w:val="24"/>
          <w:szCs w:val="24"/>
        </w:rPr>
        <w:t xml:space="preserve"> analysis that will provide fuller picture of impacts of digital development.</w:t>
      </w:r>
    </w:p>
    <w:p w14:paraId="2BB46DE7">
      <w:pPr>
        <w:jc w:val="both"/>
        <w:rPr>
          <w:rFonts w:hint="default" w:ascii="Times New Roman" w:hAnsi="Times New Roman"/>
          <w:sz w:val="24"/>
          <w:szCs w:val="24"/>
        </w:rPr>
      </w:pPr>
      <w:r>
        <w:rPr>
          <w:rFonts w:hint="default" w:ascii="Times New Roman" w:hAnsi="Times New Roman"/>
          <w:sz w:val="24"/>
          <w:szCs w:val="24"/>
        </w:rPr>
        <w:t xml:space="preserve">Overall, the study therefore gives strong arguments to support sustainable development by </w:t>
      </w:r>
      <w:r>
        <w:rPr>
          <w:rFonts w:hint="default" w:ascii="Times New Roman" w:hAnsi="Times New Roman"/>
          <w:sz w:val="24"/>
          <w:szCs w:val="24"/>
          <w:lang w:val="en-US"/>
        </w:rPr>
        <w:t>d</w:t>
      </w:r>
      <w:r>
        <w:rPr>
          <w:rFonts w:hint="default" w:ascii="Times New Roman" w:hAnsi="Times New Roman"/>
          <w:sz w:val="24"/>
          <w:szCs w:val="24"/>
        </w:rPr>
        <w:t xml:space="preserve">igital payments Adoption of digital payment systems, technological innovation, and financial inclusion. In combination, they facilitate a more </w:t>
      </w:r>
      <w:r>
        <w:rPr>
          <w:rFonts w:hint="default" w:ascii="Times New Roman" w:hAnsi="Times New Roman"/>
          <w:sz w:val="24"/>
          <w:szCs w:val="24"/>
          <w:lang w:val="en-US"/>
        </w:rPr>
        <w:t>transformation</w:t>
      </w:r>
      <w:r>
        <w:rPr>
          <w:rFonts w:hint="default" w:ascii="Times New Roman" w:hAnsi="Times New Roman"/>
          <w:sz w:val="24"/>
          <w:szCs w:val="24"/>
        </w:rPr>
        <w:t xml:space="preserve">, sustainable and </w:t>
      </w:r>
      <w:r>
        <w:rPr>
          <w:rFonts w:hint="default" w:ascii="Times New Roman" w:hAnsi="Times New Roman"/>
          <w:sz w:val="24"/>
          <w:szCs w:val="24"/>
          <w:lang w:val="en-US"/>
        </w:rPr>
        <w:t>emancipation</w:t>
      </w:r>
      <w:r>
        <w:rPr>
          <w:rFonts w:hint="default" w:ascii="Times New Roman" w:hAnsi="Times New Roman"/>
          <w:sz w:val="24"/>
          <w:szCs w:val="24"/>
        </w:rPr>
        <w:t xml:space="preserve"> approach to SDG 2 and SDG 9. It is now the task of policymakers and stakeholders to translate these insights into another in order to implement strategies that bridge all digital divides, ensure more financial access, and provide innovation to every sector of the society.</w:t>
      </w:r>
    </w:p>
    <w:p w14:paraId="1CE43AC0">
      <w:pPr>
        <w:pStyle w:val="2"/>
        <w:numPr>
          <w:ilvl w:val="0"/>
          <w:numId w:val="45"/>
        </w:numPr>
        <w:bidi w:val="0"/>
        <w:ind w:left="720" w:leftChars="0" w:hanging="360" w:firstLineChars="0"/>
        <w:jc w:val="both"/>
        <w:rPr>
          <w:rFonts w:hint="default" w:ascii="Times New Roman" w:hAnsi="Times New Roman" w:cs="Times New Roman"/>
          <w:sz w:val="24"/>
          <w:szCs w:val="24"/>
        </w:rPr>
      </w:pPr>
      <w:bookmarkStart w:id="193" w:name="_Toc8845"/>
      <w:bookmarkStart w:id="194" w:name="_Toc32145"/>
      <w:r>
        <w:rPr>
          <w:rFonts w:hint="default" w:ascii="Times New Roman" w:hAnsi="Times New Roman" w:cs="Times New Roman"/>
          <w:sz w:val="24"/>
          <w:szCs w:val="24"/>
        </w:rPr>
        <w:t>Policy Suggestions</w:t>
      </w:r>
      <w:bookmarkEnd w:id="193"/>
      <w:bookmarkEnd w:id="194"/>
    </w:p>
    <w:p w14:paraId="6285FE54">
      <w:pPr>
        <w:rPr>
          <w:rFonts w:hint="default"/>
        </w:rPr>
      </w:pPr>
    </w:p>
    <w:p w14:paraId="5DEFDB76">
      <w:pPr>
        <w:ind w:firstLine="480" w:firstLineChars="200"/>
        <w:jc w:val="both"/>
        <w:rPr>
          <w:rFonts w:hint="default" w:ascii="Times New Roman" w:hAnsi="Times New Roman"/>
          <w:sz w:val="24"/>
          <w:szCs w:val="24"/>
        </w:rPr>
      </w:pPr>
      <w:r>
        <w:rPr>
          <w:rFonts w:hint="default" w:ascii="Times New Roman" w:hAnsi="Times New Roman"/>
          <w:sz w:val="24"/>
          <w:szCs w:val="24"/>
        </w:rPr>
        <w:t>In response to the research findings, a group of targeted, practical and strategic policy actions would be advised. These moves are to boost the effectiveness of digital payment systems, the drive towards technological innovation, and financial inclusion in favor of SDG 2 and SDG 9. Its recommendations are directed to governments and financial regulators, international development and fintech firms and the private sector.</w:t>
      </w:r>
    </w:p>
    <w:p w14:paraId="3E9FDDD8">
      <w:pPr>
        <w:pStyle w:val="12"/>
        <w:keepNext w:val="0"/>
        <w:keepLines w:val="0"/>
        <w:widowControl/>
        <w:suppressLineNumbers w:val="0"/>
        <w:jc w:val="both"/>
        <w:rPr>
          <w:rFonts w:hint="default" w:ascii="Times New Roman" w:hAnsi="Times New Roman"/>
          <w:b/>
          <w:bCs/>
          <w:sz w:val="24"/>
          <w:szCs w:val="24"/>
        </w:rPr>
      </w:pPr>
      <w:r>
        <w:rPr>
          <w:rFonts w:hint="default" w:ascii="Times New Roman" w:hAnsi="Times New Roman"/>
          <w:b/>
          <w:bCs/>
          <w:sz w:val="24"/>
          <w:szCs w:val="24"/>
        </w:rPr>
        <w:t>1: Digital infrastructure investment in the countryside</w:t>
      </w:r>
    </w:p>
    <w:p w14:paraId="3774276A">
      <w:pPr>
        <w:pStyle w:val="12"/>
        <w:keepNext w:val="0"/>
        <w:keepLines w:val="0"/>
        <w:widowControl/>
        <w:suppressLineNumbers w:val="0"/>
        <w:ind w:firstLine="360" w:firstLineChars="150"/>
        <w:jc w:val="both"/>
        <w:rPr>
          <w:rFonts w:hint="default" w:ascii="Times New Roman" w:hAnsi="Times New Roman"/>
          <w:sz w:val="24"/>
          <w:szCs w:val="24"/>
        </w:rPr>
      </w:pPr>
      <w:r>
        <w:rPr>
          <w:rFonts w:hint="default" w:ascii="Times New Roman" w:hAnsi="Times New Roman"/>
          <w:sz w:val="24"/>
          <w:szCs w:val="24"/>
        </w:rPr>
        <w:t xml:space="preserve">Digital investments made in rural infrastructure are very critical in the process of eliminating the digital gap and attaining financial inclusion. In most low income and agricultural communities, poor internet connectivity and mobile networks could be an issue therefore a hindrance in digital access to financial services. The </w:t>
      </w:r>
      <w:r>
        <w:rPr>
          <w:rFonts w:hint="default" w:ascii="Times New Roman" w:hAnsi="Times New Roman"/>
          <w:sz w:val="24"/>
          <w:szCs w:val="24"/>
          <w:lang w:val="en-US"/>
        </w:rPr>
        <w:t>undeserved</w:t>
      </w:r>
      <w:r>
        <w:rPr>
          <w:rFonts w:hint="default" w:ascii="Times New Roman" w:hAnsi="Times New Roman"/>
          <w:sz w:val="24"/>
          <w:szCs w:val="24"/>
        </w:rPr>
        <w:t xml:space="preserve"> people are the small holder farmers and the rural business as well as the rural and poor community who are incapable of accessing the necessary technological infrastructure in the digital economy. This limits their access to credit, mobile payments or digital subsidies. The governments should target on the dissemination of broadband internet, mobile towers as well as distribution of the available devices in the rural </w:t>
      </w:r>
      <w:r>
        <w:rPr>
          <w:rFonts w:hint="default" w:ascii="Times New Roman" w:hAnsi="Times New Roman"/>
          <w:sz w:val="24"/>
          <w:szCs w:val="24"/>
          <w:lang w:val="en-US"/>
        </w:rPr>
        <w:t>divinities</w:t>
      </w:r>
      <w:r>
        <w:rPr>
          <w:rFonts w:hint="default" w:ascii="Times New Roman" w:hAnsi="Times New Roman"/>
          <w:sz w:val="24"/>
          <w:szCs w:val="24"/>
        </w:rPr>
        <w:t>. The relationships established with the telecommuting and fin tech firms in the commercial sector will help in reducing the costs and will extend the reach. The case of the Indian Bharat</w:t>
      </w:r>
      <w:r>
        <w:rPr>
          <w:rFonts w:hint="default" w:ascii="Times New Roman" w:hAnsi="Times New Roman"/>
          <w:sz w:val="24"/>
          <w:szCs w:val="24"/>
          <w:lang w:val="en-US"/>
        </w:rPr>
        <w:t xml:space="preserve"> </w:t>
      </w:r>
      <w:r>
        <w:rPr>
          <w:rFonts w:hint="default" w:ascii="Times New Roman" w:hAnsi="Times New Roman"/>
          <w:sz w:val="24"/>
          <w:szCs w:val="24"/>
        </w:rPr>
        <w:t>Net program shows the possibilities of specially developed digital infrastructure to enable isolated communities to have access to banking and medicine and online learning.</w:t>
      </w:r>
    </w:p>
    <w:p w14:paraId="64211160">
      <w:pPr>
        <w:pStyle w:val="4"/>
        <w:keepNext w:val="0"/>
        <w:keepLines w:val="0"/>
        <w:widowControl/>
        <w:suppressLineNumbers w:val="0"/>
        <w:jc w:val="both"/>
        <w:rPr>
          <w:rFonts w:hint="default" w:ascii="Times New Roman" w:hAnsi="Times New Roman"/>
          <w:b w:val="0"/>
          <w:bCs w:val="0"/>
          <w:sz w:val="24"/>
          <w:szCs w:val="24"/>
        </w:rPr>
      </w:pPr>
      <w:bookmarkStart w:id="195" w:name="_Toc10072"/>
      <w:bookmarkStart w:id="196" w:name="_Toc7624"/>
      <w:bookmarkStart w:id="197" w:name="_Toc9819"/>
      <w:bookmarkStart w:id="198" w:name="_Toc30215"/>
      <w:bookmarkStart w:id="199" w:name="_Toc19699"/>
      <w:bookmarkStart w:id="200" w:name="_Toc31636"/>
      <w:r>
        <w:rPr>
          <w:rFonts w:hint="default" w:ascii="Times New Roman" w:hAnsi="Times New Roman"/>
          <w:b w:val="0"/>
          <w:bCs w:val="0"/>
          <w:sz w:val="24"/>
          <w:szCs w:val="24"/>
        </w:rPr>
        <w:t>The study shows the close relation in the context of digital infrastructure and developmental results. According to</w:t>
      </w:r>
      <w:r>
        <w:rPr>
          <w:rFonts w:hint="default"/>
          <w:b w:val="0"/>
          <w:bCs w:val="0"/>
          <w:sz w:val="24"/>
          <w:szCs w:val="24"/>
          <w:lang w:val="en-US"/>
        </w:rPr>
        <w:t xml:space="preserve"> </w:t>
      </w:r>
      <w:r>
        <w:rPr>
          <w:rFonts w:hint="default"/>
          <w:b w:val="0"/>
          <w:bCs w:val="0"/>
          <w:sz w:val="24"/>
          <w:szCs w:val="24"/>
          <w:lang w:val="en-US"/>
        </w:rPr>
        <w:fldChar w:fldCharType="begin"/>
      </w:r>
      <w:r>
        <w:rPr>
          <w:rFonts w:hint="default"/>
          <w:b w:val="0"/>
          <w:bCs w:val="0"/>
          <w:sz w:val="24"/>
          <w:szCs w:val="24"/>
          <w:lang w:val="en-US"/>
        </w:rPr>
        <w:instrText xml:space="preserve"> ADDIN EN.CITE &lt;EndNote&gt;&lt;Cite AuthorYear="1"&gt;&lt;Author&gt;Maherali&lt;/Author&gt;&lt;Year&gt;2020&lt;/Year&gt;&lt;RecNum&gt;18&lt;/RecNum&gt;&lt;DisplayText&gt;Maherali (2020)&lt;/DisplayText&gt;&lt;record&gt;&lt;rec-number&gt;18&lt;/rec-number&gt;&lt;foreign-keys&gt;&lt;key app="EN" db-id="2t52ftddjzwsxoerapx5vrxm2fdzpaza5sva" timestamp="1752328446"&gt;18&lt;/key&gt;&lt;/foreign-keys&gt;&lt;ref-type name="Journal Article"&gt;17&lt;/ref-type&gt;&lt;contributors&gt;&lt;authors&gt;&lt;author&gt;Maherali, Hafiz&lt;/author&gt;&lt;/authors&gt;&lt;/contributors&gt;&lt;titles&gt;&lt;title&gt;Mutualism as a plant functional trait: Linking variation in the mycorrhizal symbiosis to climatic tolerance, geographic range, and population dynamics&lt;/title&gt;&lt;secondary-title&gt;International Journal of Plant Sciences&lt;/secondary-title&gt;&lt;/titles&gt;&lt;periodical&gt;&lt;full-title&gt;International Journal of Plant Sciences&lt;/full-title&gt;&lt;/periodical&gt;&lt;pages&gt;9-19&lt;/pages&gt;&lt;volume&gt;181&lt;/volume&gt;&lt;number&gt;1&lt;/number&gt;&lt;dates&gt;&lt;year&gt;2020&lt;/year&gt;&lt;/dates&gt;&lt;isbn&gt;1058-5893&lt;/isbn&gt;&lt;urls&gt;&lt;/urls&gt;&lt;/record&gt;&lt;/Cite&gt;&lt;/EndNote&gt;</w:instrText>
      </w:r>
      <w:r>
        <w:rPr>
          <w:rFonts w:hint="default"/>
          <w:b w:val="0"/>
          <w:bCs w:val="0"/>
          <w:sz w:val="24"/>
          <w:szCs w:val="24"/>
          <w:lang w:val="en-US"/>
        </w:rPr>
        <w:fldChar w:fldCharType="separate"/>
      </w:r>
      <w:r>
        <w:rPr>
          <w:rFonts w:hint="default" w:ascii="Times New Roman" w:hAnsi="Times New Roman" w:eastAsia="Times New Roman" w:cs="Times New Roman"/>
          <w:b w:val="0"/>
          <w:bCs w:val="0"/>
          <w:sz w:val="24"/>
          <w:szCs w:val="24"/>
          <w:lang w:val="en-US" w:eastAsia="en-US" w:bidi="ar-SA"/>
        </w:rPr>
        <w:t>Maherali (2020)</w:t>
      </w:r>
      <w:r>
        <w:rPr>
          <w:rFonts w:hint="default"/>
          <w:b w:val="0"/>
          <w:bCs w:val="0"/>
          <w:sz w:val="24"/>
          <w:szCs w:val="24"/>
          <w:lang w:val="en-US"/>
        </w:rPr>
        <w:fldChar w:fldCharType="end"/>
      </w:r>
      <w:r>
        <w:rPr>
          <w:rFonts w:hint="default" w:ascii="Times New Roman" w:hAnsi="Times New Roman"/>
          <w:b w:val="0"/>
          <w:bCs w:val="0"/>
          <w:sz w:val="24"/>
          <w:szCs w:val="24"/>
        </w:rPr>
        <w:t>, mobile internet access can increase the level of financial inclusion greatly. Additionally,</w:t>
      </w:r>
      <w:r>
        <w:rPr>
          <w:rFonts w:hint="default"/>
          <w:b w:val="0"/>
          <w:bCs w:val="0"/>
          <w:sz w:val="24"/>
          <w:szCs w:val="24"/>
          <w:lang w:val="en-US"/>
        </w:rPr>
        <w:t xml:space="preserve"> </w:t>
      </w:r>
      <w:r>
        <w:rPr>
          <w:rFonts w:hint="default"/>
          <w:b w:val="0"/>
          <w:bCs w:val="0"/>
          <w:sz w:val="24"/>
          <w:szCs w:val="24"/>
          <w:lang w:val="en-US"/>
        </w:rPr>
        <w:fldChar w:fldCharType="begin"/>
      </w:r>
      <w:r>
        <w:rPr>
          <w:rFonts w:hint="default"/>
          <w:b w:val="0"/>
          <w:bCs w:val="0"/>
          <w:sz w:val="24"/>
          <w:szCs w:val="24"/>
          <w:lang w:val="en-US"/>
        </w:rPr>
        <w:instrText xml:space="preserve"> ADDIN EN.CITE &lt;EndNote&gt;&lt;Cite AuthorYear="1"&gt;&lt;Author&gt;Beirne&lt;/Author&gt;&lt;Year&gt;2023&lt;/Year&gt;&lt;RecNum&gt;37&lt;/RecNum&gt;&lt;DisplayText&gt;Beirne and Fernandez (2023)&lt;/DisplayText&gt;&lt;record&gt;&lt;rec-number&gt;37&lt;/rec-number&gt;&lt;foreign-keys&gt;&lt;key app="EN" db-id="2t52ftddjzwsxoerapx5vrxm2fdzpaza5sva" timestamp="1752332484"&gt;37&lt;/key&gt;&lt;/foreign-keys&gt;&lt;ref-type name="Generic"&gt;13&lt;/ref-type&gt;&lt;contributors&gt;&lt;authors&gt;&lt;author&gt;Beirne, John&lt;/author&gt;&lt;author&gt;Fernandez, David G&lt;/author&gt;&lt;/authors&gt;&lt;/contributors&gt;&lt;titles&gt;&lt;title&gt;Digital finance and sustainability: impacts, challenges, and policy priorities&lt;/title&gt;&lt;/titles&gt;&lt;pages&gt;14830&lt;/pages&gt;&lt;volume&gt;15&lt;/volume&gt;&lt;number&gt;20&lt;/number&gt;&lt;dates&gt;&lt;year&gt;2023&lt;/year&gt;&lt;/dates&gt;&lt;publisher&gt;MDPI&lt;/publisher&gt;&lt;isbn&gt;2071-1050&lt;/isbn&gt;&lt;urls&gt;&lt;/urls&gt;&lt;/record&gt;&lt;/Cite&gt;&lt;/EndNote&gt;</w:instrText>
      </w:r>
      <w:r>
        <w:rPr>
          <w:rFonts w:hint="default"/>
          <w:b w:val="0"/>
          <w:bCs w:val="0"/>
          <w:sz w:val="24"/>
          <w:szCs w:val="24"/>
          <w:lang w:val="en-US"/>
        </w:rPr>
        <w:fldChar w:fldCharType="separate"/>
      </w:r>
      <w:r>
        <w:rPr>
          <w:rFonts w:hint="default" w:ascii="Times New Roman" w:hAnsi="Times New Roman" w:eastAsia="Times New Roman" w:cs="Times New Roman"/>
          <w:b w:val="0"/>
          <w:bCs w:val="0"/>
          <w:sz w:val="24"/>
          <w:szCs w:val="24"/>
          <w:lang w:val="en-US" w:eastAsia="en-US" w:bidi="ar-SA"/>
        </w:rPr>
        <w:t>Beirne and Fernandez (2023)</w:t>
      </w:r>
      <w:r>
        <w:rPr>
          <w:rFonts w:hint="default"/>
          <w:b w:val="0"/>
          <w:bCs w:val="0"/>
          <w:sz w:val="24"/>
          <w:szCs w:val="24"/>
          <w:lang w:val="en-US"/>
        </w:rPr>
        <w:fldChar w:fldCharType="end"/>
      </w:r>
      <w:r>
        <w:rPr>
          <w:rFonts w:hint="default" w:ascii="Times New Roman" w:hAnsi="Times New Roman"/>
          <w:b w:val="0"/>
          <w:bCs w:val="0"/>
          <w:sz w:val="24"/>
          <w:szCs w:val="24"/>
        </w:rPr>
        <w:t xml:space="preserve"> observed that better infrastructure enhances effectiveness in the delivery of aid, eliminates corruption, and releases the money at the right time. Food security and resilience is improved by access to real time weather information, market prices and mobile credit opportunities.</w:t>
      </w:r>
      <w:bookmarkEnd w:id="195"/>
      <w:bookmarkEnd w:id="196"/>
      <w:bookmarkEnd w:id="197"/>
      <w:bookmarkEnd w:id="198"/>
      <w:bookmarkEnd w:id="199"/>
      <w:bookmarkEnd w:id="200"/>
    </w:p>
    <w:p w14:paraId="74EE60E8">
      <w:pPr>
        <w:pStyle w:val="4"/>
        <w:keepNext w:val="0"/>
        <w:keepLines w:val="0"/>
        <w:widowControl/>
        <w:suppressLineNumbers w:val="0"/>
        <w:jc w:val="both"/>
        <w:rPr>
          <w:rFonts w:hint="default"/>
        </w:rPr>
      </w:pPr>
      <w:bookmarkStart w:id="201" w:name="_Toc7263"/>
      <w:bookmarkStart w:id="202" w:name="_Toc30374"/>
      <w:bookmarkStart w:id="203" w:name="_Toc3418"/>
      <w:bookmarkStart w:id="204" w:name="_Toc6474"/>
      <w:bookmarkStart w:id="205" w:name="_Toc23478"/>
      <w:bookmarkStart w:id="206" w:name="_Toc19167"/>
      <w:r>
        <w:rPr>
          <w:rFonts w:hint="default" w:ascii="Times New Roman" w:hAnsi="Times New Roman"/>
          <w:b w:val="0"/>
          <w:bCs w:val="0"/>
          <w:sz w:val="24"/>
          <w:szCs w:val="24"/>
        </w:rPr>
        <w:t>But it is not just enough to expand on infra-structure. Affordability and usability by the governments are also required. Members of rural communities have to deal with expensive data rates and they might not be technologically literate. To boost migration and usage, it will be imperative to implement targeted subsidies, community training programs, and community-based digital interfaces in local language. Increasing digital connectivity enables rural individuals to more closely access markets, financial services, and other support services such that rural communities will be able to better achieve SDG 2 (Zero Hunger) and SDG 9 (Industry, Innovation, and Infrastructure).</w:t>
      </w:r>
      <w:bookmarkEnd w:id="201"/>
      <w:bookmarkEnd w:id="202"/>
      <w:bookmarkEnd w:id="203"/>
      <w:bookmarkEnd w:id="204"/>
      <w:bookmarkEnd w:id="205"/>
      <w:bookmarkEnd w:id="206"/>
      <w:r>
        <w:rPr>
          <w:rFonts w:hint="default" w:ascii="Times New Roman" w:hAnsi="Times New Roman" w:cs="Times New Roman"/>
          <w:sz w:val="24"/>
          <w:szCs w:val="24"/>
        </w:rPr>
        <w:t xml:space="preserve"> </w:t>
      </w:r>
    </w:p>
    <w:p w14:paraId="140748BC">
      <w:pPr>
        <w:pStyle w:val="4"/>
        <w:keepNext w:val="0"/>
        <w:keepLines w:val="0"/>
        <w:widowControl/>
        <w:suppressLineNumbers w:val="0"/>
        <w:jc w:val="both"/>
        <w:rPr>
          <w:rFonts w:hint="default" w:ascii="Times New Roman" w:hAnsi="Times New Roman" w:cs="Times New Roman"/>
          <w:b/>
          <w:bCs/>
          <w:sz w:val="24"/>
          <w:szCs w:val="24"/>
        </w:rPr>
      </w:pPr>
      <w:bookmarkStart w:id="207" w:name="_Toc13171"/>
      <w:bookmarkStart w:id="208" w:name="_Toc739"/>
      <w:bookmarkStart w:id="209" w:name="_Toc15895"/>
      <w:bookmarkStart w:id="210" w:name="_Toc21807"/>
      <w:bookmarkStart w:id="211" w:name="_Toc24955"/>
      <w:bookmarkStart w:id="212" w:name="_Toc5900"/>
      <w:r>
        <w:rPr>
          <w:rFonts w:hint="default" w:ascii="Times New Roman" w:hAnsi="Times New Roman" w:cs="Times New Roman"/>
          <w:b/>
          <w:bCs/>
          <w:sz w:val="24"/>
          <w:szCs w:val="24"/>
        </w:rPr>
        <w:t>2: Enhance Financial Literacy</w:t>
      </w:r>
      <w:bookmarkEnd w:id="207"/>
      <w:bookmarkEnd w:id="208"/>
      <w:bookmarkEnd w:id="209"/>
      <w:bookmarkEnd w:id="210"/>
      <w:bookmarkEnd w:id="211"/>
      <w:bookmarkEnd w:id="212"/>
      <w:r>
        <w:rPr>
          <w:rFonts w:hint="default" w:ascii="Times New Roman" w:hAnsi="Times New Roman" w:cs="Times New Roman"/>
          <w:b/>
          <w:bCs/>
          <w:sz w:val="24"/>
          <w:szCs w:val="24"/>
        </w:rPr>
        <w:t xml:space="preserve"> </w:t>
      </w:r>
    </w:p>
    <w:p w14:paraId="398A3F43">
      <w:pPr>
        <w:pStyle w:val="12"/>
        <w:keepNext w:val="0"/>
        <w:keepLines w:val="0"/>
        <w:widowControl/>
        <w:suppressLineNumbers w:val="0"/>
        <w:ind w:firstLine="360" w:firstLineChars="150"/>
        <w:jc w:val="both"/>
        <w:rPr>
          <w:rFonts w:hint="default" w:ascii="Times New Roman" w:hAnsi="Times New Roman"/>
          <w:sz w:val="24"/>
          <w:szCs w:val="24"/>
        </w:rPr>
      </w:pPr>
      <w:r>
        <w:rPr>
          <w:rFonts w:hint="default" w:ascii="Times New Roman" w:hAnsi="Times New Roman"/>
          <w:sz w:val="24"/>
          <w:szCs w:val="24"/>
        </w:rPr>
        <w:t xml:space="preserve">Financial literacy is also essential when it is necessary to make sure that people will interact successfully with digital financial instruments. Whereas the use of mobile banking and fin tech has grown to large extent, a knowledge gap still exists, especially among residents of rural areas, women, and the informal workers. Most of them do not know how digital wallets can be used safely or how to access credit and what terms of loans entail. This gap is to be closed in order to ensure that financial inclusion becomes something meaningful. Financial literacy entails being well versed with personal finances, digital bank, risk management and budgeting. Basic education </w:t>
      </w:r>
      <w:r>
        <w:rPr>
          <w:rFonts w:hint="default" w:ascii="Times New Roman" w:hAnsi="Times New Roman"/>
          <w:sz w:val="24"/>
          <w:szCs w:val="24"/>
          <w:lang w:val="en-US"/>
        </w:rPr>
        <w:t>programme</w:t>
      </w:r>
      <w:r>
        <w:rPr>
          <w:rFonts w:hint="default" w:ascii="Times New Roman" w:hAnsi="Times New Roman"/>
          <w:sz w:val="24"/>
          <w:szCs w:val="24"/>
        </w:rPr>
        <w:t xml:space="preserve"> on money can enable users to make informed choices, prevent exploitation and use the resources in a sustainable way. As noted by Tay, Tai et al. (2022), finances have a greater chance of boosting the use of digital financial products and the development of savings habits when financial awareness is high.</w:t>
      </w:r>
    </w:p>
    <w:p w14:paraId="483B7BE1">
      <w:pPr>
        <w:pStyle w:val="12"/>
        <w:keepNext w:val="0"/>
        <w:keepLines w:val="0"/>
        <w:widowControl/>
        <w:suppressLineNumbers w:val="0"/>
        <w:jc w:val="both"/>
        <w:rPr>
          <w:rFonts w:hint="default" w:ascii="Times New Roman" w:hAnsi="Times New Roman"/>
          <w:sz w:val="24"/>
          <w:szCs w:val="24"/>
        </w:rPr>
      </w:pPr>
      <w:r>
        <w:rPr>
          <w:rFonts w:hint="default" w:ascii="Times New Roman" w:hAnsi="Times New Roman"/>
          <w:sz w:val="24"/>
          <w:szCs w:val="24"/>
        </w:rPr>
        <w:t xml:space="preserve">Quality financial literacy campaigns must be locally available and community oriented. Training should be done under the form of workshops, radio, mobile applications and peer education by governments, non-governmental organizations and learning institutions. Interactive mobile learning platforms or even voice-based services and interactive mobile learning platforms can serve illiterate users, e.g. by local language.Tailored programs are particularly essential. An example is that female users might require assistance to address social inhibitors to mobile phone usage, whereas farmers might require instruction on agree financing or on-line markets. Financial education may also be implemented in school </w:t>
      </w:r>
      <w:r>
        <w:rPr>
          <w:rFonts w:hint="default" w:ascii="Times New Roman" w:hAnsi="Times New Roman"/>
          <w:sz w:val="24"/>
          <w:szCs w:val="24"/>
          <w:lang w:val="en-US"/>
        </w:rPr>
        <w:t>curriculum</w:t>
      </w:r>
      <w:r>
        <w:rPr>
          <w:rFonts w:hint="default" w:ascii="Times New Roman" w:hAnsi="Times New Roman"/>
          <w:sz w:val="24"/>
          <w:szCs w:val="24"/>
        </w:rPr>
        <w:t>, which in future prepares the generations to take part in the digital economy.</w:t>
      </w:r>
    </w:p>
    <w:p w14:paraId="720F3E45">
      <w:pPr>
        <w:pStyle w:val="12"/>
        <w:keepNext w:val="0"/>
        <w:keepLines w:val="0"/>
        <w:widowControl/>
        <w:suppressLineNumbers w:val="0"/>
        <w:jc w:val="both"/>
        <w:rPr>
          <w:rFonts w:hint="default" w:ascii="Times New Roman" w:hAnsi="Times New Roman" w:cs="Times New Roman"/>
          <w:sz w:val="24"/>
          <w:szCs w:val="24"/>
          <w:lang w:val="en-US"/>
        </w:rPr>
      </w:pPr>
      <w:r>
        <w:rPr>
          <w:rFonts w:hint="default" w:ascii="Times New Roman" w:hAnsi="Times New Roman"/>
          <w:sz w:val="24"/>
          <w:szCs w:val="24"/>
        </w:rPr>
        <w:t xml:space="preserve">The importance of collaboration between the private and the public relations can hardly be overestimated. Telecommute companies and financial institutions can come up with shared content and delivery platforms. Mechanism of monitoring and evaluation must be provided to gauge the program outcomes and adjust the strategies.In conclusion, financial literacy empowers the deepening effects of the </w:t>
      </w:r>
      <w:r>
        <w:rPr>
          <w:rFonts w:hint="default" w:ascii="Times New Roman" w:hAnsi="Times New Roman"/>
          <w:sz w:val="24"/>
          <w:szCs w:val="24"/>
          <w:lang w:val="en-US"/>
        </w:rPr>
        <w:t>digitalize</w:t>
      </w:r>
      <w:r>
        <w:rPr>
          <w:rFonts w:hint="default" w:ascii="Times New Roman" w:hAnsi="Times New Roman"/>
          <w:sz w:val="24"/>
          <w:szCs w:val="24"/>
        </w:rPr>
        <w:t xml:space="preserve"> financial system making people use services responsibly and confidently. It maintains financial self-sufficiency and vitality, consistent with SDG 2 by assisting people to cover food and agricultural expenses, and SDG 9 by encouraging expanded financial belonging</w:t>
      </w:r>
      <w:r>
        <w:rPr>
          <w:rFonts w:hint="default" w:ascii="Times New Roman" w:hAnsi="Times New Roman"/>
          <w:sz w:val="24"/>
          <w:szCs w:val="24"/>
          <w:lang w:val="en-US"/>
        </w:rPr>
        <w:t>.</w:t>
      </w:r>
    </w:p>
    <w:p w14:paraId="1A946AD1">
      <w:pPr>
        <w:pStyle w:val="12"/>
        <w:keepNext w:val="0"/>
        <w:keepLines w:val="0"/>
        <w:widowControl/>
        <w:suppressLineNumbers w:val="0"/>
        <w:jc w:val="both"/>
        <w:rPr>
          <w:rFonts w:hint="default" w:ascii="Times New Roman" w:hAnsi="Times New Roman"/>
          <w:b/>
          <w:bCs/>
          <w:sz w:val="24"/>
          <w:szCs w:val="24"/>
        </w:rPr>
      </w:pPr>
      <w:r>
        <w:rPr>
          <w:rFonts w:hint="default" w:ascii="Times New Roman" w:hAnsi="Times New Roman" w:cs="Times New Roman"/>
          <w:sz w:val="24"/>
          <w:szCs w:val="24"/>
        </w:rPr>
        <w:t xml:space="preserve"> </w:t>
      </w:r>
      <w:r>
        <w:rPr>
          <w:rFonts w:hint="default" w:ascii="Times New Roman" w:hAnsi="Times New Roman"/>
          <w:b/>
          <w:bCs/>
          <w:sz w:val="24"/>
          <w:szCs w:val="24"/>
        </w:rPr>
        <w:t>3: Digitalize Subsidies and programs of aid</w:t>
      </w:r>
    </w:p>
    <w:p w14:paraId="3C108F6D">
      <w:pPr>
        <w:pStyle w:val="12"/>
        <w:keepNext w:val="0"/>
        <w:keepLines w:val="0"/>
        <w:widowControl/>
        <w:suppressLineNumbers w:val="0"/>
        <w:ind w:firstLine="480" w:firstLineChars="200"/>
        <w:jc w:val="both"/>
        <w:rPr>
          <w:rFonts w:hint="default" w:ascii="Times New Roman" w:hAnsi="Times New Roman" w:cs="Times New Roman"/>
          <w:sz w:val="24"/>
          <w:szCs w:val="24"/>
        </w:rPr>
      </w:pPr>
      <w:r>
        <w:rPr>
          <w:rFonts w:hint="default" w:ascii="Times New Roman" w:hAnsi="Times New Roman"/>
          <w:sz w:val="24"/>
          <w:szCs w:val="24"/>
        </w:rPr>
        <w:t xml:space="preserve">One of the critical initiatives of enhancing the level of providing public services and mitigating inefficiencies is the mechanism of digitizing subsidies and aid programs. There is always delay, corruption and leakage in the traditional systems. Digital technology- such as mobile payments, smart cards, and </w:t>
      </w:r>
      <w:r>
        <w:rPr>
          <w:rFonts w:hint="default" w:ascii="Times New Roman" w:hAnsi="Times New Roman"/>
          <w:sz w:val="24"/>
          <w:szCs w:val="24"/>
          <w:lang w:val="en-US"/>
        </w:rPr>
        <w:t>block chain</w:t>
      </w:r>
      <w:r>
        <w:rPr>
          <w:rFonts w:hint="default" w:ascii="Times New Roman" w:hAnsi="Times New Roman"/>
          <w:sz w:val="24"/>
          <w:szCs w:val="24"/>
        </w:rPr>
        <w:t xml:space="preserve"> can increase transparency, directly transfer benefit to the people, and make societies more trusting of government. This is well exhibited in the Aadhaar based Direct Benefit Transfer of India. Beirne and Fernandez (2023) emphasise that digital transfers decrease the number of ghost beneficiaries and guarantee the distribution of aid on time. This will specifically help smallholder farmers who are dependent on the seasonal subsidies of their inputs in terms of seeds, fertilizers and irrigation.</w:t>
      </w:r>
    </w:p>
    <w:p w14:paraId="6B8C24E6">
      <w:pPr>
        <w:pStyle w:val="12"/>
        <w:keepNext w:val="0"/>
        <w:keepLines w:val="0"/>
        <w:widowControl/>
        <w:suppressLineNumbers w:val="0"/>
        <w:jc w:val="both"/>
        <w:rPr>
          <w:rFonts w:hint="default" w:ascii="Times New Roman" w:hAnsi="Times New Roman"/>
          <w:sz w:val="24"/>
          <w:szCs w:val="24"/>
        </w:rPr>
      </w:pPr>
      <w:r>
        <w:rPr>
          <w:rFonts w:hint="default" w:ascii="Times New Roman" w:hAnsi="Times New Roman"/>
          <w:sz w:val="24"/>
          <w:szCs w:val="24"/>
        </w:rPr>
        <w:t>Digital subsidies are also relevant to help fulfill SDG 2 since it achieves this goal of enhancing agricultural productivity, as well as guaranteeing food access. They equally minimize the use of intermediaries, hence the recipients determine the vendors and market becomes more efficient. The mobile money systems allow its beneficiaries to have a secure access to funds and make flexible spending. Blockchain also enhances responsibility. It provides permanent records of the transactions made, which facilitate audit and avoid fraud. Real-time data can help governments in tracking the results and changing the policies on the fly.</w:t>
      </w:r>
    </w:p>
    <w:p w14:paraId="1A205963">
      <w:pPr>
        <w:pStyle w:val="12"/>
        <w:keepNext w:val="0"/>
        <w:keepLines w:val="0"/>
        <w:widowControl/>
        <w:suppressLineNumbers w:val="0"/>
        <w:jc w:val="both"/>
        <w:rPr>
          <w:rFonts w:hint="default" w:ascii="Times New Roman" w:hAnsi="Times New Roman"/>
          <w:sz w:val="24"/>
          <w:szCs w:val="24"/>
        </w:rPr>
      </w:pPr>
      <w:r>
        <w:rPr>
          <w:rFonts w:hint="default" w:ascii="Times New Roman" w:hAnsi="Times New Roman"/>
          <w:sz w:val="24"/>
          <w:szCs w:val="24"/>
        </w:rPr>
        <w:t>Nevertheless, a good infrastructure and training of users is necessary in order to have a good implementation. Beneficiaries should be mobile, have digital IDs and simplest level of financial literacy. The systems must be inclusive, easy to manipulate and culturally sensitive to enhance maximum usage.Following this, targeting using GIS and remote sensing can increase accuracy in targeting eg. drought stricken farmers to receive emergency support. These innovations ensure that the responsive model of welfare is adopted where there is the changing condition.</w:t>
      </w:r>
    </w:p>
    <w:p w14:paraId="3E2DDBA9">
      <w:pPr>
        <w:pStyle w:val="4"/>
        <w:keepNext w:val="0"/>
        <w:keepLines w:val="0"/>
        <w:widowControl/>
        <w:suppressLineNumbers w:val="0"/>
        <w:jc w:val="both"/>
        <w:rPr>
          <w:rFonts w:hint="default" w:ascii="Times New Roman" w:hAnsi="Times New Roman"/>
          <w:b w:val="0"/>
          <w:bCs w:val="0"/>
          <w:sz w:val="24"/>
          <w:szCs w:val="24"/>
        </w:rPr>
      </w:pPr>
      <w:bookmarkStart w:id="213" w:name="_Toc27421"/>
      <w:bookmarkStart w:id="214" w:name="_Toc22738"/>
      <w:bookmarkStart w:id="215" w:name="_Toc22682"/>
      <w:bookmarkStart w:id="216" w:name="_Toc13598"/>
      <w:bookmarkStart w:id="217" w:name="_Toc17050"/>
      <w:bookmarkStart w:id="218" w:name="_Toc26826"/>
      <w:r>
        <w:rPr>
          <w:rFonts w:hint="default" w:ascii="Times New Roman" w:hAnsi="Times New Roman"/>
          <w:b w:val="0"/>
          <w:bCs w:val="0"/>
          <w:sz w:val="24"/>
          <w:szCs w:val="24"/>
        </w:rPr>
        <w:t xml:space="preserve">All told, </w:t>
      </w:r>
      <w:r>
        <w:rPr>
          <w:rFonts w:hint="default" w:ascii="Times New Roman" w:hAnsi="Times New Roman"/>
          <w:b w:val="0"/>
          <w:bCs w:val="0"/>
          <w:sz w:val="24"/>
          <w:szCs w:val="24"/>
          <w:lang w:val="en-US"/>
        </w:rPr>
        <w:t>digitalize</w:t>
      </w:r>
      <w:r>
        <w:rPr>
          <w:rFonts w:hint="default" w:ascii="Times New Roman" w:hAnsi="Times New Roman"/>
          <w:b w:val="0"/>
          <w:bCs w:val="0"/>
          <w:sz w:val="24"/>
          <w:szCs w:val="24"/>
        </w:rPr>
        <w:t xml:space="preserve"> aid is the way to provide assistance to the correct individuals at the correct moment and promote SDG 9 and the rise in food security by establishing sound digital infrastructure and accountability. Through well designed and favourable policies, digital aid programs can be the backbone of contemporary social protection.</w:t>
      </w:r>
      <w:bookmarkEnd w:id="213"/>
      <w:bookmarkEnd w:id="214"/>
      <w:bookmarkEnd w:id="215"/>
      <w:bookmarkEnd w:id="216"/>
      <w:bookmarkEnd w:id="217"/>
      <w:bookmarkEnd w:id="218"/>
    </w:p>
    <w:p w14:paraId="6F1D350F">
      <w:pPr>
        <w:pStyle w:val="12"/>
        <w:keepNext w:val="0"/>
        <w:keepLines w:val="0"/>
        <w:widowControl/>
        <w:suppressLineNumbers w:val="0"/>
        <w:jc w:val="both"/>
        <w:rPr>
          <w:rFonts w:hint="default" w:ascii="Times New Roman" w:hAnsi="Times New Roman"/>
          <w:b/>
          <w:bCs/>
          <w:sz w:val="24"/>
          <w:szCs w:val="24"/>
        </w:rPr>
      </w:pPr>
      <w:r>
        <w:rPr>
          <w:rFonts w:hint="default" w:ascii="Times New Roman" w:hAnsi="Times New Roman"/>
          <w:b/>
          <w:bCs/>
          <w:sz w:val="24"/>
          <w:szCs w:val="24"/>
        </w:rPr>
        <w:t>4: Develop Public-Private Fin tech Partnerships</w:t>
      </w:r>
    </w:p>
    <w:p w14:paraId="38EE8FE1">
      <w:pPr>
        <w:pStyle w:val="12"/>
        <w:keepNext w:val="0"/>
        <w:keepLines w:val="0"/>
        <w:widowControl/>
        <w:suppressLineNumbers w:val="0"/>
        <w:ind w:firstLine="480" w:firstLineChars="200"/>
        <w:jc w:val="both"/>
        <w:rPr>
          <w:rFonts w:hint="default" w:ascii="Times New Roman" w:hAnsi="Times New Roman"/>
          <w:sz w:val="24"/>
          <w:szCs w:val="24"/>
        </w:rPr>
      </w:pPr>
      <w:r>
        <w:rPr>
          <w:rFonts w:hint="default" w:ascii="Times New Roman" w:hAnsi="Times New Roman"/>
          <w:sz w:val="24"/>
          <w:szCs w:val="24"/>
        </w:rPr>
        <w:t xml:space="preserve">An effective way of enhancing financial access and innovation is to motivate collaboration between public institutions and fin tech firms. The joint efforts blend the capacity of the government-wide outreach and the regulatory capability by utilizing agility and </w:t>
      </w:r>
      <w:r>
        <w:rPr>
          <w:rFonts w:hint="default" w:ascii="Times New Roman" w:hAnsi="Times New Roman"/>
          <w:sz w:val="24"/>
          <w:szCs w:val="24"/>
          <w:lang w:val="en-US"/>
        </w:rPr>
        <w:t>informativeness</w:t>
      </w:r>
      <w:r>
        <w:rPr>
          <w:rFonts w:hint="default" w:ascii="Times New Roman" w:hAnsi="Times New Roman"/>
          <w:sz w:val="24"/>
          <w:szCs w:val="24"/>
        </w:rPr>
        <w:t xml:space="preserve"> of the privately owned companies.</w:t>
      </w:r>
    </w:p>
    <w:p w14:paraId="47C3EAAA">
      <w:pPr>
        <w:pStyle w:val="12"/>
        <w:keepNext w:val="0"/>
        <w:keepLines w:val="0"/>
        <w:widowControl/>
        <w:suppressLineNumbers w:val="0"/>
        <w:jc w:val="both"/>
        <w:rPr>
          <w:rFonts w:hint="default" w:ascii="Times New Roman" w:hAnsi="Times New Roman"/>
          <w:sz w:val="24"/>
          <w:szCs w:val="24"/>
        </w:rPr>
      </w:pPr>
      <w:r>
        <w:rPr>
          <w:rFonts w:hint="default" w:ascii="Times New Roman" w:hAnsi="Times New Roman"/>
          <w:sz w:val="24"/>
          <w:szCs w:val="24"/>
        </w:rPr>
        <w:t xml:space="preserve">Through the public-private partnerships (PPPs), solutions can be custom made among farmers such as mobile based credit or electronic wallets to </w:t>
      </w:r>
      <w:r>
        <w:rPr>
          <w:rFonts w:hint="default" w:ascii="Times New Roman" w:hAnsi="Times New Roman"/>
          <w:sz w:val="24"/>
          <w:szCs w:val="24"/>
          <w:lang w:val="en-US"/>
        </w:rPr>
        <w:t>micro enterprises</w:t>
      </w:r>
      <w:r>
        <w:rPr>
          <w:rFonts w:hint="default" w:ascii="Times New Roman" w:hAnsi="Times New Roman"/>
          <w:sz w:val="24"/>
          <w:szCs w:val="24"/>
        </w:rPr>
        <w:t xml:space="preserve">. According to </w:t>
      </w:r>
      <w:r>
        <w:rPr>
          <w:rFonts w:hint="default"/>
          <w:sz w:val="24"/>
          <w:szCs w:val="24"/>
          <w:lang w:val="en-US"/>
        </w:rPr>
        <w:fldChar w:fldCharType="begin"/>
      </w:r>
      <w:r>
        <w:rPr>
          <w:rFonts w:hint="default"/>
          <w:sz w:val="24"/>
          <w:szCs w:val="24"/>
          <w:lang w:val="en-US"/>
        </w:rPr>
        <w:instrText xml:space="preserve"> ADDIN EN.CITE &lt;EndNote&gt;&lt;Cite AuthorYear="1"&gt;&lt;Author&gt;Danladi&lt;/Author&gt;&lt;Year&gt;2023&lt;/Year&gt;&lt;RecNum&gt;22&lt;/RecNum&gt;&lt;DisplayText&gt;Danladi, Prasad et al. (2023)&lt;/DisplayText&gt;&lt;record&gt;&lt;rec-number&gt;22&lt;/rec-number&gt;&lt;foreign-keys&gt;&lt;key app="EN" db-id="2t52ftddjzwsxoerapx5vrxm2fdzpaza5sva" timestamp="1752328830"&gt;22&lt;/key&gt;&lt;/foreign-keys&gt;&lt;ref-type name="Journal Article"&gt;17&lt;/ref-type&gt;&lt;contributors&gt;&lt;authors&gt;&lt;author&gt;Danladi, Sagir&lt;/author&gt;&lt;author&gt;Prasad, MSV&lt;/author&gt;&lt;author&gt;Modibbo, Umar Muhammad&lt;/author&gt;&lt;author&gt;Ahmadi, Seyedeh Asra&lt;/author&gt;&lt;author&gt;Ghasemi, Peiman&lt;/author&gt;&lt;/authors&gt;&lt;/contributors&gt;&lt;titles&gt;&lt;title&gt;Attaining sustainable development goals through financial inclusion: exploring collaborative approaches to Fintech adoption in developing economies&lt;/title&gt;&lt;secondary-title&gt;Sustainability&lt;/secondary-title&gt;&lt;/titles&gt;&lt;periodical&gt;&lt;full-title&gt;Sustainability&lt;/full-title&gt;&lt;/periodical&gt;&lt;pages&gt;13039&lt;/pages&gt;&lt;volume&gt;15&lt;/volume&gt;&lt;number&gt;17&lt;/number&gt;&lt;dates&gt;&lt;year&gt;2023&lt;/year&gt;&lt;/dates&gt;&lt;isbn&gt;2071-1050&lt;/isbn&gt;&lt;urls&gt;&lt;/urls&gt;&lt;/record&gt;&lt;/Cite&gt;&lt;/EndNote&gt;</w:instrText>
      </w:r>
      <w:r>
        <w:rPr>
          <w:rFonts w:hint="default"/>
          <w:sz w:val="24"/>
          <w:szCs w:val="24"/>
          <w:lang w:val="en-US"/>
        </w:rPr>
        <w:fldChar w:fldCharType="separate"/>
      </w:r>
      <w:r>
        <w:rPr>
          <w:rFonts w:hint="default" w:ascii="Times New Roman" w:hAnsi="Times New Roman" w:eastAsia="SimSun" w:cs="Times New Roman"/>
          <w:kern w:val="0"/>
          <w:sz w:val="24"/>
          <w:szCs w:val="24"/>
          <w:lang w:val="en-US" w:eastAsia="zh-CN" w:bidi="ar"/>
        </w:rPr>
        <w:t>Danladi, Prasad et al. (2023)</w:t>
      </w:r>
      <w:r>
        <w:rPr>
          <w:rFonts w:hint="default"/>
          <w:sz w:val="24"/>
          <w:szCs w:val="24"/>
          <w:lang w:val="en-US"/>
        </w:rPr>
        <w:fldChar w:fldCharType="end"/>
      </w:r>
      <w:r>
        <w:rPr>
          <w:rFonts w:hint="default" w:ascii="Times New Roman" w:hAnsi="Times New Roman"/>
          <w:sz w:val="24"/>
          <w:szCs w:val="24"/>
        </w:rPr>
        <w:t xml:space="preserve"> these programs have boosted financial access to the undeserved populations in Africa to a great extent. PPPs also make way to experimentation in regulatory sandboxes where innovation is safe and geared towards local needs. Government </w:t>
      </w:r>
      <w:r>
        <w:rPr>
          <w:rFonts w:hint="default" w:ascii="Times New Roman" w:hAnsi="Times New Roman"/>
          <w:sz w:val="24"/>
          <w:szCs w:val="24"/>
          <w:lang w:val="en-US"/>
        </w:rPr>
        <w:t>centralization</w:t>
      </w:r>
      <w:r>
        <w:rPr>
          <w:rFonts w:hint="default" w:ascii="Times New Roman" w:hAnsi="Times New Roman"/>
          <w:sz w:val="24"/>
          <w:szCs w:val="24"/>
        </w:rPr>
        <w:t xml:space="preserve"> of such partnerships goes in the form of tax relief, grants, and joint investment programs. The collaboration of Kenya and mobile network operators to launch M-Pesa and the Bangladesh digital financial inclusion using bKash have been successful.</w:t>
      </w:r>
    </w:p>
    <w:p w14:paraId="7E71F9A8">
      <w:pPr>
        <w:pStyle w:val="4"/>
        <w:keepNext w:val="0"/>
        <w:keepLines w:val="0"/>
        <w:widowControl/>
        <w:suppressLineNumbers w:val="0"/>
        <w:jc w:val="both"/>
        <w:rPr>
          <w:rFonts w:hint="default" w:ascii="Times New Roman" w:hAnsi="Times New Roman"/>
          <w:b w:val="0"/>
          <w:bCs w:val="0"/>
          <w:sz w:val="24"/>
          <w:szCs w:val="24"/>
          <w:lang w:val="en-US"/>
        </w:rPr>
      </w:pPr>
      <w:bookmarkStart w:id="219" w:name="_Toc23576"/>
      <w:bookmarkStart w:id="220" w:name="_Toc8822"/>
      <w:bookmarkStart w:id="221" w:name="_Toc25458"/>
      <w:bookmarkStart w:id="222" w:name="_Toc20688"/>
      <w:bookmarkStart w:id="223" w:name="_Toc7455"/>
      <w:bookmarkStart w:id="224" w:name="_Toc4176"/>
      <w:r>
        <w:rPr>
          <w:rFonts w:hint="default" w:ascii="Times New Roman" w:hAnsi="Times New Roman"/>
          <w:b w:val="0"/>
          <w:bCs w:val="0"/>
          <w:sz w:val="24"/>
          <w:szCs w:val="24"/>
          <w:lang w:val="en-US"/>
        </w:rPr>
        <w:t xml:space="preserve">Exclusivity should be one of the fundamentals. PPP-developed tools must be gender sensitive, multilingual, and friendly. Financial services need to be easily available to women and rural users especially as they can be accessed through basic phones and necessitate very little literacy.Data governance is another strong force in creating successful partnerships. Governments must have procedures that ensure that user information is not misused as the information made up of anonymize insights is used to provide an improvement to provide its services. Sustainability is </w:t>
      </w:r>
      <w:r>
        <w:rPr>
          <w:rFonts w:hint="default"/>
          <w:b w:val="0"/>
          <w:bCs w:val="0"/>
          <w:sz w:val="24"/>
          <w:szCs w:val="24"/>
          <w:lang w:val="en-US"/>
        </w:rPr>
        <w:t>characterize</w:t>
      </w:r>
      <w:r>
        <w:rPr>
          <w:rFonts w:hint="default" w:ascii="Times New Roman" w:hAnsi="Times New Roman"/>
          <w:b w:val="0"/>
          <w:bCs w:val="0"/>
          <w:sz w:val="24"/>
          <w:szCs w:val="24"/>
          <w:lang w:val="en-US"/>
        </w:rPr>
        <w:t xml:space="preserve"> by transparency and trust among the stakeholders.</w:t>
      </w:r>
      <w:bookmarkEnd w:id="219"/>
      <w:bookmarkEnd w:id="220"/>
      <w:bookmarkEnd w:id="221"/>
      <w:bookmarkEnd w:id="222"/>
      <w:bookmarkEnd w:id="223"/>
      <w:bookmarkEnd w:id="224"/>
    </w:p>
    <w:p w14:paraId="3A5AD125">
      <w:pPr>
        <w:pStyle w:val="4"/>
        <w:keepNext w:val="0"/>
        <w:keepLines w:val="0"/>
        <w:widowControl/>
        <w:suppressLineNumbers w:val="0"/>
        <w:jc w:val="both"/>
        <w:rPr>
          <w:rFonts w:hint="default" w:ascii="Times New Roman" w:hAnsi="Times New Roman"/>
          <w:b w:val="0"/>
          <w:bCs w:val="0"/>
          <w:sz w:val="24"/>
          <w:szCs w:val="24"/>
          <w:lang w:val="en-US"/>
        </w:rPr>
      </w:pPr>
      <w:bookmarkStart w:id="225" w:name="_Toc11206"/>
      <w:bookmarkStart w:id="226" w:name="_Toc22033"/>
      <w:bookmarkStart w:id="227" w:name="_Toc13571"/>
      <w:bookmarkStart w:id="228" w:name="_Toc6406"/>
      <w:bookmarkStart w:id="229" w:name="_Toc23358"/>
      <w:bookmarkStart w:id="230" w:name="_Toc11997"/>
      <w:r>
        <w:rPr>
          <w:rFonts w:hint="default" w:ascii="Times New Roman" w:hAnsi="Times New Roman"/>
          <w:b w:val="0"/>
          <w:bCs w:val="0"/>
          <w:sz w:val="24"/>
          <w:szCs w:val="24"/>
          <w:lang w:val="en-US"/>
        </w:rPr>
        <w:t>Infrastructure development can also be coordinated through fin-tech partnerships. Expansion of networks can be funded through telecommuting alliances and interchange firms can connect farmers to digital market places, crop insurance and advisory services.The challenges are goal congruence, power mismatch and accountability. Understanding agreements and tracking mechanisms work to share responsibility and outcome on an equal basis.</w:t>
      </w:r>
      <w:bookmarkEnd w:id="225"/>
      <w:bookmarkEnd w:id="226"/>
      <w:bookmarkEnd w:id="227"/>
      <w:bookmarkEnd w:id="228"/>
      <w:bookmarkEnd w:id="229"/>
      <w:bookmarkEnd w:id="230"/>
    </w:p>
    <w:p w14:paraId="600D7F84">
      <w:pPr>
        <w:pStyle w:val="4"/>
        <w:keepNext w:val="0"/>
        <w:keepLines w:val="0"/>
        <w:widowControl/>
        <w:suppressLineNumbers w:val="0"/>
        <w:jc w:val="both"/>
        <w:rPr>
          <w:rFonts w:hint="default"/>
          <w:lang w:val="en-US"/>
        </w:rPr>
      </w:pPr>
      <w:bookmarkStart w:id="231" w:name="_Toc13405"/>
      <w:bookmarkStart w:id="232" w:name="_Toc22722"/>
      <w:bookmarkStart w:id="233" w:name="_Toc7964"/>
      <w:bookmarkStart w:id="234" w:name="_Toc14135"/>
      <w:bookmarkStart w:id="235" w:name="_Toc12249"/>
      <w:bookmarkStart w:id="236" w:name="_Toc21013"/>
      <w:r>
        <w:rPr>
          <w:rFonts w:hint="default" w:ascii="Times New Roman" w:hAnsi="Times New Roman"/>
          <w:b w:val="0"/>
          <w:bCs w:val="0"/>
          <w:sz w:val="24"/>
          <w:szCs w:val="24"/>
          <w:lang w:val="en-US"/>
        </w:rPr>
        <w:t>Conclusively, establishment of public-private fin tech partnerships enhances saleable and inclusive financial innovation. These partnerships are a combination of the public goals and business efficiency that will accelerate SDG 2 as it will support the farmers, and SDG 9 with technical growth and infrastructure.</w:t>
      </w:r>
      <w:bookmarkEnd w:id="231"/>
      <w:bookmarkEnd w:id="232"/>
      <w:bookmarkEnd w:id="233"/>
      <w:bookmarkEnd w:id="234"/>
      <w:bookmarkEnd w:id="235"/>
      <w:bookmarkEnd w:id="236"/>
    </w:p>
    <w:p w14:paraId="74D4A207">
      <w:pPr>
        <w:pStyle w:val="12"/>
        <w:keepNext w:val="0"/>
        <w:keepLines w:val="0"/>
        <w:widowControl/>
        <w:suppressLineNumbers w:val="0"/>
        <w:jc w:val="both"/>
        <w:rPr>
          <w:rFonts w:hint="default" w:ascii="Times New Roman" w:hAnsi="Times New Roman"/>
          <w:b/>
          <w:bCs/>
          <w:sz w:val="24"/>
          <w:szCs w:val="24"/>
        </w:rPr>
      </w:pPr>
      <w:r>
        <w:rPr>
          <w:rFonts w:hint="default" w:ascii="Times New Roman" w:hAnsi="Times New Roman"/>
          <w:b/>
          <w:bCs/>
          <w:sz w:val="24"/>
          <w:szCs w:val="24"/>
        </w:rPr>
        <w:t>5: Facilitate Inclusive Finance Apparatus</w:t>
      </w:r>
    </w:p>
    <w:p w14:paraId="33052DB5">
      <w:pPr>
        <w:pStyle w:val="12"/>
        <w:keepNext w:val="0"/>
        <w:keepLines w:val="0"/>
        <w:widowControl/>
        <w:suppressLineNumbers w:val="0"/>
        <w:ind w:firstLine="480" w:firstLineChars="200"/>
        <w:jc w:val="both"/>
        <w:rPr>
          <w:rFonts w:hint="default" w:ascii="Times New Roman" w:hAnsi="Times New Roman" w:cs="Times New Roman"/>
          <w:sz w:val="24"/>
          <w:szCs w:val="24"/>
        </w:rPr>
      </w:pPr>
      <w:r>
        <w:rPr>
          <w:rFonts w:hint="default" w:ascii="Times New Roman" w:hAnsi="Times New Roman"/>
          <w:sz w:val="24"/>
          <w:szCs w:val="24"/>
        </w:rPr>
        <w:t>Inclusive finance systems, such as Islamic finance, cooperative banks and micro finance institutions (MFIs) provide greater levels of affordable financial services to the traditionally under-banked members of a society. These instruments play an important role in growing the economic role along with broadening the impoverished neighborhoods. Interest-free financial products are supplied through Islamic finance which is based on grounds of fairness and risk-sharing. Abduh (2019) indicates that such tools as zakat and waqf could be used to promote the development of agriculture and counter poverty, as they provide people with ethical and affordable financing. Through such tools, farmers and small businesses are given the power to invest in productive assets without burdening themselves with debts.</w:t>
      </w:r>
    </w:p>
    <w:p w14:paraId="30911BA8">
      <w:pPr>
        <w:pStyle w:val="12"/>
        <w:keepNext w:val="0"/>
        <w:keepLines w:val="0"/>
        <w:widowControl/>
        <w:suppressLineNumbers w:val="0"/>
        <w:jc w:val="both"/>
        <w:rPr>
          <w:rFonts w:hint="default" w:ascii="Times New Roman" w:hAnsi="Times New Roman"/>
          <w:sz w:val="24"/>
          <w:szCs w:val="24"/>
        </w:rPr>
      </w:pPr>
      <w:r>
        <w:rPr>
          <w:rFonts w:hint="default" w:ascii="Times New Roman" w:hAnsi="Times New Roman"/>
          <w:sz w:val="24"/>
          <w:szCs w:val="24"/>
        </w:rPr>
        <w:t>Co-operative banks also serve an important purpose through the phenomenon of pooling locally available funds and redistributing the same in the form of cheap credit. Singh et al. (2022) explain how collaborative credit has enhanced the agricultural output and development of small industries in rural India. Such banks have a community approach and improve trust and financial inclusion.</w:t>
      </w:r>
    </w:p>
    <w:p w14:paraId="2EF1BA07">
      <w:pPr>
        <w:pStyle w:val="12"/>
        <w:keepNext w:val="0"/>
        <w:keepLines w:val="0"/>
        <w:widowControl/>
        <w:suppressLineNumbers w:val="0"/>
        <w:jc w:val="both"/>
        <w:rPr>
          <w:rFonts w:hint="default" w:ascii="Times New Roman" w:hAnsi="Times New Roman"/>
          <w:sz w:val="24"/>
          <w:szCs w:val="24"/>
        </w:rPr>
      </w:pPr>
      <w:r>
        <w:rPr>
          <w:rFonts w:hint="default" w:ascii="Times New Roman" w:hAnsi="Times New Roman"/>
          <w:sz w:val="24"/>
          <w:szCs w:val="24"/>
        </w:rPr>
        <w:t>MFIs are used to serve the people with little collateral and official evidence of income. They are especially good in backing up women entrepreneurs and informal workers. Nevertheless to avoid over- indebtedness, microloans should be covered by responsible lending and financial education.To enable inclusive finance, governments should assist by facilitating the regulatory system, capacity building and linking it with digital payment system. The non-traditional institutions should fit into the licensing structures, whereas the outreach and governance can be enhanced with the support of the state.</w:t>
      </w:r>
    </w:p>
    <w:p w14:paraId="10E828DC">
      <w:pPr>
        <w:pStyle w:val="4"/>
        <w:keepNext w:val="0"/>
        <w:keepLines w:val="0"/>
        <w:widowControl/>
        <w:suppressLineNumbers w:val="0"/>
        <w:jc w:val="both"/>
        <w:rPr>
          <w:rFonts w:hint="default" w:ascii="Times New Roman" w:hAnsi="Times New Roman"/>
          <w:b w:val="0"/>
          <w:bCs w:val="0"/>
          <w:sz w:val="24"/>
          <w:szCs w:val="24"/>
          <w:lang w:val="en-US"/>
        </w:rPr>
      </w:pPr>
      <w:bookmarkStart w:id="237" w:name="_Toc19954"/>
      <w:bookmarkStart w:id="238" w:name="_Toc10421"/>
      <w:bookmarkStart w:id="239" w:name="_Toc6180"/>
      <w:bookmarkStart w:id="240" w:name="_Toc14590"/>
      <w:bookmarkStart w:id="241" w:name="_Toc6167"/>
      <w:bookmarkStart w:id="242" w:name="_Toc20903"/>
      <w:r>
        <w:rPr>
          <w:rFonts w:hint="default" w:ascii="Times New Roman" w:hAnsi="Times New Roman"/>
          <w:b w:val="0"/>
          <w:bCs w:val="0"/>
          <w:sz w:val="24"/>
          <w:szCs w:val="24"/>
          <w:lang w:val="en-US"/>
        </w:rPr>
        <w:t>Inclusive finance can be increased by digitization. Sharia-compliant products or access to cooperative accounts can take place via mobile platforms through which people can transact without worries and with convenience. Block chain as well as AI technologies have the potential of enhancing transparency and efficiency in loan processing.Barriers in inclusive finance should consider the social. Gendered, cultural and literacy-sensitive financial products could lead to better penetration. Sequentially, women especially need programs that will lead to food security and household resilience.</w:t>
      </w:r>
      <w:bookmarkEnd w:id="237"/>
      <w:bookmarkEnd w:id="238"/>
      <w:bookmarkEnd w:id="239"/>
      <w:bookmarkEnd w:id="240"/>
      <w:bookmarkEnd w:id="241"/>
      <w:bookmarkEnd w:id="242"/>
    </w:p>
    <w:p w14:paraId="46E8C60A">
      <w:pPr>
        <w:pStyle w:val="4"/>
        <w:keepNext w:val="0"/>
        <w:keepLines w:val="0"/>
        <w:widowControl/>
        <w:suppressLineNumbers w:val="0"/>
        <w:jc w:val="both"/>
        <w:rPr>
          <w:rFonts w:hint="default"/>
          <w:lang w:val="en-US"/>
        </w:rPr>
      </w:pPr>
      <w:bookmarkStart w:id="243" w:name="_Toc8941"/>
      <w:bookmarkStart w:id="244" w:name="_Toc21"/>
      <w:bookmarkStart w:id="245" w:name="_Toc12763"/>
      <w:bookmarkStart w:id="246" w:name="_Toc11183"/>
      <w:bookmarkStart w:id="247" w:name="_Toc29124"/>
      <w:bookmarkStart w:id="248" w:name="_Toc1881"/>
      <w:r>
        <w:rPr>
          <w:rFonts w:hint="default" w:ascii="Times New Roman" w:hAnsi="Times New Roman"/>
          <w:b w:val="0"/>
          <w:bCs w:val="0"/>
          <w:sz w:val="24"/>
          <w:szCs w:val="24"/>
          <w:lang w:val="en-US"/>
        </w:rPr>
        <w:t>Finally, once it has become clear that inclusive finance modalities supplement conventional banking, it becomes apparent that they are able to counter structural exclusion. They are synonymous with SDG 2 by promoting agriculture livelihoods and SDG 9 promoting local Innovation-based economic development</w:t>
      </w:r>
      <w:r>
        <w:rPr>
          <w:rFonts w:hint="default"/>
          <w:b w:val="0"/>
          <w:bCs w:val="0"/>
          <w:sz w:val="24"/>
          <w:szCs w:val="24"/>
          <w:lang w:val="en-US"/>
        </w:rPr>
        <w:t xml:space="preserve"> </w:t>
      </w:r>
      <w:r>
        <w:rPr>
          <w:rFonts w:hint="default" w:ascii="Times New Roman" w:hAnsi="Times New Roman"/>
          <w:b w:val="0"/>
          <w:bCs w:val="0"/>
          <w:sz w:val="24"/>
          <w:szCs w:val="24"/>
          <w:lang w:val="en-US"/>
        </w:rPr>
        <w:t>equity.</w:t>
      </w:r>
      <w:bookmarkEnd w:id="243"/>
      <w:bookmarkEnd w:id="244"/>
      <w:bookmarkEnd w:id="245"/>
      <w:bookmarkEnd w:id="246"/>
      <w:bookmarkEnd w:id="247"/>
      <w:bookmarkEnd w:id="248"/>
    </w:p>
    <w:p w14:paraId="5F632C7E">
      <w:pPr>
        <w:pStyle w:val="12"/>
        <w:keepNext w:val="0"/>
        <w:keepLines w:val="0"/>
        <w:widowControl/>
        <w:suppressLineNumbers w:val="0"/>
        <w:jc w:val="both"/>
        <w:rPr>
          <w:rFonts w:hint="default" w:ascii="Times New Roman" w:hAnsi="Times New Roman"/>
          <w:b/>
          <w:bCs/>
          <w:sz w:val="24"/>
          <w:szCs w:val="24"/>
        </w:rPr>
      </w:pPr>
      <w:r>
        <w:rPr>
          <w:rFonts w:hint="default" w:ascii="Times New Roman" w:hAnsi="Times New Roman"/>
          <w:b/>
          <w:bCs/>
          <w:sz w:val="24"/>
          <w:szCs w:val="24"/>
        </w:rPr>
        <w:t>6: Enhance Digital Regulation and Cyber security</w:t>
      </w:r>
    </w:p>
    <w:p w14:paraId="2E99D385">
      <w:pPr>
        <w:pStyle w:val="12"/>
        <w:keepNext w:val="0"/>
        <w:keepLines w:val="0"/>
        <w:widowControl/>
        <w:suppressLineNumbers w:val="0"/>
        <w:ind w:firstLine="480" w:firstLineChars="200"/>
        <w:jc w:val="both"/>
        <w:rPr>
          <w:rFonts w:hint="default" w:ascii="Times New Roman" w:hAnsi="Times New Roman" w:cs="Times New Roman"/>
          <w:sz w:val="24"/>
          <w:szCs w:val="24"/>
        </w:rPr>
      </w:pPr>
      <w:r>
        <w:rPr>
          <w:rFonts w:hint="default" w:ascii="Times New Roman" w:hAnsi="Times New Roman"/>
          <w:sz w:val="24"/>
          <w:szCs w:val="24"/>
        </w:rPr>
        <w:t xml:space="preserve">With the growth of digital financial services, it would be needed that there is good regulation and cyber security to ensure that it is trusted by the users to rely on the digital systems. In the absence of appropriate protections, a user encounters threats of data theft, fraud and abuse of personal information, and this may compromise trust and reduce usage. Ecosystem stability is created through regulatory clarity. According to the results of the study conducted by </w:t>
      </w:r>
      <w:r>
        <w:rPr>
          <w:rFonts w:hint="default" w:ascii="Times New Roman" w:hAnsi="Times New Roman"/>
          <w:sz w:val="24"/>
          <w:szCs w:val="24"/>
        </w:rPr>
        <w:fldChar w:fldCharType="begin"/>
      </w:r>
      <w:r>
        <w:rPr>
          <w:rFonts w:hint="default"/>
          <w:sz w:val="24"/>
          <w:szCs w:val="24"/>
          <w:lang w:val="en-US"/>
        </w:rPr>
        <w:instrText xml:space="preserve"> ADDIN EN.CITE &lt;EndNote&gt;&lt;Cite AuthorYear="1"&gt;&lt;Author&gt;Bhavsar&lt;/Author&gt;&lt;Year&gt;2022&lt;/Year&gt;&lt;RecNum&gt;38&lt;/RecNum&gt;&lt;DisplayText&gt;Bhavsar and Samanta (2022)&lt;/DisplayText&gt;&lt;record&gt;&lt;rec-number&gt;38&lt;/rec-number&gt;&lt;foreign-keys&gt;&lt;key app="EN" db-id="2t52ftddjzwsxoerapx5vrxm2fdzpaza5sva" timestamp="1752332633"&gt;38&lt;/key&gt;&lt;/foreign-keys&gt;&lt;ref-type name="Conference Proceedings"&gt;10&lt;/ref-type&gt;&lt;contributors&gt;&lt;authors&gt;&lt;author&gt;Bhavsar, Vandana&lt;/author&gt;&lt;author&gt;Samanta, Pradeepta Kumar&lt;/author&gt;&lt;/authors&gt;&lt;/contributors&gt;&lt;titles&gt;&lt;title&gt;Sustainability of digital payments: Empirical evidence from India&lt;/title&gt;&lt;secondary-title&gt;2nd International Conference on Sustainability and Equity (ICSE-2021)&lt;/secondary-title&gt;&lt;/titles&gt;&lt;pages&gt;70-78&lt;/pages&gt;&lt;dates&gt;&lt;year&gt;2022&lt;/year&gt;&lt;/dates&gt;&lt;publisher&gt;Atlantis Press&lt;/publisher&gt;&lt;isbn&gt;9462395152&lt;/isbn&gt;&lt;urls&gt;&lt;/urls&gt;&lt;/record&gt;&lt;/Cite&gt;&lt;/EndNote&gt;</w:instrText>
      </w:r>
      <w:r>
        <w:rPr>
          <w:rFonts w:hint="default" w:ascii="Times New Roman" w:hAnsi="Times New Roman"/>
          <w:sz w:val="24"/>
          <w:szCs w:val="24"/>
        </w:rPr>
        <w:fldChar w:fldCharType="separate"/>
      </w:r>
      <w:r>
        <w:rPr>
          <w:rFonts w:hint="default" w:ascii="Times New Roman" w:hAnsi="Times New Roman" w:eastAsia="SimSun" w:cs="Times New Roman"/>
          <w:kern w:val="0"/>
          <w:sz w:val="24"/>
          <w:szCs w:val="24"/>
          <w:lang w:val="en-US" w:eastAsia="zh-CN" w:bidi="ar"/>
        </w:rPr>
        <w:t>Bhavsar and Samanta (2022)</w:t>
      </w:r>
      <w:r>
        <w:rPr>
          <w:rFonts w:hint="default" w:ascii="Times New Roman" w:hAnsi="Times New Roman"/>
          <w:sz w:val="24"/>
          <w:szCs w:val="24"/>
        </w:rPr>
        <w:fldChar w:fldCharType="end"/>
      </w:r>
      <w:r>
        <w:rPr>
          <w:rFonts w:hint="default" w:ascii="Times New Roman" w:hAnsi="Times New Roman"/>
          <w:sz w:val="24"/>
          <w:szCs w:val="24"/>
        </w:rPr>
        <w:t>, reforms implemented in India by demonetization gave digital finance some strength due to the increased clarity of the rules regarding digital payments and consumer protection. The licensing, disputes, privacy, and transparency should be provided by the regulatory frameworks.</w:t>
      </w:r>
    </w:p>
    <w:p w14:paraId="760A8B74">
      <w:pPr>
        <w:jc w:val="both"/>
        <w:rPr>
          <w:rFonts w:hint="default" w:ascii="Times New Roman" w:hAnsi="Times New Roman"/>
          <w:sz w:val="24"/>
          <w:szCs w:val="24"/>
        </w:rPr>
      </w:pPr>
      <w:r>
        <w:rPr>
          <w:rFonts w:hint="default" w:ascii="Times New Roman" w:hAnsi="Times New Roman"/>
          <w:sz w:val="24"/>
          <w:szCs w:val="24"/>
        </w:rPr>
        <w:t>Digital finance mechanisms must have cyber security. Technical infrastructure, audit on a regular basis as well as emergency response plans should be part of national cyber strategies. It is important that both users and institutions should be safeguarded by investing in secure data centers, encryption, as well as fraud detection systems. The security and compliance are improved through alliance of the government and the areas of assembling. Fin tech companies are to be allowed to experiment in regulatory sandboxes, and governments should provide policies and change to capture subsequent risks. The responses to cyber crime can be handled by telecommute and law enforcement in a combined fashion.</w:t>
      </w:r>
    </w:p>
    <w:p w14:paraId="489A2225">
      <w:pPr>
        <w:jc w:val="both"/>
        <w:rPr>
          <w:rFonts w:hint="default" w:ascii="Times New Roman" w:hAnsi="Times New Roman"/>
          <w:sz w:val="24"/>
          <w:szCs w:val="24"/>
        </w:rPr>
      </w:pPr>
      <w:r>
        <w:rPr>
          <w:rFonts w:hint="default" w:ascii="Times New Roman" w:hAnsi="Times New Roman"/>
          <w:sz w:val="24"/>
          <w:szCs w:val="24"/>
        </w:rPr>
        <w:t xml:space="preserve">There is also necessity of equality in data protection standards in conducting cross-border digital finance. Cyber security architectures has led to co-operation among nations as a result of which there is general uniformity in the assurance and security offered in all the jurisdictions. It is quite important to educate the users. During an awareness campaign, best practices can be acquired, including password care, email phishing, and mobile security. Education that includes both cyber security and digital literacy allows the users to communicate in a secure manner. It is also alleged that good regulation boosts innovation through the Internet. Elastic </w:t>
      </w:r>
      <w:r>
        <w:rPr>
          <w:rFonts w:hint="default" w:ascii="Times New Roman" w:hAnsi="Times New Roman"/>
          <w:sz w:val="24"/>
          <w:szCs w:val="24"/>
          <w:lang w:val="en-US"/>
        </w:rPr>
        <w:t>legislation</w:t>
      </w:r>
      <w:r>
        <w:rPr>
          <w:rFonts w:hint="default" w:ascii="Times New Roman" w:hAnsi="Times New Roman"/>
          <w:sz w:val="24"/>
          <w:szCs w:val="24"/>
        </w:rPr>
        <w:t xml:space="preserve"> can oversee ripe development fin tech and eccentricities that break down and damage fin tech development.</w:t>
      </w:r>
    </w:p>
    <w:p w14:paraId="1839BA01">
      <w:pPr>
        <w:jc w:val="both"/>
        <w:rPr>
          <w:sz w:val="24"/>
          <w:szCs w:val="24"/>
        </w:rPr>
      </w:pPr>
      <w:r>
        <w:rPr>
          <w:rFonts w:hint="default" w:ascii="Times New Roman" w:hAnsi="Times New Roman"/>
          <w:sz w:val="24"/>
          <w:szCs w:val="24"/>
        </w:rPr>
        <w:t>Lastly, healthy digital inclusion in digital finance consists of a well-regulated digital world and cyber security. They are non-hazardous to the user and they do not rule out the long-term development. The governments promote trust, innovation, and resilience which are the key pillars of SDG 2 and SDG 9 by protecting the digital system.</w:t>
      </w:r>
    </w:p>
    <w:p w14:paraId="60B127F1">
      <w:pPr>
        <w:rPr>
          <w:rFonts w:hint="default"/>
          <w:b w:val="0"/>
          <w:bCs w:val="0"/>
          <w:sz w:val="24"/>
          <w:szCs w:val="24"/>
          <w:lang w:val="en-US"/>
        </w:rPr>
      </w:pPr>
    </w:p>
    <w:p w14:paraId="226FFF23">
      <w:pPr>
        <w:rPr>
          <w:rFonts w:hint="default"/>
          <w:b w:val="0"/>
          <w:bCs w:val="0"/>
          <w:sz w:val="24"/>
          <w:szCs w:val="24"/>
          <w:lang w:val="en-US"/>
        </w:rPr>
      </w:pPr>
    </w:p>
    <w:p w14:paraId="5B579D85">
      <w:pPr>
        <w:rPr>
          <w:rFonts w:hint="default"/>
          <w:b w:val="0"/>
          <w:bCs w:val="0"/>
          <w:sz w:val="24"/>
          <w:szCs w:val="24"/>
          <w:lang w:val="en-US"/>
        </w:rPr>
      </w:pPr>
    </w:p>
    <w:p w14:paraId="6D9E7430">
      <w:pPr>
        <w:rPr>
          <w:rFonts w:hint="default"/>
          <w:b w:val="0"/>
          <w:bCs w:val="0"/>
          <w:sz w:val="24"/>
          <w:szCs w:val="24"/>
          <w:lang w:val="en-US"/>
        </w:rPr>
      </w:pPr>
    </w:p>
    <w:p w14:paraId="07847381">
      <w:pPr>
        <w:rPr>
          <w:rFonts w:hint="default"/>
          <w:b w:val="0"/>
          <w:bCs w:val="0"/>
          <w:sz w:val="24"/>
          <w:szCs w:val="24"/>
          <w:lang w:val="en-US"/>
        </w:rPr>
      </w:pPr>
    </w:p>
    <w:p w14:paraId="0AEBC245">
      <w:pPr>
        <w:rPr>
          <w:rFonts w:hint="default"/>
          <w:b w:val="0"/>
          <w:bCs w:val="0"/>
          <w:sz w:val="24"/>
          <w:szCs w:val="24"/>
          <w:lang w:val="en-US"/>
        </w:rPr>
      </w:pPr>
    </w:p>
    <w:p w14:paraId="73B2973B">
      <w:pPr>
        <w:rPr>
          <w:rFonts w:hint="default"/>
          <w:b w:val="0"/>
          <w:bCs w:val="0"/>
          <w:sz w:val="24"/>
          <w:szCs w:val="24"/>
          <w:lang w:val="en-US"/>
        </w:rPr>
      </w:pPr>
    </w:p>
    <w:p w14:paraId="2989EDB8">
      <w:pPr>
        <w:rPr>
          <w:rFonts w:hint="default"/>
          <w:b w:val="0"/>
          <w:bCs w:val="0"/>
          <w:sz w:val="24"/>
          <w:szCs w:val="24"/>
          <w:lang w:val="en-US"/>
        </w:rPr>
      </w:pPr>
    </w:p>
    <w:p w14:paraId="0A908985">
      <w:pPr>
        <w:rPr>
          <w:rFonts w:hint="default"/>
          <w:b w:val="0"/>
          <w:bCs w:val="0"/>
          <w:sz w:val="24"/>
          <w:szCs w:val="24"/>
          <w:lang w:val="en-US"/>
        </w:rPr>
      </w:pPr>
    </w:p>
    <w:p w14:paraId="0CA5939D">
      <w:pPr>
        <w:rPr>
          <w:rFonts w:hint="default"/>
          <w:b w:val="0"/>
          <w:bCs w:val="0"/>
          <w:sz w:val="24"/>
          <w:szCs w:val="24"/>
          <w:lang w:val="en-US"/>
        </w:rPr>
      </w:pPr>
    </w:p>
    <w:p w14:paraId="5D38881D">
      <w:pPr>
        <w:rPr>
          <w:rFonts w:hint="default"/>
          <w:b w:val="0"/>
          <w:bCs w:val="0"/>
          <w:sz w:val="24"/>
          <w:szCs w:val="24"/>
          <w:lang w:val="en-US"/>
        </w:rPr>
      </w:pPr>
    </w:p>
    <w:p w14:paraId="395FB208">
      <w:pPr>
        <w:pStyle w:val="2"/>
        <w:bidi w:val="0"/>
        <w:jc w:val="center"/>
        <w:rPr>
          <w:rFonts w:hint="default" w:ascii="Times New Roman" w:hAnsi="Times New Roman" w:cs="Times New Roman"/>
          <w:sz w:val="28"/>
          <w:szCs w:val="28"/>
          <w:u w:val="single"/>
          <w:lang w:val="en-US"/>
        </w:rPr>
      </w:pPr>
      <w:bookmarkStart w:id="249" w:name="_Toc29259"/>
      <w:r>
        <w:rPr>
          <w:rFonts w:hint="default" w:ascii="Times New Roman" w:hAnsi="Times New Roman" w:cs="Times New Roman"/>
          <w:sz w:val="28"/>
          <w:szCs w:val="28"/>
          <w:u w:val="single"/>
          <w:lang w:val="en-US"/>
        </w:rPr>
        <w:t>Reference:</w:t>
      </w:r>
      <w:bookmarkEnd w:id="249"/>
    </w:p>
    <w:p w14:paraId="07B6CCD3">
      <w:pPr>
        <w:pStyle w:val="27"/>
        <w:bidi w:val="0"/>
        <w:ind w:left="0" w:firstLine="0"/>
        <w:rPr>
          <w:rFonts w:ascii="Calibri" w:hAnsi="Calibri" w:cs="Calibri" w:eastAsiaTheme="minorHAnsi"/>
          <w:sz w:val="22"/>
          <w:szCs w:val="22"/>
          <w:lang w:val="en-US" w:eastAsia="en-US" w:bidi="ar-SA"/>
        </w:rPr>
      </w:pPr>
      <w:r>
        <w:rPr>
          <w:rFonts w:hint="default"/>
          <w:b w:val="0"/>
          <w:bCs w:val="0"/>
          <w:sz w:val="24"/>
          <w:szCs w:val="24"/>
          <w:lang w:val="en-US"/>
        </w:rPr>
        <w:fldChar w:fldCharType="begin"/>
      </w:r>
      <w:r>
        <w:rPr>
          <w:rFonts w:hint="default"/>
          <w:b w:val="0"/>
          <w:bCs w:val="0"/>
          <w:sz w:val="24"/>
          <w:szCs w:val="24"/>
          <w:lang w:val="en-US"/>
        </w:rPr>
        <w:instrText xml:space="preserve"> ADDIN EN.REFLIST </w:instrText>
      </w:r>
      <w:r>
        <w:rPr>
          <w:rFonts w:hint="default"/>
          <w:b w:val="0"/>
          <w:bCs w:val="0"/>
          <w:sz w:val="24"/>
          <w:szCs w:val="24"/>
          <w:lang w:val="en-US"/>
        </w:rPr>
        <w:fldChar w:fldCharType="separate"/>
      </w:r>
      <w:r>
        <w:rPr>
          <w:rFonts w:ascii="Calibri" w:hAnsi="Calibri" w:cs="Calibri" w:eastAsiaTheme="minorHAnsi"/>
          <w:sz w:val="22"/>
          <w:szCs w:val="22"/>
          <w:lang w:val="en-US" w:eastAsia="en-US" w:bidi="ar-SA"/>
        </w:rPr>
        <w:t xml:space="preserve">Abduh, M. (2019). "The role of Islamic social finance in achieving SDG number 2: end hunger, achieve food security and improved nutrition and promote sustainable agriculture." </w:t>
      </w:r>
      <w:r>
        <w:rPr>
          <w:rFonts w:ascii="Calibri" w:hAnsi="Calibri" w:cs="Calibri" w:eastAsiaTheme="minorHAnsi"/>
          <w:sz w:val="22"/>
          <w:szCs w:val="22"/>
          <w:u w:val="single"/>
          <w:lang w:val="en-US" w:eastAsia="en-US" w:bidi="ar-SA"/>
        </w:rPr>
        <w:t>Al-Shajarah: Journal of the International Institute of Islamic Thought and Civilisation (ISTAC)</w:t>
      </w:r>
      <w:r>
        <w:rPr>
          <w:rFonts w:ascii="Calibri" w:hAnsi="Calibri" w:cs="Calibri" w:eastAsiaTheme="minorHAnsi"/>
          <w:sz w:val="22"/>
          <w:szCs w:val="22"/>
          <w:lang w:val="en-US" w:eastAsia="en-US" w:bidi="ar-SA"/>
        </w:rPr>
        <w:t>.</w:t>
      </w:r>
    </w:p>
    <w:p w14:paraId="36ACE8A2">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47C462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Adenle, A. A., et al. (2015). "Global assessment of technological innovation for climate change adaptation and mitigation in developing world." </w:t>
      </w:r>
      <w:r>
        <w:rPr>
          <w:rFonts w:ascii="Calibri" w:hAnsi="Calibri" w:cs="Calibri" w:eastAsiaTheme="minorHAnsi"/>
          <w:sz w:val="22"/>
          <w:szCs w:val="22"/>
          <w:u w:val="single"/>
          <w:lang w:val="en-US" w:eastAsia="en-US" w:bidi="ar-SA"/>
        </w:rPr>
        <w:t>Journal of environmental management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161</w:t>
      </w:r>
      <w:r>
        <w:rPr>
          <w:rFonts w:ascii="Calibri" w:hAnsi="Calibri" w:cs="Calibri" w:eastAsiaTheme="minorHAnsi"/>
          <w:sz w:val="22"/>
          <w:szCs w:val="22"/>
          <w:lang w:val="en-US" w:eastAsia="en-US" w:bidi="ar-SA"/>
        </w:rPr>
        <w:t>: 261–275.</w:t>
      </w:r>
    </w:p>
    <w:p w14:paraId="62145AC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387B310">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Allen, F., et al. (2016). "The foundations of financial inclusion: Understanding ownership and use of formal accounts." </w:t>
      </w:r>
      <w:r>
        <w:rPr>
          <w:rFonts w:ascii="Calibri" w:hAnsi="Calibri" w:cs="Calibri" w:eastAsiaTheme="minorHAnsi"/>
          <w:sz w:val="22"/>
          <w:szCs w:val="22"/>
          <w:u w:val="single"/>
          <w:lang w:val="en-US" w:eastAsia="en-US" w:bidi="ar-SA"/>
        </w:rPr>
        <w:t>Journal of financial Intermediation</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27</w:t>
      </w:r>
      <w:r>
        <w:rPr>
          <w:rFonts w:ascii="Calibri" w:hAnsi="Calibri" w:cs="Calibri" w:eastAsiaTheme="minorHAnsi"/>
          <w:sz w:val="22"/>
          <w:szCs w:val="22"/>
          <w:lang w:val="en-US" w:eastAsia="en-US" w:bidi="ar-SA"/>
        </w:rPr>
        <w:t>: 1–30.</w:t>
      </w:r>
    </w:p>
    <w:p w14:paraId="32CBF21B">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4F558C9">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Alstone, P., et al. (2015). "Decentralized energy systems for clean electricity access." </w:t>
      </w:r>
      <w:r>
        <w:rPr>
          <w:rFonts w:ascii="Calibri" w:hAnsi="Calibri" w:cs="Calibri" w:eastAsiaTheme="minorHAnsi"/>
          <w:sz w:val="22"/>
          <w:szCs w:val="22"/>
          <w:u w:val="single"/>
          <w:lang w:val="en-US" w:eastAsia="en-US" w:bidi="ar-SA"/>
        </w:rPr>
        <w:t>Nature climate change</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5</w:t>
      </w:r>
      <w:r>
        <w:rPr>
          <w:rFonts w:ascii="Calibri" w:hAnsi="Calibri" w:cs="Calibri" w:eastAsiaTheme="minorHAnsi"/>
          <w:sz w:val="22"/>
          <w:szCs w:val="22"/>
          <w:lang w:val="en-US" w:eastAsia="en-US" w:bidi="ar-SA"/>
        </w:rPr>
        <w:t>(4): 305–314.</w:t>
      </w:r>
    </w:p>
    <w:p w14:paraId="443C64FD">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4663B6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Arora, S., et al. (2022). "Prediction of credit card defaults through data analysis and machine learning techniques." </w:t>
      </w:r>
      <w:r>
        <w:rPr>
          <w:rFonts w:ascii="Calibri" w:hAnsi="Calibri" w:cs="Calibri" w:eastAsiaTheme="minorHAnsi"/>
          <w:sz w:val="22"/>
          <w:szCs w:val="22"/>
          <w:u w:val="single"/>
          <w:lang w:val="en-US" w:eastAsia="en-US" w:bidi="ar-SA"/>
        </w:rPr>
        <w:t>Materials Today: Proceedings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51</w:t>
      </w:r>
      <w:r>
        <w:rPr>
          <w:rFonts w:ascii="Calibri" w:hAnsi="Calibri" w:cs="Calibri" w:eastAsiaTheme="minorHAnsi"/>
          <w:sz w:val="22"/>
          <w:szCs w:val="22"/>
          <w:lang w:val="en-US" w:eastAsia="en-US" w:bidi="ar-SA"/>
        </w:rPr>
        <w:t>: 110–117.</w:t>
      </w:r>
    </w:p>
    <w:p w14:paraId="7F157D48">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940B3C8">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Atukunda, P., et al. (2021). "Unlocking the potential for achievement of the UN Sustainable Development Goal 2–‘Zero Hunger’–in Africa: targets, strategies, synergies and challenges." </w:t>
      </w:r>
      <w:r>
        <w:rPr>
          <w:rFonts w:ascii="Calibri" w:hAnsi="Calibri" w:cs="Calibri" w:eastAsiaTheme="minorHAnsi"/>
          <w:sz w:val="22"/>
          <w:szCs w:val="22"/>
          <w:u w:val="single"/>
          <w:lang w:val="en-US" w:eastAsia="en-US" w:bidi="ar-SA"/>
        </w:rPr>
        <w:t>Food &amp; nutrition research</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65</w:t>
      </w:r>
      <w:r>
        <w:rPr>
          <w:rFonts w:ascii="Calibri" w:hAnsi="Calibri" w:cs="Calibri" w:eastAsiaTheme="minorHAnsi"/>
          <w:sz w:val="22"/>
          <w:szCs w:val="22"/>
          <w:lang w:val="en-US" w:eastAsia="en-US" w:bidi="ar-SA"/>
        </w:rPr>
        <w:t>: 10.29219/fnr. v29265. 27686.</w:t>
      </w:r>
    </w:p>
    <w:p w14:paraId="7D34D232">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FE2E4C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Avana-Tientcheu, M.-L., et al. (2019). "Diversity, ethnobotanical potential and sustainability assessment of plants used by traditional healers to treat cancer in Boyo division, North-West region, Cameroon." </w:t>
      </w:r>
      <w:r>
        <w:rPr>
          <w:rFonts w:ascii="Calibri" w:hAnsi="Calibri" w:cs="Calibri" w:eastAsiaTheme="minorHAnsi"/>
          <w:sz w:val="22"/>
          <w:szCs w:val="22"/>
          <w:u w:val="single"/>
          <w:lang w:val="en-US" w:eastAsia="en-US" w:bidi="ar-SA"/>
        </w:rPr>
        <w:t>European Journal of Medicinal Plants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27</w:t>
      </w:r>
      <w:r>
        <w:rPr>
          <w:rFonts w:ascii="Calibri" w:hAnsi="Calibri" w:cs="Calibri" w:eastAsiaTheme="minorHAnsi"/>
          <w:sz w:val="22"/>
          <w:szCs w:val="22"/>
          <w:lang w:val="en-US" w:eastAsia="en-US" w:bidi="ar-SA"/>
        </w:rPr>
        <w:t>: 1–22.</w:t>
      </w:r>
    </w:p>
    <w:p w14:paraId="2A9DB485">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5BE714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Bagheri, A., et al. (2019). "Modeling farmers’ intention to use pesticides: An expanded version of the theory of planned behavior." </w:t>
      </w:r>
      <w:r>
        <w:rPr>
          <w:rFonts w:ascii="Calibri" w:hAnsi="Calibri" w:cs="Calibri" w:eastAsiaTheme="minorHAnsi"/>
          <w:sz w:val="22"/>
          <w:szCs w:val="22"/>
          <w:u w:val="single"/>
          <w:lang w:val="en-US" w:eastAsia="en-US" w:bidi="ar-SA"/>
        </w:rPr>
        <w:t>Journal of environmental management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248</w:t>
      </w:r>
      <w:r>
        <w:rPr>
          <w:rFonts w:ascii="Calibri" w:hAnsi="Calibri" w:cs="Calibri" w:eastAsiaTheme="minorHAnsi"/>
          <w:sz w:val="22"/>
          <w:szCs w:val="22"/>
          <w:lang w:val="en-US" w:eastAsia="en-US" w:bidi="ar-SA"/>
        </w:rPr>
        <w:t>: 109291.</w:t>
      </w:r>
    </w:p>
    <w:p w14:paraId="602B43D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32FA9FC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Bagheri, A., et al. (2019). "Farmers’ knowledge, attitudes, and perceptions of pesticide use in apple farms of northern Iran: impact on safety behavior." </w:t>
      </w:r>
      <w:r>
        <w:rPr>
          <w:rFonts w:ascii="Calibri" w:hAnsi="Calibri" w:cs="Calibri" w:eastAsiaTheme="minorHAnsi"/>
          <w:sz w:val="22"/>
          <w:szCs w:val="22"/>
          <w:u w:val="single"/>
          <w:lang w:val="en-US" w:eastAsia="en-US" w:bidi="ar-SA"/>
        </w:rPr>
        <w:t>Environmental Science and Pollution Research</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26</w:t>
      </w:r>
      <w:r>
        <w:rPr>
          <w:rFonts w:ascii="Calibri" w:hAnsi="Calibri" w:cs="Calibri" w:eastAsiaTheme="minorHAnsi"/>
          <w:sz w:val="22"/>
          <w:szCs w:val="22"/>
          <w:lang w:val="en-US" w:eastAsia="en-US" w:bidi="ar-SA"/>
        </w:rPr>
        <w:t>(9): 9343–9351.</w:t>
      </w:r>
    </w:p>
    <w:p w14:paraId="7133532D">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47CBBA0">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Balogun, A. Q. (2024). "Energy access and renewable energy consumption in Nigeria: an X-ray of the industrial output." </w:t>
      </w:r>
      <w:r>
        <w:rPr>
          <w:rFonts w:ascii="Calibri" w:hAnsi="Calibri" w:cs="Calibri" w:eastAsiaTheme="minorHAnsi"/>
          <w:sz w:val="22"/>
          <w:szCs w:val="22"/>
          <w:u w:val="single"/>
          <w:lang w:val="en-US" w:eastAsia="en-US" w:bidi="ar-SA"/>
        </w:rPr>
        <w:t>ENERGY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4</w:t>
      </w:r>
      <w:r>
        <w:rPr>
          <w:rFonts w:ascii="Calibri" w:hAnsi="Calibri" w:cs="Calibri" w:eastAsiaTheme="minorHAnsi"/>
          <w:sz w:val="22"/>
          <w:szCs w:val="22"/>
          <w:lang w:val="en-US" w:eastAsia="en-US" w:bidi="ar-SA"/>
        </w:rPr>
        <w:t>(1): 221–235.</w:t>
      </w:r>
    </w:p>
    <w:p w14:paraId="7FC59CCD">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F126E5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Banna, H., et al. (2020). "Digital financial inclusion, Islamic banking stability and sustainable economic growth." </w:t>
      </w:r>
      <w:r>
        <w:rPr>
          <w:rFonts w:ascii="Calibri" w:hAnsi="Calibri" w:cs="Calibri" w:eastAsiaTheme="minorHAnsi"/>
          <w:sz w:val="22"/>
          <w:szCs w:val="22"/>
          <w:u w:val="single"/>
          <w:lang w:val="en-US" w:eastAsia="en-US" w:bidi="ar-SA"/>
        </w:rPr>
        <w:t>Islamic perspective for sustainable financial system</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20</w:t>
      </w:r>
      <w:r>
        <w:rPr>
          <w:rFonts w:ascii="Calibri" w:hAnsi="Calibri" w:cs="Calibri" w:eastAsiaTheme="minorHAnsi"/>
          <w:sz w:val="22"/>
          <w:szCs w:val="22"/>
          <w:lang w:val="en-US" w:eastAsia="en-US" w:bidi="ar-SA"/>
        </w:rPr>
        <w:t>(1): 131–152.</w:t>
      </w:r>
    </w:p>
    <w:p w14:paraId="1F811158">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B8534B1">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Beirne, J. and D. G. Fernandez (2023). Digital finance and sustainability: impacts, challenges, and policy priorities, MDPI. </w:t>
      </w:r>
      <w:r>
        <w:rPr>
          <w:rFonts w:ascii="Calibri" w:hAnsi="Calibri" w:cs="Calibri" w:eastAsiaTheme="minorHAnsi"/>
          <w:b/>
          <w:sz w:val="22"/>
          <w:szCs w:val="22"/>
          <w:lang w:val="en-US" w:eastAsia="en-US" w:bidi="ar-SA"/>
        </w:rPr>
        <w:t xml:space="preserve">15: </w:t>
      </w:r>
      <w:r>
        <w:rPr>
          <w:rFonts w:ascii="Calibri" w:hAnsi="Calibri" w:cs="Calibri" w:eastAsiaTheme="minorHAnsi"/>
          <w:sz w:val="22"/>
          <w:szCs w:val="22"/>
          <w:lang w:val="en-US" w:eastAsia="en-US" w:bidi="ar-SA"/>
        </w:rPr>
        <w:t>14830.</w:t>
      </w:r>
    </w:p>
    <w:p w14:paraId="0119BD76">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660512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Bersvendsen, T. and J. Ditzen (2021). "Testing for slope heterogeneity in Stata." </w:t>
      </w:r>
      <w:r>
        <w:rPr>
          <w:rFonts w:ascii="Calibri" w:hAnsi="Calibri" w:cs="Calibri" w:eastAsiaTheme="minorHAnsi"/>
          <w:sz w:val="22"/>
          <w:szCs w:val="22"/>
          <w:u w:val="single"/>
          <w:lang w:val="en-US" w:eastAsia="en-US" w:bidi="ar-SA"/>
        </w:rPr>
        <w:t>The Stata Journal</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21</w:t>
      </w:r>
      <w:r>
        <w:rPr>
          <w:rFonts w:ascii="Calibri" w:hAnsi="Calibri" w:cs="Calibri" w:eastAsiaTheme="minorHAnsi"/>
          <w:sz w:val="22"/>
          <w:szCs w:val="22"/>
          <w:lang w:val="en-US" w:eastAsia="en-US" w:bidi="ar-SA"/>
        </w:rPr>
        <w:t>(1): 51–80.</w:t>
      </w:r>
    </w:p>
    <w:p w14:paraId="26646256">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139C535">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Bhavsar, V. and P. K. Samanta (2021). "Investigating the sustainability of digital payments in India." </w:t>
      </w:r>
      <w:r>
        <w:rPr>
          <w:rFonts w:ascii="Calibri" w:hAnsi="Calibri" w:cs="Calibri" w:eastAsiaTheme="minorHAnsi"/>
          <w:sz w:val="22"/>
          <w:szCs w:val="22"/>
          <w:u w:val="single"/>
          <w:lang w:val="en-US" w:eastAsia="en-US" w:bidi="ar-SA"/>
        </w:rPr>
        <w:t>Orissa Journal of Commerce</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42</w:t>
      </w:r>
      <w:r>
        <w:rPr>
          <w:rFonts w:ascii="Calibri" w:hAnsi="Calibri" w:cs="Calibri" w:eastAsiaTheme="minorHAnsi"/>
          <w:sz w:val="22"/>
          <w:szCs w:val="22"/>
          <w:lang w:val="en-US" w:eastAsia="en-US" w:bidi="ar-SA"/>
        </w:rPr>
        <w:t>(2): 95–108.</w:t>
      </w:r>
    </w:p>
    <w:p w14:paraId="5B70C8DD">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31DE54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Bhavsar, V. and P. K. Samanta (2022). </w:t>
      </w:r>
      <w:r>
        <w:rPr>
          <w:rFonts w:ascii="Calibri" w:hAnsi="Calibri" w:cs="Calibri" w:eastAsiaTheme="minorHAnsi"/>
          <w:sz w:val="22"/>
          <w:szCs w:val="22"/>
          <w:u w:val="single"/>
          <w:lang w:val="en-US" w:eastAsia="en-US" w:bidi="ar-SA"/>
        </w:rPr>
        <w:t>Sustainability of digital payments: Empirical evidence from India</w:t>
      </w:r>
      <w:r>
        <w:rPr>
          <w:rFonts w:ascii="Calibri" w:hAnsi="Calibri" w:cs="Calibri" w:eastAsiaTheme="minorHAnsi"/>
          <w:sz w:val="22"/>
          <w:szCs w:val="22"/>
          <w:lang w:val="en-US" w:eastAsia="en-US" w:bidi="ar-SA"/>
        </w:rPr>
        <w:t>. 2nd International Conference on Sustainability and Equity (ICSE-2021), Atlantis Press.</w:t>
      </w:r>
    </w:p>
    <w:p w14:paraId="63D8FDBD">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38B2AFDA">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Breuer, J. B., et al. (2002). "Series‐specific unit root tests with panel data." </w:t>
      </w:r>
      <w:r>
        <w:rPr>
          <w:rFonts w:ascii="Calibri" w:hAnsi="Calibri" w:cs="Calibri" w:eastAsiaTheme="minorHAnsi"/>
          <w:sz w:val="22"/>
          <w:szCs w:val="22"/>
          <w:u w:val="single"/>
          <w:lang w:val="en-US" w:eastAsia="en-US" w:bidi="ar-SA"/>
        </w:rPr>
        <w:t>Oxford Bulletin of Economics and statistics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64</w:t>
      </w:r>
      <w:r>
        <w:rPr>
          <w:rFonts w:ascii="Calibri" w:hAnsi="Calibri" w:cs="Calibri" w:eastAsiaTheme="minorHAnsi"/>
          <w:sz w:val="22"/>
          <w:szCs w:val="22"/>
          <w:lang w:val="en-US" w:eastAsia="en-US" w:bidi="ar-SA"/>
        </w:rPr>
        <w:t>(5): 527–546.</w:t>
      </w:r>
    </w:p>
    <w:p w14:paraId="3C50CE3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EF0ED4F">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Breusch, T. S. and A. R. Pagan (1980). "The Lagrange multiplier test and its applications to model specification in econometrics." </w:t>
      </w:r>
      <w:r>
        <w:rPr>
          <w:rFonts w:ascii="Calibri" w:hAnsi="Calibri" w:cs="Calibri" w:eastAsiaTheme="minorHAnsi"/>
          <w:sz w:val="22"/>
          <w:szCs w:val="22"/>
          <w:u w:val="single"/>
          <w:lang w:val="en-US" w:eastAsia="en-US" w:bidi="ar-SA"/>
        </w:rPr>
        <w:t>The review of economic studies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47</w:t>
      </w:r>
      <w:r>
        <w:rPr>
          <w:rFonts w:ascii="Calibri" w:hAnsi="Calibri" w:cs="Calibri" w:eastAsiaTheme="minorHAnsi"/>
          <w:sz w:val="22"/>
          <w:szCs w:val="22"/>
          <w:lang w:val="en-US" w:eastAsia="en-US" w:bidi="ar-SA"/>
        </w:rPr>
        <w:t>(1): 239–253.</w:t>
      </w:r>
    </w:p>
    <w:p w14:paraId="7ED48A07">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458C47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Bwala, D. G., et al. (2023). "COVID-19 pandemic impacted food security and caused psychosocial stress in selected states of Nigeria." </w:t>
      </w:r>
      <w:r>
        <w:rPr>
          <w:rFonts w:ascii="Calibri" w:hAnsi="Calibri" w:cs="Calibri" w:eastAsiaTheme="minorHAnsi"/>
          <w:sz w:val="22"/>
          <w:szCs w:val="22"/>
          <w:u w:val="single"/>
          <w:lang w:val="en-US" w:eastAsia="en-US" w:bidi="ar-SA"/>
        </w:rPr>
        <w:t>International Journal of Environmental Research and Public Health</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20</w:t>
      </w:r>
      <w:r>
        <w:rPr>
          <w:rFonts w:ascii="Calibri" w:hAnsi="Calibri" w:cs="Calibri" w:eastAsiaTheme="minorHAnsi"/>
          <w:sz w:val="22"/>
          <w:szCs w:val="22"/>
          <w:lang w:val="en-US" w:eastAsia="en-US" w:bidi="ar-SA"/>
        </w:rPr>
        <w:t>(5): 4016.</w:t>
      </w:r>
    </w:p>
    <w:p w14:paraId="00E35481">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73A982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Chatterjee, S., et al. (2015). "Assessing India's progress in achieving the millennium development goals: key drivers of inter-state variations."</w:t>
      </w:r>
    </w:p>
    <w:p w14:paraId="4DDCF472">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5F45161">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Chen, M., et al. (2021). "Impact of technological innovation on energy efficiency in industry 4.0 era: Moderation of shadow economy in sustainable development." </w:t>
      </w:r>
      <w:r>
        <w:rPr>
          <w:rFonts w:ascii="Calibri" w:hAnsi="Calibri" w:cs="Calibri" w:eastAsiaTheme="minorHAnsi"/>
          <w:sz w:val="22"/>
          <w:szCs w:val="22"/>
          <w:u w:val="single"/>
          <w:lang w:val="en-US" w:eastAsia="en-US" w:bidi="ar-SA"/>
        </w:rPr>
        <w:t>Technological Forecasting and Social Change</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164</w:t>
      </w:r>
      <w:r>
        <w:rPr>
          <w:rFonts w:ascii="Calibri" w:hAnsi="Calibri" w:cs="Calibri" w:eastAsiaTheme="minorHAnsi"/>
          <w:sz w:val="22"/>
          <w:szCs w:val="22"/>
          <w:lang w:val="en-US" w:eastAsia="en-US" w:bidi="ar-SA"/>
        </w:rPr>
        <w:t>: 120521.</w:t>
      </w:r>
    </w:p>
    <w:p w14:paraId="4CD7B770">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4668D9F">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Chudik, A. and M. H. Pesaran (2015). "Common correlated effects estimation of heterogeneous dynamic panel data models with weakly exogenous regressors." </w:t>
      </w:r>
      <w:r>
        <w:rPr>
          <w:rFonts w:ascii="Calibri" w:hAnsi="Calibri" w:cs="Calibri" w:eastAsiaTheme="minorHAnsi"/>
          <w:sz w:val="22"/>
          <w:szCs w:val="22"/>
          <w:u w:val="single"/>
          <w:lang w:val="en-US" w:eastAsia="en-US" w:bidi="ar-SA"/>
        </w:rPr>
        <w:t>Journal of econometrics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188</w:t>
      </w:r>
      <w:r>
        <w:rPr>
          <w:rFonts w:ascii="Calibri" w:hAnsi="Calibri" w:cs="Calibri" w:eastAsiaTheme="minorHAnsi"/>
          <w:sz w:val="22"/>
          <w:szCs w:val="22"/>
          <w:lang w:val="en-US" w:eastAsia="en-US" w:bidi="ar-SA"/>
        </w:rPr>
        <w:t>(2): 393–420.</w:t>
      </w:r>
    </w:p>
    <w:p w14:paraId="1A54D5DD">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453489A">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Constantinescu, A. and S. Frone (2014). "The role of technological innovation in sustainable ec omic development."</w:t>
      </w:r>
    </w:p>
    <w:p w14:paraId="06938233">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7B00988">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Danladi, S., et al. (2023). "Attaining sustainable development goals through financial inclusion: exploring collaborative approaches to Fintech adoption in developing economies." </w:t>
      </w:r>
      <w:r>
        <w:rPr>
          <w:rFonts w:ascii="Calibri" w:hAnsi="Calibri" w:cs="Calibri" w:eastAsiaTheme="minorHAnsi"/>
          <w:sz w:val="22"/>
          <w:szCs w:val="22"/>
          <w:u w:val="single"/>
          <w:lang w:val="en-US" w:eastAsia="en-US" w:bidi="ar-SA"/>
        </w:rPr>
        <w:t>Sustainability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15</w:t>
      </w:r>
      <w:r>
        <w:rPr>
          <w:rFonts w:ascii="Calibri" w:hAnsi="Calibri" w:cs="Calibri" w:eastAsiaTheme="minorHAnsi"/>
          <w:sz w:val="22"/>
          <w:szCs w:val="22"/>
          <w:lang w:val="en-US" w:eastAsia="en-US" w:bidi="ar-SA"/>
        </w:rPr>
        <w:t>(17): 13039.</w:t>
      </w:r>
    </w:p>
    <w:p w14:paraId="108016E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02D049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Daño, N., et al. (2014). "Addressing the “Technology Divides”: Critical Issues in Technology and SDGs." </w:t>
      </w:r>
      <w:r>
        <w:rPr>
          <w:rFonts w:ascii="Calibri" w:hAnsi="Calibri" w:cs="Calibri" w:eastAsiaTheme="minorHAnsi"/>
          <w:sz w:val="22"/>
          <w:szCs w:val="22"/>
          <w:u w:val="single"/>
          <w:lang w:val="en-US" w:eastAsia="en-US" w:bidi="ar-SA"/>
        </w:rPr>
        <w:t xml:space="preserve">Briefing Paper: Science, Technology and Innovation (STI) 6 th Session of the Open Working Group on SDGs.[Online] Available from: </w:t>
      </w:r>
      <w:r>
        <w:rPr>
          <w:rFonts w:ascii="Calibri" w:hAnsi="Calibri" w:cs="Calibri" w:eastAsiaTheme="minorHAnsi"/>
          <w:sz w:val="22"/>
          <w:szCs w:val="22"/>
          <w:u w:val="single"/>
          <w:lang w:val="en-US" w:eastAsia="en-US" w:bidi="ar-SA"/>
        </w:rPr>
        <w:fldChar w:fldCharType="begin"/>
      </w:r>
      <w:r>
        <w:rPr>
          <w:rFonts w:ascii="Calibri" w:hAnsi="Calibri" w:cs="Calibri" w:eastAsiaTheme="minorHAnsi"/>
          <w:sz w:val="22"/>
          <w:szCs w:val="22"/>
          <w:u w:val="single"/>
          <w:lang w:val="en-US" w:eastAsia="en-US" w:bidi="ar-SA"/>
        </w:rPr>
        <w:instrText xml:space="preserve"> HYPERLINK "https://sustainabledevelopment" </w:instrText>
      </w:r>
      <w:r>
        <w:rPr>
          <w:rFonts w:ascii="Calibri" w:hAnsi="Calibri" w:cs="Calibri" w:eastAsiaTheme="minorHAnsi"/>
          <w:sz w:val="22"/>
          <w:szCs w:val="22"/>
          <w:u w:val="single"/>
          <w:lang w:val="en-US" w:eastAsia="en-US" w:bidi="ar-SA"/>
        </w:rPr>
        <w:fldChar w:fldCharType="separate"/>
      </w:r>
      <w:r>
        <w:rPr>
          <w:rStyle w:val="11"/>
          <w:rFonts w:ascii="Calibri" w:hAnsi="Calibri" w:cs="Calibri" w:eastAsiaTheme="minorHAnsi"/>
          <w:sz w:val="22"/>
          <w:szCs w:val="22"/>
          <w:lang w:val="en-US" w:eastAsia="en-US" w:bidi="ar-SA"/>
        </w:rPr>
        <w:t>https://sustainabledevelopment</w:t>
      </w:r>
      <w:r>
        <w:rPr>
          <w:rFonts w:ascii="Calibri" w:hAnsi="Calibri" w:cs="Calibri" w:eastAsiaTheme="minorHAnsi"/>
          <w:sz w:val="22"/>
          <w:szCs w:val="22"/>
          <w:u w:val="single"/>
          <w:lang w:val="en-US" w:eastAsia="en-US" w:bidi="ar-SA"/>
        </w:rPr>
        <w:fldChar w:fldCharType="end"/>
      </w:r>
      <w:r>
        <w:rPr>
          <w:rFonts w:ascii="Calibri" w:hAnsi="Calibri" w:cs="Calibri" w:eastAsiaTheme="minorHAnsi"/>
          <w:sz w:val="22"/>
          <w:szCs w:val="22"/>
          <w:u w:val="single"/>
          <w:lang w:val="en-US" w:eastAsia="en-US" w:bidi="ar-SA"/>
        </w:rPr>
        <w:t>. un. org/content/documents/4673dano. pdf</w:t>
      </w:r>
      <w:r>
        <w:rPr>
          <w:rFonts w:ascii="Calibri" w:hAnsi="Calibri" w:cs="Calibri" w:eastAsiaTheme="minorHAnsi"/>
          <w:sz w:val="22"/>
          <w:szCs w:val="22"/>
          <w:lang w:val="en-US" w:eastAsia="en-US" w:bidi="ar-SA"/>
        </w:rPr>
        <w:t>.</w:t>
      </w:r>
    </w:p>
    <w:p w14:paraId="0EC12582">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8AC6527">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Dikshit, S. and A. Pandey (2021). "Role of financial inclusion in realising sustainable development goals (SDGs)." </w:t>
      </w:r>
      <w:r>
        <w:rPr>
          <w:rFonts w:ascii="Calibri" w:hAnsi="Calibri" w:cs="Calibri" w:eastAsiaTheme="minorHAnsi"/>
          <w:sz w:val="22"/>
          <w:szCs w:val="22"/>
          <w:u w:val="single"/>
          <w:lang w:val="en-US" w:eastAsia="en-US" w:bidi="ar-SA"/>
        </w:rPr>
        <w:t>International journal of research in finance and management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4</w:t>
      </w:r>
      <w:r>
        <w:rPr>
          <w:rFonts w:ascii="Calibri" w:hAnsi="Calibri" w:cs="Calibri" w:eastAsiaTheme="minorHAnsi"/>
          <w:sz w:val="22"/>
          <w:szCs w:val="22"/>
          <w:lang w:val="en-US" w:eastAsia="en-US" w:bidi="ar-SA"/>
        </w:rPr>
        <w:t>(2): 35–39.</w:t>
      </w:r>
    </w:p>
    <w:p w14:paraId="7B899F35">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17A826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Ghosh, S. (2022). "Gender and financial inclusion: does technology make a difference?" </w:t>
      </w:r>
      <w:r>
        <w:rPr>
          <w:rFonts w:ascii="Calibri" w:hAnsi="Calibri" w:cs="Calibri" w:eastAsiaTheme="minorHAnsi"/>
          <w:sz w:val="22"/>
          <w:szCs w:val="22"/>
          <w:u w:val="single"/>
          <w:lang w:val="en-US" w:eastAsia="en-US" w:bidi="ar-SA"/>
        </w:rPr>
        <w:t>Gender, Technology and Development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26</w:t>
      </w:r>
      <w:r>
        <w:rPr>
          <w:rFonts w:ascii="Calibri" w:hAnsi="Calibri" w:cs="Calibri" w:eastAsiaTheme="minorHAnsi"/>
          <w:sz w:val="22"/>
          <w:szCs w:val="22"/>
          <w:lang w:val="en-US" w:eastAsia="en-US" w:bidi="ar-SA"/>
        </w:rPr>
        <w:t>(2): 195–213.</w:t>
      </w:r>
    </w:p>
    <w:p w14:paraId="2C00428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ABDA1E5">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Grifﬁn, W. M., et al. (2014). "Availability of biomass residues for co-firing in Peninsular Malaysia: Implications for cost and GHG emissions in the electricity sector." </w:t>
      </w:r>
      <w:r>
        <w:rPr>
          <w:rFonts w:ascii="Calibri" w:hAnsi="Calibri" w:cs="Calibri" w:eastAsiaTheme="minorHAnsi"/>
          <w:sz w:val="22"/>
          <w:szCs w:val="22"/>
          <w:u w:val="single"/>
          <w:lang w:val="en-US" w:eastAsia="en-US" w:bidi="ar-SA"/>
        </w:rPr>
        <w:t>Energies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7</w:t>
      </w:r>
      <w:r>
        <w:rPr>
          <w:rFonts w:ascii="Calibri" w:hAnsi="Calibri" w:cs="Calibri" w:eastAsiaTheme="minorHAnsi"/>
          <w:sz w:val="22"/>
          <w:szCs w:val="22"/>
          <w:lang w:val="en-US" w:eastAsia="en-US" w:bidi="ar-SA"/>
        </w:rPr>
        <w:t>(2): 804–823.</w:t>
      </w:r>
    </w:p>
    <w:p w14:paraId="0F3A23F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B8D30A0">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Grodzicki, T. and M. Jankiewicz (2024). "Building resilient infrastructure, supporting sustainable industrialization, and fostering innovation (SDG 9) in selected European countries: spatial and taxonomic analysis." </w:t>
      </w:r>
      <w:r>
        <w:rPr>
          <w:rFonts w:ascii="Calibri" w:hAnsi="Calibri" w:cs="Calibri" w:eastAsiaTheme="minorHAnsi"/>
          <w:sz w:val="22"/>
          <w:szCs w:val="22"/>
          <w:u w:val="single"/>
          <w:lang w:val="en-US" w:eastAsia="en-US" w:bidi="ar-SA"/>
        </w:rPr>
        <w:t>Bulletin of Geography. Socio-economic Series</w:t>
      </w:r>
      <w:r>
        <w:rPr>
          <w:rFonts w:ascii="Calibri" w:hAnsi="Calibri" w:cs="Calibri" w:eastAsiaTheme="minorHAnsi"/>
          <w:sz w:val="22"/>
          <w:szCs w:val="22"/>
          <w:lang w:val="en-US" w:eastAsia="en-US" w:bidi="ar-SA"/>
        </w:rPr>
        <w:t>(65): 85–97.</w:t>
      </w:r>
    </w:p>
    <w:p w14:paraId="03F5488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8B55A2C">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Hanson, S. W., et al. (2022). "Estimated global proportions of individuals with persistent fatigue, cognitive, and respiratory symptom clusters following symptomatic COVID-19 in 2020 and 2021." </w:t>
      </w:r>
      <w:r>
        <w:rPr>
          <w:rFonts w:ascii="Calibri" w:hAnsi="Calibri" w:cs="Calibri" w:eastAsiaTheme="minorHAnsi"/>
          <w:sz w:val="22"/>
          <w:szCs w:val="22"/>
          <w:u w:val="single"/>
          <w:lang w:val="en-US" w:eastAsia="en-US" w:bidi="ar-SA"/>
        </w:rPr>
        <w:t>Jama</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328</w:t>
      </w:r>
      <w:r>
        <w:rPr>
          <w:rFonts w:ascii="Calibri" w:hAnsi="Calibri" w:cs="Calibri" w:eastAsiaTheme="minorHAnsi"/>
          <w:sz w:val="22"/>
          <w:szCs w:val="22"/>
          <w:lang w:val="en-US" w:eastAsia="en-US" w:bidi="ar-SA"/>
        </w:rPr>
        <w:t>(16): 1604–1615.</w:t>
      </w:r>
    </w:p>
    <w:p w14:paraId="10298430">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1CAF10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Haruna, M. A., et al. (2022). "How responsive is the poverty to the foreign direct investment inflows in Nigeria? Evidence from linear and non-linear ARDL." </w:t>
      </w:r>
      <w:r>
        <w:rPr>
          <w:rFonts w:ascii="Calibri" w:hAnsi="Calibri" w:cs="Calibri" w:eastAsiaTheme="minorHAnsi"/>
          <w:sz w:val="22"/>
          <w:szCs w:val="22"/>
          <w:u w:val="single"/>
          <w:lang w:val="en-US" w:eastAsia="en-US" w:bidi="ar-SA"/>
        </w:rPr>
        <w:t>International Journal of Social Economics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50</w:t>
      </w:r>
      <w:r>
        <w:rPr>
          <w:rFonts w:ascii="Calibri" w:hAnsi="Calibri" w:cs="Calibri" w:eastAsiaTheme="minorHAnsi"/>
          <w:sz w:val="22"/>
          <w:szCs w:val="22"/>
          <w:lang w:val="en-US" w:eastAsia="en-US" w:bidi="ar-SA"/>
        </w:rPr>
        <w:t>(1): 73–96.</w:t>
      </w:r>
    </w:p>
    <w:p w14:paraId="566E59A1">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F08C87E">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Hasan, M. M., et al. (2022). "Towards technological adaptation of advanced farming through AI, IoT, and Robotics: A Comprehensive overview." </w:t>
      </w:r>
      <w:r>
        <w:rPr>
          <w:rFonts w:ascii="Calibri" w:hAnsi="Calibri" w:cs="Calibri" w:eastAsiaTheme="minorHAnsi"/>
          <w:sz w:val="22"/>
          <w:szCs w:val="22"/>
          <w:u w:val="single"/>
          <w:lang w:val="en-US" w:eastAsia="en-US" w:bidi="ar-SA"/>
        </w:rPr>
        <w:t>arXiv preprint arXiv:2202.10459</w:t>
      </w:r>
      <w:r>
        <w:rPr>
          <w:rFonts w:ascii="Calibri" w:hAnsi="Calibri" w:cs="Calibri" w:eastAsiaTheme="minorHAnsi"/>
          <w:sz w:val="22"/>
          <w:szCs w:val="22"/>
          <w:lang w:val="en-US" w:eastAsia="en-US" w:bidi="ar-SA"/>
        </w:rPr>
        <w:t>.</w:t>
      </w:r>
    </w:p>
    <w:p w14:paraId="668BB6CD">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B56B0E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Herwartz, H. and F. Siedenburg (2008). "Homogenous panel unit root tests under cross sectional dependence: Finite sample modifications and the wild bootstrap." </w:t>
      </w:r>
      <w:r>
        <w:rPr>
          <w:rFonts w:ascii="Calibri" w:hAnsi="Calibri" w:cs="Calibri" w:eastAsiaTheme="minorHAnsi"/>
          <w:sz w:val="22"/>
          <w:szCs w:val="22"/>
          <w:u w:val="single"/>
          <w:lang w:val="en-US" w:eastAsia="en-US" w:bidi="ar-SA"/>
        </w:rPr>
        <w:t>Computational Statistics &amp; Data Analysis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53</w:t>
      </w:r>
      <w:r>
        <w:rPr>
          <w:rFonts w:ascii="Calibri" w:hAnsi="Calibri" w:cs="Calibri" w:eastAsiaTheme="minorHAnsi"/>
          <w:sz w:val="22"/>
          <w:szCs w:val="22"/>
          <w:lang w:val="en-US" w:eastAsia="en-US" w:bidi="ar-SA"/>
        </w:rPr>
        <w:t>(1): 137–150.</w:t>
      </w:r>
    </w:p>
    <w:p w14:paraId="1F97D9DB">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6F09E14">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Hoang, T. G., et al. (2022). Developments in financial technologies for achieving the sustainable development goals (SDGs): FinTech and SDGs. </w:t>
      </w:r>
      <w:r>
        <w:rPr>
          <w:rFonts w:ascii="Calibri" w:hAnsi="Calibri" w:cs="Calibri" w:eastAsiaTheme="minorHAnsi"/>
          <w:sz w:val="22"/>
          <w:szCs w:val="22"/>
          <w:u w:val="single"/>
          <w:lang w:val="en-US" w:eastAsia="en-US" w:bidi="ar-SA"/>
        </w:rPr>
        <w:t>Disruptive technologies and eco-innovation for sustainable development</w:t>
      </w:r>
      <w:r>
        <w:rPr>
          <w:rFonts w:ascii="Calibri" w:hAnsi="Calibri" w:cs="Calibri" w:eastAsiaTheme="minorHAnsi"/>
          <w:sz w:val="22"/>
          <w:szCs w:val="22"/>
          <w:lang w:val="en-US" w:eastAsia="en-US" w:bidi="ar-SA"/>
        </w:rPr>
        <w:t>, IGI Global</w:t>
      </w:r>
      <w:r>
        <w:rPr>
          <w:rFonts w:ascii="Calibri" w:hAnsi="Calibri" w:cs="Calibri" w:eastAsiaTheme="minorHAnsi"/>
          <w:b/>
          <w:sz w:val="22"/>
          <w:szCs w:val="22"/>
          <w:lang w:val="en-US" w:eastAsia="en-US" w:bidi="ar-SA"/>
        </w:rPr>
        <w:t xml:space="preserve">: </w:t>
      </w:r>
      <w:r>
        <w:rPr>
          <w:rFonts w:ascii="Calibri" w:hAnsi="Calibri" w:cs="Calibri" w:eastAsiaTheme="minorHAnsi"/>
          <w:sz w:val="22"/>
          <w:szCs w:val="22"/>
          <w:lang w:val="en-US" w:eastAsia="en-US" w:bidi="ar-SA"/>
        </w:rPr>
        <w:t>1–19.</w:t>
      </w:r>
    </w:p>
    <w:p w14:paraId="2E74518E">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3C2D99A">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Ismail, M. and M. Scholar (2024). "The Impact of Climate Change on Zero Hunger in South Asia."</w:t>
      </w:r>
    </w:p>
    <w:p w14:paraId="65DC814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0957D84">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Jahanger, A., et al. (2024). "Going away or going green in ASEAN countries: Testing the impact of green financing and energy on environmental sustainability." </w:t>
      </w:r>
      <w:r>
        <w:rPr>
          <w:rFonts w:ascii="Calibri" w:hAnsi="Calibri" w:cs="Calibri" w:eastAsiaTheme="minorHAnsi"/>
          <w:sz w:val="22"/>
          <w:szCs w:val="22"/>
          <w:u w:val="single"/>
          <w:lang w:val="en-US" w:eastAsia="en-US" w:bidi="ar-SA"/>
        </w:rPr>
        <w:t>Energy &amp; Environment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35</w:t>
      </w:r>
      <w:r>
        <w:rPr>
          <w:rFonts w:ascii="Calibri" w:hAnsi="Calibri" w:cs="Calibri" w:eastAsiaTheme="minorHAnsi"/>
          <w:sz w:val="22"/>
          <w:szCs w:val="22"/>
          <w:lang w:val="en-US" w:eastAsia="en-US" w:bidi="ar-SA"/>
        </w:rPr>
        <w:t>(7): 3759–3784.</w:t>
      </w:r>
    </w:p>
    <w:p w14:paraId="3D5308CC">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C9A057E">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Jia, S., et al. (2021). "Sustainable development goals, financial inclusion, and grain security efficiency." </w:t>
      </w:r>
      <w:r>
        <w:rPr>
          <w:rFonts w:ascii="Calibri" w:hAnsi="Calibri" w:cs="Calibri" w:eastAsiaTheme="minorHAnsi"/>
          <w:sz w:val="22"/>
          <w:szCs w:val="22"/>
          <w:u w:val="single"/>
          <w:lang w:val="en-US" w:eastAsia="en-US" w:bidi="ar-SA"/>
        </w:rPr>
        <w:t>Agronomy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11</w:t>
      </w:r>
      <w:r>
        <w:rPr>
          <w:rFonts w:ascii="Calibri" w:hAnsi="Calibri" w:cs="Calibri" w:eastAsiaTheme="minorHAnsi"/>
          <w:sz w:val="22"/>
          <w:szCs w:val="22"/>
          <w:lang w:val="en-US" w:eastAsia="en-US" w:bidi="ar-SA"/>
        </w:rPr>
        <w:t>(12): 2542.</w:t>
      </w:r>
    </w:p>
    <w:p w14:paraId="5831F222">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69FF2D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Jia, Z., et al. (2021). "The effects and reacts of COVID-19 pandemic and international oil price on energy, economy, and environment in China." </w:t>
      </w:r>
      <w:r>
        <w:rPr>
          <w:rFonts w:ascii="Calibri" w:hAnsi="Calibri" w:cs="Calibri" w:eastAsiaTheme="minorHAnsi"/>
          <w:sz w:val="22"/>
          <w:szCs w:val="22"/>
          <w:u w:val="single"/>
          <w:lang w:val="en-US" w:eastAsia="en-US" w:bidi="ar-SA"/>
        </w:rPr>
        <w:t>Applied Energy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302</w:t>
      </w:r>
      <w:r>
        <w:rPr>
          <w:rFonts w:ascii="Calibri" w:hAnsi="Calibri" w:cs="Calibri" w:eastAsiaTheme="minorHAnsi"/>
          <w:sz w:val="22"/>
          <w:szCs w:val="22"/>
          <w:lang w:val="en-US" w:eastAsia="en-US" w:bidi="ar-SA"/>
        </w:rPr>
        <w:t>: 117612.</w:t>
      </w:r>
    </w:p>
    <w:p w14:paraId="73856026">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315951E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Jin, C., et al. (2022). "Socio-economic and environmental drivers of green innovation: evidence from nonlinear ARDL." </w:t>
      </w:r>
      <w:r>
        <w:rPr>
          <w:rFonts w:ascii="Calibri" w:hAnsi="Calibri" w:cs="Calibri" w:eastAsiaTheme="minorHAnsi"/>
          <w:sz w:val="22"/>
          <w:szCs w:val="22"/>
          <w:u w:val="single"/>
          <w:lang w:val="en-US" w:eastAsia="en-US" w:bidi="ar-SA"/>
        </w:rPr>
        <w:t>Economic research-Ekonomska istraživanja</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35</w:t>
      </w:r>
      <w:r>
        <w:rPr>
          <w:rFonts w:ascii="Calibri" w:hAnsi="Calibri" w:cs="Calibri" w:eastAsiaTheme="minorHAnsi"/>
          <w:sz w:val="22"/>
          <w:szCs w:val="22"/>
          <w:lang w:val="en-US" w:eastAsia="en-US" w:bidi="ar-SA"/>
        </w:rPr>
        <w:t>(1): 5336–5356.</w:t>
      </w:r>
    </w:p>
    <w:p w14:paraId="6B910EFC">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148A77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Jiranyakul, K. (2020). "Government Expenditures and Economic Growth: A Cointegration Analysis for Thailand under the Floating Exchange Rate Regime."</w:t>
      </w:r>
    </w:p>
    <w:p w14:paraId="075EA0C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CAC648F">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Kamilaris, A., et al. (2019). "Blockchain technology for the improvement of food supply chain management: A review." </w:t>
      </w:r>
      <w:r>
        <w:rPr>
          <w:rFonts w:ascii="Calibri" w:hAnsi="Calibri" w:cs="Calibri" w:eastAsiaTheme="minorHAnsi"/>
          <w:sz w:val="22"/>
          <w:szCs w:val="22"/>
          <w:u w:val="single"/>
          <w:lang w:val="en-US" w:eastAsia="en-US" w:bidi="ar-SA"/>
        </w:rPr>
        <w:t>Food Control</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105</w:t>
      </w:r>
      <w:r>
        <w:rPr>
          <w:rFonts w:ascii="Calibri" w:hAnsi="Calibri" w:cs="Calibri" w:eastAsiaTheme="minorHAnsi"/>
          <w:sz w:val="22"/>
          <w:szCs w:val="22"/>
          <w:lang w:val="en-US" w:eastAsia="en-US" w:bidi="ar-SA"/>
        </w:rPr>
        <w:t>: 124–134.</w:t>
      </w:r>
    </w:p>
    <w:p w14:paraId="74532E7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AB4C5E1">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Kaur, H., et al. (2023). Managing human resources in digital marketing. </w:t>
      </w:r>
      <w:r>
        <w:rPr>
          <w:rFonts w:ascii="Calibri" w:hAnsi="Calibri" w:cs="Calibri" w:eastAsiaTheme="minorHAnsi"/>
          <w:sz w:val="22"/>
          <w:szCs w:val="22"/>
          <w:u w:val="single"/>
          <w:lang w:val="en-US" w:eastAsia="en-US" w:bidi="ar-SA"/>
        </w:rPr>
        <w:t>Digital transformation, strategic resilience, cyber security and risk management</w:t>
      </w:r>
      <w:r>
        <w:rPr>
          <w:rFonts w:ascii="Calibri" w:hAnsi="Calibri" w:cs="Calibri" w:eastAsiaTheme="minorHAnsi"/>
          <w:sz w:val="22"/>
          <w:szCs w:val="22"/>
          <w:lang w:val="en-US" w:eastAsia="en-US" w:bidi="ar-SA"/>
        </w:rPr>
        <w:t>, Emerald Publishing Limited</w:t>
      </w:r>
      <w:r>
        <w:rPr>
          <w:rFonts w:ascii="Calibri" w:hAnsi="Calibri" w:cs="Calibri" w:eastAsiaTheme="minorHAnsi"/>
          <w:b/>
          <w:sz w:val="22"/>
          <w:szCs w:val="22"/>
          <w:lang w:val="en-US" w:eastAsia="en-US" w:bidi="ar-SA"/>
        </w:rPr>
        <w:t xml:space="preserve">: </w:t>
      </w:r>
      <w:r>
        <w:rPr>
          <w:rFonts w:ascii="Calibri" w:hAnsi="Calibri" w:cs="Calibri" w:eastAsiaTheme="minorHAnsi"/>
          <w:sz w:val="22"/>
          <w:szCs w:val="22"/>
          <w:lang w:val="en-US" w:eastAsia="en-US" w:bidi="ar-SA"/>
        </w:rPr>
        <w:t>155–162.</w:t>
      </w:r>
    </w:p>
    <w:p w14:paraId="163773B5">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EF446F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Kaur, J., et al. (2018). "A DEMATEL based approach for investigating barriers in green supply chain management in Canadian manufacturing firms." </w:t>
      </w:r>
      <w:r>
        <w:rPr>
          <w:rFonts w:ascii="Calibri" w:hAnsi="Calibri" w:cs="Calibri" w:eastAsiaTheme="minorHAnsi"/>
          <w:sz w:val="22"/>
          <w:szCs w:val="22"/>
          <w:u w:val="single"/>
          <w:lang w:val="en-US" w:eastAsia="en-US" w:bidi="ar-SA"/>
        </w:rPr>
        <w:t>International journal of production research</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56</w:t>
      </w:r>
      <w:r>
        <w:rPr>
          <w:rFonts w:ascii="Calibri" w:hAnsi="Calibri" w:cs="Calibri" w:eastAsiaTheme="minorHAnsi"/>
          <w:sz w:val="22"/>
          <w:szCs w:val="22"/>
          <w:lang w:val="en-US" w:eastAsia="en-US" w:bidi="ar-SA"/>
        </w:rPr>
        <w:t>(1-2): 312–332.</w:t>
      </w:r>
    </w:p>
    <w:p w14:paraId="491EC370">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58004BE">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Klapper, L., et al. (2016). "Achieving the sustainable development goals." </w:t>
      </w:r>
      <w:r>
        <w:rPr>
          <w:rFonts w:ascii="Calibri" w:hAnsi="Calibri" w:cs="Calibri" w:eastAsiaTheme="minorHAnsi"/>
          <w:sz w:val="22"/>
          <w:szCs w:val="22"/>
          <w:u w:val="single"/>
          <w:lang w:val="en-US" w:eastAsia="en-US" w:bidi="ar-SA"/>
        </w:rPr>
        <w:t xml:space="preserve">The role of financial inclusion. Available online: </w:t>
      </w:r>
      <w:r>
        <w:rPr>
          <w:rFonts w:ascii="Calibri" w:hAnsi="Calibri" w:cs="Calibri" w:eastAsiaTheme="minorHAnsi"/>
          <w:sz w:val="22"/>
          <w:szCs w:val="22"/>
          <w:u w:val="single"/>
          <w:lang w:val="en-US" w:eastAsia="en-US" w:bidi="ar-SA"/>
        </w:rPr>
        <w:fldChar w:fldCharType="begin"/>
      </w:r>
      <w:r>
        <w:rPr>
          <w:rFonts w:ascii="Calibri" w:hAnsi="Calibri" w:cs="Calibri" w:eastAsiaTheme="minorHAnsi"/>
          <w:sz w:val="22"/>
          <w:szCs w:val="22"/>
          <w:u w:val="single"/>
          <w:lang w:val="en-US" w:eastAsia="en-US" w:bidi="ar-SA"/>
        </w:rPr>
        <w:instrText xml:space="preserve"> HYPERLINK "http://www" </w:instrText>
      </w:r>
      <w:r>
        <w:rPr>
          <w:rFonts w:ascii="Calibri" w:hAnsi="Calibri" w:cs="Calibri" w:eastAsiaTheme="minorHAnsi"/>
          <w:sz w:val="22"/>
          <w:szCs w:val="22"/>
          <w:u w:val="single"/>
          <w:lang w:val="en-US" w:eastAsia="en-US" w:bidi="ar-SA"/>
        </w:rPr>
        <w:fldChar w:fldCharType="separate"/>
      </w:r>
      <w:r>
        <w:rPr>
          <w:rStyle w:val="11"/>
          <w:rFonts w:ascii="Calibri" w:hAnsi="Calibri" w:cs="Calibri" w:eastAsiaTheme="minorHAnsi"/>
          <w:sz w:val="22"/>
          <w:szCs w:val="22"/>
          <w:lang w:val="en-US" w:eastAsia="en-US" w:bidi="ar-SA"/>
        </w:rPr>
        <w:t>http://www</w:t>
      </w:r>
      <w:r>
        <w:rPr>
          <w:rFonts w:ascii="Calibri" w:hAnsi="Calibri" w:cs="Calibri" w:eastAsiaTheme="minorHAnsi"/>
          <w:sz w:val="22"/>
          <w:szCs w:val="22"/>
          <w:u w:val="single"/>
          <w:lang w:val="en-US" w:eastAsia="en-US" w:bidi="ar-SA"/>
        </w:rPr>
        <w:fldChar w:fldCharType="end"/>
      </w:r>
      <w:r>
        <w:rPr>
          <w:rFonts w:ascii="Calibri" w:hAnsi="Calibri" w:cs="Calibri" w:eastAsiaTheme="minorHAnsi"/>
          <w:sz w:val="22"/>
          <w:szCs w:val="22"/>
          <w:u w:val="single"/>
          <w:lang w:val="en-US" w:eastAsia="en-US" w:bidi="ar-SA"/>
        </w:rPr>
        <w:t>. ccgap. org. Accessed</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23</w:t>
      </w:r>
      <w:r>
        <w:rPr>
          <w:rFonts w:ascii="Calibri" w:hAnsi="Calibri" w:cs="Calibri" w:eastAsiaTheme="minorHAnsi"/>
          <w:sz w:val="22"/>
          <w:szCs w:val="22"/>
          <w:lang w:val="en-US" w:eastAsia="en-US" w:bidi="ar-SA"/>
        </w:rPr>
        <w:t>(5): 2016.</w:t>
      </w:r>
    </w:p>
    <w:p w14:paraId="0F4E6F05">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092312F">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Kumar, A., et al. (2021). "Explainable artificial intelligence for sarcasm detection in dialogues." </w:t>
      </w:r>
      <w:r>
        <w:rPr>
          <w:rFonts w:ascii="Calibri" w:hAnsi="Calibri" w:cs="Calibri" w:eastAsiaTheme="minorHAnsi"/>
          <w:sz w:val="22"/>
          <w:szCs w:val="22"/>
          <w:u w:val="single"/>
          <w:lang w:val="en-US" w:eastAsia="en-US" w:bidi="ar-SA"/>
        </w:rPr>
        <w:t>Wireless Communications and Mobile Computing</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2021</w:t>
      </w:r>
      <w:r>
        <w:rPr>
          <w:rFonts w:ascii="Calibri" w:hAnsi="Calibri" w:cs="Calibri" w:eastAsiaTheme="minorHAnsi"/>
          <w:sz w:val="22"/>
          <w:szCs w:val="22"/>
          <w:lang w:val="en-US" w:eastAsia="en-US" w:bidi="ar-SA"/>
        </w:rPr>
        <w:t>(1): 2939334.</w:t>
      </w:r>
    </w:p>
    <w:p w14:paraId="2B33EA2C">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854449E">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Kurniawan, B., et al. (2019). </w:t>
      </w:r>
      <w:r>
        <w:rPr>
          <w:rFonts w:ascii="Calibri" w:hAnsi="Calibri" w:cs="Calibri" w:eastAsiaTheme="minorHAnsi"/>
          <w:sz w:val="22"/>
          <w:szCs w:val="22"/>
          <w:u w:val="single"/>
          <w:lang w:val="en-US" w:eastAsia="en-US" w:bidi="ar-SA"/>
        </w:rPr>
        <w:t>An empirical study of reward structures for actor-critic reinforcement learning in air combat manoeuvring simulation</w:t>
      </w:r>
      <w:r>
        <w:rPr>
          <w:rFonts w:ascii="Calibri" w:hAnsi="Calibri" w:cs="Calibri" w:eastAsiaTheme="minorHAnsi"/>
          <w:sz w:val="22"/>
          <w:szCs w:val="22"/>
          <w:lang w:val="en-US" w:eastAsia="en-US" w:bidi="ar-SA"/>
        </w:rPr>
        <w:t>. Australasian Joint Conference on Artificial Intelligence, Springer.</w:t>
      </w:r>
    </w:p>
    <w:p w14:paraId="3DE7955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208A6A2">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Lekan, A., et al. (2022). "Disruptive technological innovations in construction field and fourth industrial revolution intervention in the achievement of the sustainable development goal 9." </w:t>
      </w:r>
      <w:r>
        <w:rPr>
          <w:rFonts w:ascii="Calibri" w:hAnsi="Calibri" w:cs="Calibri" w:eastAsiaTheme="minorHAnsi"/>
          <w:sz w:val="22"/>
          <w:szCs w:val="22"/>
          <w:u w:val="single"/>
          <w:lang w:val="en-US" w:eastAsia="en-US" w:bidi="ar-SA"/>
        </w:rPr>
        <w:t>International Journal of Construction Management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22</w:t>
      </w:r>
      <w:r>
        <w:rPr>
          <w:rFonts w:ascii="Calibri" w:hAnsi="Calibri" w:cs="Calibri" w:eastAsiaTheme="minorHAnsi"/>
          <w:sz w:val="22"/>
          <w:szCs w:val="22"/>
          <w:lang w:val="en-US" w:eastAsia="en-US" w:bidi="ar-SA"/>
        </w:rPr>
        <w:t>(14): 2647–2658.</w:t>
      </w:r>
    </w:p>
    <w:p w14:paraId="373A930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34F2D48C">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Maherali, A. (2017). Financial inclusion, digital payments and their impact on income and tax revenue around the world, Harvard University.</w:t>
      </w:r>
    </w:p>
    <w:p w14:paraId="1E7F613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F5B98D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Maherali, H. (2020). "Mutualism as a plant functional trait: Linking variation in the mycorrhizal symbiosis to climatic tolerance, geographic range, and population dynamics." </w:t>
      </w:r>
      <w:r>
        <w:rPr>
          <w:rFonts w:ascii="Calibri" w:hAnsi="Calibri" w:cs="Calibri" w:eastAsiaTheme="minorHAnsi"/>
          <w:sz w:val="22"/>
          <w:szCs w:val="22"/>
          <w:u w:val="single"/>
          <w:lang w:val="en-US" w:eastAsia="en-US" w:bidi="ar-SA"/>
        </w:rPr>
        <w:t>International Journal of Plant Sciences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181</w:t>
      </w:r>
      <w:r>
        <w:rPr>
          <w:rFonts w:ascii="Calibri" w:hAnsi="Calibri" w:cs="Calibri" w:eastAsiaTheme="minorHAnsi"/>
          <w:sz w:val="22"/>
          <w:szCs w:val="22"/>
          <w:lang w:val="en-US" w:eastAsia="en-US" w:bidi="ar-SA"/>
        </w:rPr>
        <w:t>(1): 9–19.</w:t>
      </w:r>
    </w:p>
    <w:p w14:paraId="6095FFD6">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3CA10F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Mallick, S. (2017). "Scientific perspective on sustainable development goals for Pakistan." </w:t>
      </w:r>
      <w:r>
        <w:rPr>
          <w:rFonts w:ascii="Calibri" w:hAnsi="Calibri" w:cs="Calibri" w:eastAsiaTheme="minorHAnsi"/>
          <w:sz w:val="22"/>
          <w:szCs w:val="22"/>
          <w:u w:val="single"/>
          <w:lang w:val="en-US" w:eastAsia="en-US" w:bidi="ar-SA"/>
        </w:rPr>
        <w:t>A scientific journal of comsats-science vision</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21</w:t>
      </w:r>
      <w:r>
        <w:rPr>
          <w:rFonts w:ascii="Calibri" w:hAnsi="Calibri" w:cs="Calibri" w:eastAsiaTheme="minorHAnsi"/>
          <w:sz w:val="22"/>
          <w:szCs w:val="22"/>
          <w:lang w:val="en-US" w:eastAsia="en-US" w:bidi="ar-SA"/>
        </w:rPr>
        <w:t>(1&amp;2): 51–62.</w:t>
      </w:r>
    </w:p>
    <w:p w14:paraId="706402DC">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BBC465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Manurung, E. T., et al. (2022). "Do Village Allocation Funds Contribute towards Alleviating Hunger among the Local Community (SDG# 2)? An Insight from Indonesia." </w:t>
      </w:r>
      <w:r>
        <w:rPr>
          <w:rFonts w:ascii="Calibri" w:hAnsi="Calibri" w:cs="Calibri" w:eastAsiaTheme="minorHAnsi"/>
          <w:sz w:val="22"/>
          <w:szCs w:val="22"/>
          <w:u w:val="single"/>
          <w:lang w:val="en-US" w:eastAsia="en-US" w:bidi="ar-SA"/>
        </w:rPr>
        <w:t>Economies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10</w:t>
      </w:r>
      <w:r>
        <w:rPr>
          <w:rFonts w:ascii="Calibri" w:hAnsi="Calibri" w:cs="Calibri" w:eastAsiaTheme="minorHAnsi"/>
          <w:sz w:val="22"/>
          <w:szCs w:val="22"/>
          <w:lang w:val="en-US" w:eastAsia="en-US" w:bidi="ar-SA"/>
        </w:rPr>
        <w:t>(7): 155.</w:t>
      </w:r>
    </w:p>
    <w:p w14:paraId="3CC58F4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35A7264">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Mersmann, F., et al. (2014). "Shifting paradigms: unpacking transformation for climate action; a guidebook for climate finance &amp; development practitioners."</w:t>
      </w:r>
    </w:p>
    <w:p w14:paraId="0DC40D7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8F3BBC8">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Mhlanga, D. (2020). "Industry 4.0 in finance: The impact of artificial intelligence (AI) on digital financial inclusion." </w:t>
      </w:r>
      <w:r>
        <w:rPr>
          <w:rFonts w:ascii="Calibri" w:hAnsi="Calibri" w:cs="Calibri" w:eastAsiaTheme="minorHAnsi"/>
          <w:sz w:val="22"/>
          <w:szCs w:val="22"/>
          <w:u w:val="single"/>
          <w:lang w:val="en-US" w:eastAsia="en-US" w:bidi="ar-SA"/>
        </w:rPr>
        <w:t>International Journal of Financial Studies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8</w:t>
      </w:r>
      <w:r>
        <w:rPr>
          <w:rFonts w:ascii="Calibri" w:hAnsi="Calibri" w:cs="Calibri" w:eastAsiaTheme="minorHAnsi"/>
          <w:sz w:val="22"/>
          <w:szCs w:val="22"/>
          <w:lang w:val="en-US" w:eastAsia="en-US" w:bidi="ar-SA"/>
        </w:rPr>
        <w:t>(3): 45.</w:t>
      </w:r>
    </w:p>
    <w:p w14:paraId="0791DD0E">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8A29D8F">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Michalek, J. and P. Ciaian (2014). "Capitalization of the single payment scheme into land value: generalized propensity score evidence from the European Union." </w:t>
      </w:r>
      <w:r>
        <w:rPr>
          <w:rFonts w:ascii="Calibri" w:hAnsi="Calibri" w:cs="Calibri" w:eastAsiaTheme="minorHAnsi"/>
          <w:sz w:val="22"/>
          <w:szCs w:val="22"/>
          <w:u w:val="single"/>
          <w:lang w:val="en-US" w:eastAsia="en-US" w:bidi="ar-SA"/>
        </w:rPr>
        <w:t>Land economics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90</w:t>
      </w:r>
      <w:r>
        <w:rPr>
          <w:rFonts w:ascii="Calibri" w:hAnsi="Calibri" w:cs="Calibri" w:eastAsiaTheme="minorHAnsi"/>
          <w:sz w:val="22"/>
          <w:szCs w:val="22"/>
          <w:lang w:val="en-US" w:eastAsia="en-US" w:bidi="ar-SA"/>
        </w:rPr>
        <w:t>(2): 260–289.</w:t>
      </w:r>
    </w:p>
    <w:p w14:paraId="473252B7">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65BBE4E">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Mishra, H. and P. Maheshwari (2020). "Achieving sustainable development goals through Fourth Industrial Revolution: an Indian perspective." </w:t>
      </w:r>
      <w:r>
        <w:rPr>
          <w:rFonts w:ascii="Calibri" w:hAnsi="Calibri" w:cs="Calibri" w:eastAsiaTheme="minorHAnsi"/>
          <w:sz w:val="22"/>
          <w:szCs w:val="22"/>
          <w:u w:val="single"/>
          <w:lang w:val="en-US" w:eastAsia="en-US" w:bidi="ar-SA"/>
        </w:rPr>
        <w:t>Indian Journal of Commerce and Management Studies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11</w:t>
      </w:r>
      <w:r>
        <w:rPr>
          <w:rFonts w:ascii="Calibri" w:hAnsi="Calibri" w:cs="Calibri" w:eastAsiaTheme="minorHAnsi"/>
          <w:sz w:val="22"/>
          <w:szCs w:val="22"/>
          <w:lang w:val="en-US" w:eastAsia="en-US" w:bidi="ar-SA"/>
        </w:rPr>
        <w:t>(2): 63–75.</w:t>
      </w:r>
    </w:p>
    <w:p w14:paraId="1CC153DB">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DF367F9">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Mpofu, F. Y. (2023). "Digital entrepreneurship, taxation of the digital economy, digital transformation, and sustainable development in Africa." </w:t>
      </w:r>
      <w:r>
        <w:rPr>
          <w:rFonts w:ascii="Calibri" w:hAnsi="Calibri" w:cs="Calibri" w:eastAsiaTheme="minorHAnsi"/>
          <w:sz w:val="22"/>
          <w:szCs w:val="22"/>
          <w:u w:val="single"/>
          <w:lang w:val="en-US" w:eastAsia="en-US" w:bidi="ar-SA"/>
        </w:rPr>
        <w:t>The Fourth Industrial Revolution in Africa: Exploring the Development Implications of Smart Technologies in Africa</w:t>
      </w:r>
      <w:r>
        <w:rPr>
          <w:rFonts w:ascii="Calibri" w:hAnsi="Calibri" w:cs="Calibri" w:eastAsiaTheme="minorHAnsi"/>
          <w:sz w:val="22"/>
          <w:szCs w:val="22"/>
          <w:lang w:val="en-US" w:eastAsia="en-US" w:bidi="ar-SA"/>
        </w:rPr>
        <w:t>: 193–219.</w:t>
      </w:r>
    </w:p>
    <w:p w14:paraId="407055E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72C86B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Mpofu, F. Y. and D. Mhlanga (2022). "Digital financial inclusion, digital financial services tax and financial inclusion in the fourth industrial revolution era in Africa." </w:t>
      </w:r>
      <w:r>
        <w:rPr>
          <w:rFonts w:ascii="Calibri" w:hAnsi="Calibri" w:cs="Calibri" w:eastAsiaTheme="minorHAnsi"/>
          <w:sz w:val="22"/>
          <w:szCs w:val="22"/>
          <w:u w:val="single"/>
          <w:lang w:val="en-US" w:eastAsia="en-US" w:bidi="ar-SA"/>
        </w:rPr>
        <w:t>Economies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10</w:t>
      </w:r>
      <w:r>
        <w:rPr>
          <w:rFonts w:ascii="Calibri" w:hAnsi="Calibri" w:cs="Calibri" w:eastAsiaTheme="minorHAnsi"/>
          <w:sz w:val="22"/>
          <w:szCs w:val="22"/>
          <w:lang w:val="en-US" w:eastAsia="en-US" w:bidi="ar-SA"/>
        </w:rPr>
        <w:t>(8): 184.</w:t>
      </w:r>
    </w:p>
    <w:p w14:paraId="62707F0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7B6AC8A">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Musango, J. K., et al. (2011). "Sustainable electricity generation technologies in South Africa: initiatives, challenges and policy implications." </w:t>
      </w:r>
      <w:r>
        <w:rPr>
          <w:rFonts w:ascii="Calibri" w:hAnsi="Calibri" w:cs="Calibri" w:eastAsiaTheme="minorHAnsi"/>
          <w:sz w:val="22"/>
          <w:szCs w:val="22"/>
          <w:u w:val="single"/>
          <w:lang w:val="en-US" w:eastAsia="en-US" w:bidi="ar-SA"/>
        </w:rPr>
        <w:t>Energy and Environment Research</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w:t>
      </w:r>
      <w:r>
        <w:rPr>
          <w:rFonts w:ascii="Calibri" w:hAnsi="Calibri" w:cs="Calibri" w:eastAsiaTheme="minorHAnsi"/>
          <w:sz w:val="22"/>
          <w:szCs w:val="22"/>
          <w:lang w:val="en-US" w:eastAsia="en-US" w:bidi="ar-SA"/>
        </w:rPr>
        <w:t>(1): 124.</w:t>
      </w:r>
    </w:p>
    <w:p w14:paraId="265B620E">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A9E49B5">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Musango, J. K. and A. M. Bassi (2021). "Towards a systemic assessment of gendered energy transition in urban households." </w:t>
      </w:r>
      <w:r>
        <w:rPr>
          <w:rFonts w:ascii="Calibri" w:hAnsi="Calibri" w:cs="Calibri" w:eastAsiaTheme="minorHAnsi"/>
          <w:sz w:val="22"/>
          <w:szCs w:val="22"/>
          <w:u w:val="single"/>
          <w:lang w:val="en-US" w:eastAsia="en-US" w:bidi="ar-SA"/>
        </w:rPr>
        <w:t>Energies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14</w:t>
      </w:r>
      <w:r>
        <w:rPr>
          <w:rFonts w:ascii="Calibri" w:hAnsi="Calibri" w:cs="Calibri" w:eastAsiaTheme="minorHAnsi"/>
          <w:sz w:val="22"/>
          <w:szCs w:val="22"/>
          <w:lang w:val="en-US" w:eastAsia="en-US" w:bidi="ar-SA"/>
        </w:rPr>
        <w:t>(21): 7251.</w:t>
      </w:r>
    </w:p>
    <w:p w14:paraId="78AB997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C246940">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Nabarro, D. (2016). "Transforming our world: How the Sustainable Development Goals will help us achieve zero hunger."</w:t>
      </w:r>
    </w:p>
    <w:p w14:paraId="0ADFEBB3">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26A3E25">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Naghavi, M., et al. (2024). "Global burden of 288 causes of death and life expectancy decomposition in 204 countries and territories and 811 subnational locations, 1990–2021: a systematic analysis for the Global Burden of Disease Study 2021." </w:t>
      </w:r>
      <w:r>
        <w:rPr>
          <w:rFonts w:ascii="Calibri" w:hAnsi="Calibri" w:cs="Calibri" w:eastAsiaTheme="minorHAnsi"/>
          <w:sz w:val="22"/>
          <w:szCs w:val="22"/>
          <w:u w:val="single"/>
          <w:lang w:val="en-US" w:eastAsia="en-US" w:bidi="ar-SA"/>
        </w:rPr>
        <w:t>The Lancet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403</w:t>
      </w:r>
      <w:r>
        <w:rPr>
          <w:rFonts w:ascii="Calibri" w:hAnsi="Calibri" w:cs="Calibri" w:eastAsiaTheme="minorHAnsi"/>
          <w:sz w:val="22"/>
          <w:szCs w:val="22"/>
          <w:lang w:val="en-US" w:eastAsia="en-US" w:bidi="ar-SA"/>
        </w:rPr>
        <w:t>(10440): 2100–2132.</w:t>
      </w:r>
    </w:p>
    <w:p w14:paraId="0C51488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218AA49">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Ogunyemi, J. J. and I. A. Olubiyi (2023). "Attaining SDG 2 (Zero Hunger) in Nigeria: The Role of the Plant Variety Protection Act 2021." </w:t>
      </w:r>
      <w:r>
        <w:rPr>
          <w:rFonts w:ascii="Calibri" w:hAnsi="Calibri" w:cs="Calibri" w:eastAsiaTheme="minorHAnsi"/>
          <w:sz w:val="22"/>
          <w:szCs w:val="22"/>
          <w:u w:val="single"/>
          <w:lang w:val="en-US" w:eastAsia="en-US" w:bidi="ar-SA"/>
        </w:rPr>
        <w:t>ABUAD Law Journal</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11</w:t>
      </w:r>
      <w:r>
        <w:rPr>
          <w:rFonts w:ascii="Calibri" w:hAnsi="Calibri" w:cs="Calibri" w:eastAsiaTheme="minorHAnsi"/>
          <w:sz w:val="22"/>
          <w:szCs w:val="22"/>
          <w:lang w:val="en-US" w:eastAsia="en-US" w:bidi="ar-SA"/>
        </w:rPr>
        <w:t>(1): 1–16.</w:t>
      </w:r>
    </w:p>
    <w:p w14:paraId="2CFD5BB5">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57CFCCC">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Olga, M., et al. (2015). "Sustainable development goals: why do we need them?" </w:t>
      </w:r>
      <w:r>
        <w:rPr>
          <w:rFonts w:ascii="Calibri" w:hAnsi="Calibri" w:cs="Calibri" w:eastAsiaTheme="minorHAnsi"/>
          <w:sz w:val="22"/>
          <w:szCs w:val="22"/>
          <w:u w:val="single"/>
          <w:lang w:val="en-US" w:eastAsia="en-US" w:bidi="ar-SA"/>
        </w:rPr>
        <w:t>Social Evolution &amp; History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14</w:t>
      </w:r>
      <w:r>
        <w:rPr>
          <w:rFonts w:ascii="Calibri" w:hAnsi="Calibri" w:cs="Calibri" w:eastAsiaTheme="minorHAnsi"/>
          <w:sz w:val="22"/>
          <w:szCs w:val="22"/>
          <w:lang w:val="en-US" w:eastAsia="en-US" w:bidi="ar-SA"/>
        </w:rPr>
        <w:t>(2): 176–190.</w:t>
      </w:r>
    </w:p>
    <w:p w14:paraId="7068AF80">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D06D0A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Pandey, A., et al. (2022). "Investigating the impact of financial inclusion drivers, financial literacy and financial initiatives in fostering sustainable growth in North India." </w:t>
      </w:r>
      <w:r>
        <w:rPr>
          <w:rFonts w:ascii="Calibri" w:hAnsi="Calibri" w:cs="Calibri" w:eastAsiaTheme="minorHAnsi"/>
          <w:sz w:val="22"/>
          <w:szCs w:val="22"/>
          <w:u w:val="single"/>
          <w:lang w:val="en-US" w:eastAsia="en-US" w:bidi="ar-SA"/>
        </w:rPr>
        <w:t>Sustainability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14</w:t>
      </w:r>
      <w:r>
        <w:rPr>
          <w:rFonts w:ascii="Calibri" w:hAnsi="Calibri" w:cs="Calibri" w:eastAsiaTheme="minorHAnsi"/>
          <w:sz w:val="22"/>
          <w:szCs w:val="22"/>
          <w:lang w:val="en-US" w:eastAsia="en-US" w:bidi="ar-SA"/>
        </w:rPr>
        <w:t>(17): 11061.</w:t>
      </w:r>
    </w:p>
    <w:p w14:paraId="22A5BC25">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BECC3B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Pesaran, M. H. (2004). "General diagnostic tests for cross section dependence in panels. Cambridge Working Papers." </w:t>
      </w:r>
      <w:r>
        <w:rPr>
          <w:rFonts w:ascii="Calibri" w:hAnsi="Calibri" w:cs="Calibri" w:eastAsiaTheme="minorHAnsi"/>
          <w:sz w:val="22"/>
          <w:szCs w:val="22"/>
          <w:u w:val="single"/>
          <w:lang w:val="en-US" w:eastAsia="en-US" w:bidi="ar-SA"/>
        </w:rPr>
        <w:t>Economics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1240</w:t>
      </w:r>
      <w:r>
        <w:rPr>
          <w:rFonts w:ascii="Calibri" w:hAnsi="Calibri" w:cs="Calibri" w:eastAsiaTheme="minorHAnsi"/>
          <w:sz w:val="22"/>
          <w:szCs w:val="22"/>
          <w:lang w:val="en-US" w:eastAsia="en-US" w:bidi="ar-SA"/>
        </w:rPr>
        <w:t>(1): 1.</w:t>
      </w:r>
    </w:p>
    <w:p w14:paraId="0BC71417">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6D00BE7">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Pesaran, M. H. (2006). "Estimation and inference in large heterogeneous panels with a multifactor error structure." </w:t>
      </w:r>
      <w:r>
        <w:rPr>
          <w:rFonts w:ascii="Calibri" w:hAnsi="Calibri" w:cs="Calibri" w:eastAsiaTheme="minorHAnsi"/>
          <w:sz w:val="22"/>
          <w:szCs w:val="22"/>
          <w:u w:val="single"/>
          <w:lang w:val="en-US" w:eastAsia="en-US" w:bidi="ar-SA"/>
        </w:rPr>
        <w:t>Econometrica</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74</w:t>
      </w:r>
      <w:r>
        <w:rPr>
          <w:rFonts w:ascii="Calibri" w:hAnsi="Calibri" w:cs="Calibri" w:eastAsiaTheme="minorHAnsi"/>
          <w:sz w:val="22"/>
          <w:szCs w:val="22"/>
          <w:lang w:val="en-US" w:eastAsia="en-US" w:bidi="ar-SA"/>
        </w:rPr>
        <w:t>(4): 967–1012.</w:t>
      </w:r>
    </w:p>
    <w:p w14:paraId="32745B5B">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214C50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Pesaran, M. H. (2007). "A simple panel unit root test in the presence of cross‐section dependence." </w:t>
      </w:r>
      <w:r>
        <w:rPr>
          <w:rFonts w:ascii="Calibri" w:hAnsi="Calibri" w:cs="Calibri" w:eastAsiaTheme="minorHAnsi"/>
          <w:sz w:val="22"/>
          <w:szCs w:val="22"/>
          <w:u w:val="single"/>
          <w:lang w:val="en-US" w:eastAsia="en-US" w:bidi="ar-SA"/>
        </w:rPr>
        <w:t>Journal of applied econometrics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22</w:t>
      </w:r>
      <w:r>
        <w:rPr>
          <w:rFonts w:ascii="Calibri" w:hAnsi="Calibri" w:cs="Calibri" w:eastAsiaTheme="minorHAnsi"/>
          <w:sz w:val="22"/>
          <w:szCs w:val="22"/>
          <w:lang w:val="en-US" w:eastAsia="en-US" w:bidi="ar-SA"/>
        </w:rPr>
        <w:t>(2): 265–312.</w:t>
      </w:r>
    </w:p>
    <w:p w14:paraId="775AA257">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E68CF21">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Pesaran, M. H., et al. (2008). "A bias‐adjusted LM test of error cross‐section independence." </w:t>
      </w:r>
      <w:r>
        <w:rPr>
          <w:rFonts w:ascii="Calibri" w:hAnsi="Calibri" w:cs="Calibri" w:eastAsiaTheme="minorHAnsi"/>
          <w:sz w:val="22"/>
          <w:szCs w:val="22"/>
          <w:u w:val="single"/>
          <w:lang w:val="en-US" w:eastAsia="en-US" w:bidi="ar-SA"/>
        </w:rPr>
        <w:t>The econometrics journal</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11</w:t>
      </w:r>
      <w:r>
        <w:rPr>
          <w:rFonts w:ascii="Calibri" w:hAnsi="Calibri" w:cs="Calibri" w:eastAsiaTheme="minorHAnsi"/>
          <w:sz w:val="22"/>
          <w:szCs w:val="22"/>
          <w:lang w:val="en-US" w:eastAsia="en-US" w:bidi="ar-SA"/>
        </w:rPr>
        <w:t>(1): 105–127.</w:t>
      </w:r>
    </w:p>
    <w:p w14:paraId="33F39A27">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A7A807E">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Qureshi, M. E., et al. (2015). "Public policies for improving food and nutrition security at different scales." </w:t>
      </w:r>
      <w:r>
        <w:rPr>
          <w:rFonts w:ascii="Calibri" w:hAnsi="Calibri" w:cs="Calibri" w:eastAsiaTheme="minorHAnsi"/>
          <w:sz w:val="22"/>
          <w:szCs w:val="22"/>
          <w:u w:val="single"/>
          <w:lang w:val="en-US" w:eastAsia="en-US" w:bidi="ar-SA"/>
        </w:rPr>
        <w:t>Food Security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7</w:t>
      </w:r>
      <w:r>
        <w:rPr>
          <w:rFonts w:ascii="Calibri" w:hAnsi="Calibri" w:cs="Calibri" w:eastAsiaTheme="minorHAnsi"/>
          <w:sz w:val="22"/>
          <w:szCs w:val="22"/>
          <w:lang w:val="en-US" w:eastAsia="en-US" w:bidi="ar-SA"/>
        </w:rPr>
        <w:t>(2): 393–403.</w:t>
      </w:r>
    </w:p>
    <w:p w14:paraId="5BE9859C">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EA791A2">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Regmi, H. R., et al. (2019). "Crop yield response to climate change in different ecolozical zones of Nepal." </w:t>
      </w:r>
      <w:r>
        <w:rPr>
          <w:rFonts w:ascii="Calibri" w:hAnsi="Calibri" w:cs="Calibri" w:eastAsiaTheme="minorHAnsi"/>
          <w:sz w:val="22"/>
          <w:szCs w:val="22"/>
          <w:u w:val="single"/>
          <w:lang w:val="en-US" w:eastAsia="en-US" w:bidi="ar-SA"/>
        </w:rPr>
        <w:t>Asian Journal of Science and Technology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10</w:t>
      </w:r>
      <w:r>
        <w:rPr>
          <w:rFonts w:ascii="Calibri" w:hAnsi="Calibri" w:cs="Calibri" w:eastAsiaTheme="minorHAnsi"/>
          <w:sz w:val="22"/>
          <w:szCs w:val="22"/>
          <w:lang w:val="en-US" w:eastAsia="en-US" w:bidi="ar-SA"/>
        </w:rPr>
        <w:t>(11): 10484–10492.</w:t>
      </w:r>
    </w:p>
    <w:p w14:paraId="53D67453">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2A74BFE2">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Sadiq, R. and A. Mushtaq (2015). "Role of Islamic finance in achieving sustainable development goals." </w:t>
      </w:r>
      <w:r>
        <w:rPr>
          <w:rFonts w:ascii="Calibri" w:hAnsi="Calibri" w:cs="Calibri" w:eastAsiaTheme="minorHAnsi"/>
          <w:sz w:val="22"/>
          <w:szCs w:val="22"/>
          <w:u w:val="single"/>
          <w:lang w:val="en-US" w:eastAsia="en-US" w:bidi="ar-SA"/>
        </w:rPr>
        <w:t>Journal of Islamic Thought and Civilization</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5</w:t>
      </w:r>
      <w:r>
        <w:rPr>
          <w:rFonts w:ascii="Calibri" w:hAnsi="Calibri" w:cs="Calibri" w:eastAsiaTheme="minorHAnsi"/>
          <w:sz w:val="22"/>
          <w:szCs w:val="22"/>
          <w:lang w:val="en-US" w:eastAsia="en-US" w:bidi="ar-SA"/>
        </w:rPr>
        <w:t>(1): 46–55.</w:t>
      </w:r>
    </w:p>
    <w:p w14:paraId="1CE18679">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31096A6E">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Shin, Y., et al. (2014). Modelling asymmetric cointegration and dynamic multipliers in a nonlinear ARDL framework. </w:t>
      </w:r>
      <w:r>
        <w:rPr>
          <w:rFonts w:ascii="Calibri" w:hAnsi="Calibri" w:cs="Calibri" w:eastAsiaTheme="minorHAnsi"/>
          <w:sz w:val="22"/>
          <w:szCs w:val="22"/>
          <w:u w:val="single"/>
          <w:lang w:val="en-US" w:eastAsia="en-US" w:bidi="ar-SA"/>
        </w:rPr>
        <w:t>Festschrift in honor of Peter Schmidt: Econometric methods and applications</w:t>
      </w:r>
      <w:r>
        <w:rPr>
          <w:rFonts w:ascii="Calibri" w:hAnsi="Calibri" w:cs="Calibri" w:eastAsiaTheme="minorHAnsi"/>
          <w:sz w:val="22"/>
          <w:szCs w:val="22"/>
          <w:lang w:val="en-US" w:eastAsia="en-US" w:bidi="ar-SA"/>
        </w:rPr>
        <w:t>, Springer</w:t>
      </w:r>
      <w:r>
        <w:rPr>
          <w:rFonts w:ascii="Calibri" w:hAnsi="Calibri" w:cs="Calibri" w:eastAsiaTheme="minorHAnsi"/>
          <w:b/>
          <w:sz w:val="22"/>
          <w:szCs w:val="22"/>
          <w:lang w:val="en-US" w:eastAsia="en-US" w:bidi="ar-SA"/>
        </w:rPr>
        <w:t xml:space="preserve">: </w:t>
      </w:r>
      <w:r>
        <w:rPr>
          <w:rFonts w:ascii="Calibri" w:hAnsi="Calibri" w:cs="Calibri" w:eastAsiaTheme="minorHAnsi"/>
          <w:sz w:val="22"/>
          <w:szCs w:val="22"/>
          <w:lang w:val="en-US" w:eastAsia="en-US" w:bidi="ar-SA"/>
        </w:rPr>
        <w:t>281–314.</w:t>
      </w:r>
    </w:p>
    <w:p w14:paraId="09F8544B">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30DFB12">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Siddik, M. N. A. (2020). "Economic stimulus for COVID-19 pandemic and its determinants: evidence from cross-country analysis." </w:t>
      </w:r>
      <w:r>
        <w:rPr>
          <w:rFonts w:ascii="Calibri" w:hAnsi="Calibri" w:cs="Calibri" w:eastAsiaTheme="minorHAnsi"/>
          <w:sz w:val="22"/>
          <w:szCs w:val="22"/>
          <w:u w:val="single"/>
          <w:lang w:val="en-US" w:eastAsia="en-US" w:bidi="ar-SA"/>
        </w:rPr>
        <w:t>Heliyon</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6</w:t>
      </w:r>
      <w:r>
        <w:rPr>
          <w:rFonts w:ascii="Calibri" w:hAnsi="Calibri" w:cs="Calibri" w:eastAsiaTheme="minorHAnsi"/>
          <w:sz w:val="22"/>
          <w:szCs w:val="22"/>
          <w:lang w:val="en-US" w:eastAsia="en-US" w:bidi="ar-SA"/>
        </w:rPr>
        <w:t>(12).</w:t>
      </w:r>
    </w:p>
    <w:p w14:paraId="62C4A36F">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C99D50D">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SINGH, S., et al. (2022). "Impacts of financial inclusion on sustainable development in India." </w:t>
      </w:r>
      <w:r>
        <w:rPr>
          <w:rFonts w:ascii="Calibri" w:hAnsi="Calibri" w:cs="Calibri" w:eastAsiaTheme="minorHAnsi"/>
          <w:sz w:val="22"/>
          <w:szCs w:val="22"/>
          <w:u w:val="single"/>
          <w:lang w:val="en-US" w:eastAsia="en-US" w:bidi="ar-SA"/>
        </w:rPr>
        <w:t>The Journal of Asian Finance, Economics and Business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9</w:t>
      </w:r>
      <w:r>
        <w:rPr>
          <w:rFonts w:ascii="Calibri" w:hAnsi="Calibri" w:cs="Calibri" w:eastAsiaTheme="minorHAnsi"/>
          <w:sz w:val="22"/>
          <w:szCs w:val="22"/>
          <w:lang w:val="en-US" w:eastAsia="en-US" w:bidi="ar-SA"/>
        </w:rPr>
        <w:t>(10): 235–242.</w:t>
      </w:r>
    </w:p>
    <w:p w14:paraId="46EA68F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351C373">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Singh, S. H., et al. (2020). "Assessing the appropriate grassroots technological innovation for sustainable development." </w:t>
      </w:r>
      <w:r>
        <w:rPr>
          <w:rFonts w:ascii="Calibri" w:hAnsi="Calibri" w:cs="Calibri" w:eastAsiaTheme="minorHAnsi"/>
          <w:sz w:val="22"/>
          <w:szCs w:val="22"/>
          <w:u w:val="single"/>
          <w:lang w:val="en-US" w:eastAsia="en-US" w:bidi="ar-SA"/>
        </w:rPr>
        <w:t>Technology analysis &amp; strategic management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32</w:t>
      </w:r>
      <w:r>
        <w:rPr>
          <w:rFonts w:ascii="Calibri" w:hAnsi="Calibri" w:cs="Calibri" w:eastAsiaTheme="minorHAnsi"/>
          <w:sz w:val="22"/>
          <w:szCs w:val="22"/>
          <w:lang w:val="en-US" w:eastAsia="en-US" w:bidi="ar-SA"/>
        </w:rPr>
        <w:t>(2): 175–194.</w:t>
      </w:r>
    </w:p>
    <w:p w14:paraId="65197AC8">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30D98110">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Soyemi, K. A., et al. (2020). "Financial inclusion and sustainable development in Nigeria." </w:t>
      </w:r>
      <w:r>
        <w:rPr>
          <w:rFonts w:ascii="Calibri" w:hAnsi="Calibri" w:cs="Calibri" w:eastAsiaTheme="minorHAnsi"/>
          <w:sz w:val="22"/>
          <w:szCs w:val="22"/>
          <w:u w:val="single"/>
          <w:lang w:val="en-US" w:eastAsia="en-US" w:bidi="ar-SA"/>
        </w:rPr>
        <w:t>Journal of Economics and Management</w:t>
      </w:r>
      <w:r>
        <w:rPr>
          <w:rFonts w:ascii="Calibri" w:hAnsi="Calibri" w:cs="Calibri" w:eastAsiaTheme="minorHAnsi"/>
          <w:sz w:val="22"/>
          <w:szCs w:val="22"/>
          <w:lang w:val="en-US" w:eastAsia="en-US" w:bidi="ar-SA"/>
        </w:rPr>
        <w:t>(39): 105–131.</w:t>
      </w:r>
    </w:p>
    <w:p w14:paraId="144567E6">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87CCD46">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Spies, J. (2019). The development of a framework to align the use of technologies in industries to the sustainable development goals, Stellenbosch: Stellenbosch University.</w:t>
      </w:r>
    </w:p>
    <w:p w14:paraId="7FD7FF18">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555811F">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Suyanto, S. and S. L. Prasilowati (2023). "The platform factors affecting digital payment advocacy." </w:t>
      </w:r>
      <w:r>
        <w:rPr>
          <w:rFonts w:ascii="Calibri" w:hAnsi="Calibri" w:cs="Calibri" w:eastAsiaTheme="minorHAnsi"/>
          <w:sz w:val="22"/>
          <w:szCs w:val="22"/>
          <w:u w:val="single"/>
          <w:lang w:val="en-US" w:eastAsia="en-US" w:bidi="ar-SA"/>
        </w:rPr>
        <w:t>Journal of Law and Sustainable Development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11</w:t>
      </w:r>
      <w:r>
        <w:rPr>
          <w:rFonts w:ascii="Calibri" w:hAnsi="Calibri" w:cs="Calibri" w:eastAsiaTheme="minorHAnsi"/>
          <w:sz w:val="22"/>
          <w:szCs w:val="22"/>
          <w:lang w:val="en-US" w:eastAsia="en-US" w:bidi="ar-SA"/>
        </w:rPr>
        <w:t>(11): e1700–e1700.</w:t>
      </w:r>
    </w:p>
    <w:p w14:paraId="65FF89BA">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57B488F">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Tay, L.-Y., et al. (2022). "Digital financial inclusion: A gateway to sustainable development." </w:t>
      </w:r>
      <w:r>
        <w:rPr>
          <w:rFonts w:ascii="Calibri" w:hAnsi="Calibri" w:cs="Calibri" w:eastAsiaTheme="minorHAnsi"/>
          <w:sz w:val="22"/>
          <w:szCs w:val="22"/>
          <w:u w:val="single"/>
          <w:lang w:val="en-US" w:eastAsia="en-US" w:bidi="ar-SA"/>
        </w:rPr>
        <w:t>Heliyon</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8</w:t>
      </w:r>
      <w:r>
        <w:rPr>
          <w:rFonts w:ascii="Calibri" w:hAnsi="Calibri" w:cs="Calibri" w:eastAsiaTheme="minorHAnsi"/>
          <w:sz w:val="22"/>
          <w:szCs w:val="22"/>
          <w:lang w:val="en-US" w:eastAsia="en-US" w:bidi="ar-SA"/>
        </w:rPr>
        <w:t>(6).</w:t>
      </w:r>
    </w:p>
    <w:p w14:paraId="42904555">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1809A894">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Thiruma Valavan, A. (2023). "Analyzing the alignment of financial inclusion efforts in rural india with the united nations' sustainable development goals: A focus on agricultural population and below-poverty-line households."</w:t>
      </w:r>
    </w:p>
    <w:p w14:paraId="1D846162">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3704E978">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Valin, H., et al. (2021). "Achieving zero hunger by 2030 a review of quantitative assessments of synergies and tradeoffs amongst the un sustainable development goals."</w:t>
      </w:r>
    </w:p>
    <w:p w14:paraId="7B533BC9">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C2BD13C">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Van Vuuren, D. P., et al. (2015). "Pathways to achieve a set of ambitious global sustainability objectives by 2050: explorations using the IMAGE integrated assessment model." </w:t>
      </w:r>
      <w:r>
        <w:rPr>
          <w:rFonts w:ascii="Calibri" w:hAnsi="Calibri" w:cs="Calibri" w:eastAsiaTheme="minorHAnsi"/>
          <w:sz w:val="22"/>
          <w:szCs w:val="22"/>
          <w:u w:val="single"/>
          <w:lang w:val="en-US" w:eastAsia="en-US" w:bidi="ar-SA"/>
        </w:rPr>
        <w:t>Technological Forecasting and Social Change</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98</w:t>
      </w:r>
      <w:r>
        <w:rPr>
          <w:rFonts w:ascii="Calibri" w:hAnsi="Calibri" w:cs="Calibri" w:eastAsiaTheme="minorHAnsi"/>
          <w:sz w:val="22"/>
          <w:szCs w:val="22"/>
          <w:lang w:val="en-US" w:eastAsia="en-US" w:bidi="ar-SA"/>
        </w:rPr>
        <w:t>: 303–323.</w:t>
      </w:r>
    </w:p>
    <w:p w14:paraId="79DC9A9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43092D8">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Vinuesa, R., et al. (2020). "The role of artificial intelligence in achieving the Sustainable Development Goals." </w:t>
      </w:r>
      <w:r>
        <w:rPr>
          <w:rFonts w:ascii="Calibri" w:hAnsi="Calibri" w:cs="Calibri" w:eastAsiaTheme="minorHAnsi"/>
          <w:sz w:val="22"/>
          <w:szCs w:val="22"/>
          <w:u w:val="single"/>
          <w:lang w:val="en-US" w:eastAsia="en-US" w:bidi="ar-SA"/>
        </w:rPr>
        <w:t>Nature Communications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11</w:t>
      </w:r>
      <w:r>
        <w:rPr>
          <w:rFonts w:ascii="Calibri" w:hAnsi="Calibri" w:cs="Calibri" w:eastAsiaTheme="minorHAnsi"/>
          <w:sz w:val="22"/>
          <w:szCs w:val="22"/>
          <w:lang w:val="en-US" w:eastAsia="en-US" w:bidi="ar-SA"/>
        </w:rPr>
        <w:t>(1): 233.</w:t>
      </w:r>
    </w:p>
    <w:p w14:paraId="48B5D7AC">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Von Grebmer, K., et al. (2016). </w:t>
      </w:r>
      <w:r>
        <w:rPr>
          <w:rFonts w:ascii="Calibri" w:hAnsi="Calibri" w:cs="Calibri" w:eastAsiaTheme="minorHAnsi"/>
          <w:sz w:val="22"/>
          <w:szCs w:val="22"/>
          <w:u w:val="single"/>
          <w:lang w:val="en-US" w:eastAsia="en-US" w:bidi="ar-SA"/>
        </w:rPr>
        <w:t>2016 Global hunger index: Getting to zero hunger</w:t>
      </w:r>
      <w:r>
        <w:rPr>
          <w:rFonts w:ascii="Calibri" w:hAnsi="Calibri" w:cs="Calibri" w:eastAsiaTheme="minorHAnsi"/>
          <w:sz w:val="22"/>
          <w:szCs w:val="22"/>
          <w:lang w:val="en-US" w:eastAsia="en-US" w:bidi="ar-SA"/>
        </w:rPr>
        <w:t>, Intl Food Policy Res Inst.</w:t>
      </w:r>
    </w:p>
    <w:p w14:paraId="228861D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53E0D708">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Westerlund, J. and D. L. Edgerton (2008). "A simple test for cointegration in dependent panels with structural breaks." </w:t>
      </w:r>
      <w:r>
        <w:rPr>
          <w:rFonts w:ascii="Calibri" w:hAnsi="Calibri" w:cs="Calibri" w:eastAsiaTheme="minorHAnsi"/>
          <w:sz w:val="22"/>
          <w:szCs w:val="22"/>
          <w:u w:val="single"/>
          <w:lang w:val="en-US" w:eastAsia="en-US" w:bidi="ar-SA"/>
        </w:rPr>
        <w:t>Oxford Bulletin of Economics and statistics</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70</w:t>
      </w:r>
      <w:r>
        <w:rPr>
          <w:rFonts w:ascii="Calibri" w:hAnsi="Calibri" w:cs="Calibri" w:eastAsiaTheme="minorHAnsi"/>
          <w:sz w:val="22"/>
          <w:szCs w:val="22"/>
          <w:lang w:val="en-US" w:eastAsia="en-US" w:bidi="ar-SA"/>
        </w:rPr>
        <w:t>(5): 665–704.</w:t>
      </w:r>
    </w:p>
    <w:p w14:paraId="116FEC9C">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4401C062">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Wicaksana, D. Y. (2023). "Fintech for sdgs: driving economic development through financial innovation." </w:t>
      </w:r>
      <w:r>
        <w:rPr>
          <w:rFonts w:ascii="Calibri" w:hAnsi="Calibri" w:cs="Calibri" w:eastAsiaTheme="minorHAnsi"/>
          <w:sz w:val="22"/>
          <w:szCs w:val="22"/>
          <w:u w:val="single"/>
          <w:lang w:val="en-US" w:eastAsia="en-US" w:bidi="ar-SA"/>
        </w:rPr>
        <w:t>Journal of Digital Business and Innovation Management</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w:t>
      </w:r>
      <w:r>
        <w:rPr>
          <w:rFonts w:ascii="Calibri" w:hAnsi="Calibri" w:cs="Calibri" w:eastAsiaTheme="minorHAnsi"/>
          <w:sz w:val="22"/>
          <w:szCs w:val="22"/>
          <w:lang w:val="en-US" w:eastAsia="en-US" w:bidi="ar-SA"/>
        </w:rPr>
        <w:t>(2): 126–138.</w:t>
      </w:r>
    </w:p>
    <w:p w14:paraId="7B883022">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060E956C">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Wongnaa, C. A. and D. Awunyo-Vitor (2018). "Achieving sustainable development goals on no poverty and zero hunger: Does technical efficiency of Ghana’s maize farmers matter?" </w:t>
      </w:r>
      <w:r>
        <w:rPr>
          <w:rFonts w:ascii="Calibri" w:hAnsi="Calibri" w:cs="Calibri" w:eastAsiaTheme="minorHAnsi"/>
          <w:sz w:val="22"/>
          <w:szCs w:val="22"/>
          <w:u w:val="single"/>
          <w:lang w:val="en-US" w:eastAsia="en-US" w:bidi="ar-SA"/>
        </w:rPr>
        <w:t>Agriculture &amp; Food Security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7</w:t>
      </w:r>
      <w:r>
        <w:rPr>
          <w:rFonts w:ascii="Calibri" w:hAnsi="Calibri" w:cs="Calibri" w:eastAsiaTheme="minorHAnsi"/>
          <w:sz w:val="22"/>
          <w:szCs w:val="22"/>
          <w:lang w:val="en-US" w:eastAsia="en-US" w:bidi="ar-SA"/>
        </w:rPr>
        <w:t>(1): 71.</w:t>
      </w:r>
    </w:p>
    <w:p w14:paraId="08CC42D3">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6FCC7691">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Yahaya, M. H. and K. Ahmad (2018). </w:t>
      </w:r>
      <w:r>
        <w:rPr>
          <w:rFonts w:ascii="Calibri" w:hAnsi="Calibri" w:cs="Calibri" w:eastAsiaTheme="minorHAnsi"/>
          <w:sz w:val="22"/>
          <w:szCs w:val="22"/>
          <w:u w:val="single"/>
          <w:lang w:val="en-US" w:eastAsia="en-US" w:bidi="ar-SA"/>
        </w:rPr>
        <w:t>Financial inclusion through efficient zakat distribution for poverty alleviation in Malaysia: Using fintech &amp; mobile banking</w:t>
      </w:r>
      <w:r>
        <w:rPr>
          <w:rFonts w:ascii="Calibri" w:hAnsi="Calibri" w:cs="Calibri" w:eastAsiaTheme="minorHAnsi"/>
          <w:sz w:val="22"/>
          <w:szCs w:val="22"/>
          <w:lang w:val="en-US" w:eastAsia="en-US" w:bidi="ar-SA"/>
        </w:rPr>
        <w:t>. Proceeding of the 5th International Conference on Management and Muamalah.</w:t>
      </w:r>
    </w:p>
    <w:p w14:paraId="64F79F74">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6139F22">
      <w:pPr>
        <w:pStyle w:val="27"/>
        <w:bidi w:val="0"/>
        <w:ind w:left="0" w:firstLine="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 xml:space="preserve">Zeraibi, A., et al. (2024). "The role of fiscal decentralization and technological innovations in curbing sulfur dioxide emissions: formulating SDGs policies for China." </w:t>
      </w:r>
      <w:r>
        <w:rPr>
          <w:rFonts w:ascii="Calibri" w:hAnsi="Calibri" w:cs="Calibri" w:eastAsiaTheme="minorHAnsi"/>
          <w:sz w:val="22"/>
          <w:szCs w:val="22"/>
          <w:u w:val="single"/>
          <w:lang w:val="en-US" w:eastAsia="en-US" w:bidi="ar-SA"/>
        </w:rPr>
        <w:t>Environment, Development and Sustainability</w:t>
      </w:r>
      <w:r>
        <w:rPr>
          <w:rFonts w:ascii="Calibri" w:hAnsi="Calibri" w:cs="Calibri" w:eastAsiaTheme="minorHAnsi"/>
          <w:sz w:val="22"/>
          <w:szCs w:val="22"/>
          <w:lang w:val="en-US" w:eastAsia="en-US" w:bidi="ar-SA"/>
        </w:rPr>
        <w:t xml:space="preserve"> </w:t>
      </w:r>
      <w:r>
        <w:rPr>
          <w:rFonts w:ascii="Calibri" w:hAnsi="Calibri" w:cs="Calibri" w:eastAsiaTheme="minorHAnsi"/>
          <w:b/>
          <w:sz w:val="22"/>
          <w:szCs w:val="22"/>
          <w:lang w:val="en-US" w:eastAsia="en-US" w:bidi="ar-SA"/>
        </w:rPr>
        <w:t>26</w:t>
      </w:r>
      <w:r>
        <w:rPr>
          <w:rFonts w:ascii="Calibri" w:hAnsi="Calibri" w:cs="Calibri" w:eastAsiaTheme="minorHAnsi"/>
          <w:sz w:val="22"/>
          <w:szCs w:val="22"/>
          <w:lang w:val="en-US" w:eastAsia="en-US" w:bidi="ar-SA"/>
        </w:rPr>
        <w:t>(8): 19659–19684.</w:t>
      </w:r>
    </w:p>
    <w:p w14:paraId="7221DA57">
      <w:pPr>
        <w:pStyle w:val="27"/>
        <w:bidi w:val="0"/>
        <w:ind w:left="720" w:hanging="720"/>
        <w:rPr>
          <w:rFonts w:ascii="Calibri" w:hAnsi="Calibri" w:cs="Calibri" w:eastAsiaTheme="minorHAnsi"/>
          <w:sz w:val="22"/>
          <w:szCs w:val="22"/>
          <w:lang w:val="en-US" w:eastAsia="en-US" w:bidi="ar-SA"/>
        </w:rPr>
      </w:pPr>
      <w:r>
        <w:rPr>
          <w:rFonts w:ascii="Calibri" w:hAnsi="Calibri" w:cs="Calibri" w:eastAsiaTheme="minorHAnsi"/>
          <w:sz w:val="22"/>
          <w:szCs w:val="22"/>
          <w:lang w:val="en-US" w:eastAsia="en-US" w:bidi="ar-SA"/>
        </w:rPr>
        <w:tab/>
      </w:r>
    </w:p>
    <w:p w14:paraId="72B62FE1">
      <w:pPr>
        <w:spacing w:line="240" w:lineRule="auto"/>
        <w:jc w:val="both"/>
        <w:rPr>
          <w:rFonts w:hint="default"/>
          <w:b w:val="0"/>
          <w:bCs w:val="0"/>
          <w:sz w:val="24"/>
          <w:szCs w:val="24"/>
          <w:lang w:val="en-US"/>
        </w:rPr>
      </w:pPr>
      <w:r>
        <w:rPr>
          <w:rFonts w:hint="default"/>
          <w:b w:val="0"/>
          <w:bCs w:val="0"/>
          <w:sz w:val="24"/>
          <w:szCs w:val="24"/>
          <w:lang w:val="en-US"/>
        </w:rPr>
        <w:fldChar w:fldCharType="end"/>
      </w:r>
    </w:p>
    <w:sectPr>
      <w:footerReference r:id="rId7" w:type="default"/>
      <w:pgSz w:w="11906" w:h="16838"/>
      <w:pgMar w:top="1440" w:right="1800" w:bottom="1440" w:left="1800" w:header="720" w:footer="720" w:gutter="0"/>
      <w:pgNumType w:fmt="decimal"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Palatino Linotype">
    <w:panose1 w:val="02040502050505030304"/>
    <w:charset w:val="00"/>
    <w:family w:val="roman"/>
    <w:pitch w:val="default"/>
    <w:sig w:usb0="E0000287" w:usb1="40000013"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auto"/>
    <w:pitch w:val="default"/>
    <w:sig w:usb0="A00002AF" w:usb1="400078FB" w:usb2="00000000" w:usb3="00000000" w:csb0="6000009F" w:csb1="DFD7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1C0E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5F54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14:paraId="2FC5F54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7A892">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85C1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NExgiAgAAYAQAAA4AAABkcnMvZTJvRG9jLnhtbK1Uy27bMBC8F+g/&#10;ELzXkt00MAzLgRvDRYGgCeAEPdMUZRHgCyRtyf36DinLKdIecuiFWnKXs5zZXS3veq3ISfggrano&#10;dFJSIgy3tTSHir48bz/NKQmRmZopa0RFzyLQu9XHD8vOLcTMtlbVwhOAmLDoXEXbGN2iKAJvhWZh&#10;Yp0wcDbWaxax9Yei9qwDulbFrCxvi8762nnLRQg43QxOekH07wG0TSO52Fh+1MLEAdULxSIohVa6&#10;QFf5tU0jeHxsmiAiURUF05hXJIG9T2uxWrLFwTPXSn55AnvPE95w0kwaJL1CbVhk5OjlX1Bacm+D&#10;beKEW10MRLIiYDEt32iza5kTmQukDu4qevh/sPzH6ckTWVf0hhLDNAr+LPpIvtqe3CR1OhcWCNo5&#10;hMUex+iZ8TzgMJHuG6/TF3QI/ND2fNU2gfF0aT6bz0u4OHzjBvjF63XnQ/wmrCbJqKhH8bKm7PQQ&#10;4hA6hqRsxm6lUrmAypCuor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mzRMYIgIA&#10;AGAEAAAOAAAAAAAAAAEAIAAAAB8BAABkcnMvZTJvRG9jLnhtbFBLBQYAAAAABgAGAFkBAACzBQAA&#10;AAA=&#10;">
              <v:fill on="f" focussize="0,0"/>
              <v:stroke on="f" weight="0.5pt"/>
              <v:imagedata o:title=""/>
              <o:lock v:ext="edit" aspectratio="f"/>
              <v:textbox inset="0mm,0mm,0mm,0mm" style="mso-fit-shape-to-text:t;">
                <w:txbxContent>
                  <w:p w14:paraId="67985C10">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7972">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D8CD9">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O76ggAgAAYAQAAA4AAABkcnMvZTJvRG9jLnhtbK1UTYvbMBC9F/of&#10;hO6NnZSGEOIs6YaUQugu7JaeFVmOBfpCUmKnv75Pcpxdtj3soRd5pBm90Xsz49VdrxU5Cx+kNRWd&#10;TkpKhOG2luZY0Z/Pu08LSkJkpmbKGlHRiwj0bv3xw6pzSzGzrVW18AQgJiw7V9E2RrcsisBboVmY&#10;WCcMnI31mkVs/bGoPeuArlUxK8t50VlfO2+5CAGn28FJr4j+PYC2aSQXW8tPWpg4oHqhWASl0EoX&#10;6Dq/tmkEjw9NE0QkqqJgGvOKJLAPaS3WK7Y8euZaya9PYO95whtOmkmDpDeoLYuMnLz8C0pL7m2w&#10;TZxwq4uBSFYELKblG22eWuZE5gKpg7uJHv4fLP9xfvRE1hWdU2KYRsGfRR/JV9uTeVKnc2GJoCeH&#10;sNjjGD0zngccJtJ943X6gg6BH9pebtomMJ4uLWaLRQkXh2/cAL94ue58iN+E1SQZFfUoXtaUnfch&#10;DqFjSMpm7E4qlQuoDOnA4POXMl+4eQCuDHIkEsNjkxX7Q39ldrD1BcS8HRojOL6TSL5nIT4yj07A&#10;gzEr8QFLoyyS2KtFSWv973+dp3gUCF5KOnRWRQ0GiRL13aBwAIyj4UfjMBrmpO8tWnWKGXQ8m7jg&#10;oxrNxlv9CwO0STngYoYjU0XjaN7HobsxgFxsNjno5Lw8tsMFtJ1jcW+eHE9pkpDBbU4RYmaNk0CD&#10;Klfd0Hi5StchSZ39ep+jXn4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qA7vqCACAABg&#10;BAAADgAAAAAAAAABACAAAAAfAQAAZHJzL2Uyb0RvYy54bWxQSwUGAAAAAAYABgBZAQAAsQUAAAAA&#10;">
              <v:fill on="f" focussize="0,0"/>
              <v:stroke on="f" weight="0.5pt"/>
              <v:imagedata o:title=""/>
              <o:lock v:ext="edit" aspectratio="f"/>
              <v:textbox inset="0mm,0mm,0mm,0mm" style="mso-fit-shape-to-text:t;">
                <w:txbxContent>
                  <w:p w14:paraId="18AD8CD9">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43C629"/>
    <w:multiLevelType w:val="singleLevel"/>
    <w:tmpl w:val="A643C629"/>
    <w:lvl w:ilvl="0" w:tentative="0">
      <w:start w:val="1"/>
      <w:numFmt w:val="decimal"/>
      <w:lvlText w:val="%1."/>
      <w:lvlJc w:val="left"/>
      <w:pPr>
        <w:tabs>
          <w:tab w:val="left" w:pos="425"/>
        </w:tabs>
        <w:ind w:left="425" w:leftChars="0" w:hanging="425" w:firstLineChars="0"/>
      </w:pPr>
      <w:rPr>
        <w:rFonts w:hint="default"/>
      </w:rPr>
    </w:lvl>
  </w:abstractNum>
  <w:abstractNum w:abstractNumId="1">
    <w:nsid w:val="AB258854"/>
    <w:multiLevelType w:val="multilevel"/>
    <w:tmpl w:val="AB258854"/>
    <w:lvl w:ilvl="0" w:tentative="0">
      <w:start w:val="3"/>
      <w:numFmt w:val="decimal"/>
      <w:lvlText w:val="%1.1.2"/>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2">
    <w:nsid w:val="B44992BD"/>
    <w:multiLevelType w:val="multilevel"/>
    <w:tmpl w:val="B44992BD"/>
    <w:lvl w:ilvl="0" w:tentative="0">
      <w:start w:val="3"/>
      <w:numFmt w:val="decimal"/>
      <w:lvlText w:val="%1.2.1"/>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3">
    <w:nsid w:val="B639DAF7"/>
    <w:multiLevelType w:val="multilevel"/>
    <w:tmpl w:val="B639DAF7"/>
    <w:lvl w:ilvl="0" w:tentative="0">
      <w:start w:val="3"/>
      <w:numFmt w:val="decimal"/>
      <w:lvlText w:val="%1.2.2"/>
      <w:lvlJc w:val="left"/>
      <w:pPr>
        <w:ind w:left="360" w:hanging="360"/>
      </w:pPr>
      <w:rPr>
        <w:rFonts w:hint="default" w:ascii="Times New Roman" w:hAnsi="Times New Roman" w:eastAsia="等线" w:cs="Times New Roman"/>
        <w:sz w:val="24"/>
        <w:szCs w:val="24"/>
      </w:rPr>
    </w:lvl>
    <w:lvl w:ilvl="1" w:tentative="0">
      <w:start w:val="1"/>
      <w:numFmt w:val="lowerLetter"/>
      <w:lvlText w:val="%2."/>
      <w:lvlJc w:val="left"/>
      <w:pPr>
        <w:ind w:left="1080" w:hanging="360"/>
      </w:pPr>
    </w:lvl>
    <w:lvl w:ilvl="2" w:tentative="0">
      <w:start w:val="3"/>
      <w:numFmt w:val="lowerRoman"/>
      <w:lvlText w:val="%3.2.2"/>
      <w:lvlJc w:val="right"/>
      <w:pPr>
        <w:ind w:left="1800" w:hanging="180"/>
      </w:pPr>
      <w:rPr>
        <w:rFonts w:hint="default"/>
      </w:r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CBEB6752"/>
    <w:multiLevelType w:val="singleLevel"/>
    <w:tmpl w:val="CBEB6752"/>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E58E18DE"/>
    <w:multiLevelType w:val="multilevel"/>
    <w:tmpl w:val="E58E18DE"/>
    <w:lvl w:ilvl="0" w:tentative="0">
      <w:start w:val="3"/>
      <w:numFmt w:val="decimal"/>
      <w:lvlText w:val="%1.1.3"/>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6">
    <w:nsid w:val="FECEB0DD"/>
    <w:multiLevelType w:val="singleLevel"/>
    <w:tmpl w:val="FECEB0D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0CC21773"/>
    <w:multiLevelType w:val="multilevel"/>
    <w:tmpl w:val="0CC21773"/>
    <w:lvl w:ilvl="0" w:tentative="0">
      <w:start w:val="3"/>
      <w:numFmt w:val="decimal"/>
      <w:lvlText w:val="%1.3.5"/>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8">
    <w:nsid w:val="0E8E14AA"/>
    <w:multiLevelType w:val="multilevel"/>
    <w:tmpl w:val="0E8E14AA"/>
    <w:lvl w:ilvl="0" w:tentative="0">
      <w:start w:val="3"/>
      <w:numFmt w:val="decimal"/>
      <w:lvlText w:val="%1.3.6"/>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9">
    <w:nsid w:val="0FB13D51"/>
    <w:multiLevelType w:val="multilevel"/>
    <w:tmpl w:val="0FB13D5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19DC30B4"/>
    <w:multiLevelType w:val="multilevel"/>
    <w:tmpl w:val="19DC30B4"/>
    <w:lvl w:ilvl="0" w:tentative="0">
      <w:start w:val="3"/>
      <w:numFmt w:val="decimal"/>
      <w:lvlText w:val="%1.3"/>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11">
    <w:nsid w:val="1E0E41AD"/>
    <w:multiLevelType w:val="multilevel"/>
    <w:tmpl w:val="1E0E41A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1E571964"/>
    <w:multiLevelType w:val="multilevel"/>
    <w:tmpl w:val="1E57196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1FCC1765"/>
    <w:multiLevelType w:val="multilevel"/>
    <w:tmpl w:val="1FCC1765"/>
    <w:lvl w:ilvl="0" w:tentative="0">
      <w:start w:val="3"/>
      <w:numFmt w:val="decimal"/>
      <w:lvlText w:val="%1.3.4"/>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14">
    <w:nsid w:val="20A6DCD2"/>
    <w:multiLevelType w:val="multilevel"/>
    <w:tmpl w:val="20A6DCD2"/>
    <w:lvl w:ilvl="0" w:tentative="0">
      <w:start w:val="2"/>
      <w:numFmt w:val="decimal"/>
      <w:lvlText w:val="%1.4"/>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5">
    <w:nsid w:val="23A1000F"/>
    <w:multiLevelType w:val="multilevel"/>
    <w:tmpl w:val="23A1000F"/>
    <w:lvl w:ilvl="0" w:tentative="0">
      <w:start w:val="1"/>
      <w:numFmt w:val="bullet"/>
      <w:lvlText w:val=""/>
      <w:lvlJc w:val="left"/>
      <w:pPr>
        <w:tabs>
          <w:tab w:val="left" w:pos="-420"/>
        </w:tabs>
        <w:ind w:left="300" w:hanging="360"/>
      </w:pPr>
      <w:rPr>
        <w:rFonts w:hint="default" w:ascii="Symbol" w:hAnsi="Symbol"/>
      </w:rPr>
    </w:lvl>
    <w:lvl w:ilvl="1" w:tentative="0">
      <w:start w:val="1"/>
      <w:numFmt w:val="bullet"/>
      <w:lvlText w:val="o"/>
      <w:lvlJc w:val="left"/>
      <w:pPr>
        <w:tabs>
          <w:tab w:val="left" w:pos="-420"/>
        </w:tabs>
        <w:ind w:left="1020" w:hanging="360"/>
      </w:pPr>
      <w:rPr>
        <w:rFonts w:hint="default" w:ascii="Courier New" w:hAnsi="Courier New" w:cs="Courier New"/>
      </w:rPr>
    </w:lvl>
    <w:lvl w:ilvl="2" w:tentative="0">
      <w:start w:val="1"/>
      <w:numFmt w:val="bullet"/>
      <w:lvlText w:val=""/>
      <w:lvlJc w:val="left"/>
      <w:pPr>
        <w:tabs>
          <w:tab w:val="left" w:pos="-420"/>
        </w:tabs>
        <w:ind w:left="1740" w:hanging="360"/>
      </w:pPr>
      <w:rPr>
        <w:rFonts w:hint="default" w:ascii="Wingdings" w:hAnsi="Wingdings"/>
      </w:rPr>
    </w:lvl>
    <w:lvl w:ilvl="3" w:tentative="0">
      <w:start w:val="1"/>
      <w:numFmt w:val="bullet"/>
      <w:lvlText w:val=""/>
      <w:lvlJc w:val="left"/>
      <w:pPr>
        <w:tabs>
          <w:tab w:val="left" w:pos="-420"/>
        </w:tabs>
        <w:ind w:left="2460" w:hanging="360"/>
      </w:pPr>
      <w:rPr>
        <w:rFonts w:hint="default" w:ascii="Symbol" w:hAnsi="Symbol"/>
      </w:rPr>
    </w:lvl>
    <w:lvl w:ilvl="4" w:tentative="0">
      <w:start w:val="1"/>
      <w:numFmt w:val="bullet"/>
      <w:lvlText w:val="o"/>
      <w:lvlJc w:val="left"/>
      <w:pPr>
        <w:tabs>
          <w:tab w:val="left" w:pos="-420"/>
        </w:tabs>
        <w:ind w:left="3180" w:hanging="360"/>
      </w:pPr>
      <w:rPr>
        <w:rFonts w:hint="default" w:ascii="Courier New" w:hAnsi="Courier New" w:cs="Courier New"/>
      </w:rPr>
    </w:lvl>
    <w:lvl w:ilvl="5" w:tentative="0">
      <w:start w:val="1"/>
      <w:numFmt w:val="bullet"/>
      <w:lvlText w:val=""/>
      <w:lvlJc w:val="left"/>
      <w:pPr>
        <w:tabs>
          <w:tab w:val="left" w:pos="-420"/>
        </w:tabs>
        <w:ind w:left="3900" w:hanging="360"/>
      </w:pPr>
      <w:rPr>
        <w:rFonts w:hint="default" w:ascii="Wingdings" w:hAnsi="Wingdings"/>
      </w:rPr>
    </w:lvl>
    <w:lvl w:ilvl="6" w:tentative="0">
      <w:start w:val="1"/>
      <w:numFmt w:val="bullet"/>
      <w:lvlText w:val=""/>
      <w:lvlJc w:val="left"/>
      <w:pPr>
        <w:tabs>
          <w:tab w:val="left" w:pos="-420"/>
        </w:tabs>
        <w:ind w:left="4620" w:hanging="360"/>
      </w:pPr>
      <w:rPr>
        <w:rFonts w:hint="default" w:ascii="Symbol" w:hAnsi="Symbol"/>
      </w:rPr>
    </w:lvl>
    <w:lvl w:ilvl="7" w:tentative="0">
      <w:start w:val="1"/>
      <w:numFmt w:val="bullet"/>
      <w:lvlText w:val="o"/>
      <w:lvlJc w:val="left"/>
      <w:pPr>
        <w:tabs>
          <w:tab w:val="left" w:pos="-420"/>
        </w:tabs>
        <w:ind w:left="5340" w:hanging="360"/>
      </w:pPr>
      <w:rPr>
        <w:rFonts w:hint="default" w:ascii="Courier New" w:hAnsi="Courier New" w:cs="Courier New"/>
      </w:rPr>
    </w:lvl>
    <w:lvl w:ilvl="8" w:tentative="0">
      <w:start w:val="1"/>
      <w:numFmt w:val="bullet"/>
      <w:lvlText w:val=""/>
      <w:lvlJc w:val="left"/>
      <w:pPr>
        <w:tabs>
          <w:tab w:val="left" w:pos="-420"/>
        </w:tabs>
        <w:ind w:left="6060" w:hanging="360"/>
      </w:pPr>
      <w:rPr>
        <w:rFonts w:hint="default" w:ascii="Wingdings" w:hAnsi="Wingdings"/>
      </w:rPr>
    </w:lvl>
  </w:abstractNum>
  <w:abstractNum w:abstractNumId="16">
    <w:nsid w:val="250E3AB1"/>
    <w:multiLevelType w:val="multilevel"/>
    <w:tmpl w:val="250E3AB1"/>
    <w:lvl w:ilvl="0" w:tentative="0">
      <w:start w:val="1"/>
      <w:numFmt w:val="decimal"/>
      <w:lvlText w:val="%1.4"/>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7">
    <w:nsid w:val="27FA5EBA"/>
    <w:multiLevelType w:val="multilevel"/>
    <w:tmpl w:val="27FA5EBA"/>
    <w:lvl w:ilvl="0" w:tentative="0">
      <w:start w:val="3"/>
      <w:numFmt w:val="decimal"/>
      <w:lvlText w:val="%1.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8">
    <w:nsid w:val="329E1555"/>
    <w:multiLevelType w:val="multilevel"/>
    <w:tmpl w:val="329E155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3521FCA2"/>
    <w:multiLevelType w:val="multilevel"/>
    <w:tmpl w:val="3521FCA2"/>
    <w:lvl w:ilvl="0" w:tentative="0">
      <w:start w:val="6"/>
      <w:numFmt w:val="decimal"/>
      <w:lvlText w:val="%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36F16B9C"/>
    <w:multiLevelType w:val="multilevel"/>
    <w:tmpl w:val="36F16B9C"/>
    <w:lvl w:ilvl="0" w:tentative="0">
      <w:start w:val="2"/>
      <w:numFmt w:val="decimal"/>
      <w:lvlText w:val="%1.4.3"/>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1">
    <w:nsid w:val="377301AB"/>
    <w:multiLevelType w:val="multilevel"/>
    <w:tmpl w:val="377301A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2">
    <w:nsid w:val="39815A70"/>
    <w:multiLevelType w:val="multilevel"/>
    <w:tmpl w:val="39815A70"/>
    <w:lvl w:ilvl="0" w:tentative="0">
      <w:start w:val="2"/>
      <w:numFmt w:val="decimal"/>
      <w:lvlText w:val="%1.4.2"/>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3">
    <w:nsid w:val="41F354C1"/>
    <w:multiLevelType w:val="multilevel"/>
    <w:tmpl w:val="41F354C1"/>
    <w:lvl w:ilvl="0" w:tentative="0">
      <w:start w:val="1"/>
      <w:numFmt w:val="decimal"/>
      <w:lvlText w:val="%1.3"/>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4">
    <w:nsid w:val="43863761"/>
    <w:multiLevelType w:val="multilevel"/>
    <w:tmpl w:val="43863761"/>
    <w:lvl w:ilvl="0" w:tentative="0">
      <w:start w:val="3"/>
      <w:numFmt w:val="decimal"/>
      <w:lvlText w:val="%1.3.2"/>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25">
    <w:nsid w:val="46298781"/>
    <w:multiLevelType w:val="multilevel"/>
    <w:tmpl w:val="46298781"/>
    <w:lvl w:ilvl="0" w:tentative="0">
      <w:start w:val="1"/>
      <w:numFmt w:val="decimal"/>
      <w:lvlText w:val="%1.6"/>
      <w:lvlJc w:val="left"/>
      <w:pPr>
        <w:ind w:left="360" w:hanging="360"/>
      </w:pPr>
      <w:rPr>
        <w:rFonts w:hint="default" w:ascii="Times New Roman" w:hAnsi="Times New Roman" w:cs="Times New Roman"/>
        <w:sz w:val="28"/>
        <w:szCs w:val="28"/>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6">
    <w:nsid w:val="480C3990"/>
    <w:multiLevelType w:val="multilevel"/>
    <w:tmpl w:val="480C399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4C21489A"/>
    <w:multiLevelType w:val="multilevel"/>
    <w:tmpl w:val="4C21489A"/>
    <w:lvl w:ilvl="0" w:tentative="0">
      <w:start w:val="3"/>
      <w:numFmt w:val="decimal"/>
      <w:lvlText w:val="%1.1.1"/>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28">
    <w:nsid w:val="522218CB"/>
    <w:multiLevelType w:val="multilevel"/>
    <w:tmpl w:val="522218CB"/>
    <w:lvl w:ilvl="0" w:tentative="0">
      <w:start w:val="3"/>
      <w:numFmt w:val="decimal"/>
      <w:lvlText w:val="%1.3.3"/>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29">
    <w:nsid w:val="5AAA66FA"/>
    <w:multiLevelType w:val="multilevel"/>
    <w:tmpl w:val="5AAA66FA"/>
    <w:lvl w:ilvl="0" w:tentative="0">
      <w:start w:val="1"/>
      <w:numFmt w:val="decimal"/>
      <w:lvlText w:val="%1.5"/>
      <w:lvlJc w:val="left"/>
      <w:pPr>
        <w:ind w:left="787"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5B052ABA"/>
    <w:multiLevelType w:val="multilevel"/>
    <w:tmpl w:val="5B052A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5C741167"/>
    <w:multiLevelType w:val="multilevel"/>
    <w:tmpl w:val="5C741167"/>
    <w:lvl w:ilvl="0" w:tentative="0">
      <w:start w:val="3"/>
      <w:numFmt w:val="decimal"/>
      <w:lvlText w:val="%1.3.1"/>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32">
    <w:nsid w:val="5F22579F"/>
    <w:multiLevelType w:val="multilevel"/>
    <w:tmpl w:val="5F2257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3">
    <w:nsid w:val="6132B780"/>
    <w:multiLevelType w:val="multilevel"/>
    <w:tmpl w:val="6132B780"/>
    <w:lvl w:ilvl="0" w:tentative="0">
      <w:start w:val="6"/>
      <w:numFmt w:val="decimal"/>
      <w:lvlText w:val="%1.2"/>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61DD16BF"/>
    <w:multiLevelType w:val="multilevel"/>
    <w:tmpl w:val="61DD16B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5">
    <w:nsid w:val="625B7C67"/>
    <w:multiLevelType w:val="multilevel"/>
    <w:tmpl w:val="625B7C67"/>
    <w:lvl w:ilvl="0" w:tentative="0">
      <w:start w:val="1"/>
      <w:numFmt w:val="decimal"/>
      <w:lvlText w:val="%1.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6">
    <w:nsid w:val="66325F6D"/>
    <w:multiLevelType w:val="multilevel"/>
    <w:tmpl w:val="66325F6D"/>
    <w:lvl w:ilvl="0" w:tentative="0">
      <w:start w:val="2"/>
      <w:numFmt w:val="decimal"/>
      <w:lvlText w:val="%1.4.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7">
    <w:nsid w:val="66AC313D"/>
    <w:multiLevelType w:val="multilevel"/>
    <w:tmpl w:val="66AC313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8">
    <w:nsid w:val="6C52611A"/>
    <w:multiLevelType w:val="multilevel"/>
    <w:tmpl w:val="6C52611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6DEC4CCE"/>
    <w:multiLevelType w:val="multilevel"/>
    <w:tmpl w:val="6DEC4CCE"/>
    <w:lvl w:ilvl="0" w:tentative="0">
      <w:start w:val="3"/>
      <w:numFmt w:val="decimal"/>
      <w:lvlText w:val="%1.2"/>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40">
    <w:nsid w:val="73B36C3B"/>
    <w:multiLevelType w:val="multilevel"/>
    <w:tmpl w:val="73B36C3B"/>
    <w:lvl w:ilvl="0" w:tentative="0">
      <w:start w:val="1"/>
      <w:numFmt w:val="decimal"/>
      <w:lvlText w:val="2.%1"/>
      <w:lvlJc w:val="left"/>
      <w:pPr>
        <w:ind w:left="360" w:hanging="360"/>
      </w:pPr>
      <w:rPr>
        <w:rFonts w:hint="default"/>
      </w:rPr>
    </w:lvl>
    <w:lvl w:ilvl="1" w:tentative="0">
      <w:start w:val="1"/>
      <w:numFmt w:val="lowerLetter"/>
      <w:lvlText w:val="%2."/>
      <w:lvlJc w:val="left"/>
      <w:pPr>
        <w:ind w:left="1013" w:hanging="360"/>
      </w:pPr>
    </w:lvl>
    <w:lvl w:ilvl="2" w:tentative="0">
      <w:start w:val="1"/>
      <w:numFmt w:val="lowerRoman"/>
      <w:lvlText w:val="%3."/>
      <w:lvlJc w:val="right"/>
      <w:pPr>
        <w:ind w:left="1733" w:hanging="180"/>
      </w:pPr>
    </w:lvl>
    <w:lvl w:ilvl="3" w:tentative="0">
      <w:start w:val="1"/>
      <w:numFmt w:val="decimal"/>
      <w:lvlText w:val="%4."/>
      <w:lvlJc w:val="left"/>
      <w:pPr>
        <w:ind w:left="2453" w:hanging="360"/>
      </w:pPr>
    </w:lvl>
    <w:lvl w:ilvl="4" w:tentative="0">
      <w:start w:val="1"/>
      <w:numFmt w:val="lowerLetter"/>
      <w:lvlText w:val="%5."/>
      <w:lvlJc w:val="left"/>
      <w:pPr>
        <w:ind w:left="3173" w:hanging="360"/>
      </w:pPr>
    </w:lvl>
    <w:lvl w:ilvl="5" w:tentative="0">
      <w:start w:val="1"/>
      <w:numFmt w:val="lowerRoman"/>
      <w:lvlText w:val="%6."/>
      <w:lvlJc w:val="right"/>
      <w:pPr>
        <w:ind w:left="3893" w:hanging="180"/>
      </w:pPr>
    </w:lvl>
    <w:lvl w:ilvl="6" w:tentative="0">
      <w:start w:val="1"/>
      <w:numFmt w:val="decimal"/>
      <w:lvlText w:val="%7."/>
      <w:lvlJc w:val="left"/>
      <w:pPr>
        <w:ind w:left="4613" w:hanging="360"/>
      </w:pPr>
    </w:lvl>
    <w:lvl w:ilvl="7" w:tentative="0">
      <w:start w:val="1"/>
      <w:numFmt w:val="lowerLetter"/>
      <w:lvlText w:val="%8."/>
      <w:lvlJc w:val="left"/>
      <w:pPr>
        <w:ind w:left="5333" w:hanging="360"/>
      </w:pPr>
    </w:lvl>
    <w:lvl w:ilvl="8" w:tentative="0">
      <w:start w:val="1"/>
      <w:numFmt w:val="lowerRoman"/>
      <w:lvlText w:val="%9."/>
      <w:lvlJc w:val="right"/>
      <w:pPr>
        <w:ind w:left="6053" w:hanging="180"/>
      </w:pPr>
    </w:lvl>
  </w:abstractNum>
  <w:abstractNum w:abstractNumId="41">
    <w:nsid w:val="7B57082E"/>
    <w:multiLevelType w:val="multilevel"/>
    <w:tmpl w:val="7B57082E"/>
    <w:lvl w:ilvl="0" w:tentative="0">
      <w:start w:val="3"/>
      <w:numFmt w:val="decimal"/>
      <w:lvlText w:val="%1.3.7"/>
      <w:lvlJc w:val="left"/>
      <w:pPr>
        <w:ind w:left="360" w:hanging="360"/>
      </w:pPr>
      <w:rPr>
        <w:rFonts w:hint="default"/>
      </w:r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42">
    <w:nsid w:val="7BAF485F"/>
    <w:multiLevelType w:val="multilevel"/>
    <w:tmpl w:val="7BAF485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3">
    <w:nsid w:val="7DF739EB"/>
    <w:multiLevelType w:val="multilevel"/>
    <w:tmpl w:val="7DF739EB"/>
    <w:lvl w:ilvl="0" w:tentative="0">
      <w:start w:val="1"/>
      <w:numFmt w:val="decimal"/>
      <w:lvlText w:val="1.2.%1"/>
      <w:lvlJc w:val="left"/>
      <w:pPr>
        <w:ind w:left="360" w:hanging="360"/>
      </w:pPr>
      <w:rPr>
        <w:rFonts w:hint="default"/>
        <w:spacing w:val="0"/>
        <w:w w:val="98"/>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4">
    <w:nsid w:val="7F942123"/>
    <w:multiLevelType w:val="multilevel"/>
    <w:tmpl w:val="7F942123"/>
    <w:lvl w:ilvl="0" w:tentative="0">
      <w:start w:val="1"/>
      <w:numFmt w:val="decimal"/>
      <w:lvlText w:val="%1.2"/>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35"/>
  </w:num>
  <w:num w:numId="2">
    <w:abstractNumId w:val="44"/>
  </w:num>
  <w:num w:numId="3">
    <w:abstractNumId w:val="6"/>
  </w:num>
  <w:num w:numId="4">
    <w:abstractNumId w:val="4"/>
  </w:num>
  <w:num w:numId="5">
    <w:abstractNumId w:val="43"/>
  </w:num>
  <w:num w:numId="6">
    <w:abstractNumId w:val="23"/>
  </w:num>
  <w:num w:numId="7">
    <w:abstractNumId w:val="16"/>
  </w:num>
  <w:num w:numId="8">
    <w:abstractNumId w:val="29"/>
  </w:num>
  <w:num w:numId="9">
    <w:abstractNumId w:val="0"/>
  </w:num>
  <w:num w:numId="10">
    <w:abstractNumId w:val="25"/>
  </w:num>
  <w:num w:numId="11">
    <w:abstractNumId w:val="40"/>
  </w:num>
  <w:num w:numId="12">
    <w:abstractNumId w:val="14"/>
  </w:num>
  <w:num w:numId="13">
    <w:abstractNumId w:val="36"/>
  </w:num>
  <w:num w:numId="14">
    <w:abstractNumId w:val="22"/>
  </w:num>
  <w:num w:numId="15">
    <w:abstractNumId w:val="20"/>
  </w:num>
  <w:num w:numId="16">
    <w:abstractNumId w:val="17"/>
  </w:num>
  <w:num w:numId="17">
    <w:abstractNumId w:val="27"/>
  </w:num>
  <w:num w:numId="18">
    <w:abstractNumId w:val="1"/>
  </w:num>
  <w:num w:numId="19">
    <w:abstractNumId w:val="5"/>
  </w:num>
  <w:num w:numId="20">
    <w:abstractNumId w:val="39"/>
  </w:num>
  <w:num w:numId="21">
    <w:abstractNumId w:val="2"/>
  </w:num>
  <w:num w:numId="22">
    <w:abstractNumId w:val="3"/>
  </w:num>
  <w:num w:numId="23">
    <w:abstractNumId w:val="10"/>
  </w:num>
  <w:num w:numId="24">
    <w:abstractNumId w:val="31"/>
  </w:num>
  <w:num w:numId="25">
    <w:abstractNumId w:val="9"/>
  </w:num>
  <w:num w:numId="26">
    <w:abstractNumId w:val="24"/>
  </w:num>
  <w:num w:numId="27">
    <w:abstractNumId w:val="38"/>
  </w:num>
  <w:num w:numId="28">
    <w:abstractNumId w:val="28"/>
  </w:num>
  <w:num w:numId="29">
    <w:abstractNumId w:val="37"/>
  </w:num>
  <w:num w:numId="30">
    <w:abstractNumId w:val="13"/>
  </w:num>
  <w:num w:numId="31">
    <w:abstractNumId w:val="42"/>
  </w:num>
  <w:num w:numId="32">
    <w:abstractNumId w:val="7"/>
  </w:num>
  <w:num w:numId="33">
    <w:abstractNumId w:val="32"/>
  </w:num>
  <w:num w:numId="34">
    <w:abstractNumId w:val="34"/>
  </w:num>
  <w:num w:numId="35">
    <w:abstractNumId w:val="21"/>
  </w:num>
  <w:num w:numId="36">
    <w:abstractNumId w:val="30"/>
  </w:num>
  <w:num w:numId="37">
    <w:abstractNumId w:val="8"/>
  </w:num>
  <w:num w:numId="38">
    <w:abstractNumId w:val="11"/>
  </w:num>
  <w:num w:numId="39">
    <w:abstractNumId w:val="12"/>
  </w:num>
  <w:num w:numId="40">
    <w:abstractNumId w:val="18"/>
  </w:num>
  <w:num w:numId="41">
    <w:abstractNumId w:val="41"/>
  </w:num>
  <w:num w:numId="42">
    <w:abstractNumId w:val="15"/>
  </w:num>
  <w:num w:numId="43">
    <w:abstractNumId w:val="26"/>
  </w:num>
  <w:num w:numId="44">
    <w:abstractNumId w:val="19"/>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52ftddjzwsxoerapx5vrxm2fdzpaza5sva&quot;&gt;My EndNote Library&lt;record-ids&gt;&lt;item&gt;1&lt;/item&gt;&lt;item&gt;3&lt;/item&gt;&lt;item&gt;5&lt;/item&gt;&lt;item&gt;6&lt;/item&gt;&lt;item&gt;8&lt;/item&gt;&lt;item&gt;13&lt;/item&gt;&lt;item&gt;18&lt;/item&gt;&lt;item&gt;19&lt;/item&gt;&lt;item&gt;20&lt;/item&gt;&lt;item&gt;21&lt;/item&gt;&lt;item&gt;22&lt;/item&gt;&lt;item&gt;23&lt;/item&gt;&lt;item&gt;24&lt;/item&gt;&lt;item&gt;25&lt;/item&gt;&lt;item&gt;27&lt;/item&gt;&lt;item&gt;28&lt;/item&gt;&lt;item&gt;29&lt;/item&gt;&lt;item&gt;30&lt;/item&gt;&lt;item&gt;31&lt;/item&gt;&lt;item&gt;32&lt;/item&gt;&lt;item&gt;33&lt;/item&gt;&lt;item&gt;35&lt;/item&gt;&lt;item&gt;36&lt;/item&gt;&lt;item&gt;37&lt;/item&gt;&lt;item&gt;38&lt;/item&gt;&lt;item&gt;39&lt;/item&gt;&lt;item&gt;41&lt;/item&gt;&lt;item&gt;42&lt;/item&gt;&lt;item&gt;43&lt;/item&gt;&lt;item&gt;44&lt;/item&gt;&lt;item&gt;45&lt;/item&gt;&lt;item&gt;46&lt;/item&gt;&lt;item&gt;47&lt;/item&gt;&lt;item&gt;48&lt;/item&gt;&lt;item&gt;49&lt;/item&gt;&lt;item&gt;50&lt;/item&gt;&lt;item&gt;51&lt;/item&gt;&lt;item&gt;52&lt;/item&gt;&lt;item&gt;54&lt;/item&gt;&lt;item&gt;55&lt;/item&gt;&lt;item&gt;56&lt;/item&gt;&lt;item&gt;57&lt;/item&gt;&lt;item&gt;59&lt;/item&gt;&lt;item&gt;60&lt;/item&gt;&lt;item&gt;61&lt;/item&gt;&lt;item&gt;62&lt;/item&gt;&lt;item&gt;63&lt;/item&gt;&lt;item&gt;64&lt;/item&gt;&lt;item&gt;69&lt;/item&gt;&lt;item&gt;70&lt;/item&gt;&lt;item&gt;71&lt;/item&gt;&lt;item&gt;72&lt;/item&gt;&lt;item&gt;75&lt;/item&gt;&lt;item&gt;77&lt;/item&gt;&lt;item&gt;78&lt;/item&gt;&lt;item&gt;80&lt;/item&gt;&lt;item&gt;81&lt;/item&gt;&lt;item&gt;82&lt;/item&gt;&lt;item&gt;85&lt;/item&gt;&lt;item&gt;87&lt;/item&gt;&lt;item&gt;88&lt;/item&gt;&lt;item&gt;89&lt;/item&gt;&lt;item&gt;91&lt;/item&gt;&lt;item&gt;93&lt;/item&gt;&lt;item&gt;94&lt;/item&gt;&lt;item&gt;96&lt;/item&gt;&lt;item&gt;97&lt;/item&gt;&lt;item&gt;98&lt;/item&gt;&lt;item&gt;99&lt;/item&gt;&lt;item&gt;100&lt;/item&gt;&lt;item&gt;104&lt;/item&gt;&lt;item&gt;105&lt;/item&gt;&lt;item&gt;106&lt;/item&gt;&lt;item&gt;107&lt;/item&gt;&lt;item&gt;108&lt;/item&gt;&lt;item&gt;110&lt;/item&gt;&lt;item&gt;111&lt;/item&gt;&lt;item&gt;112&lt;/item&gt;&lt;item&gt;119&lt;/item&gt;&lt;item&gt;122&lt;/item&gt;&lt;item&gt;123&lt;/item&gt;&lt;item&gt;124&lt;/item&gt;&lt;item&gt;125&lt;/item&gt;&lt;item&gt;126&lt;/item&gt;&lt;item&gt;128&lt;/item&gt;&lt;item&gt;130&lt;/item&gt;&lt;item&gt;131&lt;/item&gt;&lt;item&gt;133&lt;/item&gt;&lt;item&gt;134&lt;/item&gt;&lt;/record-ids&gt;&lt;/item&gt;&lt;/Libraries&gt;"/>
  </w:docVars>
  <w:rsids>
    <w:rsidRoot w:val="61A179CC"/>
    <w:rsid w:val="013E5650"/>
    <w:rsid w:val="03442CAE"/>
    <w:rsid w:val="037C2E2F"/>
    <w:rsid w:val="06AB431A"/>
    <w:rsid w:val="0A17271C"/>
    <w:rsid w:val="0A295770"/>
    <w:rsid w:val="0A5944F4"/>
    <w:rsid w:val="0A990047"/>
    <w:rsid w:val="0AD85174"/>
    <w:rsid w:val="0DA03188"/>
    <w:rsid w:val="0DC83A03"/>
    <w:rsid w:val="0FDC7094"/>
    <w:rsid w:val="104A56AC"/>
    <w:rsid w:val="13EF07C3"/>
    <w:rsid w:val="148B0641"/>
    <w:rsid w:val="168951A5"/>
    <w:rsid w:val="192F3D18"/>
    <w:rsid w:val="19642295"/>
    <w:rsid w:val="1B5238E3"/>
    <w:rsid w:val="1D291FE4"/>
    <w:rsid w:val="1E8A6C87"/>
    <w:rsid w:val="2110504E"/>
    <w:rsid w:val="276F7BDC"/>
    <w:rsid w:val="2AC21A41"/>
    <w:rsid w:val="2BF000A4"/>
    <w:rsid w:val="2DB815DB"/>
    <w:rsid w:val="2EF174F1"/>
    <w:rsid w:val="32D46D58"/>
    <w:rsid w:val="36C66503"/>
    <w:rsid w:val="370B4C6F"/>
    <w:rsid w:val="37806955"/>
    <w:rsid w:val="3E3062AB"/>
    <w:rsid w:val="3E534711"/>
    <w:rsid w:val="406055F6"/>
    <w:rsid w:val="46547ABC"/>
    <w:rsid w:val="4A39354E"/>
    <w:rsid w:val="4A79764C"/>
    <w:rsid w:val="4AAC0243"/>
    <w:rsid w:val="4E12772D"/>
    <w:rsid w:val="4E543E83"/>
    <w:rsid w:val="522105B9"/>
    <w:rsid w:val="542C2ABB"/>
    <w:rsid w:val="5B13261B"/>
    <w:rsid w:val="5B70610D"/>
    <w:rsid w:val="5DA73435"/>
    <w:rsid w:val="5DB8525D"/>
    <w:rsid w:val="5FC05178"/>
    <w:rsid w:val="61564E40"/>
    <w:rsid w:val="61A179CC"/>
    <w:rsid w:val="628175B0"/>
    <w:rsid w:val="64E11B0D"/>
    <w:rsid w:val="65EF7ACC"/>
    <w:rsid w:val="66AB1592"/>
    <w:rsid w:val="68CC5E1B"/>
    <w:rsid w:val="6A8B6220"/>
    <w:rsid w:val="6B483938"/>
    <w:rsid w:val="6BFE4FD2"/>
    <w:rsid w:val="6F1F5DAC"/>
    <w:rsid w:val="6FF72AF8"/>
    <w:rsid w:val="711B7FB0"/>
    <w:rsid w:val="722E21D3"/>
    <w:rsid w:val="72B71F3F"/>
    <w:rsid w:val="7A9A6032"/>
    <w:rsid w:val="7C160A86"/>
    <w:rsid w:val="7D22380D"/>
    <w:rsid w:val="7DDD11E7"/>
    <w:rsid w:val="7DF54010"/>
    <w:rsid w:val="7ECB2594"/>
    <w:rsid w:val="7F876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0"/>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31"/>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caption"/>
    <w:basedOn w:val="1"/>
    <w:next w:val="1"/>
    <w:semiHidden/>
    <w:unhideWhenUsed/>
    <w:qFormat/>
    <w:uiPriority w:val="0"/>
    <w:pPr>
      <w:spacing w:before="120" w:after="280"/>
      <w:jc w:val="both"/>
    </w:pPr>
    <w:rPr>
      <w:rFonts w:ascii="Arial" w:hAnsi="Arial" w:eastAsia="黑体" w:cs="Arial"/>
      <w:sz w:val="20"/>
    </w:rPr>
  </w:style>
  <w:style w:type="character" w:styleId="8">
    <w:name w:val="FollowedHyperlink"/>
    <w:basedOn w:val="5"/>
    <w:qFormat/>
    <w:uiPriority w:val="0"/>
    <w:rPr>
      <w:color w:val="800080"/>
      <w:u w:val="single"/>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tabs>
        <w:tab w:val="center" w:pos="4153"/>
        <w:tab w:val="right" w:pos="8306"/>
      </w:tabs>
      <w:snapToGrid w:val="0"/>
    </w:pPr>
    <w:rPr>
      <w:sz w:val="18"/>
      <w:szCs w:val="18"/>
    </w:rPr>
  </w:style>
  <w:style w:type="character" w:styleId="11">
    <w:name w:val="Hyperlink"/>
    <w:basedOn w:val="5"/>
    <w:unhideWhenUsed/>
    <w:qFormat/>
    <w:uiPriority w:val="99"/>
    <w:rPr>
      <w:color w:val="0563C1"/>
      <w:u w:val="single"/>
    </w:rPr>
  </w:style>
  <w:style w:type="paragraph" w:styleId="12">
    <w:name w:val="Normal (Web)"/>
    <w:basedOn w:val="1"/>
    <w:link w:val="21"/>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3">
    <w:name w:val="Strong"/>
    <w:basedOn w:val="5"/>
    <w:qFormat/>
    <w:uiPriority w:val="22"/>
    <w:rPr>
      <w:b/>
      <w:bCs/>
    </w:rPr>
  </w:style>
  <w:style w:type="table" w:styleId="14">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able of figures"/>
    <w:basedOn w:val="1"/>
    <w:next w:val="1"/>
    <w:qFormat/>
    <w:uiPriority w:val="0"/>
    <w:pPr>
      <w:ind w:leftChars="200" w:hanging="200" w:hangingChars="200"/>
    </w:p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toc 3"/>
    <w:basedOn w:val="1"/>
    <w:next w:val="1"/>
    <w:qFormat/>
    <w:uiPriority w:val="0"/>
    <w:pPr>
      <w:ind w:left="840" w:leftChars="400"/>
    </w:pPr>
  </w:style>
  <w:style w:type="paragraph" w:styleId="19">
    <w:name w:val="List Paragraph"/>
    <w:basedOn w:val="1"/>
    <w:qFormat/>
    <w:uiPriority w:val="34"/>
    <w:pPr>
      <w:ind w:left="720"/>
      <w:contextualSpacing/>
    </w:pPr>
  </w:style>
  <w:style w:type="character" w:customStyle="1" w:styleId="20">
    <w:name w:val="Heading 1 Char"/>
    <w:link w:val="2"/>
    <w:qFormat/>
    <w:uiPriority w:val="9"/>
    <w:rPr>
      <w:rFonts w:asciiTheme="majorHAnsi" w:hAnsiTheme="majorHAnsi" w:eastAsiaTheme="majorEastAsia" w:cstheme="majorBidi"/>
      <w:color w:val="2E75B6" w:themeColor="accent1" w:themeShade="BF"/>
      <w:sz w:val="32"/>
      <w:szCs w:val="32"/>
    </w:rPr>
  </w:style>
  <w:style w:type="character" w:customStyle="1" w:styleId="21">
    <w:name w:val="Normal (Web) Char"/>
    <w:link w:val="12"/>
    <w:qFormat/>
    <w:uiPriority w:val="0"/>
    <w:rPr>
      <w:kern w:val="0"/>
      <w:sz w:val="24"/>
      <w:szCs w:val="24"/>
      <w:lang w:val="en-US" w:eastAsia="zh-CN" w:bidi="ar"/>
    </w:rPr>
  </w:style>
  <w:style w:type="table" w:customStyle="1" w:styleId="22">
    <w:name w:val="Table Grid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vlist-s"/>
    <w:basedOn w:val="5"/>
    <w:qFormat/>
    <w:uiPriority w:val="0"/>
  </w:style>
  <w:style w:type="character" w:customStyle="1" w:styleId="24">
    <w:name w:val="mord"/>
    <w:basedOn w:val="5"/>
    <w:qFormat/>
    <w:uiPriority w:val="0"/>
  </w:style>
  <w:style w:type="character" w:customStyle="1" w:styleId="25">
    <w:name w:val="katex-mathml"/>
    <w:basedOn w:val="5"/>
    <w:qFormat/>
    <w:uiPriority w:val="0"/>
  </w:style>
  <w:style w:type="paragraph" w:customStyle="1" w:styleId="26">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HAnsi"/>
      <w:sz w:val="22"/>
      <w:szCs w:val="22"/>
      <w:lang w:val="en-US" w:eastAsia="en-US" w:bidi="ar-SA"/>
    </w:rPr>
  </w:style>
  <w:style w:type="paragraph" w:customStyle="1" w:styleId="27">
    <w:name w:val="EndNote Bibliography"/>
    <w:qFormat/>
    <w:uiPriority w:val="0"/>
    <w:pPr>
      <w:pBdr>
        <w:top w:val="none" w:color="auto" w:sz="0" w:space="0"/>
        <w:left w:val="none" w:color="auto" w:sz="0" w:space="0"/>
        <w:bottom w:val="none" w:color="auto" w:sz="0" w:space="0"/>
        <w:right w:val="none" w:color="auto" w:sz="0" w:space="0"/>
        <w:between w:val="none" w:color="auto" w:sz="0" w:space="0"/>
      </w:pBdr>
    </w:pPr>
    <w:rPr>
      <w:rFonts w:ascii="Calibri" w:hAnsi="Calibri" w:cs="Calibri" w:eastAsiaTheme="minorHAnsi"/>
      <w:sz w:val="22"/>
      <w:szCs w:val="22"/>
      <w:lang w:val="en-US" w:eastAsia="en-US" w:bidi="ar-SA"/>
    </w:rPr>
  </w:style>
  <w:style w:type="table" w:customStyle="1" w:styleId="28">
    <w:name w:val="Grid Table 4 Accent 3"/>
    <w:basedOn w:val="6"/>
    <w:qFormat/>
    <w:uiPriority w:val="49"/>
    <w:pPr>
      <w:spacing w:after="0" w:line="240" w:lineRule="auto"/>
    </w:p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character" w:customStyle="1" w:styleId="29">
    <w:name w:val="font21"/>
    <w:qFormat/>
    <w:uiPriority w:val="0"/>
    <w:rPr>
      <w:rFonts w:hint="default" w:ascii="Times New Roman" w:hAnsi="Times New Roman" w:cs="Times New Roman"/>
      <w:b/>
      <w:bCs/>
      <w:color w:val="000000"/>
      <w:sz w:val="24"/>
      <w:szCs w:val="24"/>
      <w:u w:val="none"/>
    </w:rPr>
  </w:style>
  <w:style w:type="character" w:customStyle="1" w:styleId="30">
    <w:name w:val="font11"/>
    <w:qFormat/>
    <w:uiPriority w:val="0"/>
    <w:rPr>
      <w:rFonts w:hint="default" w:ascii="Times New Roman" w:hAnsi="Times New Roman" w:cs="Times New Roman"/>
      <w:b/>
      <w:bCs/>
      <w:color w:val="000000"/>
      <w:sz w:val="24"/>
      <w:szCs w:val="24"/>
      <w:u w:val="none"/>
    </w:rPr>
  </w:style>
  <w:style w:type="character" w:customStyle="1" w:styleId="31">
    <w:name w:val="Heading 2 Char"/>
    <w:link w:val="3"/>
    <w:qFormat/>
    <w:uiPriority w:val="9"/>
    <w:rPr>
      <w:rFonts w:asciiTheme="majorHAnsi" w:hAnsiTheme="majorHAnsi" w:eastAsiaTheme="majorEastAsia" w:cstheme="majorBidi"/>
      <w:color w:val="2E75B6" w:themeColor="accent1" w:themeShade="BF"/>
      <w:sz w:val="26"/>
      <w:szCs w:val="26"/>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0</Words>
  <Characters>0</Characters>
  <Lines>0</Lines>
  <Paragraphs>0</Paragraphs>
  <TotalTime>5</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2025-07-15T08:07:00Z</dcterms:created>
  <dc:creator>HP</dc:creator>
  <cp:lastModifiedBy>HP</cp:lastModifiedBy>
  <dcterms:modified xsi:type="dcterms:W3CDTF">2025-07-20T04:39:04Z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8379680B55AE4690870AB36BB1251F1D_13</vt:lpwstr>
  </property>
</Properties>
</file>