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9E0" w:rsidRPr="0091374D" w:rsidRDefault="00AC59E0" w:rsidP="00AC59E0">
      <w:pPr>
        <w:pStyle w:val="Heading1"/>
        <w:spacing w:before="0"/>
        <w:jc w:val="center"/>
        <w:rPr>
          <w:rFonts w:ascii="Times New Roman" w:hAnsi="Times New Roman" w:cs="Times New Roman"/>
          <w:color w:val="auto"/>
        </w:rPr>
      </w:pPr>
      <w:bookmarkStart w:id="0" w:name="_Toc532912603"/>
      <w:r w:rsidRPr="0091374D">
        <w:rPr>
          <w:rFonts w:ascii="Times New Roman" w:hAnsi="Times New Roman" w:cs="Times New Roman"/>
          <w:color w:val="auto"/>
        </w:rPr>
        <w:t>Factors Affecting the Demand for Owners Occupied Apartment in Dhaka City</w:t>
      </w:r>
      <w:bookmarkEnd w:id="0"/>
    </w:p>
    <w:p w:rsidR="00AC59E0" w:rsidRPr="0091374D" w:rsidRDefault="00AC59E0" w:rsidP="00AC59E0">
      <w:pPr>
        <w:spacing w:line="360" w:lineRule="auto"/>
        <w:rPr>
          <w:rFonts w:ascii="Times New Roman" w:hAnsi="Times New Roman" w:cs="Times New Roman"/>
          <w:bCs/>
          <w:sz w:val="24"/>
          <w:szCs w:val="24"/>
        </w:rPr>
      </w:pPr>
    </w:p>
    <w:p w:rsidR="00AC59E0" w:rsidRPr="0091374D" w:rsidRDefault="00AC59E0" w:rsidP="00AC59E0">
      <w:pPr>
        <w:spacing w:line="360" w:lineRule="auto"/>
        <w:jc w:val="both"/>
        <w:rPr>
          <w:rFonts w:ascii="Times New Roman" w:hAnsi="Times New Roman" w:cs="Times New Roman"/>
          <w:bCs/>
          <w:sz w:val="24"/>
          <w:szCs w:val="24"/>
        </w:rPr>
        <w:sectPr w:rsidR="00AC59E0" w:rsidRPr="0091374D" w:rsidSect="00AC59E0">
          <w:headerReference w:type="default" r:id="rId9"/>
          <w:footerReference w:type="default" r:id="rId10"/>
          <w:pgSz w:w="12240" w:h="15840" w:code="1"/>
          <w:pgMar w:top="1440" w:right="1440" w:bottom="1440" w:left="1440" w:header="720" w:footer="720" w:gutter="0"/>
          <w:cols w:space="720"/>
          <w:docGrid w:linePitch="360"/>
        </w:sectPr>
      </w:pPr>
    </w:p>
    <w:p w:rsidR="00AC59E0" w:rsidRPr="0091374D" w:rsidRDefault="00AC59E0" w:rsidP="00AC59E0">
      <w:pPr>
        <w:pStyle w:val="Heading2"/>
        <w:ind w:left="0"/>
        <w:rPr>
          <w:rFonts w:ascii="Times New Roman" w:hAnsi="Times New Roman" w:cs="Times New Roman"/>
          <w:b w:val="0"/>
          <w:i w:val="0"/>
          <w:sz w:val="24"/>
          <w:szCs w:val="24"/>
        </w:rPr>
      </w:pPr>
      <w:r w:rsidRPr="0091374D">
        <w:rPr>
          <w:rFonts w:ascii="Times New Roman" w:hAnsi="Times New Roman" w:cs="Times New Roman"/>
          <w:b w:val="0"/>
          <w:i w:val="0"/>
          <w:sz w:val="24"/>
          <w:szCs w:val="24"/>
        </w:rPr>
        <w:lastRenderedPageBreak/>
        <w:tab/>
      </w:r>
      <w:bookmarkStart w:id="1" w:name="_Toc532912604"/>
      <w:r w:rsidRPr="0091374D">
        <w:rPr>
          <w:rFonts w:ascii="Times New Roman" w:hAnsi="Times New Roman" w:cs="Times New Roman"/>
          <w:b w:val="0"/>
          <w:i w:val="0"/>
          <w:sz w:val="24"/>
          <w:szCs w:val="24"/>
        </w:rPr>
        <w:t>Abu Bakkar Siddik</w:t>
      </w:r>
      <w:bookmarkEnd w:id="1"/>
    </w:p>
    <w:p w:rsidR="00AC59E0" w:rsidRPr="0091374D" w:rsidRDefault="00AC59E0" w:rsidP="00AC59E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Teaching Assistant &amp; Student of BBA</w:t>
      </w:r>
    </w:p>
    <w:p w:rsidR="00AC59E0" w:rsidRPr="0091374D" w:rsidRDefault="00AC59E0" w:rsidP="00AC59E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Department of Business Administration</w:t>
      </w:r>
    </w:p>
    <w:p w:rsidR="00AC59E0" w:rsidRPr="0091374D" w:rsidRDefault="00A27264" w:rsidP="00AC5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Northern University Bangladesh</w:t>
      </w:r>
    </w:p>
    <w:p w:rsidR="00B353B6" w:rsidRDefault="00B353B6" w:rsidP="00AC59E0">
      <w:pPr>
        <w:spacing w:after="0" w:line="360" w:lineRule="auto"/>
        <w:jc w:val="both"/>
        <w:rPr>
          <w:rFonts w:ascii="Times New Roman" w:hAnsi="Times New Roman" w:cs="Times New Roman"/>
          <w:bCs/>
          <w:sz w:val="24"/>
          <w:szCs w:val="24"/>
        </w:rPr>
      </w:pPr>
    </w:p>
    <w:p w:rsidR="00AC59E0" w:rsidRPr="0091374D" w:rsidRDefault="00AC59E0" w:rsidP="00AC59E0">
      <w:pPr>
        <w:spacing w:after="0" w:line="360" w:lineRule="auto"/>
        <w:jc w:val="both"/>
        <w:rPr>
          <w:rFonts w:ascii="Times New Roman" w:hAnsi="Times New Roman" w:cs="Times New Roman"/>
          <w:bCs/>
          <w:sz w:val="24"/>
          <w:szCs w:val="24"/>
        </w:rPr>
      </w:pPr>
      <w:r w:rsidRPr="0091374D">
        <w:rPr>
          <w:rFonts w:ascii="Times New Roman" w:hAnsi="Times New Roman" w:cs="Times New Roman"/>
          <w:bCs/>
          <w:sz w:val="24"/>
          <w:szCs w:val="24"/>
        </w:rPr>
        <w:lastRenderedPageBreak/>
        <w:t>Md Lutfor Rahman</w:t>
      </w:r>
    </w:p>
    <w:p w:rsidR="00AC59E0" w:rsidRPr="0091374D" w:rsidRDefault="00AC59E0" w:rsidP="00AC59E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Associate Professor of Economics</w:t>
      </w:r>
    </w:p>
    <w:p w:rsidR="00AC59E0" w:rsidRPr="0091374D" w:rsidRDefault="00AC59E0" w:rsidP="00AC59E0">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Depart</w:t>
      </w:r>
      <w:r w:rsidR="0089353F">
        <w:rPr>
          <w:rFonts w:ascii="Times New Roman" w:hAnsi="Times New Roman" w:cs="Times New Roman"/>
          <w:sz w:val="24"/>
          <w:szCs w:val="24"/>
        </w:rPr>
        <w:t>ment of Business Administration</w:t>
      </w:r>
    </w:p>
    <w:p w:rsidR="00AC59E0" w:rsidRDefault="00A27264" w:rsidP="00AC5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Northern University Bangladesh</w:t>
      </w:r>
      <w:bookmarkStart w:id="2" w:name="_GoBack"/>
      <w:bookmarkEnd w:id="2"/>
    </w:p>
    <w:p w:rsidR="00F8690F" w:rsidRDefault="00F8690F" w:rsidP="00AC59E0">
      <w:pPr>
        <w:spacing w:after="0" w:line="360" w:lineRule="auto"/>
        <w:jc w:val="both"/>
        <w:rPr>
          <w:rFonts w:ascii="Times New Roman" w:hAnsi="Times New Roman" w:cs="Times New Roman"/>
          <w:sz w:val="24"/>
          <w:szCs w:val="24"/>
        </w:rPr>
      </w:pPr>
    </w:p>
    <w:p w:rsidR="00F8690F" w:rsidRDefault="00F8690F" w:rsidP="00AC59E0">
      <w:pPr>
        <w:spacing w:after="0" w:line="360" w:lineRule="auto"/>
        <w:jc w:val="both"/>
        <w:rPr>
          <w:rFonts w:ascii="Times New Roman" w:hAnsi="Times New Roman" w:cs="Times New Roman"/>
          <w:sz w:val="24"/>
          <w:szCs w:val="24"/>
        </w:rPr>
        <w:sectPr w:rsidR="00F8690F" w:rsidSect="000C3EFA">
          <w:type w:val="continuous"/>
          <w:pgSz w:w="12240" w:h="15840" w:code="1"/>
          <w:pgMar w:top="1440" w:right="1440" w:bottom="1440" w:left="1440" w:header="720" w:footer="720" w:gutter="0"/>
          <w:cols w:num="2" w:space="720"/>
          <w:docGrid w:linePitch="360"/>
        </w:sectPr>
      </w:pPr>
    </w:p>
    <w:p w:rsidR="00F8690F" w:rsidRDefault="00F8690F" w:rsidP="00AC59E0">
      <w:pPr>
        <w:spacing w:after="0" w:line="360" w:lineRule="auto"/>
        <w:jc w:val="both"/>
        <w:rPr>
          <w:rFonts w:ascii="Times New Roman" w:hAnsi="Times New Roman" w:cs="Times New Roman"/>
          <w:sz w:val="24"/>
          <w:szCs w:val="24"/>
        </w:rPr>
      </w:pPr>
    </w:p>
    <w:p w:rsidR="00B353B6" w:rsidRPr="0091374D" w:rsidRDefault="00B353B6" w:rsidP="00AC59E0">
      <w:pPr>
        <w:spacing w:after="0" w:line="360" w:lineRule="auto"/>
        <w:jc w:val="both"/>
        <w:rPr>
          <w:rFonts w:ascii="Times New Roman" w:hAnsi="Times New Roman" w:cs="Times New Roman"/>
          <w:sz w:val="24"/>
          <w:szCs w:val="24"/>
        </w:rPr>
      </w:pPr>
    </w:p>
    <w:p w:rsidR="00AC59E0" w:rsidRPr="0091374D" w:rsidRDefault="00AC59E0" w:rsidP="00AC59E0">
      <w:pPr>
        <w:spacing w:after="0" w:line="360" w:lineRule="auto"/>
        <w:jc w:val="both"/>
        <w:rPr>
          <w:rFonts w:ascii="Times New Roman" w:hAnsi="Times New Roman" w:cs="Times New Roman"/>
          <w:sz w:val="24"/>
          <w:szCs w:val="24"/>
        </w:rPr>
        <w:sectPr w:rsidR="00AC59E0" w:rsidRPr="0091374D" w:rsidSect="000C3EFA">
          <w:type w:val="continuous"/>
          <w:pgSz w:w="12240" w:h="15840" w:code="1"/>
          <w:pgMar w:top="1440" w:right="1440" w:bottom="1440" w:left="1440" w:header="720" w:footer="720" w:gutter="0"/>
          <w:cols w:num="2" w:space="720"/>
          <w:docGrid w:linePitch="360"/>
        </w:sectPr>
      </w:pPr>
    </w:p>
    <w:p w:rsidR="00AC59E0" w:rsidRPr="0091374D" w:rsidRDefault="00AC59E0" w:rsidP="00AC59E0">
      <w:pPr>
        <w:spacing w:line="360" w:lineRule="auto"/>
        <w:jc w:val="center"/>
        <w:rPr>
          <w:rFonts w:ascii="Times New Roman" w:hAnsi="Times New Roman" w:cs="Times New Roman"/>
          <w:b/>
          <w:bCs/>
          <w:i/>
          <w:sz w:val="26"/>
          <w:szCs w:val="24"/>
        </w:rPr>
      </w:pPr>
      <w:r w:rsidRPr="0091374D">
        <w:rPr>
          <w:rFonts w:ascii="Times New Roman" w:hAnsi="Times New Roman" w:cs="Times New Roman"/>
          <w:b/>
          <w:bCs/>
          <w:i/>
          <w:sz w:val="26"/>
          <w:szCs w:val="24"/>
        </w:rPr>
        <w:lastRenderedPageBreak/>
        <w:t>Abstract</w:t>
      </w:r>
    </w:p>
    <w:p w:rsidR="00AC59E0" w:rsidRPr="0091374D" w:rsidRDefault="00AC59E0" w:rsidP="00AC59E0">
      <w:pPr>
        <w:spacing w:line="360" w:lineRule="auto"/>
        <w:ind w:left="720"/>
        <w:jc w:val="both"/>
        <w:rPr>
          <w:rFonts w:ascii="Times New Roman" w:hAnsi="Times New Roman" w:cs="Times New Roman"/>
          <w:i/>
          <w:sz w:val="20"/>
          <w:szCs w:val="24"/>
        </w:rPr>
      </w:pPr>
      <w:r w:rsidRPr="0091374D">
        <w:rPr>
          <w:rFonts w:ascii="Times New Roman" w:hAnsi="Times New Roman" w:cs="Times New Roman"/>
          <w:i/>
          <w:sz w:val="20"/>
          <w:szCs w:val="24"/>
        </w:rPr>
        <w:t>In recent years the demand for apartments in Dhaka city has taken the great leap forward, though it is not strange to find the apartments remain unsold even after they are built. The main purpose of this paper is to identify the factors affecting the demand for owner's occupied apartment in Dhaka city. The study is based on survey data collected from hundred samples from five different locations, namely Dhanmondi, Uttara, Mohammadpur, Mirpur, and Khilgaon. Using primary data, with sixteen components the present study extracted six rudimentary factors by using factor analysis method. This report found that the most important factors to be considered are location, utility and basic facilities, recreation facilities, availability of Institutional Funds and Price per square feet chronologically. In case of location, developers should try to choose areas nearer to famous educational institutions, bazaar, bus stand and proximity to the office area to satisfy the requirement of respondents and avoid noisy areas. The companies should also consider the fund availability to support the customers in arranging installment payment.</w:t>
      </w:r>
    </w:p>
    <w:p w:rsidR="00AC59E0" w:rsidRPr="0091374D" w:rsidRDefault="00AC59E0" w:rsidP="00AC59E0">
      <w:pPr>
        <w:pBdr>
          <w:bottom w:val="single" w:sz="4" w:space="1" w:color="auto"/>
        </w:pBdr>
        <w:spacing w:line="360" w:lineRule="auto"/>
        <w:jc w:val="both"/>
        <w:rPr>
          <w:rFonts w:ascii="Times New Roman" w:hAnsi="Times New Roman" w:cs="Times New Roman"/>
          <w:sz w:val="24"/>
          <w:szCs w:val="24"/>
        </w:rPr>
      </w:pPr>
      <w:r w:rsidRPr="0091374D">
        <w:rPr>
          <w:rFonts w:ascii="Times New Roman" w:hAnsi="Times New Roman" w:cs="Times New Roman"/>
          <w:b/>
          <w:bCs/>
          <w:sz w:val="24"/>
          <w:szCs w:val="24"/>
        </w:rPr>
        <w:t>Keywords:</w:t>
      </w:r>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Demand, Apartment, Factor Analysis, Dhaka City.</w:t>
      </w:r>
    </w:p>
    <w:p w:rsidR="00AC59E0" w:rsidRPr="0091374D" w:rsidRDefault="00AC59E0" w:rsidP="00AC59E0">
      <w:pPr>
        <w:autoSpaceDE w:val="0"/>
        <w:autoSpaceDN w:val="0"/>
        <w:adjustRightInd w:val="0"/>
        <w:spacing w:after="0" w:line="360" w:lineRule="auto"/>
        <w:rPr>
          <w:rFonts w:ascii="Times New Roman" w:hAnsi="Times New Roman" w:cs="Times New Roman"/>
          <w:b/>
          <w:color w:val="000000"/>
          <w:sz w:val="24"/>
          <w:szCs w:val="24"/>
        </w:rPr>
      </w:pPr>
    </w:p>
    <w:p w:rsidR="00AC59E0" w:rsidRPr="0091374D" w:rsidRDefault="00AC59E0" w:rsidP="00AC59E0">
      <w:pPr>
        <w:pStyle w:val="ListParagraph"/>
        <w:numPr>
          <w:ilvl w:val="0"/>
          <w:numId w:val="3"/>
        </w:numPr>
        <w:autoSpaceDE w:val="0"/>
        <w:autoSpaceDN w:val="0"/>
        <w:adjustRightInd w:val="0"/>
        <w:spacing w:after="0" w:line="360" w:lineRule="auto"/>
        <w:rPr>
          <w:rFonts w:ascii="Times New Roman" w:hAnsi="Times New Roman" w:cs="Times New Roman"/>
          <w:b/>
          <w:color w:val="000000"/>
          <w:sz w:val="26"/>
          <w:szCs w:val="24"/>
        </w:rPr>
      </w:pPr>
      <w:r w:rsidRPr="0091374D">
        <w:rPr>
          <w:rFonts w:ascii="Times New Roman" w:hAnsi="Times New Roman" w:cs="Times New Roman"/>
          <w:b/>
          <w:color w:val="000000"/>
          <w:sz w:val="26"/>
          <w:szCs w:val="24"/>
        </w:rPr>
        <w:t>Introduction</w:t>
      </w:r>
    </w:p>
    <w:p w:rsidR="00AC59E0" w:rsidRPr="0091374D" w:rsidRDefault="00AC59E0" w:rsidP="00AC59E0">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Bangladesh is a heavily populated country in the world and it has been facing severe housing problem in recently. At present 28 percent, people live in urban areas which are anticipated to be 34 percent in 2025 (The Daily Ittefaq, May 2013). The existing trend of urban growth in Bangladesh is about 5-6 percent per annum (REHAB, 2013).. Dhaka city, the capital of Bangladesh, approximately accommodates a vast population of over 16.6 million with the expected growth rate 4.7% per annum. Living in flats then was allotted for only highly luxurious people because of their status. But now the housing market is intensifying day by day. Deficiency of buildable land and a high land price have made it almost unattainable for most of the urban population to own a portion of land for constructing a detached or semidetached house. People who can't afford to purchase or build a building they are now moving to purchasing readymade apartments. Accommodation is a real need for these massive inhabitants and in turn housing sector is facing key face up in Dhaka. To deal with this condition several private real estate developers with very little supplies of government housing have been trying to meet the demand of housing for more the last two decades. Owing to urbanization, scarcity of land, rising house rent, hazards in land purchasing, re-structuring of households to single family units,  high prices of land, a high cost of land registration and a high price of building have resulted in increasing demand for apartments . Therefore the main purpose of this paper is to find out the </w:t>
      </w:r>
      <w:r w:rsidRPr="0091374D">
        <w:rPr>
          <w:rFonts w:ascii="Times New Roman" w:hAnsi="Times New Roman" w:cs="Times New Roman"/>
          <w:sz w:val="24"/>
          <w:szCs w:val="24"/>
        </w:rPr>
        <w:lastRenderedPageBreak/>
        <w:t>appropriate and feasible factors affecting the demand for owner's occupied apartment in Dhaka city.</w:t>
      </w:r>
    </w:p>
    <w:p w:rsidR="00AC59E0" w:rsidRPr="0091374D" w:rsidRDefault="00AC59E0" w:rsidP="00AC59E0">
      <w:pPr>
        <w:pStyle w:val="ListParagraph"/>
        <w:numPr>
          <w:ilvl w:val="0"/>
          <w:numId w:val="3"/>
        </w:numPr>
        <w:tabs>
          <w:tab w:val="left" w:pos="810"/>
        </w:tabs>
        <w:spacing w:after="0" w:line="360" w:lineRule="auto"/>
        <w:rPr>
          <w:rFonts w:ascii="Times New Roman" w:hAnsi="Times New Roman" w:cs="Times New Roman"/>
          <w:sz w:val="28"/>
          <w:szCs w:val="24"/>
        </w:rPr>
      </w:pPr>
      <w:r w:rsidRPr="0091374D">
        <w:rPr>
          <w:rFonts w:ascii="Times New Roman" w:hAnsi="Times New Roman" w:cs="Times New Roman"/>
          <w:b/>
          <w:sz w:val="28"/>
          <w:szCs w:val="24"/>
        </w:rPr>
        <w:t>Objective of the Study</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objective of this study is to determine the factors significantly affecting the demand for purchasing a flat or apartment in Dhaka city and ranked them according to their order of importance.</w:t>
      </w:r>
    </w:p>
    <w:p w:rsidR="00AC59E0" w:rsidRPr="0091374D" w:rsidRDefault="00AC59E0" w:rsidP="00AC59E0">
      <w:pPr>
        <w:pStyle w:val="ListParagraph"/>
        <w:numPr>
          <w:ilvl w:val="0"/>
          <w:numId w:val="3"/>
        </w:numPr>
        <w:autoSpaceDE w:val="0"/>
        <w:autoSpaceDN w:val="0"/>
        <w:adjustRightInd w:val="0"/>
        <w:spacing w:after="0" w:line="360" w:lineRule="auto"/>
        <w:rPr>
          <w:rFonts w:ascii="Times New Roman" w:hAnsi="Times New Roman" w:cs="Times New Roman"/>
          <w:b/>
          <w:sz w:val="26"/>
          <w:szCs w:val="24"/>
        </w:rPr>
      </w:pPr>
      <w:r w:rsidRPr="0091374D">
        <w:rPr>
          <w:rFonts w:ascii="Times New Roman" w:hAnsi="Times New Roman" w:cs="Times New Roman"/>
          <w:b/>
          <w:sz w:val="26"/>
          <w:szCs w:val="24"/>
        </w:rPr>
        <w:t>Literature Review</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Throughout the world, various examinations have been directed on the real estate sector. Kamal, M., Shah, A,.(2015) explored that the six factors affecting the buyers to purchase an apartment are project facilities, environmental issues, physical quality, location and communication facilities, measured as most influential factors promotional and prices have less impact on purchase decisions. Kamal, M., et al. (2016)  also find out the four major market factors that have acted as qualifications of customers' buying attitude towards apartments in Dhaka city; those are the land problem, cultural changes, urbanization and population stresses and finally raising prices level of building materials. Hasan, 1991, Labib, et al., (2013) stated that the foundation for thriving &amp; remarkable changes in the real estate sector is urbanization, scarcity of land, rising house rent, the high price of land, increasing the price of land (20 to 50) times in the last 15 years and also   explored the location and size preferences. Khaled, M. C., et. al. (2012) spotlighted on customer perception and expectation and the dimensions of customer satisfactions and services, Leiser, K., &amp; Ghor, A. P. (2011) find out the residential living environment, location, healthier communication with work place, near to educational facilities, biases owing to relatives, are important determinants of the demands. Zadkarim, S., &amp; Emari, H. (2011), Khaled, M. C., et al. (2012) sort out the  living in the same area for long time, quality of municipality services and cost, size, and quality of apartment. However they also found the priorities of these factors are not same for all areas in Dhaka city. Barua, S., et al. (2010) explored the new magnitude in the real estate industry that the customer of apartment always would akin to get a diversified product. Model towns, which are built with the structure of a small town including all facilities for people, schools, like offices, gymnasium, banks, swimming pools, houses, shopping mall and power plant etc. Projects that contain the gymnasium, swimming pool, shopping malls etc. In one building are also diversified products supplied by the real estate agents in Bangladesh. </w:t>
      </w:r>
      <w:r w:rsidRPr="0091374D">
        <w:rPr>
          <w:rFonts w:ascii="Times New Roman" w:hAnsi="Times New Roman" w:cs="Times New Roman"/>
          <w:sz w:val="24"/>
          <w:szCs w:val="24"/>
        </w:rPr>
        <w:lastRenderedPageBreak/>
        <w:t>All these products enfolded with diversification have enormous demand in the market.  However, the present study has been undertaken to analyse the factors affecting the owners occupied apartments in Dhaka city and put essential prerequisites to the real estate developers, policy makers, marketers can use to better understand, segment and satisfy the apartment’s purchasers.</w:t>
      </w:r>
    </w:p>
    <w:p w:rsidR="00AC59E0" w:rsidRPr="0091374D" w:rsidRDefault="00AC59E0" w:rsidP="00AC59E0">
      <w:pPr>
        <w:pStyle w:val="ListParagraph"/>
        <w:numPr>
          <w:ilvl w:val="0"/>
          <w:numId w:val="3"/>
        </w:numPr>
        <w:spacing w:after="0" w:line="360" w:lineRule="auto"/>
        <w:rPr>
          <w:rFonts w:ascii="Times New Roman" w:hAnsi="Times New Roman" w:cs="Times New Roman"/>
          <w:b/>
          <w:sz w:val="26"/>
          <w:szCs w:val="24"/>
        </w:rPr>
      </w:pPr>
      <w:r w:rsidRPr="0091374D">
        <w:rPr>
          <w:rFonts w:ascii="Times New Roman" w:hAnsi="Times New Roman" w:cs="Times New Roman"/>
          <w:b/>
          <w:sz w:val="26"/>
          <w:szCs w:val="24"/>
        </w:rPr>
        <w:t>Methodology</w:t>
      </w:r>
    </w:p>
    <w:p w:rsidR="00AC59E0" w:rsidRPr="0091374D" w:rsidRDefault="00AC59E0" w:rsidP="00AC59E0">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To carry out the study both primary and secondary sources of data are utilized. For the study the secondary data were collected from different publications of Real Estate companies in Bangladesh, publications of Real Estate Housing Association of Bangladesh (REHAB), Annual Reports of the firm, using the official websites and Magazines of the Real Estate Company and primary data are collected using a questionnaire. The study undertakes both the qualitative and quantitative data. Using convenience sampling t</w:t>
      </w:r>
      <w:r w:rsidRPr="0091374D">
        <w:rPr>
          <w:rFonts w:ascii="Times New Roman" w:hAnsi="Times New Roman" w:cs="Times New Roman"/>
          <w:color w:val="000000"/>
          <w:sz w:val="24"/>
          <w:szCs w:val="24"/>
        </w:rPr>
        <w:t>he study is based on survey data and questions were structured through using five points Likert scales as well as data collected from 100 samples from 5 different locations, namely Dhanmondi, Uttara, Mohammadpur, Mirpur, and Khilgaon.</w:t>
      </w:r>
      <w:r w:rsidRPr="0091374D">
        <w:rPr>
          <w:rFonts w:ascii="Times New Roman" w:hAnsi="Times New Roman" w:cs="Times New Roman"/>
          <w:sz w:val="24"/>
          <w:szCs w:val="24"/>
        </w:rPr>
        <w:t xml:space="preserve"> Data cleansing and research were carried out through SPSS version 16. Factor analysis was performed to identify the factors affecting the demand for owner's occupied apartments in Dhaka city as well as specifying the most influential factors.</w:t>
      </w:r>
    </w:p>
    <w:p w:rsidR="00AC59E0" w:rsidRPr="0091374D" w:rsidRDefault="00AC59E0" w:rsidP="00AC59E0">
      <w:pPr>
        <w:pStyle w:val="ListParagraph"/>
        <w:numPr>
          <w:ilvl w:val="0"/>
          <w:numId w:val="3"/>
        </w:numPr>
        <w:spacing w:after="0" w:line="360" w:lineRule="auto"/>
        <w:rPr>
          <w:rFonts w:ascii="Times New Roman" w:hAnsi="Times New Roman" w:cs="Times New Roman"/>
          <w:b/>
          <w:sz w:val="26"/>
          <w:szCs w:val="24"/>
        </w:rPr>
      </w:pPr>
      <w:r w:rsidRPr="0091374D">
        <w:rPr>
          <w:rFonts w:ascii="Times New Roman" w:hAnsi="Times New Roman" w:cs="Times New Roman"/>
          <w:b/>
          <w:sz w:val="26"/>
          <w:szCs w:val="24"/>
        </w:rPr>
        <w:t>Data Analysis and Findings</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5.1 Descriptive analysis</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Out of the total respondents 45% families have less than 5 members, 30 % families’ consist of 5 to 7 members and 5% are holding more than 10 members; 54% families are performing their household activities by the earnings of a single person, 34% earnings of 2 members and Only 12% families are holding 3 earning members. 25% family’s hold their single earnings between Tk 8, 40,001 to Tk 12, 00,000, 23% families’ earns between Tk 6, 00,001 to Tk 8, 00,000, 18% earns less than Tk 3, 60,000  and 18% families earns is more than Tk.12, 00,000 as well as 16% families earns between Tk.3, 60,000 to Tk.6, 00,000.  23% families hold yearly household earning between Tk.9,00,001 to Tk.12,00,000, 21 %families earning between Tk.6,00,001 to Tk.9,00,000, 21% families earning more than Tk.15,00,000,19% families earning between Tk.12, 00,001 to Tk.15, 00,000 and only 16 % families earning is less than Tk.6, 00,000.  57% of the respondents are businessman, 26% as job holder, 7% Doctors and 10% respondents are </w:t>
      </w:r>
      <w:r w:rsidRPr="0091374D">
        <w:rPr>
          <w:rFonts w:ascii="Times New Roman" w:hAnsi="Times New Roman" w:cs="Times New Roman"/>
          <w:sz w:val="24"/>
          <w:szCs w:val="24"/>
        </w:rPr>
        <w:lastRenderedPageBreak/>
        <w:t>lawyers and engineers; 30% families are found to be living in the purchased apartment from 1 year to 3 years, 26% families between 3 years to 5 years, 20% families between 5 years 7 years and 12% families are living for more than 7.  33% families are living in Dhaka for more than 20 years, 25% families are living from 15 years to 20 years, 21% families are duration of 10 years to 15 years,12% families from 5 years to 10 years and only 9% families are staying in Dhaka Less than 5 years.</w:t>
      </w:r>
    </w:p>
    <w:p w:rsidR="00AC59E0" w:rsidRPr="0091374D" w:rsidRDefault="00AC59E0" w:rsidP="00AC59E0">
      <w:pPr>
        <w:autoSpaceDE w:val="0"/>
        <w:autoSpaceDN w:val="0"/>
        <w:adjustRightInd w:val="0"/>
        <w:spacing w:line="360" w:lineRule="auto"/>
        <w:jc w:val="both"/>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5.2 Factors Affecting the Demand for Owners Occupied Apartment:</w:t>
      </w:r>
    </w:p>
    <w:p w:rsidR="00AC59E0" w:rsidRPr="0091374D" w:rsidRDefault="00AC59E0" w:rsidP="00AC59E0">
      <w:pPr>
        <w:spacing w:line="360" w:lineRule="auto"/>
        <w:contextualSpacing/>
        <w:jc w:val="both"/>
        <w:rPr>
          <w:rFonts w:ascii="Times New Roman" w:hAnsi="Times New Roman" w:cs="Times New Roman"/>
          <w:b/>
          <w:sz w:val="24"/>
          <w:szCs w:val="24"/>
        </w:rPr>
      </w:pPr>
      <w:r w:rsidRPr="0091374D">
        <w:rPr>
          <w:rFonts w:ascii="Times New Roman" w:hAnsi="Times New Roman" w:cs="Times New Roman"/>
          <w:b/>
          <w:sz w:val="24"/>
          <w:szCs w:val="24"/>
        </w:rPr>
        <w:t>5.2.1 Construct Validity:</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sz w:val="24"/>
          <w:szCs w:val="24"/>
        </w:rPr>
        <w:t>The primary data are confined on a five point Likert scale. Measured on the scale having choices Strongly Agree, Agree, Neutral, Disagree and Strongly Disagree.</w:t>
      </w:r>
    </w:p>
    <w:p w:rsidR="00AC59E0" w:rsidRPr="0091374D" w:rsidRDefault="00AC59E0" w:rsidP="00AC59E0">
      <w:pPr>
        <w:spacing w:line="360" w:lineRule="auto"/>
        <w:contextualSpacing/>
        <w:jc w:val="both"/>
        <w:rPr>
          <w:rFonts w:ascii="Times New Roman" w:hAnsi="Times New Roman" w:cs="Times New Roman"/>
          <w:sz w:val="24"/>
          <w:szCs w:val="24"/>
        </w:rPr>
      </w:pPr>
    </w:p>
    <w:tbl>
      <w:tblPr>
        <w:tblpPr w:leftFromText="180" w:rightFromText="180" w:vertAnchor="text" w:horzAnchor="margin" w:tblpXSpec="center" w:tblpY="3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898"/>
        <w:gridCol w:w="3898"/>
        <w:gridCol w:w="1624"/>
      </w:tblGrid>
      <w:tr w:rsidR="00AC59E0" w:rsidRPr="0091374D" w:rsidTr="00241605">
        <w:trPr>
          <w:cantSplit/>
          <w:trHeight w:val="50"/>
          <w:tblHeader/>
        </w:trPr>
        <w:tc>
          <w:tcPr>
            <w:tcW w:w="5000" w:type="pct"/>
            <w:gridSpan w:val="3"/>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Table 5.1: KMO and Bartlett's Test</w:t>
            </w:r>
            <w:r w:rsidRPr="0091374D">
              <w:rPr>
                <w:rFonts w:ascii="Times New Roman" w:hAnsi="Times New Roman" w:cs="Times New Roman"/>
                <w:b/>
                <w:bCs/>
                <w:color w:val="000000"/>
                <w:sz w:val="24"/>
                <w:szCs w:val="24"/>
                <w:vertAlign w:val="superscript"/>
              </w:rPr>
              <w:t>a</w:t>
            </w:r>
          </w:p>
        </w:tc>
      </w:tr>
      <w:tr w:rsidR="00AC59E0" w:rsidRPr="0091374D" w:rsidTr="00241605">
        <w:trPr>
          <w:cantSplit/>
          <w:trHeight w:val="293"/>
          <w:tblHeader/>
        </w:trPr>
        <w:tc>
          <w:tcPr>
            <w:tcW w:w="4138" w:type="pct"/>
            <w:gridSpan w:val="2"/>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Kaiser-Meyer-Olkin Measure of Sampling Adequacy.</w:t>
            </w:r>
          </w:p>
        </w:tc>
        <w:tc>
          <w:tcPr>
            <w:tcW w:w="862" w:type="pct"/>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.610</w:t>
            </w:r>
          </w:p>
        </w:tc>
      </w:tr>
      <w:tr w:rsidR="00AC59E0" w:rsidRPr="0091374D" w:rsidTr="00241605">
        <w:trPr>
          <w:cantSplit/>
          <w:trHeight w:val="290"/>
          <w:tblHeader/>
        </w:trPr>
        <w:tc>
          <w:tcPr>
            <w:tcW w:w="2069" w:type="pct"/>
            <w:vMerge w:val="restar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Bartlett's Test of Sphericity</w:t>
            </w:r>
          </w:p>
        </w:tc>
        <w:tc>
          <w:tcPr>
            <w:tcW w:w="2068" w:type="pc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Approx. Chi-Square</w:t>
            </w:r>
          </w:p>
        </w:tc>
        <w:tc>
          <w:tcPr>
            <w:tcW w:w="862" w:type="pct"/>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373.063</w:t>
            </w:r>
          </w:p>
        </w:tc>
      </w:tr>
      <w:tr w:rsidR="00AC59E0" w:rsidRPr="0091374D" w:rsidTr="00241605">
        <w:trPr>
          <w:cantSplit/>
          <w:trHeight w:val="245"/>
          <w:tblHeader/>
        </w:trPr>
        <w:tc>
          <w:tcPr>
            <w:tcW w:w="2069" w:type="pct"/>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p>
        </w:tc>
        <w:tc>
          <w:tcPr>
            <w:tcW w:w="2068" w:type="pc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Df</w:t>
            </w:r>
          </w:p>
        </w:tc>
        <w:tc>
          <w:tcPr>
            <w:tcW w:w="862" w:type="pct"/>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105</w:t>
            </w:r>
          </w:p>
        </w:tc>
      </w:tr>
      <w:tr w:rsidR="00AC59E0" w:rsidRPr="0091374D" w:rsidTr="00241605">
        <w:trPr>
          <w:cantSplit/>
          <w:trHeight w:val="218"/>
          <w:tblHeader/>
        </w:trPr>
        <w:tc>
          <w:tcPr>
            <w:tcW w:w="2069" w:type="pct"/>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p>
        </w:tc>
        <w:tc>
          <w:tcPr>
            <w:tcW w:w="2068" w:type="pc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Sig.</w:t>
            </w:r>
          </w:p>
        </w:tc>
        <w:tc>
          <w:tcPr>
            <w:tcW w:w="862" w:type="pct"/>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w:t>
            </w:r>
          </w:p>
        </w:tc>
      </w:tr>
      <w:tr w:rsidR="00AC59E0" w:rsidRPr="0091374D" w:rsidTr="00241605">
        <w:trPr>
          <w:cantSplit/>
          <w:trHeight w:val="40"/>
        </w:trPr>
        <w:tc>
          <w:tcPr>
            <w:tcW w:w="4138" w:type="pct"/>
            <w:gridSpan w:val="2"/>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A. Data compiled by the researcher</w:t>
            </w:r>
          </w:p>
        </w:tc>
        <w:tc>
          <w:tcPr>
            <w:tcW w:w="862" w:type="pc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bl>
    <w:p w:rsidR="00AC59E0" w:rsidRPr="0091374D" w:rsidRDefault="00AC59E0" w:rsidP="00AC59E0">
      <w:pPr>
        <w:spacing w:line="360" w:lineRule="auto"/>
        <w:ind w:left="720"/>
        <w:contextualSpacing/>
        <w:jc w:val="both"/>
        <w:rPr>
          <w:rFonts w:ascii="Times New Roman" w:hAnsi="Times New Roman" w:cs="Times New Roman"/>
        </w:rPr>
      </w:pPr>
    </w:p>
    <w:p w:rsidR="00AC59E0" w:rsidRPr="0091374D" w:rsidRDefault="00AC59E0" w:rsidP="00AC59E0">
      <w:pPr>
        <w:spacing w:line="360" w:lineRule="auto"/>
        <w:contextualSpacing/>
        <w:jc w:val="both"/>
        <w:rPr>
          <w:rFonts w:ascii="Times New Roman" w:hAnsi="Times New Roman" w:cs="Times New Roman"/>
        </w:rPr>
      </w:pP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sz w:val="24"/>
          <w:szCs w:val="24"/>
        </w:rPr>
        <w:t xml:space="preserve">KMO and Bartlett's, the test is conducted before factor analysis. A Large value (KM0=.610), (Bartlett's Test of Sphericity= 0.000) indicates that data collected for factor analysis is mediocre adequate as revealed on the table.  A principal component factor analysis with Varimax Rotation was carried out for items or dimensions indicating factors affecting the owners’ occupied apartments in Dhaka city. An assessment of Eigen values has led to the retention of six factors. These factors have accounted for 27.211%,10.681%, 9.393%, 8.583%, 7.337% and 6.264%This means that the total variance accounted by all six factors is 69.469% and the remaining variance </w:t>
      </w:r>
      <w:r w:rsidRPr="0091374D">
        <w:rPr>
          <w:rFonts w:ascii="Times New Roman" w:hAnsi="Times New Roman" w:cs="Times New Roman"/>
          <w:sz w:val="24"/>
          <w:szCs w:val="24"/>
        </w:rPr>
        <w:lastRenderedPageBreak/>
        <w:t>is explained other factors (Table3). The rotated factor grid has appeared in the table 2. This shows that variables under study have consisted of six group’s factors, which are as follows.</w:t>
      </w:r>
    </w:p>
    <w:p w:rsidR="00AC59E0" w:rsidRPr="0091374D" w:rsidRDefault="00AC59E0" w:rsidP="00AC59E0">
      <w:pPr>
        <w:spacing w:line="360" w:lineRule="auto"/>
        <w:contextualSpacing/>
        <w:jc w:val="both"/>
        <w:rPr>
          <w:rFonts w:ascii="Times New Roman" w:hAnsi="Times New Roman" w:cs="Times New Roman"/>
          <w:sz w:val="24"/>
          <w:szCs w:val="24"/>
        </w:rPr>
      </w:pPr>
    </w:p>
    <w:p w:rsidR="00AC59E0" w:rsidRPr="0091374D" w:rsidRDefault="00AC59E0" w:rsidP="00AC59E0">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b/>
          <w:color w:val="000000"/>
          <w:sz w:val="24"/>
          <w:szCs w:val="24"/>
        </w:rPr>
        <w:t>Table 5.2:</w:t>
      </w:r>
      <w:r w:rsidRPr="0091374D">
        <w:rPr>
          <w:rFonts w:ascii="Times New Roman" w:hAnsi="Times New Roman" w:cs="Times New Roman"/>
          <w:color w:val="000000"/>
          <w:sz w:val="24"/>
          <w:szCs w:val="24"/>
        </w:rPr>
        <w:t xml:space="preserve">  Factors loadings of correlation coefficient based on Varimax rotation of factors influencing owners’ occupied apartments in Dhaka city.</w:t>
      </w:r>
    </w:p>
    <w:p w:rsidR="00AC59E0" w:rsidRPr="0091374D" w:rsidRDefault="00AC59E0" w:rsidP="00AC59E0">
      <w:pPr>
        <w:autoSpaceDE w:val="0"/>
        <w:autoSpaceDN w:val="0"/>
        <w:adjustRightInd w:val="0"/>
        <w:spacing w:line="360" w:lineRule="auto"/>
        <w:jc w:val="both"/>
        <w:rPr>
          <w:rFonts w:ascii="Times New Roman" w:hAnsi="Times New Roman" w:cs="Times New Roman"/>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757"/>
        <w:gridCol w:w="757"/>
        <w:gridCol w:w="739"/>
        <w:gridCol w:w="680"/>
        <w:gridCol w:w="757"/>
        <w:gridCol w:w="948"/>
      </w:tblGrid>
      <w:tr w:rsidR="00AC59E0" w:rsidRPr="0091374D" w:rsidTr="00241605">
        <w:trPr>
          <w:trHeight w:val="434"/>
          <w:tblHeader/>
          <w:jc w:val="center"/>
        </w:trPr>
        <w:tc>
          <w:tcPr>
            <w:tcW w:w="5000" w:type="pct"/>
            <w:gridSpan w:val="7"/>
          </w:tcPr>
          <w:p w:rsidR="00AC59E0" w:rsidRPr="0091374D" w:rsidRDefault="00AC59E0" w:rsidP="001500F3">
            <w:pPr>
              <w:spacing w:line="360" w:lineRule="auto"/>
              <w:jc w:val="both"/>
              <w:rPr>
                <w:rFonts w:ascii="Times New Roman" w:eastAsiaTheme="minorEastAsia" w:hAnsi="Times New Roman" w:cs="Times New Roman"/>
                <w:b/>
                <w:sz w:val="24"/>
                <w:szCs w:val="24"/>
                <w:vertAlign w:val="superscript"/>
              </w:rPr>
            </w:pPr>
            <w:r w:rsidRPr="0091374D">
              <w:rPr>
                <w:rFonts w:ascii="Times New Roman" w:eastAsiaTheme="minorEastAsia" w:hAnsi="Times New Roman" w:cs="Times New Roman"/>
                <w:b/>
                <w:sz w:val="24"/>
                <w:szCs w:val="24"/>
              </w:rPr>
              <w:t>Rotated Component Matrix</w:t>
            </w:r>
          </w:p>
        </w:tc>
      </w:tr>
      <w:tr w:rsidR="00AC59E0" w:rsidRPr="0091374D" w:rsidTr="00241605">
        <w:trPr>
          <w:trHeight w:val="223"/>
          <w:tblHeader/>
          <w:jc w:val="center"/>
        </w:trPr>
        <w:tc>
          <w:tcPr>
            <w:tcW w:w="2579" w:type="pct"/>
            <w:vMerge w:val="restart"/>
          </w:tcPr>
          <w:p w:rsidR="00AC59E0" w:rsidRPr="0091374D" w:rsidRDefault="00AC59E0" w:rsidP="001500F3">
            <w:pPr>
              <w:spacing w:line="360" w:lineRule="auto"/>
              <w:contextualSpacing/>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 xml:space="preserve">                            Variables</w:t>
            </w:r>
          </w:p>
        </w:tc>
        <w:tc>
          <w:tcPr>
            <w:tcW w:w="2421" w:type="pct"/>
            <w:gridSpan w:val="6"/>
          </w:tcPr>
          <w:p w:rsidR="00AC59E0" w:rsidRPr="0091374D" w:rsidRDefault="00AC59E0" w:rsidP="001500F3">
            <w:pPr>
              <w:spacing w:line="360" w:lineRule="auto"/>
              <w:contextualSpacing/>
              <w:jc w:val="center"/>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Factors</w:t>
            </w:r>
          </w:p>
        </w:tc>
      </w:tr>
      <w:tr w:rsidR="00AC59E0" w:rsidRPr="0091374D" w:rsidTr="00241605">
        <w:trPr>
          <w:trHeight w:val="107"/>
          <w:tblHeader/>
          <w:jc w:val="center"/>
        </w:trPr>
        <w:tc>
          <w:tcPr>
            <w:tcW w:w="2579" w:type="pct"/>
            <w:vMerge/>
          </w:tcPr>
          <w:p w:rsidR="00AC59E0" w:rsidRPr="0091374D" w:rsidRDefault="00AC59E0" w:rsidP="001500F3">
            <w:pPr>
              <w:spacing w:line="360" w:lineRule="auto"/>
              <w:contextualSpacing/>
              <w:jc w:val="both"/>
              <w:rPr>
                <w:rFonts w:ascii="Times New Roman" w:eastAsiaTheme="minorEastAsia" w:hAnsi="Times New Roman" w:cs="Times New Roman"/>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2</w:t>
            </w: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3</w:t>
            </w: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4</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5</w:t>
            </w: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6</w:t>
            </w:r>
          </w:p>
        </w:tc>
      </w:tr>
      <w:tr w:rsidR="00AC59E0" w:rsidRPr="0091374D" w:rsidTr="00241605">
        <w:trPr>
          <w:trHeight w:val="211"/>
          <w:jc w:val="center"/>
        </w:trPr>
        <w:tc>
          <w:tcPr>
            <w:tcW w:w="2579" w:type="pct"/>
          </w:tcPr>
          <w:p w:rsidR="00AC59E0" w:rsidRPr="0091374D" w:rsidRDefault="00AC59E0" w:rsidP="001500F3">
            <w:pPr>
              <w:spacing w:line="360" w:lineRule="auto"/>
              <w:contextualSpacing/>
              <w:jc w:val="center"/>
              <w:rPr>
                <w:rFonts w:ascii="Times New Roman" w:eastAsiaTheme="minorEastAsia"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1,1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.978</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70"/>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1,2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.857</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70"/>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1,3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.638</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2,1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.908</w:t>
            </w: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11"/>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2,2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.888</w:t>
            </w: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2,3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.619</w:t>
            </w: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70"/>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3,1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.969</w:t>
            </w: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3,2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.865</w:t>
            </w: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3,3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.846</w:t>
            </w: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4,1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.968</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23"/>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4,2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.966</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11"/>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4,3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.543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48"/>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5,1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.719</w:t>
            </w: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61"/>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5,2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.677</w:t>
            </w: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305"/>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5,3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-.504</w:t>
            </w: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r>
      <w:tr w:rsidR="00AC59E0" w:rsidRPr="0091374D" w:rsidTr="00241605">
        <w:trPr>
          <w:trHeight w:val="248"/>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lastRenderedPageBreak/>
              <w:t>X</w:t>
            </w:r>
            <w:r w:rsidRPr="0091374D">
              <w:rPr>
                <w:rFonts w:ascii="Times New Roman" w:eastAsiaTheme="minorEastAsia" w:hAnsi="Times New Roman" w:cs="Times New Roman"/>
                <w:b/>
                <w:sz w:val="24"/>
                <w:szCs w:val="24"/>
                <w:vertAlign w:val="subscript"/>
              </w:rPr>
              <w:t>6,1</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.987</w:t>
            </w:r>
          </w:p>
        </w:tc>
      </w:tr>
      <w:tr w:rsidR="00AC59E0" w:rsidRPr="0091374D" w:rsidTr="00241605">
        <w:trPr>
          <w:trHeight w:val="350"/>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6,2</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.975</w:t>
            </w:r>
          </w:p>
        </w:tc>
      </w:tr>
      <w:tr w:rsidR="00AC59E0" w:rsidRPr="0091374D" w:rsidTr="00241605">
        <w:trPr>
          <w:trHeight w:val="287"/>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6,3</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.816</w:t>
            </w:r>
          </w:p>
        </w:tc>
      </w:tr>
      <w:tr w:rsidR="00AC59E0" w:rsidRPr="0091374D" w:rsidTr="00241605">
        <w:trPr>
          <w:trHeight w:val="305"/>
          <w:jc w:val="center"/>
        </w:trPr>
        <w:tc>
          <w:tcPr>
            <w:tcW w:w="2579" w:type="pct"/>
          </w:tcPr>
          <w:p w:rsidR="00AC59E0" w:rsidRPr="0091374D" w:rsidRDefault="00AC59E0" w:rsidP="001500F3">
            <w:pPr>
              <w:spacing w:line="360" w:lineRule="auto"/>
              <w:jc w:val="center"/>
              <w:rPr>
                <w:rFonts w:ascii="Times New Roman" w:hAnsi="Times New Roman" w:cs="Times New Roman"/>
                <w:b/>
                <w:sz w:val="24"/>
                <w:szCs w:val="24"/>
                <w:vertAlign w:val="subscript"/>
              </w:rPr>
            </w:pPr>
            <w:r w:rsidRPr="0091374D">
              <w:rPr>
                <w:rFonts w:ascii="Times New Roman" w:eastAsiaTheme="minorEastAsia" w:hAnsi="Times New Roman" w:cs="Times New Roman"/>
                <w:b/>
                <w:sz w:val="24"/>
                <w:szCs w:val="24"/>
              </w:rPr>
              <w:t>X</w:t>
            </w:r>
            <w:r w:rsidRPr="0091374D">
              <w:rPr>
                <w:rFonts w:ascii="Times New Roman" w:eastAsiaTheme="minorEastAsia" w:hAnsi="Times New Roman" w:cs="Times New Roman"/>
                <w:b/>
                <w:sz w:val="24"/>
                <w:szCs w:val="24"/>
                <w:vertAlign w:val="subscript"/>
              </w:rPr>
              <w:t>6,4</w:t>
            </w: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86"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5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395"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p>
        </w:tc>
        <w:tc>
          <w:tcPr>
            <w:tcW w:w="494" w:type="pct"/>
          </w:tcPr>
          <w:p w:rsidR="00AC59E0" w:rsidRPr="0091374D" w:rsidRDefault="00AC59E0" w:rsidP="001500F3">
            <w:pPr>
              <w:spacing w:line="360" w:lineRule="auto"/>
              <w:contextualSpacing/>
              <w:jc w:val="both"/>
              <w:rPr>
                <w:rFonts w:ascii="Times New Roman" w:eastAsiaTheme="minorEastAsia" w:hAnsi="Times New Roman" w:cs="Times New Roman"/>
                <w:b/>
                <w:sz w:val="24"/>
                <w:szCs w:val="24"/>
              </w:rPr>
            </w:pPr>
            <w:r w:rsidRPr="0091374D">
              <w:rPr>
                <w:rFonts w:ascii="Times New Roman" w:eastAsiaTheme="minorEastAsia" w:hAnsi="Times New Roman" w:cs="Times New Roman"/>
                <w:b/>
                <w:sz w:val="24"/>
                <w:szCs w:val="24"/>
              </w:rPr>
              <w:t>.711</w:t>
            </w:r>
          </w:p>
        </w:tc>
      </w:tr>
      <w:tr w:rsidR="00AC59E0" w:rsidRPr="0091374D" w:rsidTr="00241605">
        <w:trPr>
          <w:trHeight w:val="503"/>
          <w:jc w:val="center"/>
        </w:trPr>
        <w:tc>
          <w:tcPr>
            <w:tcW w:w="5000" w:type="pct"/>
            <w:gridSpan w:val="7"/>
          </w:tcPr>
          <w:p w:rsidR="00AC59E0" w:rsidRPr="0091374D" w:rsidRDefault="00AC59E0" w:rsidP="001500F3">
            <w:pPr>
              <w:spacing w:line="360" w:lineRule="auto"/>
              <w:jc w:val="both"/>
              <w:rPr>
                <w:rFonts w:ascii="Times New Roman" w:eastAsiaTheme="minorEastAsia" w:hAnsi="Times New Roman" w:cs="Times New Roman"/>
                <w:sz w:val="24"/>
                <w:szCs w:val="24"/>
              </w:rPr>
            </w:pPr>
            <w:r w:rsidRPr="0091374D">
              <w:rPr>
                <w:rFonts w:ascii="Times New Roman" w:eastAsiaTheme="minorEastAsia" w:hAnsi="Times New Roman" w:cs="Times New Roman"/>
                <w:sz w:val="24"/>
                <w:szCs w:val="24"/>
              </w:rPr>
              <w:t xml:space="preserve">Extraction Method: Principal Component Analysis. </w:t>
            </w:r>
          </w:p>
          <w:p w:rsidR="00AC59E0" w:rsidRPr="0091374D" w:rsidRDefault="00AC59E0" w:rsidP="001500F3">
            <w:pPr>
              <w:spacing w:line="360" w:lineRule="auto"/>
              <w:contextualSpacing/>
              <w:jc w:val="both"/>
              <w:rPr>
                <w:rFonts w:ascii="Times New Roman" w:eastAsiaTheme="minorEastAsia" w:hAnsi="Times New Roman" w:cs="Times New Roman"/>
                <w:sz w:val="24"/>
                <w:szCs w:val="24"/>
              </w:rPr>
            </w:pPr>
            <w:r w:rsidRPr="0091374D">
              <w:rPr>
                <w:rFonts w:ascii="Times New Roman" w:eastAsiaTheme="minorEastAsia" w:hAnsi="Times New Roman" w:cs="Times New Roman"/>
                <w:sz w:val="24"/>
                <w:szCs w:val="24"/>
              </w:rPr>
              <w:t xml:space="preserve"> Rotation Method: Varimax with Kaiser Normalization.</w:t>
            </w:r>
          </w:p>
        </w:tc>
      </w:tr>
      <w:tr w:rsidR="00AC59E0" w:rsidRPr="0091374D" w:rsidTr="00241605">
        <w:trPr>
          <w:trHeight w:val="70"/>
          <w:jc w:val="center"/>
        </w:trPr>
        <w:tc>
          <w:tcPr>
            <w:tcW w:w="5000" w:type="pct"/>
            <w:gridSpan w:val="7"/>
          </w:tcPr>
          <w:p w:rsidR="00AC59E0" w:rsidRPr="0091374D" w:rsidRDefault="00AC59E0" w:rsidP="001500F3">
            <w:pPr>
              <w:spacing w:line="360" w:lineRule="auto"/>
              <w:contextualSpacing/>
              <w:jc w:val="both"/>
              <w:rPr>
                <w:rFonts w:ascii="Times New Roman" w:eastAsiaTheme="minorEastAsia" w:hAnsi="Times New Roman" w:cs="Times New Roman"/>
                <w:sz w:val="24"/>
                <w:szCs w:val="24"/>
              </w:rPr>
            </w:pPr>
            <w:r w:rsidRPr="0091374D">
              <w:rPr>
                <w:rFonts w:ascii="Times New Roman" w:eastAsiaTheme="minorEastAsia" w:hAnsi="Times New Roman" w:cs="Times New Roman"/>
                <w:sz w:val="24"/>
                <w:szCs w:val="24"/>
              </w:rPr>
              <w:t>a. Rotation converged in 6 iterations.</w:t>
            </w:r>
          </w:p>
        </w:tc>
      </w:tr>
    </w:tbl>
    <w:p w:rsidR="00AC59E0" w:rsidRPr="0091374D" w:rsidRDefault="00AC59E0" w:rsidP="00AC59E0">
      <w:pPr>
        <w:autoSpaceDE w:val="0"/>
        <w:autoSpaceDN w:val="0"/>
        <w:adjustRightInd w:val="0"/>
        <w:spacing w:line="360" w:lineRule="auto"/>
        <w:jc w:val="right"/>
        <w:rPr>
          <w:rFonts w:ascii="Times New Roman" w:hAnsi="Times New Roman" w:cs="Times New Roman"/>
          <w:b/>
          <w:color w:val="000000"/>
          <w:sz w:val="4"/>
          <w:szCs w:val="24"/>
        </w:rPr>
      </w:pPr>
    </w:p>
    <w:p w:rsidR="00AC59E0" w:rsidRPr="0091374D" w:rsidRDefault="00AC59E0" w:rsidP="00AC59E0">
      <w:pPr>
        <w:autoSpaceDE w:val="0"/>
        <w:autoSpaceDN w:val="0"/>
        <w:adjustRightInd w:val="0"/>
        <w:spacing w:line="360" w:lineRule="auto"/>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 xml:space="preserve">Source:  </w:t>
      </w:r>
      <w:r w:rsidRPr="0091374D">
        <w:rPr>
          <w:rFonts w:ascii="Times New Roman" w:hAnsi="Times New Roman" w:cs="Times New Roman"/>
          <w:i/>
          <w:color w:val="000000"/>
          <w:sz w:val="24"/>
          <w:szCs w:val="24"/>
        </w:rPr>
        <w:t>Researchers compilation based on field survey (April 2017)</w:t>
      </w:r>
    </w:p>
    <w:p w:rsidR="00AC59E0" w:rsidRPr="0091374D" w:rsidRDefault="00AC59E0" w:rsidP="00AC59E0">
      <w:pPr>
        <w:autoSpaceDE w:val="0"/>
        <w:autoSpaceDN w:val="0"/>
        <w:adjustRightInd w:val="0"/>
        <w:spacing w:line="360" w:lineRule="auto"/>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 xml:space="preserve">Note: </w:t>
      </w:r>
      <w:r w:rsidRPr="0091374D">
        <w:rPr>
          <w:rFonts w:ascii="Times New Roman" w:hAnsi="Times New Roman" w:cs="Times New Roman"/>
          <w:color w:val="000000"/>
          <w:sz w:val="24"/>
          <w:szCs w:val="24"/>
        </w:rPr>
        <w:t>X</w:t>
      </w:r>
      <w:r w:rsidRPr="0091374D">
        <w:rPr>
          <w:rFonts w:ascii="Times New Roman" w:hAnsi="Times New Roman" w:cs="Times New Roman"/>
          <w:color w:val="000000"/>
          <w:sz w:val="24"/>
          <w:szCs w:val="24"/>
          <w:vertAlign w:val="subscript"/>
        </w:rPr>
        <w:t xml:space="preserve">i,j , </w:t>
      </w:r>
      <w:r w:rsidRPr="0091374D">
        <w:rPr>
          <w:rFonts w:ascii="Times New Roman" w:hAnsi="Times New Roman" w:cs="Times New Roman"/>
          <w:color w:val="000000"/>
          <w:sz w:val="24"/>
          <w:szCs w:val="24"/>
        </w:rPr>
        <w:t>Where , i identifies factor and j identifies items under i</w:t>
      </w:r>
      <w:r w:rsidRPr="0091374D">
        <w:rPr>
          <w:rFonts w:ascii="Times New Roman" w:hAnsi="Times New Roman" w:cs="Times New Roman"/>
          <w:color w:val="000000"/>
          <w:sz w:val="24"/>
          <w:szCs w:val="24"/>
          <w:vertAlign w:val="superscript"/>
        </w:rPr>
        <w:t>th</w:t>
      </w:r>
      <w:r w:rsidRPr="0091374D">
        <w:rPr>
          <w:rFonts w:ascii="Times New Roman" w:hAnsi="Times New Roman" w:cs="Times New Roman"/>
          <w:color w:val="000000"/>
          <w:sz w:val="24"/>
          <w:szCs w:val="24"/>
        </w:rPr>
        <w:t xml:space="preserve"> factor.</w:t>
      </w:r>
    </w:p>
    <w:p w:rsidR="00AC59E0" w:rsidRPr="0091374D" w:rsidRDefault="00AC59E0" w:rsidP="00AC59E0">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Accordingly, these 16 items are classified in six main components or factors</w:t>
      </w:r>
    </w:p>
    <w:p w:rsidR="00AC59E0" w:rsidRPr="0091374D" w:rsidRDefault="00AC59E0" w:rsidP="00AC59E0">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Here,</w:t>
      </w:r>
    </w:p>
    <w:p w:rsidR="00AC59E0" w:rsidRPr="0091374D" w:rsidRDefault="00AC59E0" w:rsidP="00AC59E0">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sz w:val="24"/>
          <w:szCs w:val="24"/>
        </w:rPr>
        <w:t xml:space="preserve"> </w:t>
      </w:r>
      <w:r w:rsidRPr="0091374D">
        <w:rPr>
          <w:rFonts w:ascii="Times New Roman" w:hAnsi="Times New Roman" w:cs="Times New Roman"/>
          <w:b/>
          <w:sz w:val="24"/>
          <w:szCs w:val="24"/>
        </w:rPr>
        <w:t>Factor-1</w:t>
      </w:r>
      <w:r w:rsidRPr="0091374D">
        <w:rPr>
          <w:rFonts w:ascii="Times New Roman" w:hAnsi="Times New Roman" w:cs="Times New Roman"/>
          <w:sz w:val="24"/>
          <w:szCs w:val="24"/>
        </w:rPr>
        <w:t xml:space="preserve"> (comprising 3 items) is labeled as </w:t>
      </w:r>
      <w:r w:rsidRPr="0091374D">
        <w:rPr>
          <w:rFonts w:ascii="Times New Roman" w:hAnsi="Times New Roman" w:cs="Times New Roman"/>
          <w:b/>
          <w:sz w:val="24"/>
          <w:szCs w:val="24"/>
        </w:rPr>
        <w:t>'Location Factors'</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b/>
          <w:sz w:val="24"/>
          <w:szCs w:val="24"/>
        </w:rPr>
        <w:t xml:space="preserve"> Factor-2</w:t>
      </w:r>
      <w:r w:rsidRPr="0091374D">
        <w:rPr>
          <w:rFonts w:ascii="Times New Roman" w:hAnsi="Times New Roman" w:cs="Times New Roman"/>
          <w:sz w:val="24"/>
          <w:szCs w:val="24"/>
        </w:rPr>
        <w:t xml:space="preserve"> (consisting 3 items) is labeled as </w:t>
      </w:r>
      <w:r w:rsidRPr="0091374D">
        <w:rPr>
          <w:rFonts w:ascii="Times New Roman" w:hAnsi="Times New Roman" w:cs="Times New Roman"/>
          <w:b/>
          <w:sz w:val="24"/>
          <w:szCs w:val="24"/>
        </w:rPr>
        <w:t>` Utility and other Basic Facilities factors'</w:t>
      </w:r>
      <w:r w:rsidRPr="0091374D">
        <w:rPr>
          <w:rFonts w:ascii="Times New Roman" w:hAnsi="Times New Roman" w:cs="Times New Roman"/>
          <w:sz w:val="24"/>
          <w:szCs w:val="24"/>
        </w:rPr>
        <w:t xml:space="preserve"> </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b/>
          <w:sz w:val="24"/>
          <w:szCs w:val="24"/>
        </w:rPr>
        <w:t xml:space="preserve"> Factor-3</w:t>
      </w:r>
      <w:r w:rsidRPr="0091374D">
        <w:rPr>
          <w:rFonts w:ascii="Times New Roman" w:hAnsi="Times New Roman" w:cs="Times New Roman"/>
          <w:sz w:val="24"/>
          <w:szCs w:val="24"/>
        </w:rPr>
        <w:t xml:space="preserve"> (consisting 3 items) is labeled as </w:t>
      </w:r>
      <w:r w:rsidRPr="0091374D">
        <w:rPr>
          <w:rFonts w:ascii="Times New Roman" w:hAnsi="Times New Roman" w:cs="Times New Roman"/>
          <w:b/>
          <w:sz w:val="24"/>
          <w:szCs w:val="24"/>
        </w:rPr>
        <w:t>'Reaction Facilities Factors'</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sz w:val="24"/>
          <w:szCs w:val="24"/>
        </w:rPr>
        <w:t xml:space="preserve"> </w:t>
      </w:r>
      <w:r w:rsidRPr="0091374D">
        <w:rPr>
          <w:rFonts w:ascii="Times New Roman" w:hAnsi="Times New Roman" w:cs="Times New Roman"/>
          <w:b/>
          <w:sz w:val="24"/>
          <w:szCs w:val="24"/>
        </w:rPr>
        <w:t>Factor-4</w:t>
      </w:r>
      <w:r w:rsidRPr="0091374D">
        <w:rPr>
          <w:rFonts w:ascii="Times New Roman" w:hAnsi="Times New Roman" w:cs="Times New Roman"/>
          <w:sz w:val="24"/>
          <w:szCs w:val="24"/>
        </w:rPr>
        <w:t xml:space="preserve"> (consisting 3 items) is labeled as '</w:t>
      </w:r>
      <w:r w:rsidRPr="0091374D">
        <w:rPr>
          <w:rFonts w:ascii="Times New Roman" w:hAnsi="Times New Roman" w:cs="Times New Roman"/>
          <w:b/>
          <w:sz w:val="24"/>
          <w:szCs w:val="24"/>
        </w:rPr>
        <w:t>Availability of Institutional/ Personal Funds Factors'</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sz w:val="24"/>
          <w:szCs w:val="24"/>
        </w:rPr>
        <w:t xml:space="preserve"> </w:t>
      </w:r>
      <w:r w:rsidRPr="0091374D">
        <w:rPr>
          <w:rFonts w:ascii="Times New Roman" w:hAnsi="Times New Roman" w:cs="Times New Roman"/>
          <w:b/>
          <w:sz w:val="24"/>
          <w:szCs w:val="24"/>
        </w:rPr>
        <w:t>Factor-5</w:t>
      </w:r>
      <w:r w:rsidRPr="0091374D">
        <w:rPr>
          <w:rFonts w:ascii="Times New Roman" w:hAnsi="Times New Roman" w:cs="Times New Roman"/>
          <w:sz w:val="24"/>
          <w:szCs w:val="24"/>
        </w:rPr>
        <w:t xml:space="preserve"> (consisting 3 items) is labeled as </w:t>
      </w:r>
      <w:r w:rsidRPr="0091374D">
        <w:rPr>
          <w:rFonts w:ascii="Times New Roman" w:hAnsi="Times New Roman" w:cs="Times New Roman"/>
          <w:b/>
          <w:sz w:val="24"/>
          <w:szCs w:val="24"/>
        </w:rPr>
        <w:t>' Goodwill of Real estate Company Factors'</w:t>
      </w:r>
    </w:p>
    <w:p w:rsidR="00AC59E0" w:rsidRPr="0091374D" w:rsidRDefault="00AC59E0" w:rsidP="00AC59E0">
      <w:pPr>
        <w:spacing w:line="360" w:lineRule="auto"/>
        <w:contextualSpacing/>
        <w:jc w:val="both"/>
        <w:rPr>
          <w:rFonts w:ascii="Times New Roman" w:hAnsi="Times New Roman" w:cs="Times New Roman"/>
          <w:sz w:val="24"/>
          <w:szCs w:val="24"/>
        </w:rPr>
      </w:pPr>
      <w:r w:rsidRPr="0091374D">
        <w:rPr>
          <w:rFonts w:ascii="Times New Roman" w:hAnsi="Times New Roman" w:cs="Times New Roman"/>
          <w:b/>
          <w:sz w:val="24"/>
          <w:szCs w:val="24"/>
        </w:rPr>
        <w:t>Factor-6</w:t>
      </w:r>
      <w:r w:rsidRPr="0091374D">
        <w:rPr>
          <w:rFonts w:ascii="Times New Roman" w:hAnsi="Times New Roman" w:cs="Times New Roman"/>
          <w:sz w:val="24"/>
          <w:szCs w:val="24"/>
        </w:rPr>
        <w:t xml:space="preserve"> (consisting 4 items) is labeled as '</w:t>
      </w:r>
      <w:r w:rsidRPr="0091374D">
        <w:rPr>
          <w:rFonts w:ascii="Times New Roman" w:hAnsi="Times New Roman" w:cs="Times New Roman"/>
          <w:b/>
          <w:sz w:val="24"/>
          <w:szCs w:val="24"/>
        </w:rPr>
        <w:t xml:space="preserve"> Price Factors'</w:t>
      </w:r>
      <w:r w:rsidRPr="0091374D">
        <w:rPr>
          <w:rFonts w:ascii="Times New Roman" w:hAnsi="Times New Roman" w:cs="Times New Roman"/>
          <w:sz w:val="24"/>
          <w:szCs w:val="24"/>
        </w:rPr>
        <w:t xml:space="preserve"> </w:t>
      </w:r>
    </w:p>
    <w:p w:rsidR="00AC59E0" w:rsidRPr="0091374D" w:rsidRDefault="00AC59E0" w:rsidP="00AC59E0">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5.2.2 Analysis of Factors</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 xml:space="preserve">Factor-1: Location </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Factor-1 explains 27.211 % of the total variations presented in the variable set. This factor has the significant factor loading on these variables that have formed a significant group, which </w:t>
      </w:r>
      <w:r w:rsidRPr="0091374D">
        <w:rPr>
          <w:rFonts w:ascii="Times New Roman" w:hAnsi="Times New Roman" w:cs="Times New Roman"/>
          <w:sz w:val="24"/>
          <w:szCs w:val="24"/>
        </w:rPr>
        <w:lastRenderedPageBreak/>
        <w:t>belongs to its proximity to my children's school; it is near to my office and of easy communication by bus and other modes of transportation. Thus, it provides a basis for affecting the demand of owners occupied apartments in Dhaka city.</w:t>
      </w:r>
    </w:p>
    <w:p w:rsidR="00AC59E0" w:rsidRPr="0091374D" w:rsidRDefault="00AC59E0" w:rsidP="00AC59E0">
      <w:pPr>
        <w:spacing w:line="360" w:lineRule="auto"/>
        <w:jc w:val="both"/>
        <w:rPr>
          <w:rFonts w:ascii="Times New Roman" w:hAnsi="Times New Roman" w:cs="Times New Roman"/>
          <w:sz w:val="24"/>
          <w:szCs w:val="24"/>
        </w:rPr>
      </w:pP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Factor-2: Utility and other Basic Facilities Factors</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Factor-2 explains 10.681% of the total variation presented in the variable set. This factor has also significant factor loading ranging from moderate to high on these variables, which formed the second important group. This factor is concerned the with-of availability of 24 hours generator facilitates, of availability of lift or Escalator service and of availability of legal gas line services. Therefore, this factor has provided a basis for affecting the demand of owners occupied apartments in Dhaka city, which may be labeled as Utility and other Basic Facilities Factor.</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Factor-3: Recreation Facilities Factor</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Factor-3 explains 9.393%% of the total variations presented in the variable set. This factor has the significant factor loading on these variables that have formed an important group, which pertains to gym/swimming pool/indoor/outdoor games facilities are available, a movie theater is located nearby and of its proximity to well-established kids playing zone. So it provides a basis for affecting the demand of owners occupied apartments in Dhaka city, which may be identified as Reaction Facilities Factor.</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Factor-4: Availability of Institutional/ Personal Funds Factor</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Factor-4 explains 8.583% of the total variations presented in the variable set. This factor has the significant factor loading on these variables that have formed an important group. This factor includes the variables- I had planned for a very long term DPS before purchasing it, of loan support from my organization and of availability of affordable bank loans. Therefore, it provides a basis for affecting the demand of owners occupied apartments in Dhaka city, which may be identified as Availability of Institutional/ Personal Funds Factor.</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Factor-5:  Goodwill of Real estate Company Factor</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Factor-5 explains 7.337% of the total variations presented in the variable set. This factor has the significant factor loading on these variables that have formed an important group. This factor </w:t>
      </w:r>
      <w:r w:rsidRPr="0091374D">
        <w:rPr>
          <w:rFonts w:ascii="Times New Roman" w:hAnsi="Times New Roman" w:cs="Times New Roman"/>
          <w:sz w:val="24"/>
          <w:szCs w:val="24"/>
        </w:rPr>
        <w:lastRenderedPageBreak/>
        <w:t>involves the variables-the company is a member of REHAB   and of well establishment and fame of the developer. Thus, it provides a basis for affecting the demand of owners occupied apartments in Dhaka city, which may be identified as Availability Goodwill of Real estate Company Factor.</w:t>
      </w:r>
    </w:p>
    <w:p w:rsidR="00AC59E0" w:rsidRPr="0091374D" w:rsidRDefault="00AC59E0" w:rsidP="00AC59E0">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Factor-6:  Price Factor</w:t>
      </w:r>
    </w:p>
    <w:p w:rsidR="00AC59E0" w:rsidRPr="0091374D"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Factor-6 explains 6.264% of the total variations presented in the variable set. This factor has the significant factor loading on these variables that have formed another most important group. This factor contains the variables-Purchase price of the apartments per square feet, the rate per square feet is quite reasonable, the size of this apartment is comparatively reasonable as far as the price per square feet is concerned and of availability of easy and small installment payment facility. Hence, it provides a basis for affecting the demand of owners occupied apartments in Dhaka city, which may be identified as price Factor</w:t>
      </w:r>
    </w:p>
    <w:p w:rsidR="00AC59E0" w:rsidRPr="0091374D" w:rsidRDefault="00AC59E0" w:rsidP="00AC59E0">
      <w:pPr>
        <w:spacing w:line="360" w:lineRule="auto"/>
        <w:jc w:val="both"/>
        <w:rPr>
          <w:rFonts w:ascii="Times New Roman" w:hAnsi="Times New Roman" w:cs="Times New Roman"/>
          <w:sz w:val="24"/>
          <w:szCs w:val="24"/>
        </w:rPr>
      </w:pPr>
    </w:p>
    <w:p w:rsidR="00AC59E0" w:rsidRPr="0091374D" w:rsidRDefault="00AC59E0" w:rsidP="00AC59E0">
      <w:pPr>
        <w:spacing w:line="360" w:lineRule="auto"/>
        <w:jc w:val="both"/>
        <w:rPr>
          <w:rFonts w:ascii="Times New Roman" w:hAnsi="Times New Roman" w:cs="Times New Roman"/>
          <w:sz w:val="24"/>
          <w:szCs w:val="24"/>
        </w:rPr>
      </w:pPr>
    </w:p>
    <w:p w:rsidR="00AC59E0" w:rsidRPr="0091374D" w:rsidRDefault="00AC59E0" w:rsidP="00AC59E0">
      <w:pPr>
        <w:spacing w:line="360" w:lineRule="auto"/>
        <w:jc w:val="both"/>
        <w:rPr>
          <w:rFonts w:ascii="Times New Roman" w:hAnsi="Times New Roman" w:cs="Times New Roman"/>
          <w:sz w:val="24"/>
          <w:szCs w:val="24"/>
        </w:rPr>
      </w:pPr>
    </w:p>
    <w:tbl>
      <w:tblPr>
        <w:tblW w:w="873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37"/>
        <w:gridCol w:w="1023"/>
        <w:gridCol w:w="1445"/>
        <w:gridCol w:w="1462"/>
        <w:gridCol w:w="1104"/>
        <w:gridCol w:w="22"/>
        <w:gridCol w:w="1104"/>
        <w:gridCol w:w="342"/>
        <w:gridCol w:w="1104"/>
        <w:gridCol w:w="387"/>
      </w:tblGrid>
      <w:tr w:rsidR="00AC59E0" w:rsidRPr="0091374D" w:rsidTr="001500F3">
        <w:trPr>
          <w:cantSplit/>
          <w:trHeight w:val="410"/>
        </w:trPr>
        <w:tc>
          <w:tcPr>
            <w:tcW w:w="8730" w:type="dxa"/>
            <w:gridSpan w:val="10"/>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Table-5.3 : Total Variance Explained</w:t>
            </w:r>
          </w:p>
        </w:tc>
      </w:tr>
      <w:tr w:rsidR="00AC59E0" w:rsidRPr="0091374D" w:rsidTr="001500F3">
        <w:trPr>
          <w:trHeight w:val="527"/>
        </w:trPr>
        <w:tc>
          <w:tcPr>
            <w:tcW w:w="737" w:type="dxa"/>
            <w:vMerge w:val="restart"/>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Component</w:t>
            </w:r>
          </w:p>
        </w:tc>
        <w:tc>
          <w:tcPr>
            <w:tcW w:w="3930" w:type="dxa"/>
            <w:gridSpan w:val="3"/>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both"/>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Initial Eigen values</w:t>
            </w:r>
          </w:p>
        </w:tc>
        <w:tc>
          <w:tcPr>
            <w:tcW w:w="4063" w:type="dxa"/>
            <w:gridSpan w:val="6"/>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both"/>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Rotation Sums of Squared Loadings</w:t>
            </w:r>
          </w:p>
        </w:tc>
      </w:tr>
      <w:tr w:rsidR="00AC59E0" w:rsidRPr="0091374D" w:rsidTr="001500F3">
        <w:tc>
          <w:tcPr>
            <w:tcW w:w="737" w:type="dxa"/>
            <w:vMerge/>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c>
          <w:tcPr>
            <w:tcW w:w="1023" w:type="dxa"/>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1445" w:type="dxa"/>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of Variance</w:t>
            </w:r>
          </w:p>
        </w:tc>
        <w:tc>
          <w:tcPr>
            <w:tcW w:w="1462" w:type="dxa"/>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Cumulative %</w:t>
            </w:r>
          </w:p>
        </w:tc>
        <w:tc>
          <w:tcPr>
            <w:tcW w:w="1126" w:type="dxa"/>
            <w:gridSpan w:val="2"/>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1446" w:type="dxa"/>
            <w:gridSpan w:val="2"/>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of Variance</w:t>
            </w:r>
          </w:p>
        </w:tc>
        <w:tc>
          <w:tcPr>
            <w:tcW w:w="1491" w:type="dxa"/>
            <w:gridSpan w:val="2"/>
            <w:shd w:val="clear" w:color="auto" w:fill="FFFFFF"/>
            <w:tcMar>
              <w:top w:w="30" w:type="dxa"/>
              <w:left w:w="30" w:type="dxa"/>
              <w:bottom w:w="30" w:type="dxa"/>
              <w:right w:w="30" w:type="dxa"/>
            </w:tcMar>
            <w:vAlign w:val="bottom"/>
          </w:tcPr>
          <w:p w:rsidR="00AC59E0" w:rsidRPr="0091374D" w:rsidRDefault="00AC59E0" w:rsidP="001500F3">
            <w:pPr>
              <w:autoSpaceDE w:val="0"/>
              <w:autoSpaceDN w:val="0"/>
              <w:adjustRightInd w:val="0"/>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Cumulative %</w:t>
            </w:r>
          </w:p>
        </w:tc>
      </w:tr>
      <w:tr w:rsidR="00AC59E0" w:rsidRPr="0091374D" w:rsidTr="001500F3">
        <w:trPr>
          <w:cantSplit/>
          <w:trHeight w:val="455"/>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5.082</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27.211</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27.211</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3.283</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17.581</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17.581</w:t>
            </w:r>
          </w:p>
        </w:tc>
      </w:tr>
      <w:tr w:rsidR="00AC59E0" w:rsidRPr="0091374D" w:rsidTr="001500F3">
        <w:trPr>
          <w:cantSplit/>
          <w:trHeight w:val="518"/>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1.995</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10.681</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37.892</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1.962</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10.504</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28.084</w:t>
            </w: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1.754</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9.393</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47.285</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1.628</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8.716</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36.800</w:t>
            </w: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1.603</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8.583</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55.868</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1.560</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8.354</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45.154</w:t>
            </w: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1.370</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7.337</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63.204</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1.680</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8.993</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54.146</w:t>
            </w: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lastRenderedPageBreak/>
              <w:t>6</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1.170</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6.264</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69.469</w:t>
            </w:r>
          </w:p>
        </w:tc>
        <w:tc>
          <w:tcPr>
            <w:tcW w:w="112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2.862</w:t>
            </w:r>
          </w:p>
        </w:tc>
        <w:tc>
          <w:tcPr>
            <w:tcW w:w="1446"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15.322</w:t>
            </w:r>
          </w:p>
        </w:tc>
        <w:tc>
          <w:tcPr>
            <w:tcW w:w="1491" w:type="dxa"/>
            <w:gridSpan w:val="2"/>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69.469</w:t>
            </w: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.953</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5.174</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75.643</w:t>
            </w:r>
          </w:p>
        </w:tc>
        <w:tc>
          <w:tcPr>
            <w:tcW w:w="4063" w:type="dxa"/>
            <w:gridSpan w:val="6"/>
            <w:vMerge w:val="restart"/>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noProof/>
                <w:sz w:val="24"/>
                <w:szCs w:val="24"/>
              </w:rPr>
              <w:drawing>
                <wp:anchor distT="0" distB="0" distL="114300" distR="114300" simplePos="0" relativeHeight="251659264" behindDoc="0" locked="0" layoutInCell="1" allowOverlap="1" wp14:anchorId="1EF93733" wp14:editId="59C76C1A">
                  <wp:simplePos x="0" y="0"/>
                  <wp:positionH relativeFrom="column">
                    <wp:posOffset>132080</wp:posOffset>
                  </wp:positionH>
                  <wp:positionV relativeFrom="paragraph">
                    <wp:posOffset>22225</wp:posOffset>
                  </wp:positionV>
                  <wp:extent cx="2133600" cy="2200275"/>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70656" name="Picture 1"/>
                          <pic:cNvPicPr>
                            <a:picLocks noChangeAspect="1" noChangeArrowheads="1"/>
                          </pic:cNvPicPr>
                        </pic:nvPicPr>
                        <pic:blipFill>
                          <a:blip r:embed="rId11"/>
                          <a:stretch>
                            <a:fillRect/>
                          </a:stretch>
                        </pic:blipFill>
                        <pic:spPr bwMode="auto">
                          <a:xfrm>
                            <a:off x="0" y="0"/>
                            <a:ext cx="2133600" cy="2200275"/>
                          </a:xfrm>
                          <a:prstGeom prst="rect">
                            <a:avLst/>
                          </a:prstGeom>
                          <a:noFill/>
                          <a:ln w="9525">
                            <a:noFill/>
                            <a:miter lim="800000"/>
                            <a:headEnd/>
                            <a:tailEnd/>
                          </a:ln>
                        </pic:spPr>
                      </pic:pic>
                    </a:graphicData>
                  </a:graphic>
                </wp:anchor>
              </w:drawing>
            </w:r>
          </w:p>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.946</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5.065</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80.708</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.812</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4.349</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85.058</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10</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.695</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3.722</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88.779</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11</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.477</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2.555</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91.335</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12</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.425</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2.274</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93.609</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13</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.391</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2.096</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95.705</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rHeight w:val="437"/>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14</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.323</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1.732</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97.437</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rHeight w:val="482"/>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15</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.299</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1.600</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99.037</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rHeight w:val="455"/>
          <w:tblHeader/>
        </w:trPr>
        <w:tc>
          <w:tcPr>
            <w:tcW w:w="73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16</w:t>
            </w:r>
          </w:p>
        </w:tc>
        <w:tc>
          <w:tcPr>
            <w:tcW w:w="1023"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.180</w:t>
            </w:r>
          </w:p>
        </w:tc>
        <w:tc>
          <w:tcPr>
            <w:tcW w:w="1445"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.963</w:t>
            </w:r>
          </w:p>
        </w:tc>
        <w:tc>
          <w:tcPr>
            <w:tcW w:w="1462" w:type="dxa"/>
            <w:shd w:val="clear" w:color="auto" w:fill="FFFFFF"/>
            <w:tcMar>
              <w:top w:w="30" w:type="dxa"/>
              <w:left w:w="30" w:type="dxa"/>
              <w:bottom w:w="30" w:type="dxa"/>
              <w:right w:w="30" w:type="dxa"/>
            </w:tcMar>
            <w:vAlign w:val="cente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100.000</w:t>
            </w:r>
          </w:p>
        </w:tc>
        <w:tc>
          <w:tcPr>
            <w:tcW w:w="4063" w:type="dxa"/>
            <w:gridSpan w:val="6"/>
            <w:vMerge/>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rPr>
        <w:tc>
          <w:tcPr>
            <w:tcW w:w="5771" w:type="dxa"/>
            <w:gridSpan w:val="5"/>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Extraction Method: Principal Component Analysis.</w:t>
            </w:r>
          </w:p>
        </w:tc>
        <w:tc>
          <w:tcPr>
            <w:tcW w:w="1126" w:type="dxa"/>
            <w:gridSpan w:val="2"/>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c>
          <w:tcPr>
            <w:tcW w:w="1446" w:type="dxa"/>
            <w:gridSpan w:val="2"/>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c>
          <w:tcPr>
            <w:tcW w:w="387" w:type="dxa"/>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sz w:val="24"/>
                <w:szCs w:val="24"/>
              </w:rPr>
            </w:pPr>
          </w:p>
        </w:tc>
      </w:tr>
      <w:tr w:rsidR="00AC59E0" w:rsidRPr="0091374D" w:rsidTr="001500F3">
        <w:trPr>
          <w:cantSplit/>
        </w:trPr>
        <w:tc>
          <w:tcPr>
            <w:tcW w:w="8730" w:type="dxa"/>
            <w:gridSpan w:val="10"/>
            <w:shd w:val="clear" w:color="auto" w:fill="FFFFFF"/>
            <w:tcMar>
              <w:top w:w="30" w:type="dxa"/>
              <w:left w:w="30" w:type="dxa"/>
              <w:bottom w:w="30" w:type="dxa"/>
              <w:right w:w="30" w:type="dxa"/>
            </w:tcMar>
          </w:tcPr>
          <w:p w:rsidR="00AC59E0" w:rsidRPr="0091374D" w:rsidRDefault="00AC59E0" w:rsidP="001500F3">
            <w:pPr>
              <w:autoSpaceDE w:val="0"/>
              <w:autoSpaceDN w:val="0"/>
              <w:adjustRightInd w:val="0"/>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a. When analyzing a covariance matrix, the initial eigenvalues are the same across the raw and rescaled solution.</w:t>
            </w:r>
          </w:p>
        </w:tc>
      </w:tr>
    </w:tbl>
    <w:p w:rsidR="00AC59E0" w:rsidRPr="0091374D" w:rsidRDefault="00AC59E0" w:rsidP="00AC59E0">
      <w:pPr>
        <w:spacing w:line="360" w:lineRule="auto"/>
        <w:rPr>
          <w:rFonts w:ascii="Times New Roman" w:eastAsiaTheme="minorEastAsia" w:hAnsi="Times New Roman" w:cs="Times New Roman"/>
          <w:b/>
          <w:color w:val="000000"/>
        </w:rPr>
      </w:pPr>
    </w:p>
    <w:p w:rsidR="00AC59E0" w:rsidRPr="0091374D" w:rsidRDefault="00AC59E0" w:rsidP="00AC59E0">
      <w:pPr>
        <w:pStyle w:val="ListParagraph"/>
        <w:numPr>
          <w:ilvl w:val="0"/>
          <w:numId w:val="4"/>
        </w:numPr>
        <w:spacing w:after="200" w:line="360" w:lineRule="auto"/>
        <w:rPr>
          <w:rFonts w:ascii="Times New Roman" w:eastAsiaTheme="minorEastAsia" w:hAnsi="Times New Roman" w:cs="Times New Roman"/>
          <w:b/>
          <w:color w:val="000000"/>
          <w:sz w:val="26"/>
          <w:szCs w:val="24"/>
        </w:rPr>
      </w:pPr>
      <w:r w:rsidRPr="0091374D">
        <w:rPr>
          <w:rFonts w:ascii="Times New Roman" w:eastAsiaTheme="minorEastAsia" w:hAnsi="Times New Roman" w:cs="Times New Roman"/>
          <w:b/>
          <w:color w:val="000000"/>
          <w:sz w:val="26"/>
          <w:szCs w:val="24"/>
        </w:rPr>
        <w:t>Summary of the Findings and Policy Implications</w:t>
      </w:r>
    </w:p>
    <w:p w:rsidR="00AC59E0" w:rsidRPr="0091374D" w:rsidRDefault="00AC59E0" w:rsidP="00AC59E0">
      <w:pPr>
        <w:spacing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b/>
          <w:color w:val="000000"/>
          <w:sz w:val="24"/>
          <w:szCs w:val="24"/>
        </w:rPr>
        <w:t xml:space="preserve">6.1 Summary of the findings: </w:t>
      </w:r>
      <w:r w:rsidRPr="0091374D">
        <w:rPr>
          <w:rFonts w:ascii="Times New Roman" w:eastAsiaTheme="minorEastAsia" w:hAnsi="Times New Roman" w:cs="Times New Roman"/>
          <w:color w:val="000000"/>
          <w:sz w:val="24"/>
          <w:szCs w:val="24"/>
        </w:rPr>
        <w:t>On the basis of the primary study the following findings have been revealed:</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t>For the location, there most important items are the apartments near to office, children's school and easy communication &amp; transportation.</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t>For the utility and others, basic facilities most significant items are the availability of 24 hours generator facilitates, availability of lift or escalator service and of availability of legal gas line services.</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lastRenderedPageBreak/>
        <w:t>For the recreation facilities most influential items are whether  gym/swimming pool/indoor/outdoor games facilities are available, movie theater is located nearby and its proximity to well-established kids playing zone</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t>For the availability of institutional/ personal</w:t>
      </w:r>
      <w:r w:rsidRPr="0091374D">
        <w:rPr>
          <w:rFonts w:ascii="Times New Roman" w:hAnsi="Times New Roman" w:cs="Times New Roman"/>
          <w:sz w:val="24"/>
          <w:szCs w:val="24"/>
        </w:rPr>
        <w:t xml:space="preserve"> </w:t>
      </w:r>
      <w:r w:rsidRPr="0091374D">
        <w:rPr>
          <w:rFonts w:ascii="Times New Roman" w:eastAsiaTheme="minorEastAsia" w:hAnsi="Times New Roman" w:cs="Times New Roman"/>
          <w:color w:val="000000"/>
          <w:sz w:val="24"/>
          <w:szCs w:val="24"/>
        </w:rPr>
        <w:t>funds most major items are i had planned for a very long term DPS before purchasing it, of loan support from my organization and of availability of affordable bank loans</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t>For the goodwill of Real Estate Company the major items are whether the company is a member of REHAB   and of well establishment and fame of the developer.</w:t>
      </w:r>
    </w:p>
    <w:p w:rsidR="00AC59E0" w:rsidRPr="0091374D" w:rsidRDefault="00AC59E0" w:rsidP="00AC59E0">
      <w:pPr>
        <w:pStyle w:val="ListParagraph"/>
        <w:numPr>
          <w:ilvl w:val="0"/>
          <w:numId w:val="2"/>
        </w:numPr>
        <w:spacing w:after="200" w:line="360" w:lineRule="auto"/>
        <w:jc w:val="both"/>
        <w:rPr>
          <w:rFonts w:ascii="Times New Roman" w:eastAsiaTheme="minorEastAsia" w:hAnsi="Times New Roman" w:cs="Times New Roman"/>
          <w:color w:val="000000"/>
          <w:sz w:val="24"/>
          <w:szCs w:val="24"/>
        </w:rPr>
      </w:pPr>
      <w:r w:rsidRPr="0091374D">
        <w:rPr>
          <w:rFonts w:ascii="Times New Roman" w:eastAsiaTheme="minorEastAsia" w:hAnsi="Times New Roman" w:cs="Times New Roman"/>
          <w:color w:val="000000"/>
          <w:sz w:val="24"/>
          <w:szCs w:val="24"/>
        </w:rPr>
        <w:t>For the price the  most important items are the purchase price of the apartments per square feet, the rate per square feet is quite reasonable, the size of this apartment is comparatively reasonable as far as the price per square feet is concerned and of availability of easy and small installment payment facility.</w:t>
      </w:r>
    </w:p>
    <w:p w:rsidR="00AC59E0" w:rsidRPr="0091374D" w:rsidRDefault="00AC59E0" w:rsidP="00AC59E0">
      <w:pPr>
        <w:pStyle w:val="ListParagraph"/>
        <w:spacing w:line="360" w:lineRule="auto"/>
        <w:jc w:val="both"/>
        <w:rPr>
          <w:rFonts w:ascii="Times New Roman" w:eastAsiaTheme="minorEastAsia" w:hAnsi="Times New Roman" w:cs="Times New Roman"/>
          <w:color w:val="000000"/>
          <w:sz w:val="24"/>
          <w:szCs w:val="24"/>
        </w:rPr>
      </w:pPr>
    </w:p>
    <w:p w:rsidR="00AC59E0" w:rsidRPr="0091374D" w:rsidRDefault="00AC59E0" w:rsidP="00AC59E0">
      <w:pPr>
        <w:spacing w:line="360" w:lineRule="auto"/>
        <w:jc w:val="both"/>
        <w:rPr>
          <w:rFonts w:ascii="Times New Roman" w:eastAsiaTheme="minorEastAsia" w:hAnsi="Times New Roman" w:cs="Times New Roman"/>
          <w:b/>
          <w:color w:val="000000"/>
          <w:sz w:val="24"/>
          <w:szCs w:val="24"/>
        </w:rPr>
      </w:pPr>
      <w:r w:rsidRPr="0091374D">
        <w:rPr>
          <w:rFonts w:ascii="Times New Roman" w:eastAsiaTheme="minorEastAsia" w:hAnsi="Times New Roman" w:cs="Times New Roman"/>
          <w:b/>
          <w:color w:val="000000"/>
          <w:sz w:val="24"/>
          <w:szCs w:val="24"/>
        </w:rPr>
        <w:t>6.2 Policy implications:</w:t>
      </w:r>
    </w:p>
    <w:p w:rsidR="00AC59E0" w:rsidRPr="0091374D" w:rsidRDefault="00AC59E0" w:rsidP="00AC59E0">
      <w:pPr>
        <w:widowControl w:val="0"/>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In the fast-evolving world, it is very much necessary for each real estate company to know what exactly customers want in what way. If they can fulfill what the customers want, then the mismatch between apartments constructed and sold will be minimized to the least possible.</w:t>
      </w:r>
    </w:p>
    <w:p w:rsidR="00AC59E0" w:rsidRPr="0091374D" w:rsidRDefault="00AC59E0" w:rsidP="00AC59E0">
      <w:pPr>
        <w:widowControl w:val="0"/>
        <w:tabs>
          <w:tab w:val="left" w:pos="9000"/>
        </w:tabs>
        <w:autoSpaceDE w:val="0"/>
        <w:autoSpaceDN w:val="0"/>
        <w:adjustRightInd w:val="0"/>
        <w:spacing w:before="20" w:line="360" w:lineRule="auto"/>
        <w:jc w:val="both"/>
        <w:rPr>
          <w:rFonts w:ascii="Times New Roman" w:hAnsi="Times New Roman" w:cs="Times New Roman"/>
          <w:sz w:val="24"/>
          <w:szCs w:val="24"/>
        </w:rPr>
      </w:pPr>
      <w:r w:rsidRPr="0091374D">
        <w:rPr>
          <w:rFonts w:ascii="Times New Roman" w:hAnsi="Times New Roman" w:cs="Times New Roman"/>
          <w:sz w:val="24"/>
          <w:szCs w:val="24"/>
        </w:rPr>
        <w:t>As the output of this paper the following policy implications are given:</w:t>
      </w:r>
    </w:p>
    <w:p w:rsidR="00AC59E0" w:rsidRPr="0091374D" w:rsidRDefault="00AC59E0" w:rsidP="00AC59E0">
      <w:pPr>
        <w:pStyle w:val="ListParagraph"/>
        <w:numPr>
          <w:ilvl w:val="0"/>
          <w:numId w:val="1"/>
        </w:numPr>
        <w:spacing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t>Majority of the apartment owners taking the decision based on the location, hence the developers should focus on such an area where school, college, university, worship, shopping mall are highly available.</w:t>
      </w:r>
    </w:p>
    <w:p w:rsidR="00AC59E0" w:rsidRPr="0091374D" w:rsidRDefault="00AC59E0" w:rsidP="00AC59E0">
      <w:pPr>
        <w:pStyle w:val="ListParagraph"/>
        <w:numPr>
          <w:ilvl w:val="0"/>
          <w:numId w:val="1"/>
        </w:numPr>
        <w:spacing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t>The companies should provide utility facilities on the basis of t</w:t>
      </w:r>
      <w:r w:rsidRPr="0091374D">
        <w:rPr>
          <w:rFonts w:ascii="Times New Roman" w:hAnsi="Times New Roman" w:cs="Times New Roman"/>
          <w:color w:val="000000"/>
          <w:spacing w:val="-3"/>
          <w:sz w:val="24"/>
          <w:szCs w:val="24"/>
        </w:rPr>
        <w:t>he actual demand of the customers, so that they can be satisfied</w:t>
      </w:r>
    </w:p>
    <w:p w:rsidR="00AC59E0" w:rsidRPr="0091374D" w:rsidRDefault="00AC59E0" w:rsidP="00AC59E0">
      <w:pPr>
        <w:pStyle w:val="ListParagraph"/>
        <w:widowControl w:val="0"/>
        <w:numPr>
          <w:ilvl w:val="0"/>
          <w:numId w:val="1"/>
        </w:numPr>
        <w:autoSpaceDE w:val="0"/>
        <w:autoSpaceDN w:val="0"/>
        <w:adjustRightInd w:val="0"/>
        <w:spacing w:before="16"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t>In case of installment, payment module should be more flexible so that each class of people can afford according to specification and needs.</w:t>
      </w:r>
    </w:p>
    <w:p w:rsidR="00AC59E0" w:rsidRPr="0091374D" w:rsidRDefault="00AC59E0" w:rsidP="00AC59E0">
      <w:pPr>
        <w:pStyle w:val="ListParagraph"/>
        <w:numPr>
          <w:ilvl w:val="0"/>
          <w:numId w:val="1"/>
        </w:numPr>
        <w:spacing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t>The companies should provide recreation facilities on the basis of the actual demand of the customers so that they can be pleased.</w:t>
      </w:r>
    </w:p>
    <w:p w:rsidR="00AC59E0" w:rsidRPr="0091374D" w:rsidRDefault="00AC59E0" w:rsidP="00AC59E0">
      <w:pPr>
        <w:pStyle w:val="ListParagraph"/>
        <w:numPr>
          <w:ilvl w:val="0"/>
          <w:numId w:val="1"/>
        </w:numPr>
        <w:spacing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t>The real estate company must concentrate on their value and should be a focus on their customer's wellbeing.</w:t>
      </w:r>
    </w:p>
    <w:p w:rsidR="00AC59E0" w:rsidRPr="0091374D" w:rsidRDefault="00AC59E0" w:rsidP="00AC59E0">
      <w:pPr>
        <w:pStyle w:val="ListParagraph"/>
        <w:numPr>
          <w:ilvl w:val="0"/>
          <w:numId w:val="1"/>
        </w:numPr>
        <w:spacing w:after="0" w:line="360" w:lineRule="auto"/>
        <w:ind w:left="1008"/>
        <w:jc w:val="both"/>
        <w:rPr>
          <w:rFonts w:ascii="Times New Roman" w:hAnsi="Times New Roman" w:cs="Times New Roman"/>
          <w:sz w:val="24"/>
          <w:szCs w:val="24"/>
        </w:rPr>
      </w:pPr>
      <w:r w:rsidRPr="0091374D">
        <w:rPr>
          <w:rFonts w:ascii="Times New Roman" w:hAnsi="Times New Roman" w:cs="Times New Roman"/>
          <w:sz w:val="24"/>
          <w:szCs w:val="24"/>
        </w:rPr>
        <w:lastRenderedPageBreak/>
        <w:t>The company should  set competitive and reasonable price of the apartments so that each class of people can afford according to specification and needs</w:t>
      </w:r>
    </w:p>
    <w:p w:rsidR="00AC59E0" w:rsidRPr="0091374D" w:rsidRDefault="00AC59E0" w:rsidP="00AC59E0">
      <w:pPr>
        <w:pStyle w:val="ListParagraph"/>
        <w:spacing w:line="360" w:lineRule="auto"/>
        <w:ind w:left="1008"/>
        <w:jc w:val="both"/>
        <w:rPr>
          <w:rFonts w:ascii="Times New Roman" w:hAnsi="Times New Roman" w:cs="Times New Roman"/>
          <w:sz w:val="24"/>
          <w:szCs w:val="24"/>
        </w:rPr>
      </w:pPr>
    </w:p>
    <w:p w:rsidR="00AC59E0" w:rsidRPr="0091374D" w:rsidRDefault="00AC59E0" w:rsidP="00AC59E0">
      <w:pPr>
        <w:pStyle w:val="ListParagraph"/>
        <w:numPr>
          <w:ilvl w:val="0"/>
          <w:numId w:val="4"/>
        </w:numPr>
        <w:spacing w:after="200" w:line="360" w:lineRule="auto"/>
        <w:rPr>
          <w:rFonts w:ascii="Times New Roman" w:eastAsiaTheme="minorEastAsia" w:hAnsi="Times New Roman" w:cs="Times New Roman"/>
          <w:b/>
          <w:sz w:val="26"/>
          <w:szCs w:val="24"/>
        </w:rPr>
      </w:pPr>
      <w:r w:rsidRPr="0091374D">
        <w:rPr>
          <w:rFonts w:ascii="Times New Roman" w:eastAsiaTheme="minorEastAsia" w:hAnsi="Times New Roman" w:cs="Times New Roman"/>
          <w:b/>
          <w:sz w:val="26"/>
          <w:szCs w:val="24"/>
        </w:rPr>
        <w:t>Conclusion</w:t>
      </w:r>
    </w:p>
    <w:p w:rsidR="00AC59E0" w:rsidRDefault="00AC59E0" w:rsidP="00AC59E0">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main motives why people get interested to purchase apartment in Dhaka city can be attributed to a number of factors, such as- location near to my office, children' school and worship, well established kids playing zone, availability of lift or escalator service, availability of 24 hours generator facilities, purchase price of the apartment per square feet, easy and small installment payment facility, loan supports from my organization are very crucial factors for the owners’ to purchase apartments in Dhaka city. However the sector is facing some troubles right now, it has a strapping business perspective if transparency is maintained and more prominently if some substantial services can be provided to the middle and lower middle-class people.   To conclude, it cannot be denied that the real estate business has put in a huge contribution to the infrastructural development of Dhaka city.</w:t>
      </w:r>
    </w:p>
    <w:p w:rsidR="004D32C4" w:rsidRDefault="004D32C4" w:rsidP="00AC59E0">
      <w:pPr>
        <w:spacing w:line="360" w:lineRule="auto"/>
        <w:jc w:val="both"/>
        <w:rPr>
          <w:rFonts w:ascii="Times New Roman" w:hAnsi="Times New Roman" w:cs="Times New Roman"/>
          <w:sz w:val="24"/>
          <w:szCs w:val="24"/>
        </w:rPr>
        <w:sectPr w:rsidR="004D32C4">
          <w:pgSz w:w="12240" w:h="15840"/>
          <w:pgMar w:top="1440" w:right="1440" w:bottom="1440" w:left="1440" w:header="720" w:footer="720" w:gutter="0"/>
          <w:cols w:space="720"/>
          <w:docGrid w:linePitch="360"/>
        </w:sectPr>
      </w:pPr>
    </w:p>
    <w:p w:rsidR="00AC59E0" w:rsidRPr="0091374D" w:rsidRDefault="00AC59E0" w:rsidP="00AC59E0">
      <w:pPr>
        <w:spacing w:line="360" w:lineRule="auto"/>
        <w:jc w:val="center"/>
        <w:rPr>
          <w:rFonts w:ascii="Times New Roman" w:hAnsi="Times New Roman" w:cs="Times New Roman"/>
          <w:b/>
          <w:i/>
          <w:sz w:val="26"/>
          <w:szCs w:val="24"/>
        </w:rPr>
      </w:pPr>
      <w:r w:rsidRPr="0091374D">
        <w:rPr>
          <w:rFonts w:ascii="Times New Roman" w:hAnsi="Times New Roman" w:cs="Times New Roman"/>
          <w:b/>
          <w:i/>
          <w:sz w:val="26"/>
          <w:szCs w:val="24"/>
        </w:rPr>
        <w:lastRenderedPageBreak/>
        <w:t>References</w:t>
      </w:r>
    </w:p>
    <w:p w:rsidR="00AC59E0" w:rsidRPr="0091374D" w:rsidRDefault="00AC59E0" w:rsidP="00AC59E0">
      <w:pPr>
        <w:spacing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Barua, S., Mridha, A. H. A., &amp; Khan, R. H. (2010). Housing Real Estate Sector in Bangladesh:</w:t>
      </w:r>
    </w:p>
    <w:p w:rsidR="00AC59E0" w:rsidRPr="0091374D" w:rsidRDefault="00AC59E0" w:rsidP="00AC59E0">
      <w:pPr>
        <w:spacing w:line="360" w:lineRule="auto"/>
        <w:ind w:left="720" w:firstLine="90"/>
        <w:jc w:val="both"/>
        <w:rPr>
          <w:rFonts w:ascii="Times New Roman" w:hAnsi="Times New Roman" w:cs="Times New Roman"/>
          <w:i/>
          <w:sz w:val="24"/>
          <w:szCs w:val="24"/>
        </w:rPr>
      </w:pPr>
      <w:r w:rsidRPr="0091374D">
        <w:rPr>
          <w:rFonts w:ascii="Times New Roman" w:hAnsi="Times New Roman" w:cs="Times New Roman"/>
          <w:i/>
          <w:sz w:val="24"/>
          <w:szCs w:val="24"/>
        </w:rPr>
        <w:t>Present Status and Policies Implications. ASA University Review, 4(1), 240-253.</w:t>
      </w:r>
    </w:p>
    <w:p w:rsidR="00AC59E0" w:rsidRPr="0091374D" w:rsidRDefault="00AC59E0" w:rsidP="00AC59E0">
      <w:pPr>
        <w:spacing w:line="360" w:lineRule="auto"/>
        <w:ind w:left="720" w:hanging="720"/>
        <w:jc w:val="both"/>
        <w:rPr>
          <w:rFonts w:ascii="Times New Roman" w:hAnsi="Times New Roman" w:cs="Times New Roman"/>
          <w:i/>
          <w:sz w:val="24"/>
          <w:szCs w:val="24"/>
        </w:rPr>
      </w:pPr>
      <w:r w:rsidRPr="0091374D">
        <w:rPr>
          <w:rFonts w:ascii="Times New Roman" w:hAnsi="Times New Roman" w:cs="Times New Roman"/>
          <w:sz w:val="24"/>
          <w:szCs w:val="24"/>
        </w:rPr>
        <w:t>Johnson, R.A., and Wichern, D.W. 1982. Applied Multivariate Statistical Analysis. Prentice Hall, New Jersey, USA, pp. 484-513.</w:t>
      </w:r>
    </w:p>
    <w:p w:rsidR="00AC59E0" w:rsidRPr="0091374D" w:rsidRDefault="00AC59E0" w:rsidP="00AC59E0">
      <w:pPr>
        <w:spacing w:line="360" w:lineRule="auto"/>
        <w:ind w:left="720" w:hanging="720"/>
        <w:jc w:val="both"/>
        <w:rPr>
          <w:rFonts w:ascii="Times New Roman" w:hAnsi="Times New Roman" w:cs="Times New Roman"/>
          <w:i/>
          <w:sz w:val="24"/>
          <w:szCs w:val="24"/>
        </w:rPr>
      </w:pPr>
      <w:r w:rsidRPr="0091374D">
        <w:rPr>
          <w:rFonts w:ascii="Times New Roman" w:hAnsi="Times New Roman" w:cs="Times New Roman"/>
          <w:sz w:val="24"/>
          <w:szCs w:val="24"/>
        </w:rPr>
        <w:t xml:space="preserve">Kamal, M., Shah, A,.(2015) "Factors Affecting Customers to Buy Apartments in Dhaka City" </w:t>
      </w:r>
      <w:r w:rsidRPr="0091374D">
        <w:rPr>
          <w:rFonts w:ascii="Times New Roman" w:hAnsi="Times New Roman" w:cs="Times New Roman"/>
          <w:i/>
          <w:sz w:val="24"/>
          <w:szCs w:val="24"/>
        </w:rPr>
        <w:t>Daffodil International University Journal of Business and Economics, Vol. 9, No. 2, PP. 37-49, December 2015.</w:t>
      </w:r>
    </w:p>
    <w:p w:rsidR="00AC59E0" w:rsidRPr="0091374D" w:rsidRDefault="00AC59E0" w:rsidP="00AC59E0">
      <w:pPr>
        <w:spacing w:line="360" w:lineRule="auto"/>
        <w:ind w:left="720" w:hanging="720"/>
        <w:jc w:val="both"/>
        <w:rPr>
          <w:rFonts w:ascii="Times New Roman" w:hAnsi="Times New Roman" w:cs="Times New Roman"/>
          <w:i/>
          <w:sz w:val="24"/>
          <w:szCs w:val="24"/>
        </w:rPr>
      </w:pPr>
      <w:r w:rsidRPr="0091374D">
        <w:rPr>
          <w:rFonts w:ascii="Times New Roman" w:hAnsi="Times New Roman" w:cs="Times New Roman"/>
          <w:sz w:val="24"/>
          <w:szCs w:val="24"/>
        </w:rPr>
        <w:t>Kamal, M., et al. (2016) “Investigation of Market Factors That Affect Customers' Buying Attitude towards Apartment Buying: An Opportunity Analysis from Bangladesh Perspective” International Journal of Business Administration, Vol. 7, No. 3, 2016.</w:t>
      </w:r>
    </w:p>
    <w:p w:rsidR="00AC59E0" w:rsidRPr="0091374D" w:rsidRDefault="00AC59E0" w:rsidP="00AC59E0">
      <w:pPr>
        <w:spacing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Khaled, M. C., Sultana, T., Biswas, S. K., &amp; Karan, R. (2012). Real Estate Industry in Chittagong (Bangladesh): A Survey on Customer Perception and Expectation. Developing country studies, 2 (2), 38-45</w:t>
      </w:r>
    </w:p>
    <w:p w:rsidR="00AC59E0" w:rsidRPr="0091374D" w:rsidRDefault="00AC59E0" w:rsidP="00AC59E0">
      <w:pPr>
        <w:spacing w:line="360" w:lineRule="auto"/>
        <w:ind w:left="720" w:hanging="720"/>
        <w:jc w:val="both"/>
        <w:rPr>
          <w:rFonts w:ascii="Times New Roman" w:hAnsi="Times New Roman" w:cs="Times New Roman"/>
          <w:i/>
          <w:sz w:val="24"/>
          <w:szCs w:val="24"/>
        </w:rPr>
      </w:pPr>
      <w:r w:rsidRPr="0091374D">
        <w:rPr>
          <w:rFonts w:ascii="Times New Roman" w:hAnsi="Times New Roman" w:cs="Times New Roman"/>
          <w:sz w:val="24"/>
          <w:szCs w:val="24"/>
        </w:rPr>
        <w:t>Labib, S.M., Bhuiya, M. M. R., &amp; Rahaman, M. Z. (2013). Location and size preference for apartments in Dhaka and prospect of real estate market. Bangladesh Research Publications Journal, 9(2), 87-96.</w:t>
      </w:r>
    </w:p>
    <w:p w:rsidR="00AC59E0" w:rsidRPr="0091374D" w:rsidRDefault="00AC59E0" w:rsidP="00AC59E0">
      <w:pPr>
        <w:spacing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 xml:space="preserve"> Leiser, K., &amp; Ghor, A. P. (2011). The determinants of international commercial real estate investments. The working paper – WP-935, IESE Business School- University of Navarra.</w:t>
      </w:r>
    </w:p>
    <w:p w:rsidR="00AC59E0" w:rsidRPr="0091374D" w:rsidRDefault="00AC59E0" w:rsidP="00AC59E0">
      <w:pPr>
        <w:spacing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Mohiuddin, M. (2014).The Real Estate Business in Dhaka City: Growth and Contribution to the economy of Bangladesh. IOSR Journal of Business and Management (IOSR-JBM), 16 (4), 58-60.http://www.rehab-bd.org/</w:t>
      </w:r>
    </w:p>
    <w:p w:rsidR="00AC59E0" w:rsidRPr="0091374D" w:rsidRDefault="00AC59E0" w:rsidP="00AC59E0">
      <w:pPr>
        <w:spacing w:line="360" w:lineRule="auto"/>
        <w:ind w:left="720" w:hanging="720"/>
        <w:jc w:val="both"/>
        <w:rPr>
          <w:rFonts w:ascii="Times New Roman" w:hAnsi="Times New Roman" w:cs="Times New Roman"/>
          <w:sz w:val="24"/>
          <w:szCs w:val="24"/>
        </w:rPr>
      </w:pPr>
      <w:r w:rsidRPr="0091374D">
        <w:rPr>
          <w:rFonts w:ascii="Times New Roman" w:hAnsi="Times New Roman" w:cs="Times New Roman"/>
          <w:sz w:val="24"/>
          <w:szCs w:val="24"/>
        </w:rPr>
        <w:t>The Daily Ittefaq, Report dated May 2013</w:t>
      </w:r>
    </w:p>
    <w:p w:rsidR="00AC59E0" w:rsidRDefault="00AC59E0" w:rsidP="00AC59E0">
      <w:pPr>
        <w:spacing w:line="360" w:lineRule="auto"/>
        <w:ind w:left="720" w:hanging="720"/>
        <w:jc w:val="both"/>
        <w:rPr>
          <w:rFonts w:ascii="Times New Roman" w:hAnsi="Times New Roman" w:cs="Times New Roman"/>
          <w:i/>
          <w:sz w:val="24"/>
          <w:szCs w:val="24"/>
        </w:rPr>
      </w:pPr>
      <w:r w:rsidRPr="0091374D">
        <w:rPr>
          <w:rFonts w:ascii="Times New Roman" w:hAnsi="Times New Roman" w:cs="Times New Roman"/>
          <w:sz w:val="24"/>
          <w:szCs w:val="24"/>
        </w:rPr>
        <w:t>Zadkarim, S., Emari, H., Sanatkar, S., &amp; Barghlame, H. (2011). Environmental quality as an important dimension of customer satisfaction in the apartment industry.</w:t>
      </w:r>
      <w:r w:rsidRPr="0091374D">
        <w:rPr>
          <w:rFonts w:ascii="Times New Roman" w:hAnsi="Times New Roman" w:cs="Times New Roman"/>
          <w:i/>
          <w:sz w:val="24"/>
          <w:szCs w:val="24"/>
        </w:rPr>
        <w:t xml:space="preserve"> African Journal of Business Management, 5 (17), 7272-7283</w:t>
      </w:r>
    </w:p>
    <w:sectPr w:rsidR="00AC59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A26" w:rsidRDefault="00094A26">
      <w:pPr>
        <w:spacing w:after="0" w:line="240" w:lineRule="auto"/>
      </w:pPr>
      <w:r>
        <w:separator/>
      </w:r>
    </w:p>
  </w:endnote>
  <w:endnote w:type="continuationSeparator" w:id="0">
    <w:p w:rsidR="00094A26" w:rsidRDefault="00094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846" w:rsidRDefault="00094A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A26" w:rsidRDefault="00094A26">
      <w:pPr>
        <w:spacing w:after="0" w:line="240" w:lineRule="auto"/>
      </w:pPr>
      <w:r>
        <w:separator/>
      </w:r>
    </w:p>
  </w:footnote>
  <w:footnote w:type="continuationSeparator" w:id="0">
    <w:p w:rsidR="00094A26" w:rsidRDefault="00094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846" w:rsidRPr="00634689" w:rsidRDefault="00094A26" w:rsidP="000C3EFA">
    <w:pPr>
      <w:pStyle w:val="Header"/>
      <w:jc w:val="cent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EAE"/>
    <w:multiLevelType w:val="hybridMultilevel"/>
    <w:tmpl w:val="773A8052"/>
    <w:lvl w:ilvl="0" w:tplc="D7A677B0">
      <w:start w:val="1"/>
      <w:numFmt w:val="bullet"/>
      <w:lvlText w:val=""/>
      <w:lvlJc w:val="left"/>
      <w:pPr>
        <w:ind w:left="720" w:hanging="360"/>
      </w:pPr>
      <w:rPr>
        <w:rFonts w:ascii="Symbol" w:hAnsi="Symbol" w:hint="default"/>
      </w:rPr>
    </w:lvl>
    <w:lvl w:ilvl="1" w:tplc="23060084" w:tentative="1">
      <w:start w:val="1"/>
      <w:numFmt w:val="bullet"/>
      <w:lvlText w:val="o"/>
      <w:lvlJc w:val="left"/>
      <w:pPr>
        <w:ind w:left="1440" w:hanging="360"/>
      </w:pPr>
      <w:rPr>
        <w:rFonts w:ascii="Courier New" w:hAnsi="Courier New" w:cs="Courier New" w:hint="default"/>
      </w:rPr>
    </w:lvl>
    <w:lvl w:ilvl="2" w:tplc="4ACCF6D0" w:tentative="1">
      <w:start w:val="1"/>
      <w:numFmt w:val="bullet"/>
      <w:lvlText w:val=""/>
      <w:lvlJc w:val="left"/>
      <w:pPr>
        <w:ind w:left="2160" w:hanging="360"/>
      </w:pPr>
      <w:rPr>
        <w:rFonts w:ascii="Wingdings" w:hAnsi="Wingdings" w:hint="default"/>
      </w:rPr>
    </w:lvl>
    <w:lvl w:ilvl="3" w:tplc="1AC682DA" w:tentative="1">
      <w:start w:val="1"/>
      <w:numFmt w:val="bullet"/>
      <w:lvlText w:val=""/>
      <w:lvlJc w:val="left"/>
      <w:pPr>
        <w:ind w:left="2880" w:hanging="360"/>
      </w:pPr>
      <w:rPr>
        <w:rFonts w:ascii="Symbol" w:hAnsi="Symbol" w:hint="default"/>
      </w:rPr>
    </w:lvl>
    <w:lvl w:ilvl="4" w:tplc="8E8E6A62" w:tentative="1">
      <w:start w:val="1"/>
      <w:numFmt w:val="bullet"/>
      <w:lvlText w:val="o"/>
      <w:lvlJc w:val="left"/>
      <w:pPr>
        <w:ind w:left="3600" w:hanging="360"/>
      </w:pPr>
      <w:rPr>
        <w:rFonts w:ascii="Courier New" w:hAnsi="Courier New" w:cs="Courier New" w:hint="default"/>
      </w:rPr>
    </w:lvl>
    <w:lvl w:ilvl="5" w:tplc="9BC42356" w:tentative="1">
      <w:start w:val="1"/>
      <w:numFmt w:val="bullet"/>
      <w:lvlText w:val=""/>
      <w:lvlJc w:val="left"/>
      <w:pPr>
        <w:ind w:left="4320" w:hanging="360"/>
      </w:pPr>
      <w:rPr>
        <w:rFonts w:ascii="Wingdings" w:hAnsi="Wingdings" w:hint="default"/>
      </w:rPr>
    </w:lvl>
    <w:lvl w:ilvl="6" w:tplc="F98AE79A" w:tentative="1">
      <w:start w:val="1"/>
      <w:numFmt w:val="bullet"/>
      <w:lvlText w:val=""/>
      <w:lvlJc w:val="left"/>
      <w:pPr>
        <w:ind w:left="5040" w:hanging="360"/>
      </w:pPr>
      <w:rPr>
        <w:rFonts w:ascii="Symbol" w:hAnsi="Symbol" w:hint="default"/>
      </w:rPr>
    </w:lvl>
    <w:lvl w:ilvl="7" w:tplc="9D86897E" w:tentative="1">
      <w:start w:val="1"/>
      <w:numFmt w:val="bullet"/>
      <w:lvlText w:val="o"/>
      <w:lvlJc w:val="left"/>
      <w:pPr>
        <w:ind w:left="5760" w:hanging="360"/>
      </w:pPr>
      <w:rPr>
        <w:rFonts w:ascii="Courier New" w:hAnsi="Courier New" w:cs="Courier New" w:hint="default"/>
      </w:rPr>
    </w:lvl>
    <w:lvl w:ilvl="8" w:tplc="49C47604" w:tentative="1">
      <w:start w:val="1"/>
      <w:numFmt w:val="bullet"/>
      <w:lvlText w:val=""/>
      <w:lvlJc w:val="left"/>
      <w:pPr>
        <w:ind w:left="6480" w:hanging="360"/>
      </w:pPr>
      <w:rPr>
        <w:rFonts w:ascii="Wingdings" w:hAnsi="Wingdings" w:hint="default"/>
      </w:rPr>
    </w:lvl>
  </w:abstractNum>
  <w:abstractNum w:abstractNumId="1">
    <w:nsid w:val="305C7021"/>
    <w:multiLevelType w:val="hybridMultilevel"/>
    <w:tmpl w:val="21505B5C"/>
    <w:lvl w:ilvl="0" w:tplc="5C185E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AA2E98"/>
    <w:multiLevelType w:val="hybridMultilevel"/>
    <w:tmpl w:val="7C881562"/>
    <w:lvl w:ilvl="0" w:tplc="B09CC53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265C8C"/>
    <w:multiLevelType w:val="hybridMultilevel"/>
    <w:tmpl w:val="2BB898C2"/>
    <w:lvl w:ilvl="0" w:tplc="5F20CC84">
      <w:start w:val="1"/>
      <w:numFmt w:val="bullet"/>
      <w:lvlText w:val=""/>
      <w:lvlJc w:val="left"/>
      <w:pPr>
        <w:ind w:left="1440" w:hanging="360"/>
      </w:pPr>
      <w:rPr>
        <w:rFonts w:ascii="Symbol" w:hAnsi="Symbol" w:hint="default"/>
      </w:rPr>
    </w:lvl>
    <w:lvl w:ilvl="1" w:tplc="85D8206A" w:tentative="1">
      <w:start w:val="1"/>
      <w:numFmt w:val="bullet"/>
      <w:lvlText w:val="o"/>
      <w:lvlJc w:val="left"/>
      <w:pPr>
        <w:ind w:left="2160" w:hanging="360"/>
      </w:pPr>
      <w:rPr>
        <w:rFonts w:ascii="Courier New" w:hAnsi="Courier New" w:cs="Courier New" w:hint="default"/>
      </w:rPr>
    </w:lvl>
    <w:lvl w:ilvl="2" w:tplc="0D82B784" w:tentative="1">
      <w:start w:val="1"/>
      <w:numFmt w:val="bullet"/>
      <w:lvlText w:val=""/>
      <w:lvlJc w:val="left"/>
      <w:pPr>
        <w:ind w:left="2880" w:hanging="360"/>
      </w:pPr>
      <w:rPr>
        <w:rFonts w:ascii="Wingdings" w:hAnsi="Wingdings" w:hint="default"/>
      </w:rPr>
    </w:lvl>
    <w:lvl w:ilvl="3" w:tplc="F496B480" w:tentative="1">
      <w:start w:val="1"/>
      <w:numFmt w:val="bullet"/>
      <w:lvlText w:val=""/>
      <w:lvlJc w:val="left"/>
      <w:pPr>
        <w:ind w:left="3600" w:hanging="360"/>
      </w:pPr>
      <w:rPr>
        <w:rFonts w:ascii="Symbol" w:hAnsi="Symbol" w:hint="default"/>
      </w:rPr>
    </w:lvl>
    <w:lvl w:ilvl="4" w:tplc="0D108ECC" w:tentative="1">
      <w:start w:val="1"/>
      <w:numFmt w:val="bullet"/>
      <w:lvlText w:val="o"/>
      <w:lvlJc w:val="left"/>
      <w:pPr>
        <w:ind w:left="4320" w:hanging="360"/>
      </w:pPr>
      <w:rPr>
        <w:rFonts w:ascii="Courier New" w:hAnsi="Courier New" w:cs="Courier New" w:hint="default"/>
      </w:rPr>
    </w:lvl>
    <w:lvl w:ilvl="5" w:tplc="A44EDB3A" w:tentative="1">
      <w:start w:val="1"/>
      <w:numFmt w:val="bullet"/>
      <w:lvlText w:val=""/>
      <w:lvlJc w:val="left"/>
      <w:pPr>
        <w:ind w:left="5040" w:hanging="360"/>
      </w:pPr>
      <w:rPr>
        <w:rFonts w:ascii="Wingdings" w:hAnsi="Wingdings" w:hint="default"/>
      </w:rPr>
    </w:lvl>
    <w:lvl w:ilvl="6" w:tplc="C7244AB4" w:tentative="1">
      <w:start w:val="1"/>
      <w:numFmt w:val="bullet"/>
      <w:lvlText w:val=""/>
      <w:lvlJc w:val="left"/>
      <w:pPr>
        <w:ind w:left="5760" w:hanging="360"/>
      </w:pPr>
      <w:rPr>
        <w:rFonts w:ascii="Symbol" w:hAnsi="Symbol" w:hint="default"/>
      </w:rPr>
    </w:lvl>
    <w:lvl w:ilvl="7" w:tplc="68AAB2F0" w:tentative="1">
      <w:start w:val="1"/>
      <w:numFmt w:val="bullet"/>
      <w:lvlText w:val="o"/>
      <w:lvlJc w:val="left"/>
      <w:pPr>
        <w:ind w:left="6480" w:hanging="360"/>
      </w:pPr>
      <w:rPr>
        <w:rFonts w:ascii="Courier New" w:hAnsi="Courier New" w:cs="Courier New" w:hint="default"/>
      </w:rPr>
    </w:lvl>
    <w:lvl w:ilvl="8" w:tplc="1110F5E8"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9E0"/>
    <w:rsid w:val="00094A26"/>
    <w:rsid w:val="00241605"/>
    <w:rsid w:val="00495332"/>
    <w:rsid w:val="004D32C4"/>
    <w:rsid w:val="0089353F"/>
    <w:rsid w:val="00A27264"/>
    <w:rsid w:val="00AC59E0"/>
    <w:rsid w:val="00B353B6"/>
    <w:rsid w:val="00CF22F3"/>
    <w:rsid w:val="00F8690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9E0"/>
    <w:pPr>
      <w:spacing w:after="160" w:line="259" w:lineRule="auto"/>
    </w:pPr>
  </w:style>
  <w:style w:type="paragraph" w:styleId="Heading1">
    <w:name w:val="heading 1"/>
    <w:basedOn w:val="Normal"/>
    <w:next w:val="Normal"/>
    <w:link w:val="Heading1Char"/>
    <w:uiPriority w:val="9"/>
    <w:qFormat/>
    <w:rsid w:val="00AC59E0"/>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AC59E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9E0"/>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AC59E0"/>
    <w:rPr>
      <w:rFonts w:asciiTheme="majorHAnsi" w:eastAsiaTheme="majorEastAsia" w:hAnsiTheme="majorHAnsi" w:cstheme="majorBidi"/>
      <w:b/>
      <w:bCs/>
      <w:i/>
      <w:iCs/>
      <w:sz w:val="28"/>
      <w:szCs w:val="28"/>
    </w:rPr>
  </w:style>
  <w:style w:type="paragraph" w:styleId="Header">
    <w:name w:val="header"/>
    <w:basedOn w:val="Normal"/>
    <w:link w:val="HeaderChar"/>
    <w:uiPriority w:val="99"/>
    <w:unhideWhenUsed/>
    <w:rsid w:val="00AC5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9E0"/>
  </w:style>
  <w:style w:type="paragraph" w:styleId="Footer">
    <w:name w:val="footer"/>
    <w:basedOn w:val="Normal"/>
    <w:link w:val="FooterChar"/>
    <w:uiPriority w:val="99"/>
    <w:unhideWhenUsed/>
    <w:rsid w:val="00AC5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9E0"/>
  </w:style>
  <w:style w:type="paragraph" w:styleId="ListParagraph">
    <w:name w:val="List Paragraph"/>
    <w:basedOn w:val="Normal"/>
    <w:uiPriority w:val="34"/>
    <w:qFormat/>
    <w:rsid w:val="00AC59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9E0"/>
    <w:pPr>
      <w:spacing w:after="160" w:line="259" w:lineRule="auto"/>
    </w:pPr>
  </w:style>
  <w:style w:type="paragraph" w:styleId="Heading1">
    <w:name w:val="heading 1"/>
    <w:basedOn w:val="Normal"/>
    <w:next w:val="Normal"/>
    <w:link w:val="Heading1Char"/>
    <w:uiPriority w:val="9"/>
    <w:qFormat/>
    <w:rsid w:val="00AC59E0"/>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AC59E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9E0"/>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AC59E0"/>
    <w:rPr>
      <w:rFonts w:asciiTheme="majorHAnsi" w:eastAsiaTheme="majorEastAsia" w:hAnsiTheme="majorHAnsi" w:cstheme="majorBidi"/>
      <w:b/>
      <w:bCs/>
      <w:i/>
      <w:iCs/>
      <w:sz w:val="28"/>
      <w:szCs w:val="28"/>
    </w:rPr>
  </w:style>
  <w:style w:type="paragraph" w:styleId="Header">
    <w:name w:val="header"/>
    <w:basedOn w:val="Normal"/>
    <w:link w:val="HeaderChar"/>
    <w:uiPriority w:val="99"/>
    <w:unhideWhenUsed/>
    <w:rsid w:val="00AC5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9E0"/>
  </w:style>
  <w:style w:type="paragraph" w:styleId="Footer">
    <w:name w:val="footer"/>
    <w:basedOn w:val="Normal"/>
    <w:link w:val="FooterChar"/>
    <w:uiPriority w:val="99"/>
    <w:unhideWhenUsed/>
    <w:rsid w:val="00AC5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9E0"/>
  </w:style>
  <w:style w:type="paragraph" w:styleId="ListParagraph">
    <w:name w:val="List Paragraph"/>
    <w:basedOn w:val="Normal"/>
    <w:uiPriority w:val="34"/>
    <w:qFormat/>
    <w:rsid w:val="00AC5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80468-989F-48D5-A749-AF68C5E2B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3131</Words>
  <Characters>17847</Characters>
  <Application>Microsoft Office Word</Application>
  <DocSecurity>0</DocSecurity>
  <Lines>148</Lines>
  <Paragraphs>41</Paragraphs>
  <ScaleCrop>false</ScaleCrop>
  <Company/>
  <LinksUpToDate>false</LinksUpToDate>
  <CharactersWithSpaces>20937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24</cp:revision>
  <dcterms:created xsi:type="dcterms:W3CDTF">2019-01-08T15:08:00Z</dcterms:created>
  <dcterms:modified xsi:type="dcterms:W3CDTF">2019-01-12T08:33:00Z</dcterms:modified>
</cp:coreProperties>
</file>