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052" w:rsidRPr="0091374D" w:rsidRDefault="001B6052" w:rsidP="0075119C">
      <w:pPr>
        <w:pStyle w:val="Heading1"/>
        <w:jc w:val="center"/>
        <w:rPr>
          <w:rFonts w:ascii="Times New Roman" w:hAnsi="Times New Roman" w:cs="Times New Roman"/>
          <w:color w:val="auto"/>
          <w:sz w:val="28"/>
          <w:szCs w:val="28"/>
        </w:rPr>
      </w:pPr>
      <w:bookmarkStart w:id="0" w:name="_Toc532912593"/>
      <w:r w:rsidRPr="0091374D">
        <w:rPr>
          <w:rFonts w:ascii="Times New Roman" w:hAnsi="Times New Roman" w:cs="Times New Roman"/>
          <w:color w:val="auto"/>
          <w:sz w:val="28"/>
          <w:szCs w:val="28"/>
        </w:rPr>
        <w:t>Corporate Taxation and its Relationship with Governance Characteristics: Evidence from the Listed Companies in Bangladesh</w:t>
      </w:r>
      <w:bookmarkEnd w:id="0"/>
    </w:p>
    <w:p w:rsidR="001B6052" w:rsidRPr="0091374D" w:rsidRDefault="001B6052" w:rsidP="001B6052">
      <w:pPr>
        <w:pStyle w:val="NoSpacing"/>
        <w:spacing w:line="360" w:lineRule="auto"/>
        <w:rPr>
          <w:rFonts w:ascii="Times New Roman" w:hAnsi="Times New Roman" w:cs="Times New Roman"/>
          <w:sz w:val="24"/>
          <w:szCs w:val="24"/>
        </w:rPr>
      </w:pPr>
    </w:p>
    <w:p w:rsidR="001B6052" w:rsidRPr="0091374D" w:rsidRDefault="001B6052" w:rsidP="001B6052">
      <w:pPr>
        <w:pStyle w:val="NoSpacing"/>
        <w:spacing w:line="360" w:lineRule="auto"/>
        <w:rPr>
          <w:rFonts w:ascii="Times New Roman" w:hAnsi="Times New Roman" w:cs="Times New Roman"/>
          <w:sz w:val="24"/>
          <w:szCs w:val="24"/>
        </w:rPr>
      </w:pPr>
    </w:p>
    <w:p w:rsidR="001B6052" w:rsidRPr="0091374D" w:rsidRDefault="001B6052" w:rsidP="001B6052">
      <w:pPr>
        <w:pStyle w:val="NoSpacing"/>
        <w:spacing w:line="360" w:lineRule="auto"/>
        <w:jc w:val="both"/>
        <w:rPr>
          <w:rFonts w:ascii="Times New Roman" w:hAnsi="Times New Roman" w:cs="Times New Roman"/>
          <w:sz w:val="24"/>
          <w:szCs w:val="24"/>
        </w:rPr>
        <w:sectPr w:rsidR="001B6052" w:rsidRPr="0091374D" w:rsidSect="00AD76DE">
          <w:pgSz w:w="11907" w:h="16839" w:code="9"/>
          <w:pgMar w:top="1440" w:right="1440" w:bottom="1440" w:left="1440" w:header="720" w:footer="720" w:gutter="0"/>
          <w:cols w:space="720"/>
        </w:sectPr>
      </w:pPr>
    </w:p>
    <w:p w:rsidR="001B6052" w:rsidRPr="0091374D" w:rsidRDefault="001B6052" w:rsidP="001B6052">
      <w:pPr>
        <w:pStyle w:val="Heading2"/>
        <w:ind w:left="0" w:firstLine="0"/>
        <w:rPr>
          <w:rFonts w:ascii="Times New Roman" w:eastAsia="Times New Roman" w:hAnsi="Times New Roman" w:cs="Times New Roman"/>
          <w:b w:val="0"/>
          <w:i w:val="0"/>
          <w:sz w:val="24"/>
          <w:szCs w:val="24"/>
        </w:rPr>
      </w:pPr>
      <w:bookmarkStart w:id="1" w:name="_Toc532912594"/>
      <w:proofErr w:type="spellStart"/>
      <w:r w:rsidRPr="0091374D">
        <w:rPr>
          <w:rFonts w:ascii="Times New Roman" w:hAnsi="Times New Roman" w:cs="Times New Roman"/>
          <w:b w:val="0"/>
          <w:i w:val="0"/>
          <w:sz w:val="24"/>
          <w:szCs w:val="24"/>
        </w:rPr>
        <w:lastRenderedPageBreak/>
        <w:t>Sanjida</w:t>
      </w:r>
      <w:proofErr w:type="spellEnd"/>
      <w:r w:rsidRPr="0091374D">
        <w:rPr>
          <w:rFonts w:ascii="Times New Roman" w:hAnsi="Times New Roman" w:cs="Times New Roman"/>
          <w:b w:val="0"/>
          <w:i w:val="0"/>
          <w:sz w:val="24"/>
          <w:szCs w:val="24"/>
        </w:rPr>
        <w:t xml:space="preserve"> </w:t>
      </w:r>
      <w:proofErr w:type="spellStart"/>
      <w:r w:rsidRPr="0091374D">
        <w:rPr>
          <w:rFonts w:ascii="Times New Roman" w:hAnsi="Times New Roman" w:cs="Times New Roman"/>
          <w:b w:val="0"/>
          <w:i w:val="0"/>
          <w:sz w:val="24"/>
          <w:szCs w:val="24"/>
        </w:rPr>
        <w:t>Hena</w:t>
      </w:r>
      <w:bookmarkEnd w:id="1"/>
      <w:proofErr w:type="spellEnd"/>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United International University</w:t>
      </w:r>
    </w:p>
    <w:p w:rsidR="001B6052" w:rsidRPr="0091374D" w:rsidRDefault="001B6052" w:rsidP="001B6052">
      <w:pPr>
        <w:pStyle w:val="NoSpacing"/>
        <w:spacing w:line="360" w:lineRule="auto"/>
        <w:jc w:val="both"/>
        <w:rPr>
          <w:rFonts w:ascii="Times New Roman" w:hAnsi="Times New Roman" w:cs="Times New Roman"/>
          <w:sz w:val="24"/>
          <w:szCs w:val="24"/>
        </w:rPr>
      </w:pPr>
    </w:p>
    <w:p w:rsidR="001B6052"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Supervisor: </w:t>
      </w:r>
      <w:proofErr w:type="spellStart"/>
      <w:r w:rsidRPr="0091374D">
        <w:rPr>
          <w:rFonts w:ascii="Times New Roman" w:hAnsi="Times New Roman" w:cs="Times New Roman"/>
          <w:sz w:val="24"/>
          <w:szCs w:val="24"/>
        </w:rPr>
        <w:t>Mofijul</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Hoq</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Masum</w:t>
      </w:r>
      <w:proofErr w:type="spellEnd"/>
    </w:p>
    <w:p w:rsidR="0075119C" w:rsidRPr="0091374D" w:rsidRDefault="0075119C" w:rsidP="0075119C">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Assistant Professor</w:t>
      </w:r>
    </w:p>
    <w:p w:rsidR="0075119C" w:rsidRPr="0091374D" w:rsidRDefault="0075119C" w:rsidP="0075119C">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School of Business and Economics</w:t>
      </w:r>
    </w:p>
    <w:p w:rsidR="0075119C" w:rsidRDefault="0075119C" w:rsidP="0075119C">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United International University</w:t>
      </w:r>
    </w:p>
    <w:p w:rsidR="0075119C" w:rsidRDefault="0075119C" w:rsidP="001B6052">
      <w:pPr>
        <w:pStyle w:val="NoSpacing"/>
        <w:spacing w:line="360" w:lineRule="auto"/>
        <w:jc w:val="both"/>
        <w:rPr>
          <w:rFonts w:ascii="Times New Roman" w:eastAsia="Times New Roman" w:hAnsi="Times New Roman" w:cs="Times New Roman"/>
          <w:sz w:val="24"/>
          <w:szCs w:val="24"/>
        </w:rPr>
        <w:sectPr w:rsidR="0075119C" w:rsidSect="0075119C">
          <w:type w:val="continuous"/>
          <w:pgSz w:w="11907" w:h="16839" w:code="9"/>
          <w:pgMar w:top="1440" w:right="1440" w:bottom="1440" w:left="1440" w:header="720" w:footer="720" w:gutter="0"/>
          <w:cols w:num="2" w:space="720"/>
        </w:sectPr>
      </w:pPr>
    </w:p>
    <w:p w:rsidR="0075119C" w:rsidRPr="0091374D" w:rsidRDefault="0075119C" w:rsidP="001B6052">
      <w:pPr>
        <w:pStyle w:val="NoSpacing"/>
        <w:spacing w:line="360" w:lineRule="auto"/>
        <w:jc w:val="both"/>
        <w:rPr>
          <w:rFonts w:ascii="Times New Roman" w:eastAsia="Times New Roman" w:hAnsi="Times New Roman" w:cs="Times New Roman"/>
          <w:sz w:val="24"/>
          <w:szCs w:val="24"/>
        </w:rPr>
      </w:pPr>
    </w:p>
    <w:p w:rsidR="00AD76DE" w:rsidRDefault="00AD76DE" w:rsidP="001B6052">
      <w:pPr>
        <w:pStyle w:val="NoSpacing"/>
        <w:spacing w:line="360" w:lineRule="auto"/>
        <w:jc w:val="both"/>
        <w:rPr>
          <w:rFonts w:ascii="Times New Roman" w:hAnsi="Times New Roman" w:cs="Times New Roman"/>
          <w:sz w:val="24"/>
          <w:szCs w:val="24"/>
        </w:rPr>
      </w:pPr>
    </w:p>
    <w:p w:rsidR="0075119C" w:rsidRDefault="0075119C" w:rsidP="001B6052">
      <w:pPr>
        <w:pStyle w:val="NoSpacing"/>
        <w:spacing w:line="360" w:lineRule="auto"/>
        <w:jc w:val="both"/>
        <w:rPr>
          <w:rFonts w:ascii="Times New Roman" w:hAnsi="Times New Roman" w:cs="Times New Roman"/>
          <w:sz w:val="24"/>
          <w:szCs w:val="24"/>
        </w:rPr>
        <w:sectPr w:rsidR="0075119C" w:rsidSect="00AD76DE">
          <w:type w:val="continuous"/>
          <w:pgSz w:w="11907" w:h="16839" w:code="9"/>
          <w:pgMar w:top="1440" w:right="1440" w:bottom="1440" w:left="1440" w:header="720" w:footer="720" w:gutter="0"/>
          <w:cols w:space="720"/>
        </w:sectPr>
      </w:pPr>
    </w:p>
    <w:p w:rsidR="00AD76DE" w:rsidRPr="0091374D" w:rsidRDefault="00AD76DE" w:rsidP="001B6052">
      <w:pPr>
        <w:pStyle w:val="NoSpacing"/>
        <w:spacing w:line="360" w:lineRule="auto"/>
        <w:jc w:val="both"/>
        <w:rPr>
          <w:rFonts w:ascii="Times New Roman" w:eastAsia="Times New Roman" w:hAnsi="Times New Roman" w:cs="Times New Roman"/>
          <w:sz w:val="24"/>
          <w:szCs w:val="24"/>
        </w:rPr>
      </w:pPr>
    </w:p>
    <w:p w:rsidR="001B6052" w:rsidRPr="0091374D" w:rsidRDefault="001B6052" w:rsidP="001B6052">
      <w:pPr>
        <w:spacing w:after="200" w:line="360" w:lineRule="auto"/>
        <w:rPr>
          <w:rFonts w:ascii="Times New Roman" w:hAnsi="Times New Roman" w:cs="Times New Roman"/>
          <w:sz w:val="24"/>
          <w:szCs w:val="24"/>
        </w:rPr>
        <w:sectPr w:rsidR="001B6052" w:rsidRPr="0091374D" w:rsidSect="00AD76DE">
          <w:type w:val="continuous"/>
          <w:pgSz w:w="11907" w:h="16839" w:code="9"/>
          <w:pgMar w:top="1440" w:right="1440" w:bottom="1440" w:left="1440" w:header="720" w:footer="720" w:gutter="0"/>
          <w:cols w:num="2" w:space="720"/>
        </w:sectPr>
      </w:pPr>
    </w:p>
    <w:p w:rsidR="001B6052" w:rsidRPr="0091374D" w:rsidRDefault="001B6052" w:rsidP="001B6052">
      <w:pPr>
        <w:spacing w:after="0" w:line="360" w:lineRule="auto"/>
        <w:jc w:val="center"/>
        <w:rPr>
          <w:rFonts w:ascii="Times New Roman" w:eastAsia="Times New Roman" w:hAnsi="Times New Roman" w:cs="Times New Roman"/>
          <w:b/>
          <w:i/>
          <w:sz w:val="26"/>
          <w:szCs w:val="24"/>
        </w:rPr>
      </w:pPr>
      <w:r w:rsidRPr="0091374D">
        <w:rPr>
          <w:rFonts w:ascii="Times New Roman" w:hAnsi="Times New Roman" w:cs="Times New Roman"/>
          <w:b/>
          <w:i/>
          <w:sz w:val="26"/>
          <w:szCs w:val="24"/>
        </w:rPr>
        <w:lastRenderedPageBreak/>
        <w:t>Abstract</w:t>
      </w:r>
    </w:p>
    <w:p w:rsidR="001B6052" w:rsidRPr="0091374D" w:rsidRDefault="001B6052" w:rsidP="001B6052">
      <w:pPr>
        <w:spacing w:after="0" w:line="360" w:lineRule="auto"/>
        <w:jc w:val="both"/>
        <w:rPr>
          <w:rFonts w:ascii="Times New Roman" w:eastAsia="Times New Roman" w:hAnsi="Times New Roman" w:cs="Times New Roman"/>
          <w:i/>
          <w:sz w:val="20"/>
          <w:szCs w:val="24"/>
        </w:rPr>
      </w:pPr>
      <w:r w:rsidRPr="0091374D">
        <w:rPr>
          <w:rFonts w:ascii="Times New Roman" w:hAnsi="Times New Roman" w:cs="Times New Roman"/>
          <w:i/>
          <w:sz w:val="20"/>
          <w:szCs w:val="24"/>
        </w:rPr>
        <w:t xml:space="preserve">The study aims to examine how corporate governance affects corporate tax generation in Bangladesh. The sample consists of 21 companies listed in the Dhaka Stock Exchange. The secondary data has been organized and collected from the annual reports of these companies. A very little research has been conducted regarding the measurement of relationship between governance characteristics and taxation of listed companies in Bangladesh. Moreover, the paper also explores how the firm level variables are associated with both governance and tax. The Multiple Regression has been applied to investigate the association between dependent variables (GAAP ETR and CASH ETR) and independent governance factors. It is found that both board size and the percentage of independent directors have a negative association with the tax variables (GAAP ETR and CASH ETR), while the firm’s size </w:t>
      </w:r>
      <w:r w:rsidRPr="0091374D">
        <w:rPr>
          <w:rFonts w:ascii="Times New Roman" w:hAnsi="Times New Roman" w:cs="Times New Roman"/>
          <w:i/>
          <w:color w:val="000000" w:themeColor="text1"/>
          <w:sz w:val="20"/>
          <w:szCs w:val="24"/>
        </w:rPr>
        <w:t>also</w:t>
      </w:r>
      <w:r w:rsidRPr="0091374D">
        <w:rPr>
          <w:rFonts w:ascii="Times New Roman" w:hAnsi="Times New Roman" w:cs="Times New Roman"/>
          <w:i/>
          <w:color w:val="FF0000"/>
          <w:sz w:val="20"/>
          <w:szCs w:val="24"/>
        </w:rPr>
        <w:t xml:space="preserve"> </w:t>
      </w:r>
      <w:r w:rsidRPr="0091374D">
        <w:rPr>
          <w:rFonts w:ascii="Times New Roman" w:hAnsi="Times New Roman" w:cs="Times New Roman"/>
          <w:i/>
          <w:sz w:val="20"/>
          <w:szCs w:val="24"/>
        </w:rPr>
        <w:t>has a negative relationship with GAAP ETR. The paper will provide insight to the policymakers regarding the role of governance on tax generation.</w:t>
      </w:r>
    </w:p>
    <w:p w:rsidR="001B6052" w:rsidRPr="0091374D" w:rsidRDefault="001B6052" w:rsidP="001B6052">
      <w:pPr>
        <w:spacing w:after="200" w:line="360" w:lineRule="auto"/>
        <w:jc w:val="both"/>
        <w:rPr>
          <w:rFonts w:ascii="Times New Roman" w:hAnsi="Times New Roman" w:cs="Times New Roman"/>
          <w:b/>
          <w:sz w:val="24"/>
          <w:szCs w:val="24"/>
        </w:rPr>
      </w:pPr>
    </w:p>
    <w:p w:rsidR="001B6052" w:rsidRPr="0091374D" w:rsidRDefault="001B6052" w:rsidP="001B6052">
      <w:pPr>
        <w:pBdr>
          <w:bottom w:val="single" w:sz="4" w:space="1" w:color="auto"/>
        </w:pBdr>
        <w:spacing w:after="0"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Keywords: Governance, Tax planning, GAAP ETR, Cash ETR, Tax avoidance</w:t>
      </w:r>
    </w:p>
    <w:p w:rsidR="001B6052" w:rsidRPr="0091374D" w:rsidRDefault="001B6052" w:rsidP="001B6052">
      <w:pPr>
        <w:pStyle w:val="NoSpacing"/>
        <w:spacing w:line="360" w:lineRule="auto"/>
        <w:rPr>
          <w:rFonts w:ascii="Times New Roman" w:hAnsi="Times New Roman" w:cs="Times New Roman"/>
          <w:b/>
          <w:sz w:val="24"/>
          <w:szCs w:val="24"/>
        </w:rPr>
      </w:pPr>
    </w:p>
    <w:p w:rsidR="001B6052" w:rsidRPr="0091374D" w:rsidRDefault="001B6052" w:rsidP="001B6052">
      <w:pPr>
        <w:pStyle w:val="NoSpacing"/>
        <w:spacing w:line="360" w:lineRule="auto"/>
        <w:jc w:val="both"/>
        <w:rPr>
          <w:rFonts w:ascii="Times New Roman" w:eastAsia="Times New Roman" w:hAnsi="Times New Roman" w:cs="Times New Roman"/>
          <w:b/>
          <w:sz w:val="26"/>
          <w:szCs w:val="24"/>
        </w:rPr>
      </w:pPr>
      <w:r w:rsidRPr="0091374D">
        <w:rPr>
          <w:rFonts w:ascii="Times New Roman" w:hAnsi="Times New Roman" w:cs="Times New Roman"/>
          <w:b/>
          <w:sz w:val="26"/>
          <w:szCs w:val="24"/>
        </w:rPr>
        <w:t>1. Introduction</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The paper studies the </w:t>
      </w:r>
      <w:r w:rsidRPr="0091374D">
        <w:rPr>
          <w:rFonts w:ascii="Times New Roman" w:hAnsi="Times New Roman" w:cs="Times New Roman"/>
          <w:color w:val="000000" w:themeColor="text1"/>
          <w:sz w:val="24"/>
          <w:szCs w:val="24"/>
        </w:rPr>
        <w:t xml:space="preserve">repercussions </w:t>
      </w:r>
      <w:r w:rsidRPr="0091374D">
        <w:rPr>
          <w:rFonts w:ascii="Times New Roman" w:hAnsi="Times New Roman" w:cs="Times New Roman"/>
          <w:sz w:val="24"/>
          <w:szCs w:val="24"/>
        </w:rPr>
        <w:t>of corporate governance particularly board characteristics (board size and the percentage of independent directors) as well as the firm specific determinants (firm size, earnings before tax, age of the firm and return on assets) on effective tax rates. Majority of the prior studies in Bangladesh was based on individual taxes and firm level factors but few scrutinized the attributes of corporate governance over the effective tax rates. It is crucial to inspect the relation between corporate governance and tax management to find how governance can contribute to solve agency problems.</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Some researchers argue that there are no apparent benefits of implementing tax strategies and the resource invested on tax planning could be well employed</w:t>
      </w:r>
      <w:r w:rsidRPr="0091374D">
        <w:rPr>
          <w:rFonts w:ascii="Times New Roman" w:hAnsi="Times New Roman" w:cs="Times New Roman"/>
          <w:color w:val="C00000"/>
          <w:sz w:val="24"/>
          <w:szCs w:val="24"/>
        </w:rPr>
        <w:t xml:space="preserve"> </w:t>
      </w:r>
      <w:r w:rsidRPr="0091374D">
        <w:rPr>
          <w:rFonts w:ascii="Times New Roman" w:hAnsi="Times New Roman" w:cs="Times New Roman"/>
          <w:color w:val="000000" w:themeColor="text1"/>
          <w:sz w:val="24"/>
          <w:szCs w:val="24"/>
        </w:rPr>
        <w:t xml:space="preserve">on </w:t>
      </w:r>
      <w:r w:rsidRPr="0091374D">
        <w:rPr>
          <w:rFonts w:ascii="Times New Roman" w:hAnsi="Times New Roman" w:cs="Times New Roman"/>
          <w:sz w:val="24"/>
          <w:szCs w:val="24"/>
        </w:rPr>
        <w:t xml:space="preserve">profitable ventures. Additionally, the application of tax management is subject to many financial and legal costs (Scholes et al.,2016).On the contrary, as tax avoidance leads to weak governance, hence it makes room for agency issues that ultimately results in poor company performance(Desai and </w:t>
      </w:r>
      <w:proofErr w:type="spellStart"/>
      <w:r w:rsidRPr="0091374D">
        <w:rPr>
          <w:rFonts w:ascii="Times New Roman" w:hAnsi="Times New Roman" w:cs="Times New Roman"/>
          <w:sz w:val="24"/>
          <w:szCs w:val="24"/>
        </w:rPr>
        <w:t>Dharmapala</w:t>
      </w:r>
      <w:proofErr w:type="spellEnd"/>
      <w:r w:rsidRPr="0091374D">
        <w:rPr>
          <w:rFonts w:ascii="Times New Roman" w:hAnsi="Times New Roman" w:cs="Times New Roman"/>
          <w:sz w:val="24"/>
          <w:szCs w:val="24"/>
        </w:rPr>
        <w:t xml:space="preserve"> 2006; Hanlon and </w:t>
      </w:r>
      <w:proofErr w:type="spellStart"/>
      <w:r w:rsidRPr="0091374D">
        <w:rPr>
          <w:rFonts w:ascii="Times New Roman" w:hAnsi="Times New Roman" w:cs="Times New Roman"/>
          <w:sz w:val="24"/>
          <w:szCs w:val="24"/>
        </w:rPr>
        <w:t>Slemrod</w:t>
      </w:r>
      <w:proofErr w:type="spellEnd"/>
      <w:r w:rsidRPr="0091374D">
        <w:rPr>
          <w:rFonts w:ascii="Times New Roman" w:hAnsi="Times New Roman" w:cs="Times New Roman"/>
          <w:sz w:val="24"/>
          <w:szCs w:val="24"/>
        </w:rPr>
        <w:t xml:space="preserve"> 2007). The statutory corporate tax rates in Bangladesh are similar to the rates in the neighboring countries. However, it is one of the lowest compared to India and Pakistan. Furthermore, in 2011 Bangladesh had the lowest tax to GDP ratio of around 9.2 percent across Asia. It is assumed that Bangladesh will not be able to achieve its targeted tax to GDP ratio unless all the facets of tax avoidance </w:t>
      </w:r>
      <w:proofErr w:type="gramStart"/>
      <w:r w:rsidRPr="0091374D">
        <w:rPr>
          <w:rFonts w:ascii="Times New Roman" w:hAnsi="Times New Roman" w:cs="Times New Roman"/>
          <w:sz w:val="24"/>
          <w:szCs w:val="24"/>
        </w:rPr>
        <w:t>is</w:t>
      </w:r>
      <w:proofErr w:type="gramEnd"/>
      <w:r w:rsidRPr="0091374D">
        <w:rPr>
          <w:rFonts w:ascii="Times New Roman" w:hAnsi="Times New Roman" w:cs="Times New Roman"/>
          <w:sz w:val="24"/>
          <w:szCs w:val="24"/>
        </w:rPr>
        <w:t xml:space="preserve"> addressed (Mansur et al. 2011; Hossain 2017).</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p>
    <w:p w:rsidR="001B6052" w:rsidRPr="0091374D" w:rsidRDefault="001B6052" w:rsidP="001B6052">
      <w:pPr>
        <w:pStyle w:val="NoSpacing"/>
        <w:spacing w:line="360" w:lineRule="auto"/>
        <w:jc w:val="both"/>
        <w:rPr>
          <w:rFonts w:ascii="Times New Roman" w:eastAsia="Times New Roman" w:hAnsi="Times New Roman" w:cs="Times New Roman"/>
          <w:b/>
          <w:sz w:val="26"/>
          <w:szCs w:val="24"/>
        </w:rPr>
      </w:pPr>
      <w:r w:rsidRPr="0091374D">
        <w:rPr>
          <w:rFonts w:ascii="Times New Roman" w:hAnsi="Times New Roman" w:cs="Times New Roman"/>
          <w:b/>
          <w:sz w:val="26"/>
          <w:szCs w:val="24"/>
        </w:rPr>
        <w:lastRenderedPageBreak/>
        <w:t>2. Objectives of the Study</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The main objective of the paper is to explore how corporate governance plays a key role in</w:t>
      </w:r>
      <w:r w:rsidRPr="0091374D">
        <w:rPr>
          <w:rFonts w:ascii="Times New Roman" w:hAnsi="Times New Roman" w:cs="Times New Roman"/>
          <w:color w:val="FF0000"/>
          <w:sz w:val="24"/>
          <w:szCs w:val="24"/>
        </w:rPr>
        <w:t xml:space="preserve"> </w:t>
      </w:r>
      <w:r w:rsidRPr="0091374D">
        <w:rPr>
          <w:rFonts w:ascii="Times New Roman" w:hAnsi="Times New Roman" w:cs="Times New Roman"/>
          <w:color w:val="000000" w:themeColor="text1"/>
          <w:sz w:val="24"/>
          <w:szCs w:val="24"/>
        </w:rPr>
        <w:t xml:space="preserve">tax </w:t>
      </w:r>
      <w:r w:rsidRPr="0091374D">
        <w:rPr>
          <w:rFonts w:ascii="Times New Roman" w:hAnsi="Times New Roman" w:cs="Times New Roman"/>
          <w:sz w:val="24"/>
          <w:szCs w:val="24"/>
        </w:rPr>
        <w:t xml:space="preserve">avoidance adopted by the listed companies in Bangladesh. The study is initiated to comprehend the corporate structure that motivates aggressive tax </w:t>
      </w:r>
      <w:r w:rsidRPr="0091374D">
        <w:rPr>
          <w:rFonts w:ascii="Times New Roman" w:hAnsi="Times New Roman" w:cs="Times New Roman"/>
          <w:color w:val="000000" w:themeColor="text1"/>
          <w:sz w:val="24"/>
          <w:szCs w:val="24"/>
        </w:rPr>
        <w:t>evasion.</w:t>
      </w:r>
      <w:r w:rsidRPr="0091374D">
        <w:rPr>
          <w:rFonts w:ascii="Times New Roman" w:hAnsi="Times New Roman" w:cs="Times New Roman"/>
          <w:sz w:val="24"/>
          <w:szCs w:val="24"/>
        </w:rPr>
        <w:t xml:space="preserve"> Moreover, it </w:t>
      </w:r>
      <w:r w:rsidRPr="0091374D">
        <w:rPr>
          <w:rFonts w:ascii="Times New Roman" w:hAnsi="Times New Roman" w:cs="Times New Roman"/>
          <w:color w:val="000000" w:themeColor="text1"/>
          <w:sz w:val="24"/>
          <w:szCs w:val="24"/>
        </w:rPr>
        <w:t>intends to understand</w:t>
      </w:r>
      <w:r w:rsidRPr="0091374D">
        <w:rPr>
          <w:rFonts w:ascii="Times New Roman" w:hAnsi="Times New Roman" w:cs="Times New Roman"/>
          <w:sz w:val="24"/>
          <w:szCs w:val="24"/>
        </w:rPr>
        <w:t xml:space="preserve"> the opportunities of tax planning and the degree it is related to company’s performance. Lastly, the research hopes to assist tax administrators and policy makers regarding the loopholes in the existing corporate structure, so they can formulate </w:t>
      </w:r>
      <w:r w:rsidRPr="0091374D">
        <w:rPr>
          <w:rFonts w:ascii="Times New Roman" w:hAnsi="Times New Roman" w:cs="Times New Roman"/>
          <w:color w:val="000000" w:themeColor="text1"/>
          <w:sz w:val="24"/>
          <w:szCs w:val="24"/>
        </w:rPr>
        <w:t>measures</w:t>
      </w:r>
      <w:r w:rsidRPr="0091374D">
        <w:rPr>
          <w:rFonts w:ascii="Times New Roman" w:hAnsi="Times New Roman" w:cs="Times New Roman"/>
          <w:sz w:val="24"/>
          <w:szCs w:val="24"/>
        </w:rPr>
        <w:t xml:space="preserve"> to minimize scope of tax avoidance. More specifically, the paper focuses on identifying governance and tax variables influencing the GAAP effective tax rates and cash effective tax rates.</w:t>
      </w:r>
    </w:p>
    <w:p w:rsidR="001B6052" w:rsidRPr="0091374D" w:rsidRDefault="001B6052" w:rsidP="001B6052">
      <w:pPr>
        <w:pStyle w:val="NoSpacing"/>
        <w:spacing w:line="360" w:lineRule="auto"/>
        <w:jc w:val="both"/>
        <w:rPr>
          <w:rFonts w:ascii="Times New Roman" w:eastAsia="Times New Roman" w:hAnsi="Times New Roman" w:cs="Times New Roman"/>
          <w:b/>
          <w:sz w:val="26"/>
          <w:szCs w:val="24"/>
        </w:rPr>
      </w:pPr>
      <w:r w:rsidRPr="0091374D">
        <w:rPr>
          <w:rFonts w:ascii="Times New Roman" w:hAnsi="Times New Roman" w:cs="Times New Roman"/>
          <w:b/>
          <w:sz w:val="26"/>
          <w:szCs w:val="24"/>
        </w:rPr>
        <w:t>3. Problem Statement</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Bangladesh is a developing country with a growing population. Thus, the government struggles to provide the essential public services. Furthermore, the tax collection is usually not enough to finance the required investment in infrastructure, education, health and so on. As a result, the country faces difficulties in accelerating GDP growth, diminishing poverty and making social developments. Moreover, the lack of tax revenue has caused the budget deficit to amplify from 3.9 percent to 5.0 percent of GDP in 2016.There are possibly three reasons for low Tax-GDP </w:t>
      </w:r>
      <w:r w:rsidRPr="0091374D">
        <w:rPr>
          <w:rFonts w:ascii="Times New Roman" w:hAnsi="Times New Roman" w:cs="Times New Roman"/>
          <w:color w:val="000000" w:themeColor="text1"/>
          <w:sz w:val="24"/>
          <w:szCs w:val="24"/>
        </w:rPr>
        <w:t>ratio,</w:t>
      </w:r>
      <w:r w:rsidRPr="0091374D">
        <w:rPr>
          <w:rFonts w:ascii="Times New Roman" w:hAnsi="Times New Roman" w:cs="Times New Roman"/>
          <w:color w:val="FF0000"/>
          <w:sz w:val="24"/>
          <w:szCs w:val="24"/>
        </w:rPr>
        <w:t xml:space="preserve"> </w:t>
      </w:r>
      <w:r w:rsidRPr="0091374D">
        <w:rPr>
          <w:rFonts w:ascii="Times New Roman" w:hAnsi="Times New Roman" w:cs="Times New Roman"/>
          <w:color w:val="000000" w:themeColor="text1"/>
          <w:sz w:val="24"/>
          <w:szCs w:val="24"/>
        </w:rPr>
        <w:t xml:space="preserve">one </w:t>
      </w:r>
      <w:r w:rsidRPr="0091374D">
        <w:rPr>
          <w:rFonts w:ascii="Times New Roman" w:hAnsi="Times New Roman" w:cs="Times New Roman"/>
          <w:sz w:val="24"/>
          <w:szCs w:val="24"/>
        </w:rPr>
        <w:t xml:space="preserve">is </w:t>
      </w:r>
      <w:r w:rsidRPr="0091374D">
        <w:rPr>
          <w:rFonts w:ascii="Times New Roman" w:hAnsi="Times New Roman" w:cs="Times New Roman"/>
          <w:color w:val="000000" w:themeColor="text1"/>
          <w:sz w:val="24"/>
          <w:szCs w:val="24"/>
        </w:rPr>
        <w:t>deflated tax</w:t>
      </w:r>
      <w:r w:rsidRPr="0091374D">
        <w:rPr>
          <w:rFonts w:ascii="Times New Roman" w:hAnsi="Times New Roman" w:cs="Times New Roman"/>
          <w:sz w:val="24"/>
          <w:szCs w:val="24"/>
        </w:rPr>
        <w:t xml:space="preserve"> base, poor administration and tax evasion. The tax administration has been unable to maximize tax revenue due to weak monitoring. Over the time, the economy has transformed from its dependence on agriculture to industry. A firm’s weak governance can create scope for tax avoidance and managerial </w:t>
      </w:r>
      <w:r w:rsidRPr="0091374D">
        <w:rPr>
          <w:rFonts w:ascii="Times New Roman" w:hAnsi="Times New Roman" w:cs="Times New Roman"/>
          <w:color w:val="000000" w:themeColor="text1"/>
          <w:sz w:val="24"/>
          <w:szCs w:val="24"/>
        </w:rPr>
        <w:t>exploitation.</w:t>
      </w:r>
      <w:r w:rsidRPr="0091374D">
        <w:rPr>
          <w:rFonts w:ascii="Times New Roman" w:hAnsi="Times New Roman" w:cs="Times New Roman"/>
          <w:sz w:val="24"/>
          <w:szCs w:val="24"/>
        </w:rPr>
        <w:t xml:space="preserve"> Therefore, there is an acute need to study tax and governance interactions in Bangladeshi context which will enlighten policy makers to wipe out such tax avoidance opportunities (Mansur et. al 2011; Hossain 2017).</w:t>
      </w:r>
    </w:p>
    <w:p w:rsidR="001B6052" w:rsidRPr="0091374D" w:rsidRDefault="001B6052" w:rsidP="001B6052">
      <w:pPr>
        <w:pStyle w:val="NoSpacing"/>
        <w:spacing w:line="360" w:lineRule="auto"/>
        <w:jc w:val="both"/>
        <w:rPr>
          <w:rFonts w:ascii="Times New Roman" w:eastAsia="Times New Roman" w:hAnsi="Times New Roman" w:cs="Times New Roman"/>
          <w:b/>
          <w:sz w:val="26"/>
          <w:szCs w:val="24"/>
        </w:rPr>
      </w:pPr>
      <w:r w:rsidRPr="0091374D">
        <w:rPr>
          <w:rFonts w:ascii="Times New Roman" w:hAnsi="Times New Roman" w:cs="Times New Roman"/>
          <w:b/>
          <w:sz w:val="26"/>
          <w:szCs w:val="24"/>
        </w:rPr>
        <w:t>4. Literature Review</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Previous studies have been carried out among myriad firms across the globe, but very little research has been conducted in Bangladesh. Prior research shows legal forms of businesses (sole proprietorship, partnership, public and private corporations), competition and corruption impacts tax avoidance strategies (</w:t>
      </w:r>
      <w:proofErr w:type="spellStart"/>
      <w:r w:rsidRPr="0091374D">
        <w:rPr>
          <w:rFonts w:ascii="Times New Roman" w:hAnsi="Times New Roman" w:cs="Times New Roman"/>
          <w:sz w:val="24"/>
          <w:szCs w:val="24"/>
        </w:rPr>
        <w:t>Tedds</w:t>
      </w:r>
      <w:proofErr w:type="spellEnd"/>
      <w:r w:rsidRPr="0091374D">
        <w:rPr>
          <w:rFonts w:ascii="Times New Roman" w:hAnsi="Times New Roman" w:cs="Times New Roman"/>
          <w:sz w:val="24"/>
          <w:szCs w:val="24"/>
        </w:rPr>
        <w:t xml:space="preserve"> 2006; Johnson et al. 2000; Hanlon </w:t>
      </w:r>
      <w:proofErr w:type="gramStart"/>
      <w:r w:rsidRPr="0091374D">
        <w:rPr>
          <w:rFonts w:ascii="Times New Roman" w:hAnsi="Times New Roman" w:cs="Times New Roman"/>
          <w:sz w:val="24"/>
          <w:szCs w:val="24"/>
        </w:rPr>
        <w:t>et</w:t>
      </w:r>
      <w:proofErr w:type="gramEnd"/>
      <w:r w:rsidRPr="0091374D">
        <w:rPr>
          <w:rFonts w:ascii="Times New Roman" w:hAnsi="Times New Roman" w:cs="Times New Roman"/>
          <w:sz w:val="24"/>
          <w:szCs w:val="24"/>
        </w:rPr>
        <w:t xml:space="preserve"> al.2005). Moreover, many firm specific characteristics such </w:t>
      </w:r>
      <w:r w:rsidRPr="0091374D">
        <w:rPr>
          <w:rFonts w:ascii="Times New Roman" w:hAnsi="Times New Roman" w:cs="Times New Roman"/>
          <w:color w:val="000000"/>
          <w:sz w:val="24"/>
          <w:szCs w:val="24"/>
        </w:rPr>
        <w:t xml:space="preserve">as leverage, international operations, and management </w:t>
      </w:r>
      <w:r w:rsidRPr="0091374D">
        <w:rPr>
          <w:rFonts w:ascii="Times New Roman" w:hAnsi="Times New Roman" w:cs="Times New Roman"/>
          <w:color w:val="000000" w:themeColor="text1"/>
          <w:sz w:val="24"/>
          <w:szCs w:val="24"/>
        </w:rPr>
        <w:t>compensation (</w:t>
      </w:r>
      <w:proofErr w:type="spellStart"/>
      <w:r w:rsidRPr="0091374D">
        <w:rPr>
          <w:rFonts w:ascii="Times New Roman" w:hAnsi="Times New Roman" w:cs="Times New Roman"/>
          <w:color w:val="000000" w:themeColor="text1"/>
          <w:sz w:val="24"/>
          <w:szCs w:val="24"/>
        </w:rPr>
        <w:t>Joulfaian</w:t>
      </w:r>
      <w:proofErr w:type="spellEnd"/>
      <w:r w:rsidRPr="0091374D">
        <w:rPr>
          <w:rFonts w:ascii="Times New Roman" w:hAnsi="Times New Roman" w:cs="Times New Roman"/>
          <w:color w:val="000000" w:themeColor="text1"/>
          <w:sz w:val="24"/>
          <w:szCs w:val="24"/>
        </w:rPr>
        <w:t xml:space="preserve"> 2012; </w:t>
      </w:r>
      <w:proofErr w:type="spellStart"/>
      <w:r w:rsidRPr="0091374D">
        <w:rPr>
          <w:rFonts w:ascii="Times New Roman" w:hAnsi="Times New Roman" w:cs="Times New Roman"/>
          <w:color w:val="000000" w:themeColor="text1"/>
          <w:sz w:val="24"/>
          <w:szCs w:val="24"/>
        </w:rPr>
        <w:t>Rego</w:t>
      </w:r>
      <w:proofErr w:type="spellEnd"/>
      <w:r w:rsidRPr="0091374D">
        <w:rPr>
          <w:rFonts w:ascii="Times New Roman" w:hAnsi="Times New Roman" w:cs="Times New Roman"/>
          <w:color w:val="000000" w:themeColor="text1"/>
          <w:sz w:val="24"/>
          <w:szCs w:val="24"/>
        </w:rPr>
        <w:t xml:space="preserve"> 2003; </w:t>
      </w:r>
      <w:proofErr w:type="spellStart"/>
      <w:r w:rsidRPr="0091374D">
        <w:rPr>
          <w:rFonts w:ascii="Times New Roman" w:hAnsi="Times New Roman" w:cs="Times New Roman"/>
          <w:color w:val="000000" w:themeColor="text1"/>
          <w:sz w:val="24"/>
          <w:szCs w:val="24"/>
        </w:rPr>
        <w:t>Dyreng</w:t>
      </w:r>
      <w:proofErr w:type="spellEnd"/>
      <w:r w:rsidRPr="0091374D">
        <w:rPr>
          <w:rFonts w:ascii="Times New Roman" w:hAnsi="Times New Roman" w:cs="Times New Roman"/>
          <w:color w:val="000000" w:themeColor="text1"/>
          <w:sz w:val="24"/>
          <w:szCs w:val="24"/>
        </w:rPr>
        <w:t xml:space="preserve"> and Lindsey 2009)</w:t>
      </w:r>
      <w:r w:rsidRPr="0091374D">
        <w:rPr>
          <w:rFonts w:ascii="Times New Roman" w:hAnsi="Times New Roman" w:cs="Times New Roman"/>
          <w:sz w:val="24"/>
          <w:szCs w:val="24"/>
        </w:rPr>
        <w:t xml:space="preserve"> affected tax strategies adopted by companies</w:t>
      </w:r>
      <w:r w:rsidRPr="0091374D">
        <w:rPr>
          <w:rFonts w:ascii="Times New Roman" w:hAnsi="Times New Roman" w:cs="Times New Roman"/>
          <w:color w:val="000000" w:themeColor="text1"/>
          <w:sz w:val="24"/>
          <w:szCs w:val="24"/>
        </w:rPr>
        <w:t xml:space="preserve">. Most of the evidence related to tax avoidance in Bangladesh had been documented at an individual level rather than at a corporate level. </w:t>
      </w:r>
      <w:r w:rsidRPr="0091374D">
        <w:rPr>
          <w:rFonts w:ascii="Times New Roman" w:hAnsi="Times New Roman" w:cs="Times New Roman"/>
          <w:color w:val="000000" w:themeColor="text1"/>
          <w:sz w:val="24"/>
          <w:szCs w:val="24"/>
        </w:rPr>
        <w:lastRenderedPageBreak/>
        <w:t xml:space="preserve">Hence, the paper endeavors to scrutinize the relationship between corporate governance and tax management among listed companies in Bangladesh.  Studies have been documented regarding the effect of governance on corporate tax management. According to the model of </w:t>
      </w:r>
      <w:r w:rsidRPr="0091374D">
        <w:rPr>
          <w:rFonts w:ascii="Times New Roman" w:hAnsi="Times New Roman" w:cs="Times New Roman"/>
          <w:sz w:val="24"/>
          <w:szCs w:val="24"/>
        </w:rPr>
        <w:t xml:space="preserve">Desai, </w:t>
      </w:r>
      <w:proofErr w:type="spellStart"/>
      <w:r w:rsidRPr="0091374D">
        <w:rPr>
          <w:rFonts w:ascii="Times New Roman" w:hAnsi="Times New Roman" w:cs="Times New Roman"/>
          <w:sz w:val="24"/>
          <w:szCs w:val="24"/>
        </w:rPr>
        <w:t>Dyck</w:t>
      </w:r>
      <w:proofErr w:type="spellEnd"/>
      <w:r w:rsidRPr="0091374D">
        <w:rPr>
          <w:rFonts w:ascii="Times New Roman" w:hAnsi="Times New Roman" w:cs="Times New Roman"/>
          <w:sz w:val="24"/>
          <w:szCs w:val="24"/>
        </w:rPr>
        <w:t xml:space="preserve">, and </w:t>
      </w:r>
      <w:proofErr w:type="spellStart"/>
      <w:r w:rsidRPr="0091374D">
        <w:rPr>
          <w:rFonts w:ascii="Times New Roman" w:hAnsi="Times New Roman" w:cs="Times New Roman"/>
          <w:sz w:val="24"/>
          <w:szCs w:val="24"/>
        </w:rPr>
        <w:t>Zingales</w:t>
      </w:r>
      <w:proofErr w:type="spellEnd"/>
      <w:r w:rsidRPr="0091374D">
        <w:rPr>
          <w:rFonts w:ascii="Times New Roman" w:hAnsi="Times New Roman" w:cs="Times New Roman"/>
          <w:sz w:val="24"/>
          <w:szCs w:val="24"/>
        </w:rPr>
        <w:t xml:space="preserve"> (2007), an increase in corporate tax rates leads to higher tax revenues in countries with strong corporate governance and a drop in tax generation in countries with weak corporate governance. Consistent with the model, other researchers (Armstrong et al. 2015; Minnick and </w:t>
      </w:r>
      <w:proofErr w:type="spellStart"/>
      <w:r w:rsidRPr="0091374D">
        <w:rPr>
          <w:rFonts w:ascii="Times New Roman" w:hAnsi="Times New Roman" w:cs="Times New Roman"/>
          <w:sz w:val="24"/>
          <w:szCs w:val="24"/>
        </w:rPr>
        <w:t>Noga</w:t>
      </w:r>
      <w:proofErr w:type="spellEnd"/>
      <w:r w:rsidRPr="0091374D">
        <w:rPr>
          <w:rFonts w:ascii="Times New Roman" w:hAnsi="Times New Roman" w:cs="Times New Roman"/>
          <w:sz w:val="24"/>
          <w:szCs w:val="24"/>
        </w:rPr>
        <w:t xml:space="preserve"> 2010) have shown similar results and thus stimulated to </w:t>
      </w:r>
      <w:r w:rsidRPr="0091374D">
        <w:rPr>
          <w:rFonts w:ascii="Times New Roman" w:hAnsi="Times New Roman" w:cs="Times New Roman"/>
          <w:color w:val="000000" w:themeColor="text1"/>
          <w:sz w:val="24"/>
          <w:szCs w:val="24"/>
        </w:rPr>
        <w:t>ascertain</w:t>
      </w:r>
      <w:r w:rsidRPr="0091374D">
        <w:rPr>
          <w:rFonts w:ascii="Times New Roman" w:hAnsi="Times New Roman" w:cs="Times New Roman"/>
          <w:sz w:val="24"/>
          <w:szCs w:val="24"/>
        </w:rPr>
        <w:t xml:space="preserve"> the independent and dependent variables for this paper. </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Minnick and </w:t>
      </w:r>
      <w:proofErr w:type="spellStart"/>
      <w:r w:rsidRPr="0091374D">
        <w:rPr>
          <w:rFonts w:ascii="Times New Roman" w:hAnsi="Times New Roman" w:cs="Times New Roman"/>
          <w:sz w:val="24"/>
          <w:szCs w:val="24"/>
        </w:rPr>
        <w:t>Noga</w:t>
      </w:r>
      <w:proofErr w:type="spellEnd"/>
      <w:r w:rsidRPr="0091374D">
        <w:rPr>
          <w:rFonts w:ascii="Times New Roman" w:hAnsi="Times New Roman" w:cs="Times New Roman"/>
          <w:sz w:val="24"/>
          <w:szCs w:val="24"/>
        </w:rPr>
        <w:t xml:space="preserve"> (2010) conducted a study to probe the implications of corporate governance in the long-run tax planning of S&amp;P 500 companies between 1996 and 2005. They found that board’s size, independence as well as director’s pay sensitivity impacts the overall tax compliance of the companies. The paper has been followed to include the governance dimensions of board composition such as the number of board members (BS) and the percentage of independent directors in the board (INDEPB).Additionally, the tax (GAAP ETR and CASH ETR) and firm specific variables were also derived to evaluate the link between governance and firm specific variables (EBT and ROA).</w:t>
      </w:r>
    </w:p>
    <w:p w:rsidR="001B6052" w:rsidRPr="0091374D" w:rsidRDefault="001B6052" w:rsidP="001B6052">
      <w:pPr>
        <w:spacing w:line="360" w:lineRule="auto"/>
        <w:jc w:val="both"/>
        <w:rPr>
          <w:rFonts w:ascii="Times New Roman" w:eastAsia="Times New Roman" w:hAnsi="Times New Roman" w:cs="Times New Roman"/>
          <w:sz w:val="24"/>
          <w:szCs w:val="24"/>
        </w:rPr>
      </w:pPr>
      <w:proofErr w:type="spellStart"/>
      <w:r w:rsidRPr="0091374D">
        <w:rPr>
          <w:rFonts w:ascii="Times New Roman" w:hAnsi="Times New Roman" w:cs="Times New Roman"/>
          <w:sz w:val="24"/>
          <w:szCs w:val="24"/>
        </w:rPr>
        <w:t>Balakrishnan</w:t>
      </w:r>
      <w:proofErr w:type="spellEnd"/>
      <w:r w:rsidRPr="0091374D">
        <w:rPr>
          <w:rFonts w:ascii="Times New Roman" w:hAnsi="Times New Roman" w:cs="Times New Roman"/>
          <w:sz w:val="24"/>
          <w:szCs w:val="24"/>
        </w:rPr>
        <w:t xml:space="preserve"> et al. (2011) analyzed how tax management can lead to the deterioration of information reporting by companies. They documented that aggressive management of corporate tax results in diminishing information transparency. They included firm’s size (SIZE) and age of the firms (AGE) in their model. Since information transparency is a key objective of corporate governance, these measurements are included as independent variables in this paper</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Armstrong et al. (2015) revealed how corporate governance, tax avoidance and managerial opportunism are correlated. Their outcomes suggested that corporate governance has a negative correlation with tax avoidance. It was also established that managers expect greater personal benefits from increased tax avoidance. GAAP effective tax rates were integrated in their study to investigate their hypothesis based on governance and management variables. The governance variable of independent directors was obtained from their work as an important indicator of governance level to explain the variation in tax compliance.</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Armstrong et al. (2012) led an investigation of the relationship between tax director’s incentives with GAAP effective tax rates, cash effective tax rates, book-tax gap. It disclosed that tax director’s incentives have a significant relation with GAAP effective tax rates but a </w:t>
      </w:r>
      <w:r w:rsidRPr="0091374D">
        <w:rPr>
          <w:rFonts w:ascii="Times New Roman" w:hAnsi="Times New Roman" w:cs="Times New Roman"/>
          <w:sz w:val="24"/>
          <w:szCs w:val="24"/>
        </w:rPr>
        <w:lastRenderedPageBreak/>
        <w:t>negligible association with other tax characteristics. They concluded that tax directors were motivated to understate the tax expenses in the financial statements. The study integrated the effective tax rates as a dependent variable to assess the tax attributes.</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Core et al. (1999) directed that board as well as ownership structure has a considerable </w:t>
      </w:r>
      <w:r w:rsidRPr="0091374D">
        <w:rPr>
          <w:rFonts w:ascii="Times New Roman" w:hAnsi="Times New Roman" w:cs="Times New Roman"/>
          <w:color w:val="000000" w:themeColor="text1"/>
          <w:sz w:val="24"/>
          <w:szCs w:val="24"/>
        </w:rPr>
        <w:t>impact</w:t>
      </w:r>
      <w:r w:rsidRPr="0091374D">
        <w:rPr>
          <w:rFonts w:ascii="Times New Roman" w:hAnsi="Times New Roman" w:cs="Times New Roman"/>
          <w:color w:val="FF0000"/>
          <w:sz w:val="24"/>
          <w:szCs w:val="24"/>
        </w:rPr>
        <w:t xml:space="preserve"> </w:t>
      </w:r>
      <w:r w:rsidRPr="0091374D">
        <w:rPr>
          <w:rFonts w:ascii="Times New Roman" w:hAnsi="Times New Roman" w:cs="Times New Roman"/>
          <w:sz w:val="24"/>
          <w:szCs w:val="24"/>
        </w:rPr>
        <w:t>over CEO remuneration. It is documented that attractive CEO compensation packages lead to weak governance. They reported that agency problems were the highest at lower level of governance. Moreover, companies with agency issues performed poorly, while the CEOs gained higher compensations. Board size (BS) was derived from this paper, as it had a supplementary connection with agency problems.</w:t>
      </w:r>
    </w:p>
    <w:p w:rsidR="001B6052" w:rsidRPr="0091374D" w:rsidRDefault="001B6052" w:rsidP="001B6052">
      <w:pPr>
        <w:spacing w:line="360" w:lineRule="auto"/>
        <w:jc w:val="both"/>
        <w:rPr>
          <w:rFonts w:ascii="Times New Roman" w:eastAsia="Times New Roman" w:hAnsi="Times New Roman" w:cs="Times New Roman"/>
          <w:sz w:val="24"/>
          <w:szCs w:val="24"/>
        </w:rPr>
      </w:pPr>
      <w:proofErr w:type="spellStart"/>
      <w:r w:rsidRPr="0091374D">
        <w:rPr>
          <w:rFonts w:ascii="Times New Roman" w:hAnsi="Times New Roman" w:cs="Times New Roman"/>
          <w:sz w:val="24"/>
          <w:szCs w:val="24"/>
        </w:rPr>
        <w:t>Tedds</w:t>
      </w:r>
      <w:proofErr w:type="spellEnd"/>
      <w:r w:rsidRPr="0091374D">
        <w:rPr>
          <w:rFonts w:ascii="Times New Roman" w:hAnsi="Times New Roman" w:cs="Times New Roman"/>
          <w:sz w:val="24"/>
          <w:szCs w:val="24"/>
        </w:rPr>
        <w:t xml:space="preserve"> (2006) conducted an in depth research on a data of at least 10000 businesses around the world including Bangladesh. The objective was to comprehend </w:t>
      </w:r>
      <w:r w:rsidRPr="0091374D">
        <w:rPr>
          <w:rFonts w:ascii="Times New Roman" w:hAnsi="Times New Roman" w:cs="Times New Roman"/>
          <w:color w:val="000000" w:themeColor="text1"/>
          <w:sz w:val="24"/>
          <w:szCs w:val="24"/>
        </w:rPr>
        <w:t>the influence</w:t>
      </w:r>
      <w:r w:rsidRPr="0091374D">
        <w:rPr>
          <w:rFonts w:ascii="Times New Roman" w:hAnsi="Times New Roman" w:cs="Times New Roman"/>
          <w:sz w:val="24"/>
          <w:szCs w:val="24"/>
        </w:rPr>
        <w:t xml:space="preserve"> of corporate governance over tax planning. Evidence was found that companies across the globe engage in tax planning to report lower tax expenses. More specifically, the company’s size, ownership, competition and audit controls cause a significant deviation in tax compliance. </w:t>
      </w:r>
    </w:p>
    <w:p w:rsidR="001B6052" w:rsidRPr="0091374D" w:rsidRDefault="001B6052" w:rsidP="001B6052">
      <w:pPr>
        <w:spacing w:line="360" w:lineRule="auto"/>
        <w:jc w:val="both"/>
        <w:rPr>
          <w:rFonts w:ascii="Times New Roman" w:eastAsia="Times New Roman" w:hAnsi="Times New Roman" w:cs="Times New Roman"/>
          <w:sz w:val="24"/>
          <w:szCs w:val="24"/>
        </w:rPr>
      </w:pPr>
      <w:proofErr w:type="spellStart"/>
      <w:r w:rsidRPr="0091374D">
        <w:rPr>
          <w:rFonts w:ascii="Times New Roman" w:hAnsi="Times New Roman" w:cs="Times New Roman"/>
          <w:sz w:val="24"/>
          <w:szCs w:val="24"/>
        </w:rPr>
        <w:t>Dyreng</w:t>
      </w:r>
      <w:proofErr w:type="spellEnd"/>
      <w:r w:rsidRPr="0091374D">
        <w:rPr>
          <w:rFonts w:ascii="Times New Roman" w:hAnsi="Times New Roman" w:cs="Times New Roman"/>
          <w:sz w:val="24"/>
          <w:szCs w:val="24"/>
        </w:rPr>
        <w:t xml:space="preserve"> et al. (2008) scrutinized how companies persist to engage in long run tax management and maintain a low level of effective tax rates. It was witnessed that companies belonging to certain industries were more likely to engage in tax avoidance like oil and gas, extraction, insurance etc.</w:t>
      </w:r>
      <w:r w:rsidRPr="0091374D">
        <w:rPr>
          <w:rFonts w:ascii="Times New Roman" w:eastAsia="Times New Roman" w:hAnsi="Times New Roman" w:cs="Times New Roman"/>
          <w:sz w:val="24"/>
          <w:szCs w:val="24"/>
        </w:rPr>
        <w:t xml:space="preserve"> </w:t>
      </w:r>
      <w:r w:rsidRPr="0091374D">
        <w:rPr>
          <w:rFonts w:ascii="Times New Roman" w:hAnsi="Times New Roman" w:cs="Times New Roman"/>
          <w:sz w:val="24"/>
          <w:szCs w:val="24"/>
        </w:rPr>
        <w:t xml:space="preserve">Furthermore, firm specific attributes of large firm size, ratios of non-current assets to assets, intangibles and leverage </w:t>
      </w:r>
      <w:r w:rsidRPr="0091374D">
        <w:rPr>
          <w:rFonts w:ascii="Times New Roman" w:hAnsi="Times New Roman" w:cs="Times New Roman"/>
          <w:color w:val="000000" w:themeColor="text1"/>
          <w:sz w:val="24"/>
          <w:szCs w:val="24"/>
        </w:rPr>
        <w:t>noticeably affects</w:t>
      </w:r>
      <w:r w:rsidRPr="0091374D">
        <w:rPr>
          <w:rFonts w:ascii="Times New Roman" w:hAnsi="Times New Roman" w:cs="Times New Roman"/>
          <w:color w:val="FF0000"/>
          <w:sz w:val="24"/>
          <w:szCs w:val="24"/>
        </w:rPr>
        <w:t xml:space="preserve"> </w:t>
      </w:r>
      <w:r w:rsidRPr="0091374D">
        <w:rPr>
          <w:rFonts w:ascii="Times New Roman" w:hAnsi="Times New Roman" w:cs="Times New Roman"/>
          <w:sz w:val="24"/>
          <w:szCs w:val="24"/>
        </w:rPr>
        <w:t xml:space="preserve">the effective tax rates. Therefore firm’s size (SIZE) of Bangladeshi companies has been incorporated to disclose its </w:t>
      </w:r>
      <w:r w:rsidRPr="0091374D">
        <w:rPr>
          <w:rFonts w:ascii="Times New Roman" w:hAnsi="Times New Roman" w:cs="Times New Roman"/>
          <w:color w:val="000000" w:themeColor="text1"/>
          <w:sz w:val="24"/>
          <w:szCs w:val="24"/>
        </w:rPr>
        <w:t>effects</w:t>
      </w:r>
      <w:r w:rsidRPr="0091374D">
        <w:rPr>
          <w:rFonts w:ascii="Times New Roman" w:hAnsi="Times New Roman" w:cs="Times New Roman"/>
          <w:color w:val="FF0000"/>
          <w:sz w:val="24"/>
          <w:szCs w:val="24"/>
        </w:rPr>
        <w:t xml:space="preserve"> </w:t>
      </w:r>
      <w:r w:rsidRPr="0091374D">
        <w:rPr>
          <w:rFonts w:ascii="Times New Roman" w:hAnsi="Times New Roman" w:cs="Times New Roman"/>
          <w:sz w:val="24"/>
          <w:szCs w:val="24"/>
        </w:rPr>
        <w:t>over tax management.</w:t>
      </w:r>
    </w:p>
    <w:p w:rsidR="001B6052" w:rsidRPr="0091374D" w:rsidRDefault="001B6052" w:rsidP="001B6052">
      <w:pPr>
        <w:spacing w:line="360" w:lineRule="auto"/>
        <w:jc w:val="both"/>
        <w:rPr>
          <w:rFonts w:ascii="Times New Roman" w:eastAsia="Times New Roman" w:hAnsi="Times New Roman" w:cs="Times New Roman"/>
          <w:sz w:val="24"/>
          <w:szCs w:val="24"/>
        </w:rPr>
      </w:pPr>
      <w:proofErr w:type="spellStart"/>
      <w:r w:rsidRPr="0091374D">
        <w:rPr>
          <w:rFonts w:ascii="Times New Roman" w:hAnsi="Times New Roman" w:cs="Times New Roman"/>
          <w:sz w:val="24"/>
          <w:szCs w:val="24"/>
        </w:rPr>
        <w:t>Yermack</w:t>
      </w:r>
      <w:proofErr w:type="spellEnd"/>
      <w:r w:rsidRPr="0091374D">
        <w:rPr>
          <w:rFonts w:ascii="Times New Roman" w:hAnsi="Times New Roman" w:cs="Times New Roman"/>
          <w:sz w:val="24"/>
          <w:szCs w:val="24"/>
        </w:rPr>
        <w:t xml:space="preserve"> (1996) documented a research which investigated how the company’s board size causes difference in its value and performance. The</w:t>
      </w:r>
      <w:r w:rsidRPr="0091374D">
        <w:rPr>
          <w:rFonts w:ascii="Times New Roman" w:hAnsi="Times New Roman" w:cs="Times New Roman"/>
          <w:color w:val="000000" w:themeColor="text1"/>
          <w:sz w:val="24"/>
          <w:szCs w:val="24"/>
        </w:rPr>
        <w:t xml:space="preserve"> results</w:t>
      </w:r>
      <w:r w:rsidRPr="0091374D">
        <w:rPr>
          <w:rFonts w:ascii="Times New Roman" w:hAnsi="Times New Roman" w:cs="Times New Roman"/>
          <w:sz w:val="24"/>
          <w:szCs w:val="24"/>
        </w:rPr>
        <w:t xml:space="preserve"> of the paper indicated that board size and firm value shares a negative correlation. Small number of board members indicated better financial performance and stimulated high </w:t>
      </w:r>
      <w:r w:rsidRPr="0091374D">
        <w:rPr>
          <w:rFonts w:ascii="Times New Roman" w:hAnsi="Times New Roman" w:cs="Times New Roman"/>
          <w:color w:val="000000" w:themeColor="text1"/>
          <w:sz w:val="24"/>
          <w:szCs w:val="24"/>
        </w:rPr>
        <w:t>accomplishment</w:t>
      </w:r>
      <w:r w:rsidRPr="0091374D">
        <w:rPr>
          <w:rFonts w:ascii="Times New Roman" w:hAnsi="Times New Roman" w:cs="Times New Roman"/>
          <w:sz w:val="24"/>
          <w:szCs w:val="24"/>
        </w:rPr>
        <w:t xml:space="preserve"> from CEOs. The number of board members is likely to be negatively associated with effective tax rates because the large board size gives rise to agency related issues. Thus, board size (BS) has been added among the governance variables to measure its </w:t>
      </w:r>
      <w:r w:rsidRPr="0091374D">
        <w:rPr>
          <w:rFonts w:ascii="Times New Roman" w:hAnsi="Times New Roman" w:cs="Times New Roman"/>
          <w:color w:val="000000" w:themeColor="text1"/>
          <w:sz w:val="24"/>
          <w:szCs w:val="24"/>
        </w:rPr>
        <w:t>response over</w:t>
      </w:r>
      <w:r w:rsidRPr="0091374D">
        <w:rPr>
          <w:rFonts w:ascii="Times New Roman" w:hAnsi="Times New Roman" w:cs="Times New Roman"/>
          <w:sz w:val="24"/>
          <w:szCs w:val="24"/>
        </w:rPr>
        <w:t xml:space="preserve"> effective tax rates in this study.</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Byrd and Hickman (1992) carried out an examination between governance characteristics and shareholder’s wealth. It showed that independent directors mitigate agency issues and ensures shareholder welfare. However, the independent directors may not be able to facilitate prompt decisions and can lower shareholder wealth. Since, the percentage of independent directors </w:t>
      </w:r>
      <w:r w:rsidRPr="0091374D">
        <w:rPr>
          <w:rFonts w:ascii="Times New Roman" w:hAnsi="Times New Roman" w:cs="Times New Roman"/>
          <w:sz w:val="24"/>
          <w:szCs w:val="24"/>
        </w:rPr>
        <w:lastRenderedPageBreak/>
        <w:t xml:space="preserve">(INDEPB) can substantially help assess the company’s earnings and wealth it is likely to affect both cash and GAAP effective tax rates. </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Zimmerman (1983) studied the correlation between firm’s size and effective tax rates. It reported that larger firms have high worldwide tax rates. It advocates that effective tax rates are fractional indicators of political costs. Contradicting evidence has been </w:t>
      </w:r>
      <w:r w:rsidRPr="0091374D">
        <w:rPr>
          <w:rFonts w:ascii="Times New Roman" w:hAnsi="Times New Roman" w:cs="Times New Roman"/>
          <w:color w:val="000000" w:themeColor="text1"/>
          <w:sz w:val="24"/>
          <w:szCs w:val="24"/>
        </w:rPr>
        <w:t>perceived regarding</w:t>
      </w:r>
      <w:r w:rsidRPr="0091374D">
        <w:rPr>
          <w:rFonts w:ascii="Times New Roman" w:hAnsi="Times New Roman" w:cs="Times New Roman"/>
          <w:sz w:val="24"/>
          <w:szCs w:val="24"/>
        </w:rPr>
        <w:t xml:space="preserve"> the role of firm’s size in determining variances in effective tax rates. Nevertheless, it is clear that firm’s size (SIZE) has a sturdy</w:t>
      </w:r>
      <w:r w:rsidRPr="0091374D">
        <w:rPr>
          <w:rFonts w:ascii="Times New Roman" w:hAnsi="Times New Roman" w:cs="Times New Roman"/>
          <w:color w:val="000000" w:themeColor="text1"/>
          <w:sz w:val="24"/>
          <w:szCs w:val="24"/>
        </w:rPr>
        <w:t xml:space="preserve"> influence</w:t>
      </w:r>
      <w:r w:rsidRPr="0091374D">
        <w:rPr>
          <w:rFonts w:ascii="Times New Roman" w:hAnsi="Times New Roman" w:cs="Times New Roman"/>
          <w:sz w:val="24"/>
          <w:szCs w:val="24"/>
        </w:rPr>
        <w:t xml:space="preserve"> over the effective tax rates. </w:t>
      </w:r>
    </w:p>
    <w:p w:rsidR="001B6052" w:rsidRPr="0091374D" w:rsidRDefault="001B6052" w:rsidP="001B6052">
      <w:pPr>
        <w:pStyle w:val="NoSpacing"/>
        <w:spacing w:line="360" w:lineRule="auto"/>
        <w:jc w:val="both"/>
        <w:rPr>
          <w:rFonts w:ascii="Times New Roman" w:eastAsia="Times New Roman" w:hAnsi="Times New Roman" w:cs="Times New Roman"/>
          <w:b/>
          <w:sz w:val="26"/>
          <w:szCs w:val="24"/>
        </w:rPr>
      </w:pPr>
      <w:r w:rsidRPr="0091374D">
        <w:rPr>
          <w:rFonts w:ascii="Times New Roman" w:hAnsi="Times New Roman" w:cs="Times New Roman"/>
          <w:b/>
          <w:sz w:val="26"/>
          <w:szCs w:val="24"/>
        </w:rPr>
        <w:t>5. Methodology of the Study</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t>5.1 Research Design and Sample Size</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The paper uses secondary data collected from the annual reports of 21 listed companies in Dhaka Stock exchange. All the data organized relates to the year of 2015 only. The systematic random technique was applied to select 21 companies across nine industries (cement, ceramics, engineering, food, fuel and power, paper, pharmaceuticals, tannery and textile) whose list was accumulated from the website of Dhaka Stock Exchange. However, two different samples are used to analyze the effects of independent variables on dependent GAAP ETRs and cash ETRs.</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t>5.2 Variable Design</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The model-I illustrates, the dependent variable GAAP effective tax rates (GAAP ETR) and independent variables of return on Assets (ROA), company’s size (SIZE), Earnings before Tax (EBT), company’s age (AGE) and number of board members (BS). Also, model-II presents the independent variables of the percentage of independent directors (INDEPB) and number of board members (BS) to analyze the variation in the cash effective tax rates (CASHETR).</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t>5.2.1 Dependent Variables</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proofErr w:type="spellStart"/>
      <w:r w:rsidRPr="0091374D">
        <w:rPr>
          <w:rFonts w:ascii="Times New Roman" w:hAnsi="Times New Roman" w:cs="Times New Roman"/>
          <w:sz w:val="24"/>
          <w:szCs w:val="24"/>
        </w:rPr>
        <w:t>Dyreng</w:t>
      </w:r>
      <w:proofErr w:type="spellEnd"/>
      <w:r w:rsidRPr="0091374D">
        <w:rPr>
          <w:rFonts w:ascii="Times New Roman" w:hAnsi="Times New Roman" w:cs="Times New Roman"/>
          <w:sz w:val="24"/>
          <w:szCs w:val="24"/>
        </w:rPr>
        <w:t xml:space="preserve"> et al. (2008) was followed for the measurements of GAAP ETR and CASH ETR. The GAAP effective tax rate is computed by dividing total tax expense with pretax income. The tax expense is the total tax expense and pretax income is the earnings before tax from the income statement of the company’s financial statements. Moreover, GAAP ETR involves both deferred and current tax expense, as deferred tax expense include taxes which will be paid or refunded in future, it serves the purpose of taking account long term tax effects. CASH ETR is determined by dividing cash tax payments with pretax income minus special items. The cash taxes paid are obtained from the cash flow statements of the company’s financials. </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lastRenderedPageBreak/>
        <w:t>5.2.2 Independent Variables</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The research is based on the independent firm specific attributes (SIZE, ROA, AGE and EBT) and board characteristics (BS and INDEPB). As measures adopted by Minnick and </w:t>
      </w:r>
      <w:proofErr w:type="spellStart"/>
      <w:r w:rsidRPr="0091374D">
        <w:rPr>
          <w:rFonts w:ascii="Times New Roman" w:hAnsi="Times New Roman" w:cs="Times New Roman"/>
          <w:sz w:val="24"/>
          <w:szCs w:val="24"/>
        </w:rPr>
        <w:t>Noga</w:t>
      </w:r>
      <w:proofErr w:type="spellEnd"/>
      <w:r w:rsidRPr="0091374D">
        <w:rPr>
          <w:rFonts w:ascii="Times New Roman" w:hAnsi="Times New Roman" w:cs="Times New Roman"/>
          <w:sz w:val="24"/>
          <w:szCs w:val="24"/>
        </w:rPr>
        <w:t xml:space="preserve"> (2010), the Size of the company is computed by the log of total assets. EBT is pretax income taken from the income statement of the company’s financials (Armstrong et al., 2012</w:t>
      </w:r>
      <w:r w:rsidRPr="0091374D">
        <w:rPr>
          <w:rFonts w:ascii="Times New Roman" w:hAnsi="Times New Roman" w:cs="Times New Roman"/>
          <w:color w:val="000000" w:themeColor="text1"/>
          <w:sz w:val="24"/>
          <w:szCs w:val="24"/>
        </w:rPr>
        <w:t xml:space="preserve">) </w:t>
      </w:r>
      <w:r w:rsidRPr="0091374D">
        <w:rPr>
          <w:rFonts w:ascii="Times New Roman" w:hAnsi="Times New Roman" w:cs="Times New Roman"/>
          <w:sz w:val="24"/>
          <w:szCs w:val="24"/>
        </w:rPr>
        <w:t>The ROA is determined by net income (or loss) scaled by beginning total assets (Armstrong et al., 2012), where only positive net income is taken. Furthermore, the age of the firm is measured as the natural logarithm of the difference between the year of incorporation and the year of 2015 (</w:t>
      </w:r>
      <w:proofErr w:type="spellStart"/>
      <w:r w:rsidRPr="0091374D">
        <w:rPr>
          <w:rFonts w:ascii="Times New Roman" w:hAnsi="Times New Roman" w:cs="Times New Roman"/>
          <w:sz w:val="24"/>
          <w:szCs w:val="24"/>
        </w:rPr>
        <w:t>Balakrishnan</w:t>
      </w:r>
      <w:proofErr w:type="spellEnd"/>
      <w:r w:rsidRPr="0091374D">
        <w:rPr>
          <w:rFonts w:ascii="Times New Roman" w:hAnsi="Times New Roman" w:cs="Times New Roman"/>
          <w:sz w:val="24"/>
          <w:szCs w:val="24"/>
        </w:rPr>
        <w:t xml:space="preserve"> et al., 2011) The board characteristics include the number of members in the board (BS) and the percentage of independent directors on the board (INDEPB). INDEPB is calculated by dividing the total number of independent directors by total board members (</w:t>
      </w:r>
      <w:proofErr w:type="spellStart"/>
      <w:r w:rsidRPr="0091374D">
        <w:rPr>
          <w:rFonts w:ascii="Times New Roman" w:hAnsi="Times New Roman" w:cs="Times New Roman"/>
          <w:sz w:val="24"/>
          <w:szCs w:val="24"/>
        </w:rPr>
        <w:t>Yermack</w:t>
      </w:r>
      <w:proofErr w:type="spellEnd"/>
      <w:r w:rsidRPr="0091374D">
        <w:rPr>
          <w:rFonts w:ascii="Times New Roman" w:hAnsi="Times New Roman" w:cs="Times New Roman"/>
          <w:sz w:val="24"/>
          <w:szCs w:val="24"/>
        </w:rPr>
        <w:t xml:space="preserve">, 1996; Minnick and </w:t>
      </w:r>
      <w:proofErr w:type="spellStart"/>
      <w:r w:rsidRPr="0091374D">
        <w:rPr>
          <w:rFonts w:ascii="Times New Roman" w:hAnsi="Times New Roman" w:cs="Times New Roman"/>
          <w:sz w:val="24"/>
          <w:szCs w:val="24"/>
        </w:rPr>
        <w:t>Noga</w:t>
      </w:r>
      <w:proofErr w:type="spellEnd"/>
      <w:r w:rsidRPr="0091374D">
        <w:rPr>
          <w:rFonts w:ascii="Times New Roman" w:hAnsi="Times New Roman" w:cs="Times New Roman"/>
          <w:sz w:val="24"/>
          <w:szCs w:val="24"/>
        </w:rPr>
        <w:t>, 2010).</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t>5.3 Research</w:t>
      </w:r>
      <w:r w:rsidRPr="0091374D">
        <w:rPr>
          <w:rFonts w:ascii="Times New Roman" w:hAnsi="Times New Roman" w:cs="Times New Roman"/>
          <w:b/>
          <w:color w:val="FF0000"/>
          <w:sz w:val="24"/>
          <w:szCs w:val="24"/>
        </w:rPr>
        <w:t xml:space="preserve"> </w:t>
      </w:r>
      <w:r w:rsidRPr="0091374D">
        <w:rPr>
          <w:rFonts w:ascii="Times New Roman" w:hAnsi="Times New Roman" w:cs="Times New Roman"/>
          <w:b/>
          <w:color w:val="000000" w:themeColor="text1"/>
          <w:sz w:val="24"/>
          <w:szCs w:val="24"/>
        </w:rPr>
        <w:t>Hypotheses</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1</w:t>
      </w:r>
      <w:r w:rsidRPr="0091374D">
        <w:rPr>
          <w:rFonts w:ascii="Times New Roman" w:hAnsi="Times New Roman" w:cs="Times New Roman"/>
          <w:i/>
          <w:sz w:val="24"/>
          <w:szCs w:val="24"/>
        </w:rPr>
        <w:t>: Firms which have higher ROAs will have higher GAAP ETRs</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2</w:t>
      </w:r>
      <w:r w:rsidRPr="0091374D">
        <w:rPr>
          <w:rFonts w:ascii="Times New Roman" w:hAnsi="Times New Roman" w:cs="Times New Roman"/>
          <w:i/>
          <w:sz w:val="24"/>
          <w:szCs w:val="24"/>
        </w:rPr>
        <w:t>: Firms which are larger in size will have smaller GAAP ETRs</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3</w:t>
      </w:r>
      <w:r w:rsidRPr="0091374D">
        <w:rPr>
          <w:rFonts w:ascii="Times New Roman" w:hAnsi="Times New Roman" w:cs="Times New Roman"/>
          <w:i/>
          <w:sz w:val="24"/>
          <w:szCs w:val="24"/>
        </w:rPr>
        <w:t xml:space="preserve">: Firms with higher earnings will have larger GAAP ETRS </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4</w:t>
      </w:r>
      <w:r w:rsidRPr="0091374D">
        <w:rPr>
          <w:rFonts w:ascii="Times New Roman" w:hAnsi="Times New Roman" w:cs="Times New Roman"/>
          <w:i/>
          <w:sz w:val="24"/>
          <w:szCs w:val="24"/>
        </w:rPr>
        <w:t xml:space="preserve">:  Firms with larger boards will have smaller GAAP ETRs </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5</w:t>
      </w:r>
      <w:r w:rsidRPr="0091374D">
        <w:rPr>
          <w:rFonts w:ascii="Times New Roman" w:hAnsi="Times New Roman" w:cs="Times New Roman"/>
          <w:i/>
          <w:sz w:val="24"/>
          <w:szCs w:val="24"/>
        </w:rPr>
        <w:t>: Firms with larger boards will have smaller CASH ETRs</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6</w:t>
      </w:r>
      <w:r w:rsidRPr="0091374D">
        <w:rPr>
          <w:rFonts w:ascii="Times New Roman" w:hAnsi="Times New Roman" w:cs="Times New Roman"/>
          <w:i/>
          <w:sz w:val="24"/>
          <w:szCs w:val="24"/>
        </w:rPr>
        <w:t xml:space="preserve">:  Firms which are older in age will </w:t>
      </w:r>
      <w:r w:rsidRPr="0091374D">
        <w:rPr>
          <w:rFonts w:ascii="Times New Roman" w:hAnsi="Times New Roman" w:cs="Times New Roman"/>
          <w:i/>
          <w:color w:val="000000" w:themeColor="text1"/>
          <w:sz w:val="24"/>
          <w:szCs w:val="24"/>
        </w:rPr>
        <w:t>have larger GAAP</w:t>
      </w:r>
      <w:r w:rsidRPr="0091374D">
        <w:rPr>
          <w:rFonts w:ascii="Times New Roman" w:hAnsi="Times New Roman" w:cs="Times New Roman"/>
          <w:i/>
          <w:sz w:val="24"/>
          <w:szCs w:val="24"/>
        </w:rPr>
        <w:t xml:space="preserve"> ETRs</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7</w:t>
      </w:r>
      <w:r w:rsidRPr="0091374D">
        <w:rPr>
          <w:rFonts w:ascii="Times New Roman" w:hAnsi="Times New Roman" w:cs="Times New Roman"/>
          <w:i/>
          <w:sz w:val="24"/>
          <w:szCs w:val="24"/>
        </w:rPr>
        <w:t>: Firms with larger percentage of independent directors will have smaller CASH ETRs</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t>5.4 Model Specification</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The multiple regression analysis has been exercised to test the hypotheses of model-I and identify the scope of variations in GAAP ETRs on the basis of firm level variables (return on Assets, firm’s size, earnings before tax, firm’s age) and governance variable (board size). The regression model will be depicted by the following equation:</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GAAP</w:t>
      </w:r>
      <w:r w:rsidRPr="0091374D">
        <w:rPr>
          <w:rFonts w:ascii="Times New Roman" w:hAnsi="Times New Roman" w:cs="Times New Roman"/>
          <w:sz w:val="24"/>
          <w:szCs w:val="24"/>
          <w:vertAlign w:val="subscript"/>
        </w:rPr>
        <w:t>ETR</w:t>
      </w:r>
      <w:r w:rsidRPr="0091374D">
        <w:rPr>
          <w:rFonts w:ascii="Times New Roman" w:hAnsi="Times New Roman" w:cs="Times New Roman"/>
          <w:sz w:val="24"/>
          <w:szCs w:val="24"/>
        </w:rPr>
        <w:t xml:space="preserve"> = α + β1 </w:t>
      </w:r>
      <w:proofErr w:type="spellStart"/>
      <w:r w:rsidRPr="0091374D">
        <w:rPr>
          <w:rFonts w:ascii="Times New Roman" w:hAnsi="Times New Roman" w:cs="Times New Roman"/>
          <w:sz w:val="24"/>
          <w:szCs w:val="24"/>
        </w:rPr>
        <w:t>ROAi</w:t>
      </w:r>
      <w:proofErr w:type="spellEnd"/>
      <w:r w:rsidRPr="0091374D">
        <w:rPr>
          <w:rFonts w:ascii="Times New Roman" w:hAnsi="Times New Roman" w:cs="Times New Roman"/>
          <w:sz w:val="24"/>
          <w:szCs w:val="24"/>
        </w:rPr>
        <w:t xml:space="preserve"> + β2 </w:t>
      </w:r>
      <w:proofErr w:type="spellStart"/>
      <w:r w:rsidRPr="0091374D">
        <w:rPr>
          <w:rFonts w:ascii="Times New Roman" w:hAnsi="Times New Roman" w:cs="Times New Roman"/>
          <w:sz w:val="24"/>
          <w:szCs w:val="24"/>
        </w:rPr>
        <w:t>SIZEi</w:t>
      </w:r>
      <w:proofErr w:type="spellEnd"/>
      <w:r w:rsidRPr="0091374D">
        <w:rPr>
          <w:rFonts w:ascii="Times New Roman" w:hAnsi="Times New Roman" w:cs="Times New Roman"/>
          <w:sz w:val="24"/>
          <w:szCs w:val="24"/>
        </w:rPr>
        <w:t xml:space="preserve"> + β3 </w:t>
      </w:r>
      <w:proofErr w:type="spellStart"/>
      <w:r w:rsidRPr="0091374D">
        <w:rPr>
          <w:rFonts w:ascii="Times New Roman" w:hAnsi="Times New Roman" w:cs="Times New Roman"/>
          <w:sz w:val="24"/>
          <w:szCs w:val="24"/>
        </w:rPr>
        <w:t>EBTi</w:t>
      </w:r>
      <w:proofErr w:type="spellEnd"/>
      <w:r w:rsidRPr="0091374D">
        <w:rPr>
          <w:rFonts w:ascii="Times New Roman" w:hAnsi="Times New Roman" w:cs="Times New Roman"/>
          <w:sz w:val="24"/>
          <w:szCs w:val="24"/>
        </w:rPr>
        <w:t xml:space="preserve"> + β4BSi+ β5AGEi+ </w:t>
      </w:r>
      <w:proofErr w:type="spellStart"/>
      <w:r w:rsidRPr="0091374D">
        <w:rPr>
          <w:rFonts w:ascii="Times New Roman" w:hAnsi="Times New Roman" w:cs="Times New Roman"/>
          <w:sz w:val="24"/>
          <w:szCs w:val="24"/>
        </w:rPr>
        <w:t>εi</w:t>
      </w:r>
      <w:proofErr w:type="spellEnd"/>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Where:</w:t>
      </w:r>
      <w:r w:rsidRPr="0091374D">
        <w:rPr>
          <w:rFonts w:ascii="Times New Roman" w:eastAsia="Times New Roman" w:hAnsi="Times New Roman" w:cs="Times New Roman"/>
          <w:sz w:val="24"/>
          <w:szCs w:val="24"/>
        </w:rPr>
        <w:t xml:space="preserve"> </w:t>
      </w:r>
      <w:r w:rsidRPr="0091374D">
        <w:rPr>
          <w:rFonts w:ascii="Times New Roman" w:hAnsi="Times New Roman" w:cs="Times New Roman"/>
          <w:sz w:val="24"/>
          <w:szCs w:val="24"/>
        </w:rPr>
        <w:t>GAAPETR = GAAP Effective Tax Rates</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ROA = Return on Assets</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SIZE= Firm’s Size</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EBT= Earnings before Tax</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BS= Board Size </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AGE= Firm’s age</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With regards to model-II, the impact of the independent variables of board size (BS) and percentage of independent directors in the board (INDEPB) on the cash effective tax rate is </w:t>
      </w:r>
      <w:r w:rsidRPr="0091374D">
        <w:rPr>
          <w:rFonts w:ascii="Times New Roman" w:hAnsi="Times New Roman" w:cs="Times New Roman"/>
          <w:sz w:val="24"/>
          <w:szCs w:val="24"/>
        </w:rPr>
        <w:lastRenderedPageBreak/>
        <w:t>examined using the following model:                                          CASH</w:t>
      </w:r>
      <w:r w:rsidRPr="0091374D">
        <w:rPr>
          <w:rFonts w:ascii="Times New Roman" w:hAnsi="Times New Roman" w:cs="Times New Roman"/>
          <w:sz w:val="24"/>
          <w:szCs w:val="24"/>
          <w:vertAlign w:val="subscript"/>
        </w:rPr>
        <w:t>ETR</w:t>
      </w:r>
      <w:r w:rsidRPr="0091374D">
        <w:rPr>
          <w:rFonts w:ascii="Times New Roman" w:hAnsi="Times New Roman" w:cs="Times New Roman"/>
          <w:sz w:val="24"/>
          <w:szCs w:val="24"/>
        </w:rPr>
        <w:t xml:space="preserve"> = α + β</w:t>
      </w:r>
      <w:r w:rsidRPr="0091374D">
        <w:rPr>
          <w:rFonts w:ascii="Times New Roman" w:hAnsi="Times New Roman" w:cs="Times New Roman"/>
          <w:sz w:val="24"/>
          <w:szCs w:val="24"/>
          <w:vertAlign w:val="subscript"/>
        </w:rPr>
        <w:t>1</w:t>
      </w:r>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BSi</w:t>
      </w:r>
      <w:proofErr w:type="spellEnd"/>
      <w:r w:rsidRPr="0091374D">
        <w:rPr>
          <w:rFonts w:ascii="Times New Roman" w:hAnsi="Times New Roman" w:cs="Times New Roman"/>
          <w:sz w:val="24"/>
          <w:szCs w:val="24"/>
        </w:rPr>
        <w:t xml:space="preserve"> + β</w:t>
      </w:r>
      <w:r w:rsidRPr="0091374D">
        <w:rPr>
          <w:rFonts w:ascii="Times New Roman" w:hAnsi="Times New Roman" w:cs="Times New Roman"/>
          <w:sz w:val="24"/>
          <w:szCs w:val="24"/>
          <w:vertAlign w:val="subscript"/>
        </w:rPr>
        <w:t xml:space="preserve">2 </w:t>
      </w:r>
      <w:proofErr w:type="spellStart"/>
      <w:r w:rsidRPr="0091374D">
        <w:rPr>
          <w:rFonts w:ascii="Times New Roman" w:hAnsi="Times New Roman" w:cs="Times New Roman"/>
          <w:sz w:val="24"/>
          <w:szCs w:val="24"/>
        </w:rPr>
        <w:t>INDEPBi</w:t>
      </w:r>
      <w:proofErr w:type="spellEnd"/>
      <w:r w:rsidRPr="0091374D">
        <w:rPr>
          <w:rFonts w:ascii="Times New Roman" w:hAnsi="Times New Roman" w:cs="Times New Roman"/>
          <w:sz w:val="24"/>
          <w:szCs w:val="24"/>
        </w:rPr>
        <w:t xml:space="preserve"> + </w:t>
      </w:r>
      <w:proofErr w:type="spellStart"/>
      <w:r w:rsidRPr="0091374D">
        <w:rPr>
          <w:rFonts w:ascii="Times New Roman" w:hAnsi="Times New Roman" w:cs="Times New Roman"/>
          <w:sz w:val="24"/>
          <w:szCs w:val="24"/>
        </w:rPr>
        <w:t>εi</w:t>
      </w:r>
      <w:proofErr w:type="spellEnd"/>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Where:</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CASH</w:t>
      </w:r>
      <w:r w:rsidRPr="0091374D">
        <w:rPr>
          <w:rFonts w:ascii="Times New Roman" w:hAnsi="Times New Roman" w:cs="Times New Roman"/>
          <w:sz w:val="24"/>
          <w:szCs w:val="24"/>
          <w:vertAlign w:val="subscript"/>
        </w:rPr>
        <w:t xml:space="preserve">ETR </w:t>
      </w:r>
      <w:r w:rsidRPr="0091374D">
        <w:rPr>
          <w:rFonts w:ascii="Times New Roman" w:hAnsi="Times New Roman" w:cs="Times New Roman"/>
          <w:sz w:val="24"/>
          <w:szCs w:val="24"/>
        </w:rPr>
        <w:t>= Cash Effective Tax rates,</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BS= Board Size and</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INDEPB= percentage of independent directors on the board</w:t>
      </w:r>
    </w:p>
    <w:p w:rsidR="001B6052" w:rsidRPr="0091374D" w:rsidRDefault="001B6052" w:rsidP="001B6052">
      <w:pPr>
        <w:pStyle w:val="NoSpacing"/>
        <w:spacing w:line="360" w:lineRule="auto"/>
        <w:jc w:val="both"/>
        <w:rPr>
          <w:rFonts w:ascii="Times New Roman" w:hAnsi="Times New Roman" w:cs="Times New Roman"/>
          <w:b/>
          <w:sz w:val="24"/>
          <w:szCs w:val="24"/>
        </w:rPr>
      </w:pPr>
    </w:p>
    <w:p w:rsidR="001B6052" w:rsidRPr="0091374D" w:rsidRDefault="001B6052" w:rsidP="001B6052">
      <w:pPr>
        <w:pStyle w:val="NoSpacing"/>
        <w:spacing w:line="360" w:lineRule="auto"/>
        <w:jc w:val="both"/>
        <w:rPr>
          <w:rFonts w:ascii="Times New Roman" w:eastAsia="Times New Roman" w:hAnsi="Times New Roman" w:cs="Times New Roman"/>
          <w:b/>
          <w:sz w:val="26"/>
          <w:szCs w:val="24"/>
        </w:rPr>
      </w:pPr>
      <w:r w:rsidRPr="0091374D">
        <w:rPr>
          <w:rFonts w:ascii="Times New Roman" w:hAnsi="Times New Roman" w:cs="Times New Roman"/>
          <w:b/>
          <w:sz w:val="26"/>
          <w:szCs w:val="24"/>
        </w:rPr>
        <w:t>6. Findings and Analysis</w:t>
      </w:r>
    </w:p>
    <w:p w:rsidR="001B6052" w:rsidRPr="0091374D" w:rsidRDefault="001B6052" w:rsidP="001B6052">
      <w:pPr>
        <w:pStyle w:val="NoSpacing"/>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t>6.1 Correlation Analysis</w:t>
      </w:r>
    </w:p>
    <w:p w:rsidR="001B6052" w:rsidRPr="0091374D" w:rsidRDefault="001B6052" w:rsidP="001B6052">
      <w:pPr>
        <w:pStyle w:val="NoSpacing"/>
        <w:spacing w:line="360" w:lineRule="auto"/>
        <w:jc w:val="both"/>
        <w:rPr>
          <w:rFonts w:ascii="Times New Roman" w:eastAsia="Times New Roman" w:hAnsi="Times New Roman" w:cs="Times New Roman"/>
          <w:color w:val="000000"/>
          <w:sz w:val="24"/>
          <w:szCs w:val="24"/>
        </w:rPr>
      </w:pPr>
      <w:r w:rsidRPr="0091374D">
        <w:rPr>
          <w:rFonts w:ascii="Times New Roman" w:hAnsi="Times New Roman" w:cs="Times New Roman"/>
          <w:sz w:val="24"/>
          <w:szCs w:val="24"/>
        </w:rPr>
        <w:t>The table-1 in Appendix-A illustrates the correlations between the dependent variable GAAP ETRs and the independent variables. No strong correlation can be found between GAAPETRs and the independent variables. None of the correlation coefficient exceeds 0.5 but Return on assets (ROA), Earning before tax (EBT) and age of the firm (AGE) have a moderately positive association with GAAP ETR. Additionally, there are few robust associations among the independent variables unlike EBT which has strong positive correlations with ROA (r= 0</w:t>
      </w:r>
      <w:r w:rsidRPr="0091374D">
        <w:rPr>
          <w:rFonts w:ascii="Times New Roman" w:hAnsi="Times New Roman" w:cs="Times New Roman"/>
          <w:color w:val="000000"/>
          <w:sz w:val="24"/>
          <w:szCs w:val="24"/>
        </w:rPr>
        <w:t xml:space="preserve">.667) </w:t>
      </w:r>
      <w:r w:rsidRPr="0091374D">
        <w:rPr>
          <w:rFonts w:ascii="Times New Roman" w:hAnsi="Times New Roman" w:cs="Times New Roman"/>
          <w:sz w:val="24"/>
          <w:szCs w:val="24"/>
        </w:rPr>
        <w:t>and Size (r=</w:t>
      </w:r>
      <w:r w:rsidRPr="0091374D">
        <w:rPr>
          <w:rFonts w:ascii="Times New Roman" w:hAnsi="Times New Roman" w:cs="Times New Roman"/>
          <w:color w:val="000000"/>
          <w:sz w:val="24"/>
          <w:szCs w:val="24"/>
        </w:rPr>
        <w:t xml:space="preserve">.969). With regards to the second model, none of the variables have a strong relationship with CASH ETR. Both the percentage of independent directors (INDEPB) and board size (BS) share a moderately negative association with the CASHETR. </w:t>
      </w:r>
    </w:p>
    <w:p w:rsidR="001B6052" w:rsidRPr="0091374D" w:rsidRDefault="001B6052" w:rsidP="001B6052">
      <w:pPr>
        <w:pStyle w:val="NoSpacing"/>
        <w:spacing w:line="360" w:lineRule="auto"/>
        <w:jc w:val="both"/>
        <w:rPr>
          <w:rFonts w:ascii="Times New Roman" w:eastAsia="Times New Roman" w:hAnsi="Times New Roman" w:cs="Times New Roman"/>
          <w:b/>
          <w:color w:val="000000"/>
          <w:sz w:val="24"/>
          <w:szCs w:val="24"/>
        </w:rPr>
      </w:pPr>
      <w:r w:rsidRPr="0091374D">
        <w:rPr>
          <w:rFonts w:ascii="Times New Roman" w:hAnsi="Times New Roman" w:cs="Times New Roman"/>
          <w:b/>
          <w:color w:val="000000"/>
          <w:sz w:val="24"/>
          <w:szCs w:val="24"/>
        </w:rPr>
        <w:t>6.2</w:t>
      </w:r>
      <w:r w:rsidRPr="0091374D">
        <w:rPr>
          <w:rFonts w:ascii="Times New Roman" w:hAnsi="Times New Roman" w:cs="Times New Roman"/>
          <w:b/>
          <w:color w:val="000000" w:themeColor="text1"/>
          <w:sz w:val="24"/>
          <w:szCs w:val="24"/>
        </w:rPr>
        <w:t xml:space="preserve"> The Model Summary</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color w:val="000000"/>
          <w:sz w:val="24"/>
          <w:szCs w:val="24"/>
        </w:rPr>
        <w:t xml:space="preserve">The Appendix-A presents the fitness of both the models in table-2. Model-I has an R-value of 0.857, while the adjusted R-square value is 0.647. This means that </w:t>
      </w:r>
      <w:r w:rsidRPr="0091374D">
        <w:rPr>
          <w:rFonts w:ascii="Times New Roman" w:hAnsi="Times New Roman" w:cs="Times New Roman"/>
          <w:sz w:val="24"/>
          <w:szCs w:val="24"/>
        </w:rPr>
        <w:t>approximately 65 percent of the variance in GAAP effective tax rate is explained by the predictor variables (ROA, SIZE, EBT, BS and AGE) of the model.</w:t>
      </w:r>
      <w:r w:rsidRPr="0091374D">
        <w:rPr>
          <w:rFonts w:ascii="Times New Roman" w:hAnsi="Times New Roman" w:cs="Times New Roman"/>
          <w:color w:val="000000"/>
          <w:sz w:val="24"/>
          <w:szCs w:val="24"/>
        </w:rPr>
        <w:t xml:space="preserve"> While the model-II has an R-value of 0.579 and the adjusted R-square value is 0.262, displays that the board size (BS) and the percentage of independent directors (INDEPB) are responsible for around 26 percent of the deviation in CASHETR.</w:t>
      </w:r>
    </w:p>
    <w:p w:rsidR="001B6052" w:rsidRPr="0091374D" w:rsidRDefault="001B6052" w:rsidP="001B6052">
      <w:pPr>
        <w:spacing w:line="360" w:lineRule="auto"/>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As table-3 in Appendix-A shows, the GAAP ETR model has the F-value of 8.326 and the P-value of 0.001. Moreover, the table also presents the F-value and P-value for the CASH ETR model which is 4.541 and 0.025 respectively. Since the P-values of the F-Test for both the models is very lower than the alpha level of 0.05, it can be concluded that the P-values of  both the tests are statistically significant. Thus, it can be said that ROA, SIZE, EBT, BS and </w:t>
      </w:r>
      <w:r w:rsidRPr="0091374D">
        <w:rPr>
          <w:rFonts w:ascii="Times New Roman" w:hAnsi="Times New Roman" w:cs="Times New Roman"/>
          <w:sz w:val="24"/>
          <w:szCs w:val="24"/>
        </w:rPr>
        <w:lastRenderedPageBreak/>
        <w:t>AGE consistently predict the GAAP effective tax rates while governance variables (BS and INDEPB) reliably forecasts the CASH effective tax rates.</w:t>
      </w:r>
    </w:p>
    <w:p w:rsidR="001B6052" w:rsidRPr="0091374D" w:rsidRDefault="001B6052" w:rsidP="001B6052">
      <w:pPr>
        <w:spacing w:line="360" w:lineRule="auto"/>
        <w:jc w:val="both"/>
        <w:rPr>
          <w:rFonts w:ascii="Times New Roman" w:eastAsia="Times New Roman" w:hAnsi="Times New Roman" w:cs="Times New Roman"/>
          <w:b/>
          <w:sz w:val="24"/>
          <w:szCs w:val="24"/>
        </w:rPr>
      </w:pPr>
      <w:r w:rsidRPr="0091374D">
        <w:rPr>
          <w:rFonts w:ascii="Times New Roman" w:hAnsi="Times New Roman" w:cs="Times New Roman"/>
          <w:b/>
          <w:sz w:val="24"/>
          <w:szCs w:val="24"/>
        </w:rPr>
        <w:t>6.3 Hypotheses Analysis</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sz w:val="24"/>
          <w:szCs w:val="24"/>
        </w:rPr>
        <w:t>According to the table-4 in Appendix-A, “</w:t>
      </w:r>
      <w:r w:rsidRPr="0091374D">
        <w:rPr>
          <w:rFonts w:ascii="Times New Roman" w:hAnsi="Times New Roman" w:cs="Times New Roman"/>
          <w:i/>
          <w:sz w:val="24"/>
          <w:szCs w:val="24"/>
        </w:rPr>
        <w:t>Hypothesis (H</w:t>
      </w:r>
      <w:r w:rsidRPr="0091374D">
        <w:rPr>
          <w:rFonts w:ascii="Times New Roman" w:hAnsi="Times New Roman" w:cs="Times New Roman"/>
          <w:i/>
          <w:sz w:val="24"/>
          <w:szCs w:val="24"/>
          <w:vertAlign w:val="subscript"/>
        </w:rPr>
        <w:t>1</w:t>
      </w:r>
      <w:r w:rsidRPr="0091374D">
        <w:rPr>
          <w:rFonts w:ascii="Times New Roman" w:hAnsi="Times New Roman" w:cs="Times New Roman"/>
          <w:i/>
          <w:sz w:val="24"/>
          <w:szCs w:val="24"/>
        </w:rPr>
        <w:t xml:space="preserve">): Firms which have higher ROAs will have higher GAAP ETRs” </w:t>
      </w:r>
      <w:r w:rsidRPr="0091374D">
        <w:rPr>
          <w:rFonts w:ascii="Times New Roman" w:hAnsi="Times New Roman" w:cs="Times New Roman"/>
          <w:sz w:val="24"/>
          <w:szCs w:val="24"/>
        </w:rPr>
        <w:t>can be rejected, because the P-value of ROA is (</w:t>
      </w:r>
      <w:r w:rsidRPr="0091374D">
        <w:rPr>
          <w:rFonts w:ascii="Times New Roman" w:hAnsi="Times New Roman" w:cs="Times New Roman"/>
          <w:color w:val="000000"/>
          <w:sz w:val="24"/>
          <w:szCs w:val="24"/>
        </w:rPr>
        <w:t>.309</w:t>
      </w:r>
      <w:r w:rsidRPr="0091374D">
        <w:rPr>
          <w:rFonts w:ascii="Times New Roman" w:hAnsi="Times New Roman" w:cs="Times New Roman"/>
          <w:sz w:val="24"/>
          <w:szCs w:val="24"/>
        </w:rPr>
        <w:t xml:space="preserve">) which is more than the standard (α =0.05), hence it can be said that there is no significant relationship between GAAP ETR and ROA. Although ROA individually doesn’t </w:t>
      </w:r>
      <w:r w:rsidRPr="0091374D">
        <w:rPr>
          <w:rFonts w:ascii="Times New Roman" w:hAnsi="Times New Roman" w:cs="Times New Roman"/>
          <w:color w:val="000000" w:themeColor="text1"/>
          <w:sz w:val="24"/>
          <w:szCs w:val="24"/>
        </w:rPr>
        <w:t>influence</w:t>
      </w:r>
      <w:r w:rsidRPr="0091374D">
        <w:rPr>
          <w:rFonts w:ascii="Times New Roman" w:hAnsi="Times New Roman" w:cs="Times New Roman"/>
          <w:sz w:val="24"/>
          <w:szCs w:val="24"/>
        </w:rPr>
        <w:t xml:space="preserve"> the GAAP effective tax rates, it is significant when included with other independent variables in model-I. Researchers have mainly included Return on Assets (ROA) </w:t>
      </w:r>
      <w:r w:rsidRPr="0091374D">
        <w:rPr>
          <w:rFonts w:ascii="Times New Roman" w:hAnsi="Times New Roman" w:cs="Times New Roman"/>
          <w:color w:val="000000" w:themeColor="text1"/>
          <w:sz w:val="24"/>
          <w:szCs w:val="24"/>
        </w:rPr>
        <w:t>as an economic variable of</w:t>
      </w:r>
      <w:r w:rsidRPr="0091374D">
        <w:rPr>
          <w:rFonts w:ascii="Times New Roman" w:hAnsi="Times New Roman" w:cs="Times New Roman"/>
          <w:sz w:val="24"/>
          <w:szCs w:val="24"/>
        </w:rPr>
        <w:t xml:space="preserve"> the companies (Armstrong et.al, 2012; </w:t>
      </w:r>
      <w:proofErr w:type="spellStart"/>
      <w:r w:rsidRPr="0091374D">
        <w:rPr>
          <w:rFonts w:ascii="Times New Roman" w:hAnsi="Times New Roman" w:cs="Times New Roman"/>
          <w:sz w:val="24"/>
          <w:szCs w:val="24"/>
        </w:rPr>
        <w:t>Dyreng</w:t>
      </w:r>
      <w:proofErr w:type="spellEnd"/>
      <w:r w:rsidRPr="0091374D">
        <w:rPr>
          <w:rFonts w:ascii="Times New Roman" w:hAnsi="Times New Roman" w:cs="Times New Roman"/>
          <w:sz w:val="24"/>
          <w:szCs w:val="24"/>
        </w:rPr>
        <w:t xml:space="preserve"> et al. 2008). Conversely, the size of the firm (SIZE, EBT, BS and AGE) impacts tax management, as they have P-values below (α =0.05) such as (0.013, 0.015, 0.008 and 0.009) respectively. The hypotheses related to the CASHETR model also show significance, as the P-values of BS and INDEPB (0.029 and 0.018) do not surpass (α =0.05) and they are relevant for shaping the company’s CASHETR. </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i/>
          <w:sz w:val="24"/>
          <w:szCs w:val="24"/>
        </w:rPr>
        <w:t xml:space="preserve">“Hypothesis </w:t>
      </w:r>
      <w:r w:rsidRPr="0091374D">
        <w:rPr>
          <w:rFonts w:ascii="Times New Roman" w:hAnsi="Times New Roman" w:cs="Times New Roman"/>
          <w:sz w:val="24"/>
          <w:szCs w:val="24"/>
        </w:rPr>
        <w:t>(</w:t>
      </w: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2</w:t>
      </w:r>
      <w:r w:rsidRPr="0091374D">
        <w:rPr>
          <w:rFonts w:ascii="Times New Roman" w:hAnsi="Times New Roman" w:cs="Times New Roman"/>
          <w:i/>
          <w:sz w:val="24"/>
          <w:szCs w:val="24"/>
        </w:rPr>
        <w:t>): Firms which are larger in size will have smaller GAAP ETRs”</w:t>
      </w:r>
      <w:r w:rsidRPr="0091374D">
        <w:rPr>
          <w:rFonts w:ascii="Times New Roman" w:eastAsia="Times New Roman" w:hAnsi="Times New Roman" w:cs="Times New Roman"/>
          <w:i/>
          <w:sz w:val="24"/>
          <w:szCs w:val="24"/>
        </w:rPr>
        <w:t xml:space="preserve"> </w:t>
      </w:r>
      <w:r w:rsidRPr="0091374D">
        <w:rPr>
          <w:rFonts w:ascii="Times New Roman" w:hAnsi="Times New Roman" w:cs="Times New Roman"/>
          <w:sz w:val="24"/>
          <w:szCs w:val="24"/>
        </w:rPr>
        <w:t>is accepted. It is consistent with literature (</w:t>
      </w:r>
      <w:proofErr w:type="spellStart"/>
      <w:r w:rsidRPr="0091374D">
        <w:rPr>
          <w:rFonts w:ascii="Times New Roman" w:hAnsi="Times New Roman" w:cs="Times New Roman"/>
          <w:sz w:val="24"/>
          <w:szCs w:val="24"/>
        </w:rPr>
        <w:t>Dyreng</w:t>
      </w:r>
      <w:proofErr w:type="spellEnd"/>
      <w:r w:rsidRPr="0091374D">
        <w:rPr>
          <w:rFonts w:ascii="Times New Roman" w:hAnsi="Times New Roman" w:cs="Times New Roman"/>
          <w:sz w:val="24"/>
          <w:szCs w:val="24"/>
        </w:rPr>
        <w:t xml:space="preserve"> et al. 2008) which investigated the association of the firm’s size with the ETR. This means that big companies are more involved in formulating tax strategies.</w:t>
      </w:r>
      <w:r w:rsidRPr="0091374D">
        <w:rPr>
          <w:rFonts w:ascii="Times New Roman" w:hAnsi="Times New Roman" w:cs="Times New Roman"/>
          <w:i/>
          <w:sz w:val="24"/>
          <w:szCs w:val="24"/>
        </w:rPr>
        <w:t xml:space="preserve"> “Hypothesis (H</w:t>
      </w:r>
      <w:r w:rsidRPr="0091374D">
        <w:rPr>
          <w:rFonts w:ascii="Times New Roman" w:hAnsi="Times New Roman" w:cs="Times New Roman"/>
          <w:i/>
          <w:sz w:val="24"/>
          <w:szCs w:val="24"/>
          <w:vertAlign w:val="subscript"/>
        </w:rPr>
        <w:t>3</w:t>
      </w:r>
      <w:r w:rsidRPr="0091374D">
        <w:rPr>
          <w:rFonts w:ascii="Times New Roman" w:hAnsi="Times New Roman" w:cs="Times New Roman"/>
          <w:i/>
          <w:sz w:val="24"/>
          <w:szCs w:val="24"/>
        </w:rPr>
        <w:t>): Firms with higher earnings will have larger GAAP ETRS”</w:t>
      </w:r>
      <w:r w:rsidRPr="0091374D">
        <w:rPr>
          <w:rFonts w:ascii="Times New Roman" w:hAnsi="Times New Roman" w:cs="Times New Roman"/>
          <w:sz w:val="24"/>
          <w:szCs w:val="24"/>
        </w:rPr>
        <w:t xml:space="preserve"> applies naturally , it is logical for companies to have higher effective tax rates if the pretax income soars as tax expense will only climb when the earnings before tax augments   (Minnick and </w:t>
      </w:r>
      <w:proofErr w:type="spellStart"/>
      <w:r w:rsidRPr="0091374D">
        <w:rPr>
          <w:rFonts w:ascii="Times New Roman" w:hAnsi="Times New Roman" w:cs="Times New Roman"/>
          <w:sz w:val="24"/>
          <w:szCs w:val="24"/>
        </w:rPr>
        <w:t>Noga</w:t>
      </w:r>
      <w:proofErr w:type="spellEnd"/>
      <w:r w:rsidRPr="0091374D">
        <w:rPr>
          <w:rFonts w:ascii="Times New Roman" w:hAnsi="Times New Roman" w:cs="Times New Roman"/>
          <w:sz w:val="24"/>
          <w:szCs w:val="24"/>
        </w:rPr>
        <w:t>, 2010). Both “</w:t>
      </w:r>
      <w:r w:rsidRPr="0091374D">
        <w:rPr>
          <w:rFonts w:ascii="Times New Roman" w:hAnsi="Times New Roman" w:cs="Times New Roman"/>
          <w:i/>
          <w:sz w:val="24"/>
          <w:szCs w:val="24"/>
        </w:rPr>
        <w:t>Hypothesis (H</w:t>
      </w:r>
      <w:r w:rsidRPr="0091374D">
        <w:rPr>
          <w:rFonts w:ascii="Times New Roman" w:hAnsi="Times New Roman" w:cs="Times New Roman"/>
          <w:i/>
          <w:sz w:val="24"/>
          <w:szCs w:val="24"/>
          <w:vertAlign w:val="subscript"/>
        </w:rPr>
        <w:t>4</w:t>
      </w:r>
      <w:r w:rsidRPr="0091374D">
        <w:rPr>
          <w:rFonts w:ascii="Times New Roman" w:hAnsi="Times New Roman" w:cs="Times New Roman"/>
          <w:i/>
          <w:sz w:val="24"/>
          <w:szCs w:val="24"/>
        </w:rPr>
        <w:t>): Firms with larger boards will have smaller GAAP ETRs” and “Hypothesis(H</w:t>
      </w:r>
      <w:r w:rsidRPr="0091374D">
        <w:rPr>
          <w:rFonts w:ascii="Times New Roman" w:hAnsi="Times New Roman" w:cs="Times New Roman"/>
          <w:i/>
          <w:sz w:val="24"/>
          <w:szCs w:val="24"/>
          <w:vertAlign w:val="subscript"/>
        </w:rPr>
        <w:t>5</w:t>
      </w:r>
      <w:r w:rsidRPr="0091374D">
        <w:rPr>
          <w:rFonts w:ascii="Times New Roman" w:hAnsi="Times New Roman" w:cs="Times New Roman"/>
          <w:i/>
          <w:sz w:val="24"/>
          <w:szCs w:val="24"/>
        </w:rPr>
        <w:t xml:space="preserve">): Firms with larger boards will have smaller CASH ETR” </w:t>
      </w:r>
      <w:r w:rsidRPr="0091374D">
        <w:rPr>
          <w:rFonts w:ascii="Times New Roman" w:hAnsi="Times New Roman" w:cs="Times New Roman"/>
          <w:sz w:val="24"/>
          <w:szCs w:val="24"/>
        </w:rPr>
        <w:t xml:space="preserve">is accepted as the number of company’s board members (BS) impacts both GAAP and CASH effective tax rates negatively with Beta values </w:t>
      </w:r>
      <w:r w:rsidRPr="0091374D">
        <w:rPr>
          <w:rFonts w:ascii="Times New Roman" w:hAnsi="Times New Roman" w:cs="Times New Roman"/>
          <w:color w:val="000000"/>
          <w:sz w:val="24"/>
          <w:szCs w:val="24"/>
        </w:rPr>
        <w:t>-.010 and -.023 correspondingly</w:t>
      </w:r>
      <w:r w:rsidRPr="0091374D">
        <w:rPr>
          <w:rFonts w:ascii="Times New Roman" w:hAnsi="Times New Roman" w:cs="Times New Roman"/>
          <w:sz w:val="24"/>
          <w:szCs w:val="24"/>
        </w:rPr>
        <w:t xml:space="preserve">. Thus, the theory that larger boards give rise to agency problems is proven. Whereas, small boards with more independent directors tend to have higher effective tax rates. Larger boards are </w:t>
      </w:r>
      <w:r w:rsidRPr="0091374D">
        <w:rPr>
          <w:rFonts w:ascii="Times New Roman" w:hAnsi="Times New Roman" w:cs="Times New Roman"/>
          <w:color w:val="000000" w:themeColor="text1"/>
          <w:sz w:val="24"/>
          <w:szCs w:val="24"/>
        </w:rPr>
        <w:t>interested in</w:t>
      </w:r>
      <w:r w:rsidRPr="0091374D">
        <w:rPr>
          <w:rFonts w:ascii="Times New Roman" w:hAnsi="Times New Roman" w:cs="Times New Roman"/>
          <w:sz w:val="24"/>
          <w:szCs w:val="24"/>
        </w:rPr>
        <w:t xml:space="preserve"> maximizing the company’s performance by investing in tax planning strategies, thereby lowering taxes (Byrd and Hickman 1992; Core et al. 1999; </w:t>
      </w:r>
      <w:proofErr w:type="spellStart"/>
      <w:r w:rsidRPr="0091374D">
        <w:rPr>
          <w:rFonts w:ascii="Times New Roman" w:hAnsi="Times New Roman" w:cs="Times New Roman"/>
          <w:sz w:val="24"/>
          <w:szCs w:val="24"/>
        </w:rPr>
        <w:t>Hermalin</w:t>
      </w:r>
      <w:proofErr w:type="spellEnd"/>
      <w:r w:rsidRPr="0091374D">
        <w:rPr>
          <w:rFonts w:ascii="Times New Roman" w:hAnsi="Times New Roman" w:cs="Times New Roman"/>
          <w:sz w:val="24"/>
          <w:szCs w:val="24"/>
        </w:rPr>
        <w:t xml:space="preserve"> and </w:t>
      </w:r>
      <w:proofErr w:type="spellStart"/>
      <w:r w:rsidRPr="0091374D">
        <w:rPr>
          <w:rFonts w:ascii="Times New Roman" w:hAnsi="Times New Roman" w:cs="Times New Roman"/>
          <w:sz w:val="24"/>
          <w:szCs w:val="24"/>
        </w:rPr>
        <w:t>Weisbach</w:t>
      </w:r>
      <w:proofErr w:type="spellEnd"/>
      <w:r w:rsidRPr="0091374D">
        <w:rPr>
          <w:rFonts w:ascii="Times New Roman" w:hAnsi="Times New Roman" w:cs="Times New Roman"/>
          <w:sz w:val="24"/>
          <w:szCs w:val="24"/>
        </w:rPr>
        <w:t xml:space="preserve"> 1991; </w:t>
      </w:r>
      <w:proofErr w:type="spellStart"/>
      <w:r w:rsidRPr="0091374D">
        <w:rPr>
          <w:rFonts w:ascii="Times New Roman" w:hAnsi="Times New Roman" w:cs="Times New Roman"/>
          <w:sz w:val="24"/>
          <w:szCs w:val="24"/>
        </w:rPr>
        <w:t>Yermack</w:t>
      </w:r>
      <w:proofErr w:type="spellEnd"/>
      <w:r w:rsidRPr="0091374D">
        <w:rPr>
          <w:rFonts w:ascii="Times New Roman" w:hAnsi="Times New Roman" w:cs="Times New Roman"/>
          <w:sz w:val="24"/>
          <w:szCs w:val="24"/>
        </w:rPr>
        <w:t xml:space="preserve"> 1996). </w:t>
      </w:r>
    </w:p>
    <w:p w:rsidR="001B6052" w:rsidRPr="0091374D" w:rsidRDefault="001B6052" w:rsidP="001B6052">
      <w:pPr>
        <w:pStyle w:val="NoSpacing"/>
        <w:spacing w:line="360" w:lineRule="auto"/>
        <w:jc w:val="both"/>
        <w:rPr>
          <w:rFonts w:ascii="Times New Roman" w:eastAsia="Times New Roman" w:hAnsi="Times New Roman" w:cs="Times New Roman"/>
          <w:i/>
          <w:sz w:val="24"/>
          <w:szCs w:val="24"/>
        </w:rPr>
      </w:pPr>
      <w:r w:rsidRPr="0091374D">
        <w:rPr>
          <w:rFonts w:ascii="Times New Roman" w:hAnsi="Times New Roman" w:cs="Times New Roman"/>
          <w:sz w:val="24"/>
          <w:szCs w:val="24"/>
        </w:rPr>
        <w:t>“</w:t>
      </w:r>
      <w:r w:rsidRPr="0091374D">
        <w:rPr>
          <w:rFonts w:ascii="Times New Roman" w:hAnsi="Times New Roman" w:cs="Times New Roman"/>
          <w:i/>
          <w:sz w:val="24"/>
          <w:szCs w:val="24"/>
        </w:rPr>
        <w:t xml:space="preserve">Hypothesis </w:t>
      </w:r>
      <w:r w:rsidRPr="0091374D">
        <w:rPr>
          <w:rFonts w:ascii="Times New Roman" w:hAnsi="Times New Roman" w:cs="Times New Roman"/>
          <w:sz w:val="24"/>
          <w:szCs w:val="24"/>
        </w:rPr>
        <w:t>(</w:t>
      </w: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6</w:t>
      </w:r>
      <w:r w:rsidRPr="0091374D">
        <w:rPr>
          <w:rFonts w:ascii="Times New Roman" w:hAnsi="Times New Roman" w:cs="Times New Roman"/>
          <w:i/>
          <w:sz w:val="24"/>
          <w:szCs w:val="24"/>
        </w:rPr>
        <w:t>):  Firms which are older in age will have</w:t>
      </w:r>
      <w:r w:rsidRPr="0091374D">
        <w:rPr>
          <w:rFonts w:ascii="Times New Roman" w:hAnsi="Times New Roman" w:cs="Times New Roman"/>
          <w:i/>
          <w:color w:val="000000" w:themeColor="text1"/>
          <w:sz w:val="24"/>
          <w:szCs w:val="24"/>
        </w:rPr>
        <w:t xml:space="preserve"> larger</w:t>
      </w:r>
      <w:r w:rsidRPr="0091374D">
        <w:rPr>
          <w:rFonts w:ascii="Times New Roman" w:hAnsi="Times New Roman" w:cs="Times New Roman"/>
          <w:i/>
          <w:color w:val="FF0000"/>
          <w:sz w:val="24"/>
          <w:szCs w:val="24"/>
        </w:rPr>
        <w:t xml:space="preserve"> </w:t>
      </w:r>
      <w:r w:rsidRPr="0091374D">
        <w:rPr>
          <w:rFonts w:ascii="Times New Roman" w:hAnsi="Times New Roman" w:cs="Times New Roman"/>
          <w:i/>
          <w:sz w:val="24"/>
          <w:szCs w:val="24"/>
        </w:rPr>
        <w:t xml:space="preserve">GAAP ETRs” </w:t>
      </w:r>
      <w:r w:rsidRPr="0091374D">
        <w:rPr>
          <w:rFonts w:ascii="Times New Roman" w:hAnsi="Times New Roman" w:cs="Times New Roman"/>
          <w:sz w:val="24"/>
          <w:szCs w:val="24"/>
        </w:rPr>
        <w:t xml:space="preserve">is approved. Companies which have had only few years of operation may struggle to generate revenue and </w:t>
      </w:r>
      <w:r w:rsidRPr="0091374D">
        <w:rPr>
          <w:rFonts w:ascii="Times New Roman" w:hAnsi="Times New Roman" w:cs="Times New Roman"/>
          <w:color w:val="000000" w:themeColor="text1"/>
          <w:sz w:val="24"/>
          <w:szCs w:val="24"/>
        </w:rPr>
        <w:t xml:space="preserve">choose </w:t>
      </w:r>
      <w:r w:rsidRPr="0091374D">
        <w:rPr>
          <w:rFonts w:ascii="Times New Roman" w:hAnsi="Times New Roman" w:cs="Times New Roman"/>
          <w:sz w:val="24"/>
          <w:szCs w:val="24"/>
        </w:rPr>
        <w:t xml:space="preserve">strategies </w:t>
      </w:r>
      <w:r w:rsidRPr="0091374D">
        <w:rPr>
          <w:rFonts w:ascii="Times New Roman" w:hAnsi="Times New Roman" w:cs="Times New Roman"/>
          <w:color w:val="000000" w:themeColor="text1"/>
          <w:sz w:val="24"/>
          <w:szCs w:val="24"/>
        </w:rPr>
        <w:t>to shrink taxes</w:t>
      </w:r>
      <w:r w:rsidRPr="0091374D">
        <w:rPr>
          <w:rFonts w:ascii="Times New Roman" w:hAnsi="Times New Roman" w:cs="Times New Roman"/>
          <w:sz w:val="24"/>
          <w:szCs w:val="24"/>
        </w:rPr>
        <w:t xml:space="preserve"> to improve performance and boost profits (</w:t>
      </w:r>
      <w:proofErr w:type="spellStart"/>
      <w:r w:rsidRPr="0091374D">
        <w:rPr>
          <w:rFonts w:ascii="Times New Roman" w:hAnsi="Times New Roman" w:cs="Times New Roman"/>
          <w:sz w:val="24"/>
          <w:szCs w:val="24"/>
        </w:rPr>
        <w:t>Tedds</w:t>
      </w:r>
      <w:proofErr w:type="spellEnd"/>
      <w:r w:rsidRPr="0091374D">
        <w:rPr>
          <w:rFonts w:ascii="Times New Roman" w:hAnsi="Times New Roman" w:cs="Times New Roman"/>
          <w:sz w:val="24"/>
          <w:szCs w:val="24"/>
        </w:rPr>
        <w:t xml:space="preserve">, 2006). </w:t>
      </w:r>
      <w:r w:rsidRPr="0091374D">
        <w:rPr>
          <w:rFonts w:ascii="Times New Roman" w:hAnsi="Times New Roman" w:cs="Times New Roman"/>
          <w:i/>
          <w:sz w:val="24"/>
          <w:szCs w:val="24"/>
        </w:rPr>
        <w:t>“Hypothesis</w:t>
      </w:r>
      <w:r w:rsidRPr="0091374D">
        <w:rPr>
          <w:rFonts w:ascii="Times New Roman" w:hAnsi="Times New Roman" w:cs="Times New Roman"/>
          <w:sz w:val="24"/>
          <w:szCs w:val="24"/>
        </w:rPr>
        <w:t xml:space="preserve"> </w:t>
      </w:r>
      <w:r w:rsidRPr="0091374D">
        <w:rPr>
          <w:rFonts w:ascii="Times New Roman" w:hAnsi="Times New Roman" w:cs="Times New Roman"/>
          <w:i/>
          <w:sz w:val="24"/>
          <w:szCs w:val="24"/>
        </w:rPr>
        <w:t>H</w:t>
      </w:r>
      <w:r w:rsidRPr="0091374D">
        <w:rPr>
          <w:rFonts w:ascii="Times New Roman" w:hAnsi="Times New Roman" w:cs="Times New Roman"/>
          <w:i/>
          <w:sz w:val="24"/>
          <w:szCs w:val="24"/>
          <w:vertAlign w:val="subscript"/>
        </w:rPr>
        <w:t>7</w:t>
      </w:r>
      <w:r w:rsidRPr="0091374D">
        <w:rPr>
          <w:rFonts w:ascii="Times New Roman" w:hAnsi="Times New Roman" w:cs="Times New Roman"/>
          <w:i/>
          <w:sz w:val="24"/>
          <w:szCs w:val="24"/>
        </w:rPr>
        <w:t xml:space="preserve">: Firms with larger percentage of independent directors will have smaller </w:t>
      </w:r>
      <w:r w:rsidRPr="0091374D">
        <w:rPr>
          <w:rFonts w:ascii="Times New Roman" w:hAnsi="Times New Roman" w:cs="Times New Roman"/>
          <w:i/>
          <w:sz w:val="24"/>
          <w:szCs w:val="24"/>
        </w:rPr>
        <w:lastRenderedPageBreak/>
        <w:t xml:space="preserve">CASH ETRs” </w:t>
      </w:r>
      <w:r w:rsidRPr="0091374D">
        <w:rPr>
          <w:rFonts w:ascii="Times New Roman" w:hAnsi="Times New Roman" w:cs="Times New Roman"/>
          <w:sz w:val="24"/>
          <w:szCs w:val="24"/>
        </w:rPr>
        <w:t xml:space="preserve">is </w:t>
      </w:r>
      <w:r w:rsidRPr="0091374D">
        <w:rPr>
          <w:rFonts w:ascii="Times New Roman" w:hAnsi="Times New Roman" w:cs="Times New Roman"/>
          <w:color w:val="000000" w:themeColor="text1"/>
          <w:sz w:val="24"/>
          <w:szCs w:val="24"/>
        </w:rPr>
        <w:t xml:space="preserve">acknowledged </w:t>
      </w:r>
      <w:r w:rsidRPr="0091374D">
        <w:rPr>
          <w:rFonts w:ascii="Times New Roman" w:hAnsi="Times New Roman" w:cs="Times New Roman"/>
          <w:sz w:val="24"/>
          <w:szCs w:val="24"/>
        </w:rPr>
        <w:t xml:space="preserve">and consistent with (Desai and </w:t>
      </w:r>
      <w:proofErr w:type="spellStart"/>
      <w:r w:rsidRPr="0091374D">
        <w:rPr>
          <w:rFonts w:ascii="Times New Roman" w:hAnsi="Times New Roman" w:cs="Times New Roman"/>
          <w:sz w:val="24"/>
          <w:szCs w:val="24"/>
        </w:rPr>
        <w:t>Dharmapala</w:t>
      </w:r>
      <w:proofErr w:type="spellEnd"/>
      <w:r w:rsidRPr="0091374D">
        <w:rPr>
          <w:rFonts w:ascii="Times New Roman" w:hAnsi="Times New Roman" w:cs="Times New Roman"/>
          <w:sz w:val="24"/>
          <w:szCs w:val="24"/>
        </w:rPr>
        <w:t xml:space="preserve">, 2006), companies with more independent directors would be more interested in efficient allocation of the firm’s resources that would lower the possibilities of agency problems. On the other hand, Ryan and Wiggins (2004) indicates that independent directors are also awarded with stock options which are based on company’s performance. </w:t>
      </w:r>
    </w:p>
    <w:p w:rsidR="001B6052" w:rsidRPr="0091374D" w:rsidRDefault="001B6052" w:rsidP="001B6052">
      <w:pPr>
        <w:pStyle w:val="NoSpacing"/>
        <w:spacing w:line="360" w:lineRule="auto"/>
        <w:jc w:val="both"/>
        <w:rPr>
          <w:rFonts w:ascii="Times New Roman" w:eastAsia="Times New Roman" w:hAnsi="Times New Roman" w:cs="Times New Roman"/>
          <w:b/>
          <w:sz w:val="26"/>
          <w:szCs w:val="24"/>
        </w:rPr>
      </w:pPr>
      <w:r w:rsidRPr="0091374D">
        <w:rPr>
          <w:rFonts w:ascii="Times New Roman" w:hAnsi="Times New Roman" w:cs="Times New Roman"/>
          <w:b/>
          <w:sz w:val="26"/>
          <w:szCs w:val="24"/>
        </w:rPr>
        <w:t>7. Conclusion</w:t>
      </w:r>
    </w:p>
    <w:p w:rsidR="001B6052" w:rsidRPr="0091374D" w:rsidRDefault="001B6052" w:rsidP="001B6052">
      <w:pPr>
        <w:pStyle w:val="NoSpacing"/>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The study was initiated to explore the association between dependent tax variables (GAAP ETRs and CASH ETRs) with independent governance variables (BS, INDEPB) and firm specific factors (ROA, SIZE, EBT and AGE). It is found that small companies with few members of board avoid less tax and have higher effective tax rates both GAAP and CASH. When companies are small, they are usually in the growth stage and smaller boards are actively engaged in the operations of the business, which ultimately leads to enhanced performance and shareholder wealth (</w:t>
      </w:r>
      <w:proofErr w:type="spellStart"/>
      <w:r w:rsidRPr="0091374D">
        <w:rPr>
          <w:rFonts w:ascii="Times New Roman" w:hAnsi="Times New Roman" w:cs="Times New Roman"/>
          <w:sz w:val="24"/>
          <w:szCs w:val="24"/>
        </w:rPr>
        <w:t>Yermack</w:t>
      </w:r>
      <w:proofErr w:type="spellEnd"/>
      <w:r w:rsidRPr="0091374D">
        <w:rPr>
          <w:rFonts w:ascii="Times New Roman" w:hAnsi="Times New Roman" w:cs="Times New Roman"/>
          <w:sz w:val="24"/>
          <w:szCs w:val="24"/>
        </w:rPr>
        <w:t xml:space="preserve"> 1996; Jensen 1999). However, independent directors may be more willing to apply their industry experience to pursue aggressive tax practices as indicated by negative correlation of the percentage of independent directors with CASHETR. It could also be the case that independent directors desperately want to show augmented performance as their compensation packages are attached to the stock options. Lastly, established and older firms are less likely to avoid taxes, because it may want to stay away from unnecessary attention from media and perceives the risks of tax divergence to be higher.</w:t>
      </w:r>
    </w:p>
    <w:p w:rsidR="002015F1" w:rsidRDefault="002015F1" w:rsidP="001B6052">
      <w:pPr>
        <w:spacing w:after="200" w:line="360" w:lineRule="auto"/>
        <w:jc w:val="both"/>
        <w:rPr>
          <w:rFonts w:ascii="Times New Roman" w:eastAsia="Times New Roman" w:hAnsi="Times New Roman" w:cs="Times New Roman"/>
          <w:b/>
          <w:sz w:val="24"/>
          <w:szCs w:val="24"/>
        </w:rPr>
        <w:sectPr w:rsidR="002015F1" w:rsidSect="00AD76DE">
          <w:pgSz w:w="11907" w:h="16839" w:code="9"/>
          <w:pgMar w:top="1440" w:right="1440" w:bottom="1440" w:left="1440" w:header="720" w:footer="720" w:gutter="0"/>
          <w:cols w:space="720"/>
          <w:docGrid w:linePitch="360"/>
        </w:sectPr>
      </w:pPr>
    </w:p>
    <w:p w:rsidR="001B6052" w:rsidRPr="0091374D" w:rsidRDefault="001B6052" w:rsidP="001B6052">
      <w:pPr>
        <w:spacing w:after="0" w:line="360" w:lineRule="auto"/>
        <w:jc w:val="center"/>
        <w:rPr>
          <w:rFonts w:ascii="Times New Roman" w:eastAsia="Times New Roman" w:hAnsi="Times New Roman" w:cs="Times New Roman"/>
          <w:b/>
          <w:i/>
          <w:sz w:val="26"/>
          <w:szCs w:val="24"/>
        </w:rPr>
      </w:pPr>
      <w:r w:rsidRPr="0091374D">
        <w:rPr>
          <w:rFonts w:ascii="Times New Roman" w:eastAsia="Times New Roman" w:hAnsi="Times New Roman" w:cs="Times New Roman"/>
          <w:b/>
          <w:i/>
          <w:sz w:val="26"/>
          <w:szCs w:val="24"/>
        </w:rPr>
        <w:lastRenderedPageBreak/>
        <w:t>References</w:t>
      </w:r>
    </w:p>
    <w:p w:rsidR="001B6052" w:rsidRPr="0091374D" w:rsidRDefault="001B6052" w:rsidP="001B6052">
      <w:pPr>
        <w:spacing w:after="0" w:line="360" w:lineRule="auto"/>
        <w:jc w:val="center"/>
        <w:rPr>
          <w:rFonts w:ascii="Times New Roman" w:eastAsia="Times New Roman" w:hAnsi="Times New Roman" w:cs="Times New Roman"/>
          <w:b/>
          <w:sz w:val="26"/>
          <w:szCs w:val="24"/>
        </w:rPr>
      </w:pPr>
    </w:p>
    <w:p w:rsidR="001B6052" w:rsidRPr="0091374D" w:rsidRDefault="001B6052" w:rsidP="001B6052">
      <w:pPr>
        <w:pStyle w:val="NormalWeb"/>
        <w:spacing w:line="360" w:lineRule="auto"/>
        <w:ind w:left="720" w:hanging="720"/>
        <w:jc w:val="both"/>
      </w:pPr>
      <w:r w:rsidRPr="0091374D">
        <w:rPr>
          <w:rFonts w:eastAsia="Calibri"/>
        </w:rPr>
        <w:t xml:space="preserve">Armstrong, C. S., </w:t>
      </w:r>
      <w:proofErr w:type="spellStart"/>
      <w:r w:rsidRPr="0091374D">
        <w:rPr>
          <w:rFonts w:eastAsia="Calibri"/>
        </w:rPr>
        <w:t>Blouin</w:t>
      </w:r>
      <w:proofErr w:type="spellEnd"/>
      <w:r w:rsidRPr="0091374D">
        <w:rPr>
          <w:rFonts w:eastAsia="Calibri"/>
        </w:rPr>
        <w:t xml:space="preserve">, J. L., &amp; </w:t>
      </w:r>
      <w:proofErr w:type="spellStart"/>
      <w:r w:rsidRPr="0091374D">
        <w:rPr>
          <w:rFonts w:eastAsia="Calibri"/>
        </w:rPr>
        <w:t>Larcker</w:t>
      </w:r>
      <w:proofErr w:type="spellEnd"/>
      <w:r w:rsidRPr="0091374D">
        <w:rPr>
          <w:rFonts w:eastAsia="Calibri"/>
        </w:rPr>
        <w:t>, D. F</w:t>
      </w:r>
      <w:proofErr w:type="gramStart"/>
      <w:r w:rsidRPr="0091374D">
        <w:rPr>
          <w:rFonts w:eastAsia="Calibri"/>
        </w:rPr>
        <w:t>.(</w:t>
      </w:r>
      <w:proofErr w:type="gramEnd"/>
      <w:r w:rsidRPr="0091374D">
        <w:rPr>
          <w:rFonts w:eastAsia="Calibri"/>
        </w:rPr>
        <w:t xml:space="preserve">2012). </w:t>
      </w:r>
      <w:proofErr w:type="gramStart"/>
      <w:r w:rsidRPr="0091374D">
        <w:rPr>
          <w:rFonts w:eastAsia="Calibri"/>
        </w:rPr>
        <w:t>The incentives for tax planning.</w:t>
      </w:r>
      <w:proofErr w:type="gramEnd"/>
      <w:r w:rsidRPr="0091374D">
        <w:rPr>
          <w:rFonts w:eastAsia="Calibri"/>
        </w:rPr>
        <w:t xml:space="preserve"> </w:t>
      </w:r>
      <w:r w:rsidRPr="0091374D">
        <w:rPr>
          <w:rStyle w:val="Emphasis"/>
          <w:rFonts w:eastAsia="Calibri"/>
        </w:rPr>
        <w:t>Journal of Accounting and Economics</w:t>
      </w:r>
      <w:r w:rsidRPr="0091374D">
        <w:rPr>
          <w:rFonts w:eastAsia="Calibri"/>
        </w:rPr>
        <w:t xml:space="preserve">, </w:t>
      </w:r>
      <w:r w:rsidRPr="0091374D">
        <w:rPr>
          <w:rStyle w:val="Emphasis"/>
          <w:rFonts w:eastAsia="Calibri"/>
        </w:rPr>
        <w:t>53</w:t>
      </w:r>
      <w:r w:rsidRPr="0091374D">
        <w:rPr>
          <w:rFonts w:eastAsia="Calibri"/>
        </w:rPr>
        <w:t>(1-2), 391-411. doi:10.1016/j.jacceco.2011.04.001</w:t>
      </w:r>
    </w:p>
    <w:p w:rsidR="001B6052" w:rsidRPr="0091374D" w:rsidRDefault="001B6052" w:rsidP="001B6052">
      <w:pPr>
        <w:pStyle w:val="NormalWeb"/>
        <w:spacing w:line="360" w:lineRule="auto"/>
        <w:ind w:left="720" w:hanging="720"/>
        <w:jc w:val="both"/>
      </w:pPr>
      <w:proofErr w:type="gramStart"/>
      <w:r w:rsidRPr="0091374D">
        <w:rPr>
          <w:rFonts w:eastAsia="Calibri"/>
        </w:rPr>
        <w:t xml:space="preserve">Armstrong, C. S., </w:t>
      </w:r>
      <w:proofErr w:type="spellStart"/>
      <w:r w:rsidRPr="0091374D">
        <w:rPr>
          <w:rFonts w:eastAsia="Calibri"/>
        </w:rPr>
        <w:t>Blouin</w:t>
      </w:r>
      <w:proofErr w:type="spellEnd"/>
      <w:r w:rsidRPr="0091374D">
        <w:rPr>
          <w:rFonts w:eastAsia="Calibri"/>
        </w:rPr>
        <w:t xml:space="preserve">, J. L., </w:t>
      </w:r>
      <w:proofErr w:type="spellStart"/>
      <w:r w:rsidRPr="0091374D">
        <w:rPr>
          <w:rFonts w:eastAsia="Calibri"/>
        </w:rPr>
        <w:t>Jagolinzer</w:t>
      </w:r>
      <w:proofErr w:type="spellEnd"/>
      <w:r w:rsidRPr="0091374D">
        <w:rPr>
          <w:rFonts w:eastAsia="Calibri"/>
        </w:rPr>
        <w:t xml:space="preserve">, A. D., &amp; </w:t>
      </w:r>
      <w:proofErr w:type="spellStart"/>
      <w:r w:rsidRPr="0091374D">
        <w:rPr>
          <w:rFonts w:eastAsia="Calibri"/>
        </w:rPr>
        <w:t>Larcker</w:t>
      </w:r>
      <w:proofErr w:type="spellEnd"/>
      <w:r w:rsidRPr="0091374D">
        <w:rPr>
          <w:rFonts w:eastAsia="Calibri"/>
        </w:rPr>
        <w:t>, D. F. (2015).</w:t>
      </w:r>
      <w:proofErr w:type="gramEnd"/>
      <w:r w:rsidRPr="0091374D">
        <w:rPr>
          <w:rFonts w:eastAsia="Calibri"/>
        </w:rPr>
        <w:t xml:space="preserve"> </w:t>
      </w:r>
      <w:proofErr w:type="gramStart"/>
      <w:r w:rsidRPr="0091374D">
        <w:rPr>
          <w:rFonts w:eastAsia="Calibri"/>
        </w:rPr>
        <w:t>Corporate governance, incentives, and tax avoidance.</w:t>
      </w:r>
      <w:proofErr w:type="gramEnd"/>
      <w:r w:rsidRPr="0091374D">
        <w:rPr>
          <w:rFonts w:eastAsia="Calibri"/>
        </w:rPr>
        <w:t xml:space="preserve"> </w:t>
      </w:r>
      <w:r w:rsidRPr="0091374D">
        <w:rPr>
          <w:rStyle w:val="Emphasis"/>
          <w:rFonts w:eastAsia="Calibri"/>
        </w:rPr>
        <w:t>Journal of Accounting and Economics</w:t>
      </w:r>
      <w:r w:rsidRPr="0091374D">
        <w:rPr>
          <w:rFonts w:eastAsia="Calibri"/>
        </w:rPr>
        <w:t xml:space="preserve">, </w:t>
      </w:r>
      <w:r w:rsidRPr="0091374D">
        <w:rPr>
          <w:rStyle w:val="Emphasis"/>
          <w:rFonts w:eastAsia="Calibri"/>
        </w:rPr>
        <w:t>60</w:t>
      </w:r>
      <w:r w:rsidRPr="0091374D">
        <w:rPr>
          <w:rFonts w:eastAsia="Calibri"/>
        </w:rPr>
        <w:t>(1), 1-17. doi:10.1016/j.jacceco.2015.02.003</w:t>
      </w:r>
    </w:p>
    <w:p w:rsidR="001B6052" w:rsidRPr="0091374D" w:rsidRDefault="001B6052" w:rsidP="001B6052">
      <w:pPr>
        <w:pStyle w:val="NormalWeb"/>
        <w:spacing w:line="360" w:lineRule="auto"/>
        <w:ind w:left="720" w:hanging="720"/>
        <w:jc w:val="both"/>
      </w:pPr>
      <w:proofErr w:type="spellStart"/>
      <w:proofErr w:type="gramStart"/>
      <w:r w:rsidRPr="0091374D">
        <w:rPr>
          <w:rFonts w:eastAsia="Calibri"/>
        </w:rPr>
        <w:t>Balakrishnan</w:t>
      </w:r>
      <w:proofErr w:type="spellEnd"/>
      <w:r w:rsidRPr="0091374D">
        <w:rPr>
          <w:rFonts w:eastAsia="Calibri"/>
        </w:rPr>
        <w:t xml:space="preserve">, K., </w:t>
      </w:r>
      <w:proofErr w:type="spellStart"/>
      <w:r w:rsidRPr="0091374D">
        <w:rPr>
          <w:rFonts w:eastAsia="Calibri"/>
        </w:rPr>
        <w:t>Blouin</w:t>
      </w:r>
      <w:proofErr w:type="spellEnd"/>
      <w:r w:rsidRPr="0091374D">
        <w:rPr>
          <w:rFonts w:eastAsia="Calibri"/>
        </w:rPr>
        <w:t xml:space="preserve">, J. L., &amp; </w:t>
      </w:r>
      <w:proofErr w:type="spellStart"/>
      <w:r w:rsidRPr="0091374D">
        <w:rPr>
          <w:rFonts w:eastAsia="Calibri"/>
        </w:rPr>
        <w:t>Guay</w:t>
      </w:r>
      <w:proofErr w:type="spellEnd"/>
      <w:r w:rsidRPr="0091374D">
        <w:rPr>
          <w:rFonts w:eastAsia="Calibri"/>
        </w:rPr>
        <w:t>, W. R. (2011).</w:t>
      </w:r>
      <w:proofErr w:type="gramEnd"/>
      <w:r w:rsidRPr="0091374D">
        <w:rPr>
          <w:rFonts w:eastAsia="Calibri"/>
        </w:rPr>
        <w:t xml:space="preserve"> Does tax aggressiveness reduce financial reporting transparency? </w:t>
      </w:r>
      <w:proofErr w:type="gramStart"/>
      <w:r w:rsidRPr="0091374D">
        <w:rPr>
          <w:rStyle w:val="Emphasis"/>
          <w:rFonts w:eastAsia="Calibri"/>
        </w:rPr>
        <w:t>SSRN Electronic Journal</w:t>
      </w:r>
      <w:r w:rsidRPr="0091374D">
        <w:rPr>
          <w:rFonts w:eastAsia="Calibri"/>
        </w:rPr>
        <w:t>.</w:t>
      </w:r>
      <w:proofErr w:type="gramEnd"/>
      <w:r w:rsidRPr="0091374D">
        <w:rPr>
          <w:rFonts w:eastAsia="Calibri"/>
        </w:rPr>
        <w:t xml:space="preserve"> doi:10.2139/ssrn.1792783</w:t>
      </w:r>
    </w:p>
    <w:p w:rsidR="001B6052" w:rsidRPr="0091374D" w:rsidRDefault="001B6052" w:rsidP="001B6052">
      <w:pPr>
        <w:pStyle w:val="NormalWeb"/>
        <w:spacing w:line="360" w:lineRule="auto"/>
        <w:ind w:left="720" w:hanging="720"/>
        <w:jc w:val="both"/>
      </w:pPr>
      <w:proofErr w:type="spellStart"/>
      <w:proofErr w:type="gramStart"/>
      <w:r w:rsidRPr="0091374D">
        <w:rPr>
          <w:rFonts w:eastAsia="Calibri"/>
        </w:rPr>
        <w:t>Borokhovich</w:t>
      </w:r>
      <w:proofErr w:type="spellEnd"/>
      <w:r w:rsidRPr="0091374D">
        <w:rPr>
          <w:rFonts w:eastAsia="Calibri"/>
        </w:rPr>
        <w:t xml:space="preserve">, K. A., </w:t>
      </w:r>
      <w:proofErr w:type="spellStart"/>
      <w:r w:rsidRPr="0091374D">
        <w:rPr>
          <w:rFonts w:eastAsia="Calibri"/>
        </w:rPr>
        <w:t>Parrino</w:t>
      </w:r>
      <w:proofErr w:type="spellEnd"/>
      <w:r w:rsidRPr="0091374D">
        <w:rPr>
          <w:rFonts w:eastAsia="Calibri"/>
        </w:rPr>
        <w:t>, R., &amp; Trapani, T. (1996).</w:t>
      </w:r>
      <w:proofErr w:type="gramEnd"/>
      <w:r w:rsidRPr="0091374D">
        <w:rPr>
          <w:rFonts w:eastAsia="Calibri"/>
        </w:rPr>
        <w:t xml:space="preserve"> </w:t>
      </w:r>
      <w:proofErr w:type="gramStart"/>
      <w:r w:rsidRPr="0091374D">
        <w:rPr>
          <w:rFonts w:eastAsia="Calibri"/>
        </w:rPr>
        <w:t>Outside directors and CEO selection.</w:t>
      </w:r>
      <w:proofErr w:type="gramEnd"/>
      <w:r w:rsidRPr="0091374D">
        <w:rPr>
          <w:rFonts w:eastAsia="Calibri"/>
        </w:rPr>
        <w:t xml:space="preserve"> </w:t>
      </w:r>
      <w:proofErr w:type="gramStart"/>
      <w:r w:rsidRPr="0091374D">
        <w:rPr>
          <w:rStyle w:val="Emphasis"/>
          <w:rFonts w:eastAsia="Calibri"/>
        </w:rPr>
        <w:t>The Journal of Financial and Quantitative Analysis</w:t>
      </w:r>
      <w:r w:rsidRPr="0091374D">
        <w:rPr>
          <w:rFonts w:eastAsia="Calibri"/>
        </w:rPr>
        <w:t xml:space="preserve">, </w:t>
      </w:r>
      <w:r w:rsidRPr="0091374D">
        <w:rPr>
          <w:rStyle w:val="Emphasis"/>
          <w:rFonts w:eastAsia="Calibri"/>
        </w:rPr>
        <w:t>31</w:t>
      </w:r>
      <w:r w:rsidRPr="0091374D">
        <w:rPr>
          <w:rFonts w:eastAsia="Calibri"/>
        </w:rPr>
        <w:t>(3), 337.</w:t>
      </w:r>
      <w:proofErr w:type="gramEnd"/>
      <w:r w:rsidRPr="0091374D">
        <w:rPr>
          <w:rFonts w:eastAsia="Calibri"/>
        </w:rPr>
        <w:t xml:space="preserve"> </w:t>
      </w:r>
      <w:proofErr w:type="gramStart"/>
      <w:r w:rsidRPr="0091374D">
        <w:rPr>
          <w:rFonts w:eastAsia="Calibri"/>
        </w:rPr>
        <w:t>doi:</w:t>
      </w:r>
      <w:proofErr w:type="gramEnd"/>
      <w:r w:rsidRPr="0091374D">
        <w:rPr>
          <w:rFonts w:eastAsia="Calibri"/>
        </w:rPr>
        <w:t>10.2307/2331395</w:t>
      </w:r>
    </w:p>
    <w:p w:rsidR="001B6052" w:rsidRPr="0091374D" w:rsidRDefault="001B6052" w:rsidP="001B6052">
      <w:pPr>
        <w:pStyle w:val="NormalWeb"/>
        <w:spacing w:line="360" w:lineRule="auto"/>
        <w:ind w:left="720" w:hanging="720"/>
        <w:jc w:val="both"/>
      </w:pPr>
      <w:proofErr w:type="gramStart"/>
      <w:r w:rsidRPr="0091374D">
        <w:rPr>
          <w:rFonts w:eastAsia="Calibri"/>
        </w:rPr>
        <w:t>Byrd, J. W., &amp; Hickman, K. A. (1992).</w:t>
      </w:r>
      <w:proofErr w:type="gramEnd"/>
      <w:r w:rsidRPr="0091374D">
        <w:rPr>
          <w:rFonts w:eastAsia="Calibri"/>
        </w:rPr>
        <w:t xml:space="preserve"> Do outside directors monitor managers? </w:t>
      </w:r>
      <w:r w:rsidRPr="0091374D">
        <w:rPr>
          <w:rStyle w:val="Emphasis"/>
          <w:rFonts w:eastAsia="Calibri"/>
        </w:rPr>
        <w:t>Journal of Financial Economics</w:t>
      </w:r>
      <w:r w:rsidRPr="0091374D">
        <w:rPr>
          <w:rFonts w:eastAsia="Calibri"/>
        </w:rPr>
        <w:t xml:space="preserve">, </w:t>
      </w:r>
      <w:r w:rsidRPr="0091374D">
        <w:rPr>
          <w:rStyle w:val="Emphasis"/>
          <w:rFonts w:eastAsia="Calibri"/>
        </w:rPr>
        <w:t>32</w:t>
      </w:r>
      <w:r w:rsidRPr="0091374D">
        <w:rPr>
          <w:rFonts w:eastAsia="Calibri"/>
        </w:rPr>
        <w:t xml:space="preserve">(2), 195-221. </w:t>
      </w:r>
      <w:proofErr w:type="gramStart"/>
      <w:r w:rsidRPr="0091374D">
        <w:rPr>
          <w:rFonts w:eastAsia="Calibri"/>
        </w:rPr>
        <w:t>doi:</w:t>
      </w:r>
      <w:proofErr w:type="gramEnd"/>
      <w:r w:rsidRPr="0091374D">
        <w:rPr>
          <w:rFonts w:eastAsia="Calibri"/>
        </w:rPr>
        <w:t>10.1016/0304-405x(92)90018-s</w:t>
      </w:r>
    </w:p>
    <w:p w:rsidR="001B6052" w:rsidRPr="0091374D" w:rsidRDefault="001B6052" w:rsidP="001B6052">
      <w:pPr>
        <w:pStyle w:val="NormalWeb"/>
        <w:spacing w:line="360" w:lineRule="auto"/>
        <w:ind w:left="720" w:hanging="720"/>
        <w:jc w:val="both"/>
      </w:pPr>
      <w:proofErr w:type="gramStart"/>
      <w:r w:rsidRPr="0091374D">
        <w:rPr>
          <w:rFonts w:eastAsia="Calibri"/>
        </w:rPr>
        <w:t xml:space="preserve">Core, J. E., </w:t>
      </w:r>
      <w:proofErr w:type="spellStart"/>
      <w:r w:rsidRPr="0091374D">
        <w:rPr>
          <w:rFonts w:eastAsia="Calibri"/>
        </w:rPr>
        <w:t>Holthausen</w:t>
      </w:r>
      <w:proofErr w:type="spellEnd"/>
      <w:r w:rsidRPr="0091374D">
        <w:rPr>
          <w:rFonts w:eastAsia="Calibri"/>
        </w:rPr>
        <w:t xml:space="preserve">, R. W., &amp; </w:t>
      </w:r>
      <w:proofErr w:type="spellStart"/>
      <w:r w:rsidRPr="0091374D">
        <w:rPr>
          <w:rFonts w:eastAsia="Calibri"/>
        </w:rPr>
        <w:t>Larcker</w:t>
      </w:r>
      <w:proofErr w:type="spellEnd"/>
      <w:r w:rsidRPr="0091374D">
        <w:rPr>
          <w:rFonts w:eastAsia="Calibri"/>
        </w:rPr>
        <w:t>, D. F. (1999).</w:t>
      </w:r>
      <w:proofErr w:type="gramEnd"/>
      <w:r w:rsidRPr="0091374D">
        <w:rPr>
          <w:rFonts w:eastAsia="Calibri"/>
        </w:rPr>
        <w:t xml:space="preserve"> </w:t>
      </w:r>
      <w:proofErr w:type="gramStart"/>
      <w:r w:rsidRPr="0091374D">
        <w:rPr>
          <w:rFonts w:eastAsia="Calibri"/>
        </w:rPr>
        <w:t>Corporate governance, chief executive officer compensation, and firm performance.</w:t>
      </w:r>
      <w:proofErr w:type="gramEnd"/>
      <w:r w:rsidRPr="0091374D">
        <w:rPr>
          <w:rFonts w:eastAsia="Calibri"/>
        </w:rPr>
        <w:t xml:space="preserve"> </w:t>
      </w:r>
      <w:r w:rsidRPr="0091374D">
        <w:rPr>
          <w:rStyle w:val="Emphasis"/>
          <w:rFonts w:eastAsia="Calibri"/>
        </w:rPr>
        <w:t>Journal of Financial Economics</w:t>
      </w:r>
      <w:r w:rsidRPr="0091374D">
        <w:rPr>
          <w:rFonts w:eastAsia="Calibri"/>
        </w:rPr>
        <w:t xml:space="preserve">, </w:t>
      </w:r>
      <w:r w:rsidRPr="0091374D">
        <w:rPr>
          <w:rStyle w:val="Emphasis"/>
          <w:rFonts w:eastAsia="Calibri"/>
        </w:rPr>
        <w:t>51</w:t>
      </w:r>
      <w:r w:rsidRPr="0091374D">
        <w:rPr>
          <w:rFonts w:eastAsia="Calibri"/>
        </w:rPr>
        <w:t xml:space="preserve">(3), 371-406. </w:t>
      </w:r>
      <w:proofErr w:type="gramStart"/>
      <w:r w:rsidRPr="0091374D">
        <w:rPr>
          <w:rFonts w:eastAsia="Calibri"/>
        </w:rPr>
        <w:t>doi:</w:t>
      </w:r>
      <w:proofErr w:type="gramEnd"/>
      <w:r w:rsidRPr="0091374D">
        <w:rPr>
          <w:rFonts w:eastAsia="Calibri"/>
        </w:rPr>
        <w:t>10.1016/s0304-405x(98)00058-0</w:t>
      </w:r>
    </w:p>
    <w:p w:rsidR="001B6052" w:rsidRPr="0091374D" w:rsidRDefault="001B6052" w:rsidP="001B6052">
      <w:pPr>
        <w:pStyle w:val="NormalWeb"/>
        <w:spacing w:line="360" w:lineRule="auto"/>
        <w:ind w:left="720" w:hanging="720"/>
        <w:jc w:val="both"/>
      </w:pPr>
      <w:proofErr w:type="gramStart"/>
      <w:r w:rsidRPr="0091374D">
        <w:rPr>
          <w:rFonts w:eastAsia="Calibri"/>
        </w:rPr>
        <w:t xml:space="preserve">Desai, M. A., &amp; </w:t>
      </w:r>
      <w:proofErr w:type="spellStart"/>
      <w:r w:rsidRPr="0091374D">
        <w:rPr>
          <w:rFonts w:eastAsia="Calibri"/>
        </w:rPr>
        <w:t>Dharmapala</w:t>
      </w:r>
      <w:proofErr w:type="spellEnd"/>
      <w:r w:rsidRPr="0091374D">
        <w:rPr>
          <w:rFonts w:eastAsia="Calibri"/>
        </w:rPr>
        <w:t>, D. (2006).</w:t>
      </w:r>
      <w:proofErr w:type="gramEnd"/>
      <w:r w:rsidRPr="0091374D">
        <w:rPr>
          <w:rFonts w:eastAsia="Calibri"/>
        </w:rPr>
        <w:t xml:space="preserve"> </w:t>
      </w:r>
      <w:proofErr w:type="gramStart"/>
      <w:r w:rsidRPr="0091374D">
        <w:rPr>
          <w:rFonts w:eastAsia="Calibri"/>
        </w:rPr>
        <w:t>Corporate tax avoidance and high-powered incentives.</w:t>
      </w:r>
      <w:proofErr w:type="gramEnd"/>
      <w:r w:rsidRPr="0091374D">
        <w:rPr>
          <w:rFonts w:eastAsia="Calibri"/>
        </w:rPr>
        <w:t xml:space="preserve"> </w:t>
      </w:r>
      <w:r w:rsidRPr="0091374D">
        <w:rPr>
          <w:rStyle w:val="Emphasis"/>
          <w:rFonts w:eastAsia="Calibri"/>
        </w:rPr>
        <w:t>Journal of Financial Economics</w:t>
      </w:r>
      <w:r w:rsidRPr="0091374D">
        <w:rPr>
          <w:rFonts w:eastAsia="Calibri"/>
        </w:rPr>
        <w:t xml:space="preserve">, </w:t>
      </w:r>
      <w:r w:rsidRPr="0091374D">
        <w:rPr>
          <w:rStyle w:val="Emphasis"/>
          <w:rFonts w:eastAsia="Calibri"/>
        </w:rPr>
        <w:t>79</w:t>
      </w:r>
      <w:r w:rsidRPr="0091374D">
        <w:rPr>
          <w:rFonts w:eastAsia="Calibri"/>
        </w:rPr>
        <w:t>(1), 145-179. doi:10.1016/j.jfineco.2005.02.002</w:t>
      </w:r>
    </w:p>
    <w:p w:rsidR="001B6052" w:rsidRPr="0091374D" w:rsidRDefault="001B6052" w:rsidP="001B6052">
      <w:pPr>
        <w:pStyle w:val="NormalWeb"/>
        <w:spacing w:line="360" w:lineRule="auto"/>
        <w:ind w:left="720" w:hanging="720"/>
        <w:jc w:val="both"/>
      </w:pPr>
      <w:proofErr w:type="gramStart"/>
      <w:r w:rsidRPr="0091374D">
        <w:rPr>
          <w:rFonts w:eastAsia="Calibri"/>
        </w:rPr>
        <w:t xml:space="preserve">Desai, M., </w:t>
      </w:r>
      <w:proofErr w:type="spellStart"/>
      <w:r w:rsidRPr="0091374D">
        <w:rPr>
          <w:rFonts w:eastAsia="Calibri"/>
        </w:rPr>
        <w:t>Dyck</w:t>
      </w:r>
      <w:proofErr w:type="spellEnd"/>
      <w:r w:rsidRPr="0091374D">
        <w:rPr>
          <w:rFonts w:eastAsia="Calibri"/>
        </w:rPr>
        <w:t xml:space="preserve">, A., &amp; </w:t>
      </w:r>
      <w:proofErr w:type="spellStart"/>
      <w:r w:rsidRPr="0091374D">
        <w:rPr>
          <w:rFonts w:eastAsia="Calibri"/>
        </w:rPr>
        <w:t>Zingales</w:t>
      </w:r>
      <w:proofErr w:type="spellEnd"/>
      <w:r w:rsidRPr="0091374D">
        <w:rPr>
          <w:rFonts w:eastAsia="Calibri"/>
        </w:rPr>
        <w:t>, L. (2007).</w:t>
      </w:r>
      <w:proofErr w:type="gramEnd"/>
      <w:r w:rsidRPr="0091374D">
        <w:rPr>
          <w:rFonts w:eastAsia="Calibri"/>
        </w:rPr>
        <w:t xml:space="preserve"> </w:t>
      </w:r>
      <w:proofErr w:type="gramStart"/>
      <w:r w:rsidRPr="0091374D">
        <w:rPr>
          <w:rFonts w:eastAsia="Calibri"/>
        </w:rPr>
        <w:t>Theft and taxes.</w:t>
      </w:r>
      <w:proofErr w:type="gramEnd"/>
      <w:r w:rsidRPr="0091374D">
        <w:rPr>
          <w:rFonts w:eastAsia="Calibri"/>
        </w:rPr>
        <w:t xml:space="preserve"> </w:t>
      </w:r>
      <w:r w:rsidRPr="0091374D">
        <w:rPr>
          <w:rStyle w:val="Emphasis"/>
          <w:rFonts w:eastAsia="Calibri"/>
        </w:rPr>
        <w:t>Journal of Financial Economics</w:t>
      </w:r>
      <w:r w:rsidRPr="0091374D">
        <w:rPr>
          <w:rFonts w:eastAsia="Calibri"/>
        </w:rPr>
        <w:t xml:space="preserve">, </w:t>
      </w:r>
      <w:r w:rsidRPr="0091374D">
        <w:rPr>
          <w:rStyle w:val="Emphasis"/>
          <w:rFonts w:eastAsia="Calibri"/>
        </w:rPr>
        <w:t>84</w:t>
      </w:r>
      <w:r w:rsidRPr="0091374D">
        <w:rPr>
          <w:rFonts w:eastAsia="Calibri"/>
        </w:rPr>
        <w:t>(3), 591-623. doi:10.1016/j.jfineco.2006.05.005</w:t>
      </w:r>
    </w:p>
    <w:p w:rsidR="001B6052" w:rsidRPr="0091374D" w:rsidRDefault="001B6052" w:rsidP="001B6052">
      <w:pPr>
        <w:pStyle w:val="NormalWeb"/>
        <w:spacing w:line="360" w:lineRule="auto"/>
        <w:ind w:left="720" w:hanging="720"/>
        <w:jc w:val="both"/>
      </w:pPr>
      <w:proofErr w:type="spellStart"/>
      <w:proofErr w:type="gramStart"/>
      <w:r w:rsidRPr="0091374D">
        <w:rPr>
          <w:rFonts w:eastAsia="Calibri"/>
        </w:rPr>
        <w:t>Dyreng</w:t>
      </w:r>
      <w:proofErr w:type="spellEnd"/>
      <w:r w:rsidRPr="0091374D">
        <w:rPr>
          <w:rFonts w:eastAsia="Calibri"/>
        </w:rPr>
        <w:t>, S. D., Hanlon, M., &amp; Maydew, E. L. (2008).</w:t>
      </w:r>
      <w:proofErr w:type="gramEnd"/>
      <w:r w:rsidRPr="0091374D">
        <w:rPr>
          <w:rFonts w:eastAsia="Calibri"/>
        </w:rPr>
        <w:t xml:space="preserve"> </w:t>
      </w:r>
      <w:proofErr w:type="gramStart"/>
      <w:r w:rsidRPr="0091374D">
        <w:rPr>
          <w:rFonts w:eastAsia="Calibri"/>
        </w:rPr>
        <w:t>Long</w:t>
      </w:r>
      <w:r w:rsidRPr="0091374D">
        <w:rPr>
          <w:rFonts w:ascii="Cambria Math" w:eastAsia="Calibri" w:hAnsi="Cambria Math" w:cs="Cambria Math"/>
        </w:rPr>
        <w:t>‐</w:t>
      </w:r>
      <w:r w:rsidRPr="0091374D">
        <w:rPr>
          <w:rFonts w:eastAsia="Calibri"/>
        </w:rPr>
        <w:t>run corporate tax avoidance.</w:t>
      </w:r>
      <w:proofErr w:type="gramEnd"/>
      <w:r w:rsidRPr="0091374D">
        <w:rPr>
          <w:rFonts w:eastAsia="Calibri"/>
        </w:rPr>
        <w:t xml:space="preserve"> </w:t>
      </w:r>
      <w:r w:rsidRPr="0091374D">
        <w:rPr>
          <w:rStyle w:val="Emphasis"/>
          <w:rFonts w:eastAsia="Calibri"/>
        </w:rPr>
        <w:t>The Accounting Review</w:t>
      </w:r>
      <w:r w:rsidRPr="0091374D">
        <w:rPr>
          <w:rFonts w:eastAsia="Calibri"/>
        </w:rPr>
        <w:t xml:space="preserve">, </w:t>
      </w:r>
      <w:r w:rsidRPr="0091374D">
        <w:rPr>
          <w:rStyle w:val="Emphasis"/>
          <w:rFonts w:eastAsia="Calibri"/>
        </w:rPr>
        <w:t>83</w:t>
      </w:r>
      <w:r w:rsidRPr="0091374D">
        <w:rPr>
          <w:rFonts w:eastAsia="Calibri"/>
        </w:rPr>
        <w:t>(1), 61-82. doi:10.2308/accr.2008.83.1.61</w:t>
      </w:r>
    </w:p>
    <w:p w:rsidR="001B6052" w:rsidRPr="0091374D" w:rsidRDefault="001B6052" w:rsidP="001B6052">
      <w:pPr>
        <w:pStyle w:val="NormalWeb"/>
        <w:spacing w:line="360" w:lineRule="auto"/>
        <w:ind w:left="720" w:hanging="720"/>
        <w:jc w:val="both"/>
      </w:pPr>
      <w:proofErr w:type="spellStart"/>
      <w:proofErr w:type="gramStart"/>
      <w:r w:rsidRPr="0091374D">
        <w:rPr>
          <w:rFonts w:eastAsia="Calibri"/>
        </w:rPr>
        <w:t>Dyreng</w:t>
      </w:r>
      <w:proofErr w:type="spellEnd"/>
      <w:r w:rsidRPr="0091374D">
        <w:rPr>
          <w:rFonts w:eastAsia="Calibri"/>
        </w:rPr>
        <w:t>, S. D., &amp; Lindsey, B. P. (2009).</w:t>
      </w:r>
      <w:proofErr w:type="gramEnd"/>
      <w:r w:rsidRPr="0091374D">
        <w:rPr>
          <w:rFonts w:eastAsia="Calibri"/>
        </w:rPr>
        <w:t xml:space="preserve"> Using financial accounting data to examine the effect of foreign operations located in tax havens and other countries on U.S. multinational firms' tax rates. </w:t>
      </w:r>
      <w:r w:rsidRPr="0091374D">
        <w:rPr>
          <w:rStyle w:val="Emphasis"/>
          <w:rFonts w:eastAsia="Calibri"/>
        </w:rPr>
        <w:t>Journal of Accounting Research</w:t>
      </w:r>
      <w:r w:rsidRPr="0091374D">
        <w:rPr>
          <w:rFonts w:eastAsia="Calibri"/>
        </w:rPr>
        <w:t xml:space="preserve">, </w:t>
      </w:r>
      <w:r w:rsidRPr="0091374D">
        <w:rPr>
          <w:rStyle w:val="Emphasis"/>
          <w:rFonts w:eastAsia="Calibri"/>
        </w:rPr>
        <w:t>47</w:t>
      </w:r>
      <w:r w:rsidRPr="0091374D">
        <w:rPr>
          <w:rFonts w:eastAsia="Calibri"/>
        </w:rPr>
        <w:t>(5), 1283-1316. doi:10.1111/j.1475-679x.2009.00346.x</w:t>
      </w:r>
    </w:p>
    <w:p w:rsidR="001B6052" w:rsidRPr="0091374D" w:rsidRDefault="001B6052" w:rsidP="001B6052">
      <w:pPr>
        <w:pStyle w:val="NormalWeb"/>
        <w:spacing w:line="360" w:lineRule="auto"/>
        <w:ind w:left="720" w:hanging="720"/>
        <w:jc w:val="both"/>
      </w:pPr>
      <w:proofErr w:type="gramStart"/>
      <w:r w:rsidRPr="0091374D">
        <w:rPr>
          <w:rFonts w:eastAsia="Calibri"/>
        </w:rPr>
        <w:t xml:space="preserve">Hanlon, M., Mills, L. F., &amp; </w:t>
      </w:r>
      <w:proofErr w:type="spellStart"/>
      <w:r w:rsidRPr="0091374D">
        <w:rPr>
          <w:rFonts w:eastAsia="Calibri"/>
        </w:rPr>
        <w:t>Slemrod</w:t>
      </w:r>
      <w:proofErr w:type="spellEnd"/>
      <w:r w:rsidRPr="0091374D">
        <w:rPr>
          <w:rFonts w:eastAsia="Calibri"/>
        </w:rPr>
        <w:t>, J. B. (2005).</w:t>
      </w:r>
      <w:proofErr w:type="gramEnd"/>
      <w:r w:rsidRPr="0091374D">
        <w:rPr>
          <w:rFonts w:eastAsia="Calibri"/>
        </w:rPr>
        <w:t xml:space="preserve"> </w:t>
      </w:r>
      <w:proofErr w:type="gramStart"/>
      <w:r w:rsidRPr="0091374D">
        <w:rPr>
          <w:rFonts w:eastAsia="Calibri"/>
        </w:rPr>
        <w:t>An empirical examination of corporate tax non-compliance.</w:t>
      </w:r>
      <w:proofErr w:type="gramEnd"/>
      <w:r w:rsidRPr="0091374D">
        <w:rPr>
          <w:rFonts w:eastAsia="Calibri"/>
        </w:rPr>
        <w:t xml:space="preserve"> </w:t>
      </w:r>
      <w:proofErr w:type="gramStart"/>
      <w:r w:rsidRPr="0091374D">
        <w:rPr>
          <w:rStyle w:val="Emphasis"/>
          <w:rFonts w:eastAsia="Calibri"/>
        </w:rPr>
        <w:t>SSRN Electronic Journal</w:t>
      </w:r>
      <w:r w:rsidRPr="0091374D">
        <w:rPr>
          <w:rFonts w:eastAsia="Calibri"/>
        </w:rPr>
        <w:t>.</w:t>
      </w:r>
      <w:proofErr w:type="gramEnd"/>
      <w:r w:rsidRPr="0091374D">
        <w:rPr>
          <w:rFonts w:eastAsia="Calibri"/>
        </w:rPr>
        <w:t xml:space="preserve"> doi:10.2139/ssrn.891226</w:t>
      </w:r>
    </w:p>
    <w:p w:rsidR="001B6052" w:rsidRPr="0091374D" w:rsidRDefault="001B6052" w:rsidP="001B6052">
      <w:pPr>
        <w:pStyle w:val="NormalWeb"/>
        <w:spacing w:line="360" w:lineRule="auto"/>
        <w:ind w:left="720" w:hanging="720"/>
        <w:jc w:val="both"/>
      </w:pPr>
      <w:proofErr w:type="gramStart"/>
      <w:r w:rsidRPr="0091374D">
        <w:rPr>
          <w:rFonts w:eastAsia="Calibri"/>
        </w:rPr>
        <w:t xml:space="preserve">Hanlon, M., &amp; </w:t>
      </w:r>
      <w:proofErr w:type="spellStart"/>
      <w:r w:rsidRPr="0091374D">
        <w:rPr>
          <w:rFonts w:eastAsia="Calibri"/>
        </w:rPr>
        <w:t>Slemrod</w:t>
      </w:r>
      <w:proofErr w:type="spellEnd"/>
      <w:r w:rsidRPr="0091374D">
        <w:rPr>
          <w:rFonts w:eastAsia="Calibri"/>
        </w:rPr>
        <w:t>, J. B. (2007).</w:t>
      </w:r>
      <w:proofErr w:type="gramEnd"/>
      <w:r w:rsidRPr="0091374D">
        <w:rPr>
          <w:rFonts w:eastAsia="Calibri"/>
        </w:rPr>
        <w:t xml:space="preserve"> What does tax aggressiveness signal? </w:t>
      </w:r>
      <w:proofErr w:type="gramStart"/>
      <w:r w:rsidRPr="0091374D">
        <w:rPr>
          <w:rFonts w:eastAsia="Calibri"/>
        </w:rPr>
        <w:t>Evidence from stock price reactions to news about tax aggressiveness.</w:t>
      </w:r>
      <w:proofErr w:type="gramEnd"/>
      <w:r w:rsidRPr="0091374D">
        <w:rPr>
          <w:rFonts w:eastAsia="Calibri"/>
        </w:rPr>
        <w:t xml:space="preserve"> </w:t>
      </w:r>
      <w:proofErr w:type="gramStart"/>
      <w:r w:rsidRPr="0091374D">
        <w:rPr>
          <w:rStyle w:val="Emphasis"/>
          <w:rFonts w:eastAsia="Calibri"/>
        </w:rPr>
        <w:t>SSRN Electronic Journal</w:t>
      </w:r>
      <w:r w:rsidRPr="0091374D">
        <w:rPr>
          <w:rFonts w:eastAsia="Calibri"/>
        </w:rPr>
        <w:t>.</w:t>
      </w:r>
      <w:proofErr w:type="gramEnd"/>
      <w:r w:rsidRPr="0091374D">
        <w:rPr>
          <w:rFonts w:eastAsia="Calibri"/>
        </w:rPr>
        <w:t xml:space="preserve"> doi:10.2139/ssrn.975252</w:t>
      </w:r>
    </w:p>
    <w:p w:rsidR="001B6052" w:rsidRPr="0091374D" w:rsidRDefault="001B6052" w:rsidP="001B6052">
      <w:pPr>
        <w:pStyle w:val="NormalWeb"/>
        <w:spacing w:line="360" w:lineRule="auto"/>
        <w:ind w:left="720" w:hanging="720"/>
        <w:jc w:val="both"/>
      </w:pPr>
      <w:proofErr w:type="spellStart"/>
      <w:r w:rsidRPr="0091374D">
        <w:rPr>
          <w:rFonts w:eastAsia="Calibri"/>
        </w:rPr>
        <w:lastRenderedPageBreak/>
        <w:t>Hermalin</w:t>
      </w:r>
      <w:proofErr w:type="spellEnd"/>
      <w:r w:rsidRPr="0091374D">
        <w:rPr>
          <w:rFonts w:eastAsia="Calibri"/>
        </w:rPr>
        <w:t xml:space="preserve">, B. E., &amp; </w:t>
      </w:r>
      <w:proofErr w:type="spellStart"/>
      <w:r w:rsidRPr="0091374D">
        <w:rPr>
          <w:rFonts w:eastAsia="Calibri"/>
        </w:rPr>
        <w:t>Weisbach</w:t>
      </w:r>
      <w:proofErr w:type="spellEnd"/>
      <w:r w:rsidRPr="0091374D">
        <w:rPr>
          <w:rFonts w:eastAsia="Calibri"/>
        </w:rPr>
        <w:t xml:space="preserve">, M. S. (1991). </w:t>
      </w:r>
      <w:proofErr w:type="gramStart"/>
      <w:r w:rsidRPr="0091374D">
        <w:rPr>
          <w:rFonts w:eastAsia="Calibri"/>
        </w:rPr>
        <w:t>The effects of board composition and direct incentives on firm performance.</w:t>
      </w:r>
      <w:proofErr w:type="gramEnd"/>
      <w:r w:rsidRPr="0091374D">
        <w:rPr>
          <w:rFonts w:eastAsia="Calibri"/>
        </w:rPr>
        <w:t xml:space="preserve"> </w:t>
      </w:r>
      <w:proofErr w:type="gramStart"/>
      <w:r w:rsidRPr="0091374D">
        <w:rPr>
          <w:rStyle w:val="Emphasis"/>
          <w:rFonts w:eastAsia="Calibri"/>
        </w:rPr>
        <w:t>Financial Management</w:t>
      </w:r>
      <w:r w:rsidRPr="0091374D">
        <w:rPr>
          <w:rFonts w:eastAsia="Calibri"/>
        </w:rPr>
        <w:t xml:space="preserve">, </w:t>
      </w:r>
      <w:r w:rsidRPr="0091374D">
        <w:rPr>
          <w:rStyle w:val="Emphasis"/>
          <w:rFonts w:eastAsia="Calibri"/>
        </w:rPr>
        <w:t>20</w:t>
      </w:r>
      <w:r w:rsidRPr="0091374D">
        <w:rPr>
          <w:rFonts w:eastAsia="Calibri"/>
        </w:rPr>
        <w:t>(4), 101.</w:t>
      </w:r>
      <w:proofErr w:type="gramEnd"/>
      <w:r w:rsidRPr="0091374D">
        <w:rPr>
          <w:rFonts w:eastAsia="Calibri"/>
        </w:rPr>
        <w:t xml:space="preserve"> </w:t>
      </w:r>
      <w:proofErr w:type="gramStart"/>
      <w:r w:rsidRPr="0091374D">
        <w:rPr>
          <w:rFonts w:eastAsia="Calibri"/>
        </w:rPr>
        <w:t>doi:</w:t>
      </w:r>
      <w:proofErr w:type="gramEnd"/>
      <w:r w:rsidRPr="0091374D">
        <w:rPr>
          <w:rFonts w:eastAsia="Calibri"/>
        </w:rPr>
        <w:t>10.2307/3665716</w:t>
      </w:r>
    </w:p>
    <w:p w:rsidR="001B6052" w:rsidRPr="0091374D" w:rsidRDefault="001B6052" w:rsidP="001B6052">
      <w:pPr>
        <w:pStyle w:val="NoSpacing"/>
        <w:spacing w:line="360" w:lineRule="auto"/>
        <w:jc w:val="both"/>
        <w:rPr>
          <w:rFonts w:ascii="Times New Roman" w:eastAsia="Times New Roman" w:hAnsi="Times New Roman" w:cs="Times New Roman"/>
          <w:sz w:val="24"/>
          <w:szCs w:val="24"/>
        </w:rPr>
      </w:pPr>
      <w:proofErr w:type="spellStart"/>
      <w:r w:rsidRPr="0091374D">
        <w:rPr>
          <w:rFonts w:ascii="Times New Roman" w:hAnsi="Times New Roman" w:cs="Times New Roman"/>
          <w:sz w:val="24"/>
          <w:szCs w:val="24"/>
        </w:rPr>
        <w:t>Hossain</w:t>
      </w:r>
      <w:proofErr w:type="gramStart"/>
      <w:r w:rsidRPr="0091374D">
        <w:rPr>
          <w:rFonts w:ascii="Times New Roman" w:hAnsi="Times New Roman" w:cs="Times New Roman"/>
          <w:sz w:val="24"/>
          <w:szCs w:val="24"/>
        </w:rPr>
        <w:t>,M.I</w:t>
      </w:r>
      <w:proofErr w:type="spellEnd"/>
      <w:proofErr w:type="gramEnd"/>
      <w:r w:rsidRPr="0091374D">
        <w:rPr>
          <w:rFonts w:ascii="Times New Roman" w:hAnsi="Times New Roman" w:cs="Times New Roman"/>
          <w:sz w:val="24"/>
          <w:szCs w:val="24"/>
        </w:rPr>
        <w:t xml:space="preserve">.(2017). </w:t>
      </w:r>
      <w:proofErr w:type="gramStart"/>
      <w:r w:rsidRPr="0091374D">
        <w:rPr>
          <w:rFonts w:ascii="Times New Roman" w:hAnsi="Times New Roman" w:cs="Times New Roman"/>
          <w:sz w:val="24"/>
          <w:szCs w:val="24"/>
        </w:rPr>
        <w:t>Barriers to the effective tax collection in Bangladesh.</w:t>
      </w:r>
      <w:proofErr w:type="gramEnd"/>
      <w:r w:rsidRPr="0091374D">
        <w:rPr>
          <w:rFonts w:ascii="Times New Roman" w:hAnsi="Times New Roman" w:cs="Times New Roman"/>
          <w:sz w:val="24"/>
          <w:szCs w:val="24"/>
        </w:rPr>
        <w:t xml:space="preserve"> Second SANEM Annual Economist</w:t>
      </w:r>
    </w:p>
    <w:p w:rsidR="001B6052" w:rsidRPr="0091374D" w:rsidRDefault="001B6052" w:rsidP="001B6052">
      <w:pPr>
        <w:pStyle w:val="NoSpacing"/>
        <w:spacing w:line="360" w:lineRule="auto"/>
        <w:ind w:left="720"/>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Conference.Retrieved</w:t>
      </w:r>
      <w:proofErr w:type="spellEnd"/>
      <w:r w:rsidRPr="0091374D">
        <w:rPr>
          <w:rFonts w:ascii="Times New Roman" w:hAnsi="Times New Roman" w:cs="Times New Roman"/>
          <w:sz w:val="24"/>
          <w:szCs w:val="24"/>
        </w:rPr>
        <w:t xml:space="preserve"> from </w:t>
      </w:r>
      <w:r w:rsidRPr="0091374D">
        <w:rPr>
          <w:rFonts w:ascii="Times New Roman" w:eastAsia="NanumGothic" w:hAnsi="Times New Roman" w:cs="Times New Roman"/>
          <w:sz w:val="24"/>
          <w:szCs w:val="24"/>
        </w:rPr>
        <w:t>http://sanemnet.org/conference_2017/Presentation/Barriers%20to%20the%20effective%20tax%20collection%20in%20Bangladesh.pdf</w:t>
      </w:r>
    </w:p>
    <w:p w:rsidR="001B6052" w:rsidRPr="0091374D" w:rsidRDefault="001B6052" w:rsidP="001B6052">
      <w:pPr>
        <w:pStyle w:val="NormalWeb"/>
        <w:spacing w:line="360" w:lineRule="auto"/>
        <w:ind w:left="720" w:hanging="720"/>
        <w:jc w:val="both"/>
      </w:pPr>
      <w:r w:rsidRPr="0091374D">
        <w:rPr>
          <w:rFonts w:eastAsia="Calibri"/>
        </w:rPr>
        <w:t xml:space="preserve">Jensen, M. C. (1999). </w:t>
      </w:r>
      <w:proofErr w:type="gramStart"/>
      <w:r w:rsidRPr="0091374D">
        <w:rPr>
          <w:rFonts w:eastAsia="Calibri"/>
        </w:rPr>
        <w:t>Modern industrial revolution, exit, and the failure of internal Control Systems.</w:t>
      </w:r>
      <w:proofErr w:type="gramEnd"/>
      <w:r w:rsidRPr="0091374D">
        <w:rPr>
          <w:rFonts w:eastAsia="Calibri"/>
        </w:rPr>
        <w:t xml:space="preserve"> </w:t>
      </w:r>
      <w:proofErr w:type="gramStart"/>
      <w:r w:rsidRPr="0091374D">
        <w:rPr>
          <w:rStyle w:val="Emphasis"/>
          <w:rFonts w:eastAsia="Calibri"/>
        </w:rPr>
        <w:t>SSRN Electronic Journal</w:t>
      </w:r>
      <w:r w:rsidRPr="0091374D">
        <w:rPr>
          <w:rFonts w:eastAsia="Calibri"/>
        </w:rPr>
        <w:t>.</w:t>
      </w:r>
      <w:proofErr w:type="gramEnd"/>
      <w:r w:rsidRPr="0091374D">
        <w:rPr>
          <w:rFonts w:eastAsia="Calibri"/>
        </w:rPr>
        <w:t xml:space="preserve"> doi:10.2139/ssrn.93988</w:t>
      </w:r>
    </w:p>
    <w:p w:rsidR="001B6052" w:rsidRPr="0091374D" w:rsidRDefault="001B6052" w:rsidP="001B6052">
      <w:pPr>
        <w:pStyle w:val="NormalWeb"/>
        <w:spacing w:line="360" w:lineRule="auto"/>
        <w:ind w:left="720" w:hanging="720"/>
        <w:jc w:val="both"/>
      </w:pPr>
      <w:r w:rsidRPr="0091374D">
        <w:rPr>
          <w:rFonts w:eastAsia="Calibri"/>
        </w:rPr>
        <w:t>Johnson, S., Kaufmann, </w:t>
      </w:r>
      <w:proofErr w:type="spellStart"/>
      <w:r w:rsidRPr="0091374D">
        <w:rPr>
          <w:rFonts w:eastAsia="Calibri"/>
        </w:rPr>
        <w:t>D.</w:t>
      </w:r>
      <w:proofErr w:type="gramStart"/>
      <w:r w:rsidRPr="0091374D">
        <w:rPr>
          <w:rFonts w:eastAsia="Calibri"/>
        </w:rPr>
        <w:t>,McMillan</w:t>
      </w:r>
      <w:proofErr w:type="spellEnd"/>
      <w:proofErr w:type="gramEnd"/>
      <w:r w:rsidRPr="0091374D">
        <w:rPr>
          <w:rFonts w:eastAsia="Calibri"/>
        </w:rPr>
        <w:t xml:space="preserve">, J., &amp; Woodruff, C. (2000). Why do firms hide? </w:t>
      </w:r>
      <w:proofErr w:type="gramStart"/>
      <w:r w:rsidRPr="0091374D">
        <w:rPr>
          <w:rFonts w:eastAsia="Calibri"/>
        </w:rPr>
        <w:t>Bribes and unofficial activity after communism.</w:t>
      </w:r>
      <w:proofErr w:type="gramEnd"/>
      <w:r w:rsidRPr="0091374D">
        <w:rPr>
          <w:rFonts w:eastAsia="Calibri"/>
        </w:rPr>
        <w:t xml:space="preserve"> </w:t>
      </w:r>
      <w:r w:rsidRPr="0091374D">
        <w:rPr>
          <w:rStyle w:val="Emphasis"/>
          <w:rFonts w:eastAsia="Calibri"/>
        </w:rPr>
        <w:t>Journal of Public Economics</w:t>
      </w:r>
      <w:r w:rsidRPr="0091374D">
        <w:rPr>
          <w:rFonts w:eastAsia="Calibri"/>
        </w:rPr>
        <w:t xml:space="preserve">, </w:t>
      </w:r>
      <w:r w:rsidRPr="0091374D">
        <w:rPr>
          <w:rStyle w:val="Emphasis"/>
          <w:rFonts w:eastAsia="Calibri"/>
        </w:rPr>
        <w:t>76</w:t>
      </w:r>
      <w:r w:rsidRPr="0091374D">
        <w:rPr>
          <w:rFonts w:eastAsia="Calibri"/>
        </w:rPr>
        <w:t xml:space="preserve">(3), 495-520. </w:t>
      </w:r>
      <w:proofErr w:type="gramStart"/>
      <w:r w:rsidRPr="0091374D">
        <w:rPr>
          <w:rFonts w:eastAsia="Calibri"/>
        </w:rPr>
        <w:t>doi:</w:t>
      </w:r>
      <w:proofErr w:type="gramEnd"/>
      <w:r w:rsidRPr="0091374D">
        <w:rPr>
          <w:rFonts w:eastAsia="Calibri"/>
        </w:rPr>
        <w:t>10.1016/s0047-2727(99)00094-8</w:t>
      </w:r>
    </w:p>
    <w:p w:rsidR="001B6052" w:rsidRPr="0091374D" w:rsidRDefault="001B6052" w:rsidP="001B6052">
      <w:pPr>
        <w:pStyle w:val="NormalWeb"/>
        <w:spacing w:line="360" w:lineRule="auto"/>
        <w:ind w:left="720" w:hanging="720"/>
        <w:jc w:val="both"/>
      </w:pPr>
      <w:proofErr w:type="spellStart"/>
      <w:r w:rsidRPr="0091374D">
        <w:rPr>
          <w:rFonts w:eastAsia="Calibri"/>
        </w:rPr>
        <w:t>Joulfaian</w:t>
      </w:r>
      <w:proofErr w:type="spellEnd"/>
      <w:r w:rsidRPr="0091374D">
        <w:rPr>
          <w:rFonts w:eastAsia="Calibri"/>
        </w:rPr>
        <w:t xml:space="preserve">, D. (2012). </w:t>
      </w:r>
      <w:proofErr w:type="gramStart"/>
      <w:r w:rsidRPr="0091374D">
        <w:rPr>
          <w:rFonts w:eastAsia="Calibri"/>
        </w:rPr>
        <w:t>Debt and corporate tax evasion.</w:t>
      </w:r>
      <w:proofErr w:type="gramEnd"/>
      <w:r w:rsidRPr="0091374D">
        <w:rPr>
          <w:rFonts w:eastAsia="Calibri"/>
        </w:rPr>
        <w:t xml:space="preserve"> </w:t>
      </w:r>
      <w:proofErr w:type="gramStart"/>
      <w:r w:rsidRPr="0091374D">
        <w:rPr>
          <w:rStyle w:val="Emphasis"/>
          <w:rFonts w:eastAsia="Calibri"/>
        </w:rPr>
        <w:t>SSRN Electronic Journal</w:t>
      </w:r>
      <w:r w:rsidRPr="0091374D">
        <w:rPr>
          <w:rFonts w:eastAsia="Calibri"/>
        </w:rPr>
        <w:t>.</w:t>
      </w:r>
      <w:proofErr w:type="gramEnd"/>
      <w:r w:rsidRPr="0091374D">
        <w:rPr>
          <w:rFonts w:eastAsia="Calibri"/>
        </w:rPr>
        <w:t xml:space="preserve"> doi:10.2139/ssrn.1342712</w:t>
      </w:r>
    </w:p>
    <w:p w:rsidR="001B6052" w:rsidRPr="0091374D" w:rsidRDefault="001B6052" w:rsidP="001B6052">
      <w:pPr>
        <w:pStyle w:val="NormalWeb"/>
        <w:spacing w:line="360" w:lineRule="auto"/>
        <w:jc w:val="both"/>
        <w:rPr>
          <w:i/>
        </w:rPr>
      </w:pPr>
      <w:r w:rsidRPr="0091374D">
        <w:rPr>
          <w:rFonts w:eastAsia="Calibri"/>
        </w:rPr>
        <w:t>Mansur, A.H.</w:t>
      </w:r>
      <w:proofErr w:type="gramStart"/>
      <w:r w:rsidRPr="0091374D">
        <w:rPr>
          <w:rFonts w:eastAsia="Calibri"/>
        </w:rPr>
        <w:t>,</w:t>
      </w:r>
      <w:proofErr w:type="spellStart"/>
      <w:r w:rsidRPr="0091374D">
        <w:rPr>
          <w:rFonts w:eastAsia="Calibri"/>
        </w:rPr>
        <w:t>Yunus,M</w:t>
      </w:r>
      <w:proofErr w:type="spellEnd"/>
      <w:proofErr w:type="gramEnd"/>
      <w:r w:rsidRPr="0091374D">
        <w:rPr>
          <w:rFonts w:eastAsia="Calibri"/>
        </w:rPr>
        <w:t xml:space="preserve">. and Nandi, B.K.(2011). </w:t>
      </w:r>
      <w:proofErr w:type="gramStart"/>
      <w:r w:rsidRPr="0091374D">
        <w:rPr>
          <w:rFonts w:eastAsia="Calibri"/>
          <w:i/>
        </w:rPr>
        <w:t>An evaluation of the tax system in Bangladesh.</w:t>
      </w:r>
      <w:proofErr w:type="gramEnd"/>
      <w:r w:rsidRPr="0091374D">
        <w:rPr>
          <w:rFonts w:eastAsia="Calibri"/>
          <w:i/>
        </w:rPr>
        <w:t xml:space="preserve"> </w:t>
      </w:r>
    </w:p>
    <w:p w:rsidR="001B6052" w:rsidRPr="0091374D" w:rsidRDefault="001B6052" w:rsidP="001B6052">
      <w:pPr>
        <w:pStyle w:val="NoSpacing"/>
        <w:spacing w:line="360" w:lineRule="auto"/>
        <w:ind w:left="720"/>
        <w:jc w:val="both"/>
        <w:rPr>
          <w:rFonts w:ascii="Times New Roman" w:eastAsia="Times New Roman" w:hAnsi="Times New Roman" w:cs="Times New Roman"/>
          <w:sz w:val="24"/>
          <w:szCs w:val="24"/>
        </w:rPr>
      </w:pPr>
      <w:r w:rsidRPr="0091374D">
        <w:rPr>
          <w:rFonts w:ascii="Times New Roman" w:hAnsi="Times New Roman" w:cs="Times New Roman"/>
          <w:sz w:val="24"/>
          <w:szCs w:val="24"/>
        </w:rPr>
        <w:t xml:space="preserve"> Retrieved from https://www.theigc.org/wp-content/uploads/2014/08/bangladesh-gw2011-allpresentations.pdf</w:t>
      </w:r>
    </w:p>
    <w:p w:rsidR="001B6052" w:rsidRPr="0091374D" w:rsidRDefault="001B6052" w:rsidP="001B6052">
      <w:pPr>
        <w:pStyle w:val="NoSpacing"/>
        <w:spacing w:line="360" w:lineRule="auto"/>
        <w:jc w:val="both"/>
        <w:rPr>
          <w:rStyle w:val="Emphasis"/>
          <w:rFonts w:ascii="Times New Roman" w:eastAsia="Times New Roman" w:hAnsi="Times New Roman" w:cs="Times New Roman"/>
          <w:sz w:val="24"/>
          <w:szCs w:val="24"/>
        </w:rPr>
      </w:pPr>
      <w:proofErr w:type="gramStart"/>
      <w:r w:rsidRPr="0091374D">
        <w:rPr>
          <w:rFonts w:ascii="Times New Roman" w:hAnsi="Times New Roman" w:cs="Times New Roman"/>
          <w:sz w:val="24"/>
          <w:szCs w:val="24"/>
        </w:rPr>
        <w:t xml:space="preserve">Minnick, K., &amp; </w:t>
      </w:r>
      <w:proofErr w:type="spellStart"/>
      <w:r w:rsidRPr="0091374D">
        <w:rPr>
          <w:rFonts w:ascii="Times New Roman" w:hAnsi="Times New Roman" w:cs="Times New Roman"/>
          <w:sz w:val="24"/>
          <w:szCs w:val="24"/>
        </w:rPr>
        <w:t>Noga</w:t>
      </w:r>
      <w:proofErr w:type="spellEnd"/>
      <w:r w:rsidRPr="0091374D">
        <w:rPr>
          <w:rFonts w:ascii="Times New Roman" w:hAnsi="Times New Roman" w:cs="Times New Roman"/>
          <w:sz w:val="24"/>
          <w:szCs w:val="24"/>
        </w:rPr>
        <w:t>, T. (2010).</w:t>
      </w:r>
      <w:proofErr w:type="gramEnd"/>
      <w:r w:rsidRPr="0091374D">
        <w:rPr>
          <w:rFonts w:ascii="Times New Roman" w:hAnsi="Times New Roman" w:cs="Times New Roman"/>
          <w:sz w:val="24"/>
          <w:szCs w:val="24"/>
        </w:rPr>
        <w:t xml:space="preserve"> Do corporate governance characteristics influence tax management? </w:t>
      </w:r>
      <w:r w:rsidRPr="0091374D">
        <w:rPr>
          <w:rStyle w:val="Emphasis"/>
          <w:rFonts w:ascii="Times New Roman" w:hAnsi="Times New Roman" w:cs="Times New Roman"/>
          <w:sz w:val="24"/>
          <w:szCs w:val="24"/>
        </w:rPr>
        <w:t xml:space="preserve">Journal </w:t>
      </w:r>
    </w:p>
    <w:p w:rsidR="001B6052" w:rsidRPr="0091374D" w:rsidRDefault="001B6052" w:rsidP="001B6052">
      <w:pPr>
        <w:pStyle w:val="NoSpacing"/>
        <w:spacing w:line="360" w:lineRule="auto"/>
        <w:ind w:left="720"/>
        <w:jc w:val="both"/>
        <w:rPr>
          <w:rFonts w:ascii="Times New Roman" w:eastAsia="Times New Roman" w:hAnsi="Times New Roman" w:cs="Times New Roman"/>
          <w:sz w:val="24"/>
          <w:szCs w:val="24"/>
        </w:rPr>
      </w:pPr>
      <w:proofErr w:type="gramStart"/>
      <w:r w:rsidRPr="0091374D">
        <w:rPr>
          <w:rStyle w:val="Emphasis"/>
          <w:rFonts w:ascii="Times New Roman" w:hAnsi="Times New Roman" w:cs="Times New Roman"/>
          <w:sz w:val="24"/>
          <w:szCs w:val="24"/>
        </w:rPr>
        <w:t>of</w:t>
      </w:r>
      <w:proofErr w:type="gramEnd"/>
      <w:r w:rsidRPr="0091374D">
        <w:rPr>
          <w:rStyle w:val="Emphasis"/>
          <w:rFonts w:ascii="Times New Roman" w:hAnsi="Times New Roman" w:cs="Times New Roman"/>
          <w:sz w:val="24"/>
          <w:szCs w:val="24"/>
        </w:rPr>
        <w:t xml:space="preserve"> Corporate Finance</w:t>
      </w:r>
      <w:r w:rsidRPr="0091374D">
        <w:rPr>
          <w:rFonts w:ascii="Times New Roman" w:hAnsi="Times New Roman" w:cs="Times New Roman"/>
          <w:sz w:val="24"/>
          <w:szCs w:val="24"/>
        </w:rPr>
        <w:t xml:space="preserve">, </w:t>
      </w:r>
      <w:r w:rsidRPr="0091374D">
        <w:rPr>
          <w:rStyle w:val="Emphasis"/>
          <w:rFonts w:ascii="Times New Roman" w:hAnsi="Times New Roman" w:cs="Times New Roman"/>
          <w:sz w:val="24"/>
          <w:szCs w:val="24"/>
        </w:rPr>
        <w:t>16</w:t>
      </w:r>
      <w:r w:rsidRPr="0091374D">
        <w:rPr>
          <w:rFonts w:ascii="Times New Roman" w:hAnsi="Times New Roman" w:cs="Times New Roman"/>
          <w:sz w:val="24"/>
          <w:szCs w:val="24"/>
        </w:rPr>
        <w:t>(5), 703-718. doi:10.1016/j.jcorpfin.2010.08.005</w:t>
      </w:r>
    </w:p>
    <w:p w:rsidR="001B6052" w:rsidRPr="0091374D" w:rsidRDefault="001B6052" w:rsidP="001B6052">
      <w:pPr>
        <w:pStyle w:val="NormalWeb"/>
        <w:spacing w:line="360" w:lineRule="auto"/>
        <w:ind w:left="720" w:hanging="720"/>
        <w:jc w:val="both"/>
      </w:pPr>
      <w:proofErr w:type="spellStart"/>
      <w:r w:rsidRPr="0091374D">
        <w:rPr>
          <w:rFonts w:eastAsia="Calibri"/>
        </w:rPr>
        <w:t>Rego</w:t>
      </w:r>
      <w:proofErr w:type="spellEnd"/>
      <w:r w:rsidRPr="0091374D">
        <w:rPr>
          <w:rFonts w:eastAsia="Calibri"/>
        </w:rPr>
        <w:t xml:space="preserve">, S. O. (2003). </w:t>
      </w:r>
      <w:proofErr w:type="gramStart"/>
      <w:r w:rsidRPr="0091374D">
        <w:rPr>
          <w:rFonts w:eastAsia="Calibri"/>
        </w:rPr>
        <w:t>Tax-avoidance activities of U.S. multinational corporations.</w:t>
      </w:r>
      <w:proofErr w:type="gramEnd"/>
      <w:r w:rsidRPr="0091374D">
        <w:rPr>
          <w:rFonts w:eastAsia="Calibri"/>
        </w:rPr>
        <w:t xml:space="preserve"> </w:t>
      </w:r>
      <w:r w:rsidRPr="0091374D">
        <w:rPr>
          <w:rStyle w:val="Emphasis"/>
          <w:rFonts w:eastAsia="Calibri"/>
        </w:rPr>
        <w:t>Contemporary Accounting Research</w:t>
      </w:r>
      <w:r w:rsidRPr="0091374D">
        <w:rPr>
          <w:rFonts w:eastAsia="Calibri"/>
        </w:rPr>
        <w:t xml:space="preserve">, </w:t>
      </w:r>
      <w:r w:rsidRPr="0091374D">
        <w:rPr>
          <w:rStyle w:val="Emphasis"/>
          <w:rFonts w:eastAsia="Calibri"/>
        </w:rPr>
        <w:t>20</w:t>
      </w:r>
      <w:r w:rsidRPr="0091374D">
        <w:rPr>
          <w:rFonts w:eastAsia="Calibri"/>
        </w:rPr>
        <w:t xml:space="preserve">(4), 805-833. </w:t>
      </w:r>
      <w:proofErr w:type="gramStart"/>
      <w:r w:rsidRPr="0091374D">
        <w:rPr>
          <w:rFonts w:eastAsia="Calibri"/>
        </w:rPr>
        <w:t>doi:</w:t>
      </w:r>
      <w:proofErr w:type="gramEnd"/>
      <w:r w:rsidRPr="0091374D">
        <w:rPr>
          <w:rFonts w:eastAsia="Calibri"/>
        </w:rPr>
        <w:t>10.1506/vann-b7ub-gmfa-9e6w</w:t>
      </w:r>
    </w:p>
    <w:p w:rsidR="001B6052" w:rsidRPr="0091374D" w:rsidRDefault="001B6052" w:rsidP="001B6052">
      <w:pPr>
        <w:pStyle w:val="NormalWeb"/>
        <w:spacing w:line="360" w:lineRule="auto"/>
        <w:ind w:left="720" w:hanging="720"/>
        <w:jc w:val="both"/>
      </w:pPr>
      <w:proofErr w:type="gramStart"/>
      <w:r w:rsidRPr="0091374D">
        <w:rPr>
          <w:rFonts w:eastAsia="Calibri"/>
        </w:rPr>
        <w:t>Ryan, H. E., &amp; Wiggins, R. A. (2004).</w:t>
      </w:r>
      <w:proofErr w:type="gramEnd"/>
      <w:r w:rsidRPr="0091374D">
        <w:rPr>
          <w:rFonts w:eastAsia="Calibri"/>
        </w:rPr>
        <w:t xml:space="preserve"> Who is in whose pocket? </w:t>
      </w:r>
      <w:proofErr w:type="gramStart"/>
      <w:r w:rsidRPr="0091374D">
        <w:rPr>
          <w:rFonts w:eastAsia="Calibri"/>
        </w:rPr>
        <w:t>Director compensation, board independence, and barriers to effective monitoring.</w:t>
      </w:r>
      <w:proofErr w:type="gramEnd"/>
      <w:r w:rsidRPr="0091374D">
        <w:rPr>
          <w:rFonts w:eastAsia="Calibri"/>
        </w:rPr>
        <w:t xml:space="preserve"> </w:t>
      </w:r>
      <w:r w:rsidRPr="0091374D">
        <w:rPr>
          <w:rStyle w:val="Emphasis"/>
          <w:rFonts w:eastAsia="Calibri"/>
        </w:rPr>
        <w:t>Journal of Financial Economics</w:t>
      </w:r>
      <w:r w:rsidRPr="0091374D">
        <w:rPr>
          <w:rFonts w:eastAsia="Calibri"/>
        </w:rPr>
        <w:t xml:space="preserve">, </w:t>
      </w:r>
      <w:r w:rsidRPr="0091374D">
        <w:rPr>
          <w:rStyle w:val="Emphasis"/>
          <w:rFonts w:eastAsia="Calibri"/>
        </w:rPr>
        <w:t>73</w:t>
      </w:r>
      <w:r w:rsidRPr="0091374D">
        <w:rPr>
          <w:rFonts w:eastAsia="Calibri"/>
        </w:rPr>
        <w:t>(3), 497-524. doi:10.1016/j.jfineco.2003.11.002</w:t>
      </w:r>
    </w:p>
    <w:p w:rsidR="001B6052" w:rsidRPr="0091374D" w:rsidRDefault="001B6052" w:rsidP="001B6052">
      <w:pPr>
        <w:pStyle w:val="NormalWeb"/>
        <w:spacing w:line="360" w:lineRule="auto"/>
        <w:ind w:left="720" w:hanging="720"/>
        <w:jc w:val="both"/>
      </w:pPr>
      <w:proofErr w:type="gramStart"/>
      <w:r w:rsidRPr="0091374D">
        <w:rPr>
          <w:rFonts w:eastAsia="Calibri"/>
        </w:rPr>
        <w:t xml:space="preserve">Scholes, M. S., Wolfson, M. A., Erickson, M. M., Hanlon, M. L., Maydew, E. L., &amp; </w:t>
      </w:r>
      <w:proofErr w:type="spellStart"/>
      <w:r w:rsidRPr="0091374D">
        <w:rPr>
          <w:rFonts w:eastAsia="Calibri"/>
        </w:rPr>
        <w:t>Shevlin</w:t>
      </w:r>
      <w:proofErr w:type="spellEnd"/>
      <w:r w:rsidRPr="0091374D">
        <w:rPr>
          <w:rFonts w:eastAsia="Calibri"/>
        </w:rPr>
        <w:t>, T. (2016).</w:t>
      </w:r>
      <w:proofErr w:type="gramEnd"/>
      <w:r w:rsidRPr="0091374D">
        <w:rPr>
          <w:rFonts w:eastAsia="Calibri"/>
        </w:rPr>
        <w:t xml:space="preserve"> </w:t>
      </w:r>
      <w:r w:rsidRPr="0091374D">
        <w:rPr>
          <w:rStyle w:val="Emphasis"/>
          <w:rFonts w:eastAsia="Calibri"/>
        </w:rPr>
        <w:t>Taxes and business strategy: A planning approach</w:t>
      </w:r>
      <w:r w:rsidRPr="0091374D">
        <w:rPr>
          <w:rFonts w:eastAsia="Calibri"/>
        </w:rPr>
        <w:t xml:space="preserve">. Boston: Pearson. </w:t>
      </w:r>
    </w:p>
    <w:p w:rsidR="001B6052" w:rsidRPr="0091374D" w:rsidRDefault="001B6052" w:rsidP="001B6052">
      <w:pPr>
        <w:spacing w:line="360" w:lineRule="auto"/>
        <w:jc w:val="both"/>
        <w:rPr>
          <w:rFonts w:ascii="Times New Roman" w:eastAsia="Times New Roman" w:hAnsi="Times New Roman" w:cs="Times New Roman"/>
          <w:sz w:val="24"/>
          <w:szCs w:val="24"/>
        </w:rPr>
      </w:pPr>
      <w:proofErr w:type="spellStart"/>
      <w:r w:rsidRPr="0091374D">
        <w:rPr>
          <w:rFonts w:ascii="Times New Roman" w:hAnsi="Times New Roman" w:cs="Times New Roman"/>
          <w:sz w:val="24"/>
          <w:szCs w:val="24"/>
        </w:rPr>
        <w:t>Tedds</w:t>
      </w:r>
      <w:proofErr w:type="spellEnd"/>
      <w:r w:rsidRPr="0091374D">
        <w:rPr>
          <w:rFonts w:ascii="Times New Roman" w:hAnsi="Times New Roman" w:cs="Times New Roman"/>
          <w:sz w:val="24"/>
          <w:szCs w:val="24"/>
        </w:rPr>
        <w:t xml:space="preserve">, </w:t>
      </w:r>
      <w:proofErr w:type="gramStart"/>
      <w:r w:rsidRPr="0091374D">
        <w:rPr>
          <w:rFonts w:ascii="Times New Roman" w:hAnsi="Times New Roman" w:cs="Times New Roman"/>
          <w:sz w:val="24"/>
          <w:szCs w:val="24"/>
        </w:rPr>
        <w:t>L..</w:t>
      </w:r>
      <w:proofErr w:type="gramEnd"/>
      <w:r w:rsidRPr="0091374D">
        <w:rPr>
          <w:rFonts w:ascii="Times New Roman" w:hAnsi="Times New Roman" w:cs="Times New Roman"/>
          <w:sz w:val="24"/>
          <w:szCs w:val="24"/>
        </w:rPr>
        <w:t xml:space="preserve"> 2006. Tax non-compliance and corporate governance: A comparative study. Working Paper </w:t>
      </w:r>
    </w:p>
    <w:p w:rsidR="001B6052" w:rsidRPr="0091374D" w:rsidRDefault="001B6052" w:rsidP="001B6052">
      <w:pPr>
        <w:spacing w:line="360" w:lineRule="auto"/>
        <w:ind w:left="720"/>
        <w:jc w:val="both"/>
        <w:rPr>
          <w:rFonts w:ascii="Times New Roman" w:eastAsia="Times New Roman" w:hAnsi="Times New Roman" w:cs="Times New Roman"/>
          <w:sz w:val="24"/>
          <w:szCs w:val="24"/>
        </w:rPr>
      </w:pPr>
      <w:proofErr w:type="gramStart"/>
      <w:r w:rsidRPr="0091374D">
        <w:rPr>
          <w:rFonts w:ascii="Times New Roman" w:hAnsi="Times New Roman" w:cs="Times New Roman"/>
          <w:sz w:val="24"/>
          <w:szCs w:val="24"/>
        </w:rPr>
        <w:lastRenderedPageBreak/>
        <w:t>University of Manitoba.</w:t>
      </w:r>
      <w:proofErr w:type="gramEnd"/>
      <w:r w:rsidRPr="0091374D">
        <w:rPr>
          <w:rFonts w:ascii="Times New Roman" w:hAnsi="Times New Roman" w:cs="Times New Roman"/>
          <w:sz w:val="24"/>
          <w:szCs w:val="24"/>
        </w:rPr>
        <w:t xml:space="preserve"> Retrieved from </w:t>
      </w:r>
    </w:p>
    <w:p w:rsidR="001B6052" w:rsidRPr="0091374D" w:rsidRDefault="001B6052" w:rsidP="001B6052">
      <w:pPr>
        <w:spacing w:line="360" w:lineRule="auto"/>
        <w:ind w:left="720"/>
        <w:jc w:val="both"/>
        <w:rPr>
          <w:rFonts w:ascii="Times New Roman" w:eastAsia="Times New Roman" w:hAnsi="Times New Roman" w:cs="Times New Roman"/>
          <w:sz w:val="24"/>
          <w:szCs w:val="24"/>
        </w:rPr>
      </w:pPr>
      <w:r w:rsidRPr="0091374D">
        <w:rPr>
          <w:rFonts w:ascii="Times New Roman" w:eastAsia="NanumGothic" w:hAnsi="Times New Roman" w:cs="Times New Roman"/>
          <w:sz w:val="24"/>
          <w:szCs w:val="24"/>
        </w:rPr>
        <w:t>https://googleweblight.com/i?u=https://www.researchgate.net/publication/228901937_Tax_non-compliance_and_corporate_governance_A_comparative_study&amp;grqid=x18BOgb-&amp;hl=en-BDen-BD</w:t>
      </w:r>
    </w:p>
    <w:p w:rsidR="001B6052" w:rsidRPr="0091374D" w:rsidRDefault="001B6052" w:rsidP="001B6052">
      <w:pPr>
        <w:pStyle w:val="NormalWeb"/>
        <w:spacing w:line="360" w:lineRule="auto"/>
        <w:jc w:val="both"/>
        <w:rPr>
          <w:rStyle w:val="Emphasis"/>
          <w:rFonts w:eastAsiaTheme="majorEastAsia"/>
        </w:rPr>
      </w:pPr>
      <w:proofErr w:type="spellStart"/>
      <w:r w:rsidRPr="0091374D">
        <w:rPr>
          <w:rFonts w:eastAsia="Calibri"/>
        </w:rPr>
        <w:t>Yermack</w:t>
      </w:r>
      <w:proofErr w:type="spellEnd"/>
      <w:r w:rsidRPr="0091374D">
        <w:rPr>
          <w:rFonts w:eastAsia="Calibri"/>
        </w:rPr>
        <w:t xml:space="preserve">, D. (1996). Higher market valuation of companies with a small board of directors. </w:t>
      </w:r>
      <w:r w:rsidRPr="0091374D">
        <w:rPr>
          <w:rStyle w:val="Emphasis"/>
          <w:rFonts w:eastAsia="Calibri"/>
        </w:rPr>
        <w:t xml:space="preserve">Journal of </w:t>
      </w:r>
    </w:p>
    <w:p w:rsidR="001B6052" w:rsidRPr="0091374D" w:rsidRDefault="001B6052" w:rsidP="001B6052">
      <w:pPr>
        <w:pStyle w:val="NormalWeb"/>
        <w:spacing w:line="360" w:lineRule="auto"/>
        <w:ind w:left="720"/>
        <w:jc w:val="both"/>
      </w:pPr>
      <w:r w:rsidRPr="0091374D">
        <w:rPr>
          <w:rStyle w:val="Emphasis"/>
          <w:rFonts w:eastAsia="Calibri"/>
        </w:rPr>
        <w:t>Financial Economics</w:t>
      </w:r>
      <w:r w:rsidRPr="0091374D">
        <w:rPr>
          <w:rFonts w:eastAsia="Calibri"/>
        </w:rPr>
        <w:t xml:space="preserve">, </w:t>
      </w:r>
      <w:r w:rsidRPr="0091374D">
        <w:rPr>
          <w:rStyle w:val="Emphasis"/>
          <w:rFonts w:eastAsia="Calibri"/>
        </w:rPr>
        <w:t>40</w:t>
      </w:r>
      <w:r w:rsidRPr="0091374D">
        <w:rPr>
          <w:rFonts w:eastAsia="Calibri"/>
        </w:rPr>
        <w:t xml:space="preserve">(2), 185-211. </w:t>
      </w:r>
      <w:proofErr w:type="gramStart"/>
      <w:r w:rsidRPr="0091374D">
        <w:rPr>
          <w:rFonts w:eastAsia="Calibri"/>
        </w:rPr>
        <w:t>doi:</w:t>
      </w:r>
      <w:proofErr w:type="gramEnd"/>
      <w:r w:rsidRPr="0091374D">
        <w:rPr>
          <w:rFonts w:eastAsia="Calibri"/>
        </w:rPr>
        <w:t>10.1016/0304-405x(95)00844-5</w:t>
      </w:r>
    </w:p>
    <w:p w:rsidR="001B6052" w:rsidRDefault="001B6052" w:rsidP="001B6052">
      <w:pPr>
        <w:pStyle w:val="NormalWeb"/>
        <w:spacing w:line="360" w:lineRule="auto"/>
        <w:ind w:left="720" w:hanging="720"/>
        <w:jc w:val="both"/>
        <w:rPr>
          <w:rFonts w:eastAsia="Calibri"/>
        </w:rPr>
      </w:pPr>
      <w:r w:rsidRPr="0091374D">
        <w:rPr>
          <w:rFonts w:eastAsia="Calibri"/>
        </w:rPr>
        <w:t xml:space="preserve">Zimmerman, J. L. (1983). </w:t>
      </w:r>
      <w:proofErr w:type="gramStart"/>
      <w:r w:rsidRPr="0091374D">
        <w:rPr>
          <w:rFonts w:eastAsia="Calibri"/>
        </w:rPr>
        <w:t>Taxes and firm size.</w:t>
      </w:r>
      <w:proofErr w:type="gramEnd"/>
      <w:r w:rsidRPr="0091374D">
        <w:rPr>
          <w:rFonts w:eastAsia="Calibri"/>
        </w:rPr>
        <w:t xml:space="preserve"> </w:t>
      </w:r>
      <w:r w:rsidRPr="0091374D">
        <w:rPr>
          <w:rStyle w:val="Emphasis"/>
          <w:rFonts w:eastAsia="Calibri"/>
        </w:rPr>
        <w:t>Journal of Accounting and Economics</w:t>
      </w:r>
      <w:r w:rsidRPr="0091374D">
        <w:rPr>
          <w:rFonts w:eastAsia="Calibri"/>
        </w:rPr>
        <w:t xml:space="preserve">, </w:t>
      </w:r>
      <w:r w:rsidRPr="0091374D">
        <w:rPr>
          <w:rStyle w:val="Emphasis"/>
          <w:rFonts w:eastAsia="Calibri"/>
        </w:rPr>
        <w:t>5</w:t>
      </w:r>
      <w:r w:rsidRPr="0091374D">
        <w:rPr>
          <w:rFonts w:eastAsia="Calibri"/>
        </w:rPr>
        <w:t xml:space="preserve">, 119-149. </w:t>
      </w:r>
      <w:proofErr w:type="gramStart"/>
      <w:r w:rsidRPr="0091374D">
        <w:rPr>
          <w:rFonts w:eastAsia="Calibri"/>
        </w:rPr>
        <w:t>doi:</w:t>
      </w:r>
      <w:proofErr w:type="gramEnd"/>
      <w:r w:rsidRPr="0091374D">
        <w:rPr>
          <w:rFonts w:eastAsia="Calibri"/>
        </w:rPr>
        <w:t>10.1016/0165-4101(83)90008-3</w:t>
      </w:r>
    </w:p>
    <w:p w:rsidR="002015F1" w:rsidRPr="0091374D" w:rsidRDefault="002015F1" w:rsidP="001B6052">
      <w:pPr>
        <w:pStyle w:val="NormalWeb"/>
        <w:spacing w:line="360" w:lineRule="auto"/>
        <w:ind w:left="720" w:hanging="720"/>
        <w:jc w:val="both"/>
        <w:rPr>
          <w:rFonts w:eastAsia="Calibri"/>
        </w:rPr>
      </w:pPr>
    </w:p>
    <w:p w:rsidR="007B1FF6" w:rsidRDefault="007B1FF6" w:rsidP="007B1FF6">
      <w:pPr>
        <w:pStyle w:val="NormalWeb"/>
        <w:spacing w:line="360" w:lineRule="auto"/>
        <w:ind w:left="720" w:hanging="720"/>
        <w:rPr>
          <w:rFonts w:eastAsia="Calibri"/>
          <w:b/>
          <w:sz w:val="26"/>
        </w:rPr>
        <w:sectPr w:rsidR="007B1FF6" w:rsidSect="00AD76DE">
          <w:pgSz w:w="11907" w:h="16839" w:code="9"/>
          <w:pgMar w:top="1440" w:right="1440" w:bottom="1440" w:left="1440" w:header="720" w:footer="720" w:gutter="0"/>
          <w:cols w:space="720"/>
          <w:docGrid w:linePitch="360"/>
        </w:sectPr>
      </w:pPr>
    </w:p>
    <w:p w:rsidR="001B6052" w:rsidRPr="0091374D" w:rsidRDefault="001B6052" w:rsidP="001B6052">
      <w:pPr>
        <w:pStyle w:val="NormalWeb"/>
        <w:spacing w:line="360" w:lineRule="auto"/>
        <w:ind w:left="720" w:hanging="720"/>
        <w:jc w:val="center"/>
        <w:rPr>
          <w:rFonts w:eastAsia="Calibri"/>
          <w:b/>
          <w:sz w:val="26"/>
        </w:rPr>
      </w:pPr>
      <w:r w:rsidRPr="0091374D">
        <w:rPr>
          <w:rFonts w:eastAsia="Calibri"/>
          <w:b/>
          <w:sz w:val="26"/>
        </w:rPr>
        <w:lastRenderedPageBreak/>
        <w:t>Appendix A</w:t>
      </w:r>
    </w:p>
    <w:p w:rsidR="001B6052" w:rsidRPr="0091374D" w:rsidRDefault="001B6052" w:rsidP="001B6052">
      <w:pPr>
        <w:pStyle w:val="NormalWeb"/>
        <w:spacing w:line="360" w:lineRule="auto"/>
        <w:ind w:left="720" w:hanging="720"/>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328"/>
        <w:gridCol w:w="1518"/>
        <w:gridCol w:w="1262"/>
        <w:gridCol w:w="981"/>
        <w:gridCol w:w="986"/>
        <w:gridCol w:w="767"/>
        <w:gridCol w:w="831"/>
        <w:gridCol w:w="1540"/>
      </w:tblGrid>
      <w:tr w:rsidR="001B6052" w:rsidRPr="0091374D" w:rsidTr="00940B83">
        <w:trPr>
          <w:trHeight w:val="244"/>
          <w:jc w:val="center"/>
        </w:trPr>
        <w:tc>
          <w:tcPr>
            <w:tcW w:w="1371"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b/>
                <w:color w:val="000000"/>
              </w:rPr>
            </w:pPr>
          </w:p>
        </w:tc>
        <w:tc>
          <w:tcPr>
            <w:tcW w:w="1828"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b/>
                <w:color w:val="000000"/>
              </w:rPr>
            </w:pPr>
            <w:r w:rsidRPr="0091374D">
              <w:rPr>
                <w:rFonts w:ascii="Times New Roman" w:hAnsi="Times New Roman" w:cs="Times New Roman"/>
                <w:b/>
                <w:color w:val="000000"/>
              </w:rPr>
              <w:t xml:space="preserve"> </w:t>
            </w:r>
          </w:p>
        </w:tc>
        <w:tc>
          <w:tcPr>
            <w:tcW w:w="1197"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GAAPETR</w:t>
            </w:r>
          </w:p>
        </w:tc>
        <w:tc>
          <w:tcPr>
            <w:tcW w:w="883"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ROA</w:t>
            </w:r>
          </w:p>
        </w:tc>
        <w:tc>
          <w:tcPr>
            <w:tcW w:w="990"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SIZE</w:t>
            </w:r>
          </w:p>
        </w:tc>
        <w:tc>
          <w:tcPr>
            <w:tcW w:w="850"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EBT</w:t>
            </w:r>
          </w:p>
        </w:tc>
        <w:tc>
          <w:tcPr>
            <w:tcW w:w="977"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BS</w:t>
            </w:r>
          </w:p>
        </w:tc>
        <w:tc>
          <w:tcPr>
            <w:tcW w:w="2378"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AGE</w:t>
            </w:r>
          </w:p>
        </w:tc>
      </w:tr>
      <w:tr w:rsidR="001B6052" w:rsidRPr="0091374D" w:rsidTr="00940B83">
        <w:trPr>
          <w:trHeight w:val="244"/>
          <w:jc w:val="center"/>
        </w:trPr>
        <w:tc>
          <w:tcPr>
            <w:tcW w:w="1371" w:type="dxa"/>
            <w:vMerge w:val="restart"/>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b/>
                <w:color w:val="000000"/>
              </w:rPr>
            </w:pPr>
            <w:r w:rsidRPr="0091374D">
              <w:rPr>
                <w:rFonts w:ascii="Times New Roman" w:hAnsi="Times New Roman" w:cs="Times New Roman"/>
                <w:b/>
                <w:color w:val="000000"/>
              </w:rPr>
              <w:t>Pearson Correlation</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GAAPETR</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.450</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.357</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.463</w:t>
            </w: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-.025</w:t>
            </w: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.402</w:t>
            </w: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ROA</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.450</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.479</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.667</w:t>
            </w: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.348</w:t>
            </w: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-.107</w:t>
            </w: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SIZE</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.357</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.479</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.969</w:t>
            </w: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.456</w:t>
            </w: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.460</w:t>
            </w: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EBT</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.463</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.667</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.969</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.482</w:t>
            </w: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.382</w:t>
            </w: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BS</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-.025</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.348</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.456</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.482</w:t>
            </w: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.367</w:t>
            </w:r>
          </w:p>
        </w:tc>
      </w:tr>
      <w:tr w:rsidR="001B6052" w:rsidRPr="0091374D" w:rsidTr="00940B83">
        <w:trPr>
          <w:trHeight w:val="101"/>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AGE</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.402</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-.107</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.460</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.382</w:t>
            </w: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.367</w:t>
            </w: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r>
      <w:tr w:rsidR="001B6052" w:rsidRPr="0091374D" w:rsidTr="00940B83">
        <w:trPr>
          <w:trHeight w:val="244"/>
          <w:jc w:val="center"/>
        </w:trPr>
        <w:tc>
          <w:tcPr>
            <w:tcW w:w="1371" w:type="dxa"/>
            <w:vMerge/>
            <w:tcBorders>
              <w:bottom w:val="single" w:sz="4" w:space="0" w:color="000000"/>
            </w:tcBorders>
            <w:shd w:val="clear" w:color="000000" w:fill="FFFFFF"/>
          </w:tcPr>
          <w:p w:rsidR="001B6052" w:rsidRPr="0091374D" w:rsidRDefault="001B6052" w:rsidP="00940B83">
            <w:pPr>
              <w:rPr>
                <w:rFonts w:ascii="Times New Roman" w:hAnsi="Times New Roman" w:cs="Times New Roman"/>
              </w:rPr>
            </w:pPr>
          </w:p>
        </w:tc>
        <w:tc>
          <w:tcPr>
            <w:tcW w:w="1828" w:type="dxa"/>
            <w:tcBorders>
              <w:bottom w:val="single" w:sz="4" w:space="0" w:color="000000"/>
            </w:tcBorders>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p>
        </w:tc>
        <w:tc>
          <w:tcPr>
            <w:tcW w:w="1197" w:type="dxa"/>
            <w:tcBorders>
              <w:bottom w:val="single" w:sz="4" w:space="0" w:color="000000"/>
            </w:tcBorders>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883" w:type="dxa"/>
            <w:tcBorders>
              <w:bottom w:val="single" w:sz="4" w:space="0" w:color="000000"/>
            </w:tcBorders>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90" w:type="dxa"/>
            <w:tcBorders>
              <w:bottom w:val="single" w:sz="4" w:space="0" w:color="000000"/>
            </w:tcBorders>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850" w:type="dxa"/>
            <w:tcBorders>
              <w:bottom w:val="single" w:sz="4" w:space="0" w:color="000000"/>
            </w:tcBorders>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77" w:type="dxa"/>
            <w:tcBorders>
              <w:bottom w:val="single" w:sz="4" w:space="0" w:color="000000"/>
            </w:tcBorders>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2378" w:type="dxa"/>
            <w:tcBorders>
              <w:bottom w:val="single" w:sz="4" w:space="0" w:color="000000"/>
            </w:tcBorders>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r>
      <w:tr w:rsidR="001B6052" w:rsidRPr="0091374D" w:rsidTr="00940B83">
        <w:trPr>
          <w:trHeight w:val="244"/>
          <w:jc w:val="center"/>
        </w:trPr>
        <w:tc>
          <w:tcPr>
            <w:tcW w:w="1371" w:type="dxa"/>
            <w:vMerge/>
            <w:shd w:val="pct10" w:color="000000" w:fill="FFFFFF"/>
          </w:tcPr>
          <w:p w:rsidR="001B6052" w:rsidRPr="0091374D" w:rsidRDefault="001B6052" w:rsidP="00940B83">
            <w:pPr>
              <w:rPr>
                <w:rFonts w:ascii="Times New Roman" w:hAnsi="Times New Roman" w:cs="Times New Roman"/>
              </w:rPr>
            </w:pPr>
          </w:p>
        </w:tc>
        <w:tc>
          <w:tcPr>
            <w:tcW w:w="1828" w:type="dxa"/>
            <w:shd w:val="pct10" w:color="000000" w:fill="FFFFFF"/>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 xml:space="preserve"> </w:t>
            </w:r>
          </w:p>
        </w:tc>
        <w:tc>
          <w:tcPr>
            <w:tcW w:w="1197" w:type="dxa"/>
            <w:shd w:val="pct10"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CASHETR</w:t>
            </w:r>
          </w:p>
        </w:tc>
        <w:tc>
          <w:tcPr>
            <w:tcW w:w="883" w:type="dxa"/>
            <w:shd w:val="pct10"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INDEP2</w:t>
            </w:r>
          </w:p>
        </w:tc>
        <w:tc>
          <w:tcPr>
            <w:tcW w:w="990" w:type="dxa"/>
            <w:shd w:val="pct10"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rPr>
            </w:pPr>
            <w:r w:rsidRPr="0091374D">
              <w:rPr>
                <w:rFonts w:ascii="Times New Roman" w:hAnsi="Times New Roman" w:cs="Times New Roman"/>
                <w:b/>
                <w:color w:val="000000"/>
              </w:rPr>
              <w:t>BOARD</w:t>
            </w:r>
          </w:p>
        </w:tc>
        <w:tc>
          <w:tcPr>
            <w:tcW w:w="850" w:type="dxa"/>
            <w:shd w:val="pct10"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77" w:type="dxa"/>
            <w:shd w:val="pct10"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2378" w:type="dxa"/>
            <w:shd w:val="pct10"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CASHETR</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-.294</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-.355</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INDEPB</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-.294</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-.369</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BS</w:t>
            </w: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-.355</w:t>
            </w: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-.369</w:t>
            </w: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1.000</w:t>
            </w: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r>
      <w:tr w:rsidR="001B6052" w:rsidRPr="0091374D" w:rsidTr="00940B83">
        <w:trPr>
          <w:trHeight w:val="244"/>
          <w:jc w:val="center"/>
        </w:trPr>
        <w:tc>
          <w:tcPr>
            <w:tcW w:w="1371" w:type="dxa"/>
            <w:vMerge/>
            <w:shd w:val="clear" w:color="000000" w:fill="FFFFFF"/>
          </w:tcPr>
          <w:p w:rsidR="001B6052" w:rsidRPr="0091374D" w:rsidRDefault="001B6052" w:rsidP="00940B83">
            <w:pPr>
              <w:rPr>
                <w:rFonts w:ascii="Times New Roman" w:hAnsi="Times New Roman" w:cs="Times New Roman"/>
              </w:rPr>
            </w:pPr>
          </w:p>
        </w:tc>
        <w:tc>
          <w:tcPr>
            <w:tcW w:w="1828"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p>
        </w:tc>
        <w:tc>
          <w:tcPr>
            <w:tcW w:w="119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883"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9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8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977"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c>
          <w:tcPr>
            <w:tcW w:w="237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p>
        </w:tc>
      </w:tr>
    </w:tbl>
    <w:p w:rsidR="001B6052" w:rsidRPr="0091374D" w:rsidRDefault="001B6052" w:rsidP="001B6052">
      <w:pPr>
        <w:spacing w:after="200" w:line="360" w:lineRule="auto"/>
        <w:jc w:val="center"/>
        <w:rPr>
          <w:rFonts w:ascii="Times New Roman" w:eastAsia="Times New Roman" w:hAnsi="Times New Roman" w:cs="Times New Roman"/>
          <w:b/>
          <w:color w:val="000000"/>
        </w:rPr>
      </w:pPr>
      <w:bookmarkStart w:id="2" w:name="_GoBack"/>
      <w:bookmarkEnd w:id="2"/>
      <w:r w:rsidRPr="0091374D">
        <w:rPr>
          <w:rFonts w:ascii="Times New Roman" w:hAnsi="Times New Roman" w:cs="Times New Roman"/>
          <w:b/>
          <w:color w:val="000000"/>
        </w:rPr>
        <w:t>Table-1: The Pearson Correlation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8"/>
        <w:gridCol w:w="798"/>
        <w:gridCol w:w="737"/>
        <w:gridCol w:w="887"/>
        <w:gridCol w:w="930"/>
        <w:gridCol w:w="789"/>
        <w:gridCol w:w="789"/>
        <w:gridCol w:w="638"/>
        <w:gridCol w:w="638"/>
        <w:gridCol w:w="2159"/>
      </w:tblGrid>
      <w:tr w:rsidR="001B6052" w:rsidRPr="0091374D" w:rsidTr="00940B83">
        <w:trPr>
          <w:trHeight w:val="494"/>
          <w:jc w:val="center"/>
        </w:trPr>
        <w:tc>
          <w:tcPr>
            <w:tcW w:w="928"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Models</w:t>
            </w:r>
          </w:p>
        </w:tc>
        <w:tc>
          <w:tcPr>
            <w:tcW w:w="875"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R</w:t>
            </w:r>
          </w:p>
        </w:tc>
        <w:tc>
          <w:tcPr>
            <w:tcW w:w="549"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R Square</w:t>
            </w:r>
          </w:p>
        </w:tc>
        <w:tc>
          <w:tcPr>
            <w:tcW w:w="842"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Adjusted R Square</w:t>
            </w:r>
          </w:p>
        </w:tc>
        <w:tc>
          <w:tcPr>
            <w:tcW w:w="982"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Std. Error of the Estimate</w:t>
            </w:r>
          </w:p>
        </w:tc>
        <w:tc>
          <w:tcPr>
            <w:tcW w:w="6461" w:type="dxa"/>
            <w:gridSpan w:val="5"/>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Change Statistics</w:t>
            </w:r>
          </w:p>
        </w:tc>
      </w:tr>
      <w:tr w:rsidR="001B6052" w:rsidRPr="0091374D" w:rsidTr="00940B83">
        <w:trPr>
          <w:trHeight w:val="37"/>
          <w:jc w:val="center"/>
        </w:trPr>
        <w:tc>
          <w:tcPr>
            <w:tcW w:w="928" w:type="dxa"/>
            <w:shd w:val="clear" w:color="000000" w:fill="FFFFFF"/>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875"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549"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842"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982"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799"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R Square Change</w:t>
            </w:r>
          </w:p>
        </w:tc>
        <w:tc>
          <w:tcPr>
            <w:tcW w:w="799"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F Change</w:t>
            </w:r>
          </w:p>
        </w:tc>
        <w:tc>
          <w:tcPr>
            <w:tcW w:w="799"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df1</w:t>
            </w:r>
          </w:p>
        </w:tc>
        <w:tc>
          <w:tcPr>
            <w:tcW w:w="799"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df2</w:t>
            </w:r>
          </w:p>
        </w:tc>
        <w:tc>
          <w:tcPr>
            <w:tcW w:w="3265"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Sig. F Change</w:t>
            </w:r>
          </w:p>
        </w:tc>
      </w:tr>
      <w:tr w:rsidR="001B6052" w:rsidRPr="0091374D" w:rsidTr="00940B83">
        <w:trPr>
          <w:trHeight w:val="20"/>
          <w:jc w:val="center"/>
        </w:trPr>
        <w:tc>
          <w:tcPr>
            <w:tcW w:w="928" w:type="dxa"/>
            <w:shd w:val="clear" w:color="000000" w:fill="D8D8D8" w:themeFill="background1" w:themeFillShade="D8"/>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Model-I</w:t>
            </w:r>
          </w:p>
        </w:tc>
        <w:tc>
          <w:tcPr>
            <w:tcW w:w="8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.857(a)</w:t>
            </w:r>
          </w:p>
        </w:tc>
        <w:tc>
          <w:tcPr>
            <w:tcW w:w="54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.735</w:t>
            </w:r>
          </w:p>
        </w:tc>
        <w:tc>
          <w:tcPr>
            <w:tcW w:w="84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.647</w:t>
            </w:r>
          </w:p>
        </w:tc>
        <w:tc>
          <w:tcPr>
            <w:tcW w:w="98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.03251</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.735</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8.326</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5</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15</w:t>
            </w:r>
          </w:p>
        </w:tc>
        <w:tc>
          <w:tcPr>
            <w:tcW w:w="326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.001</w:t>
            </w:r>
          </w:p>
        </w:tc>
      </w:tr>
      <w:tr w:rsidR="001B6052" w:rsidRPr="0091374D" w:rsidTr="00940B83">
        <w:trPr>
          <w:trHeight w:val="20"/>
          <w:jc w:val="center"/>
        </w:trPr>
        <w:tc>
          <w:tcPr>
            <w:tcW w:w="928" w:type="dxa"/>
            <w:shd w:val="clear" w:color="000000" w:fill="D8D8D8" w:themeFill="background1" w:themeFillShade="D8"/>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Model-II</w:t>
            </w:r>
          </w:p>
        </w:tc>
        <w:tc>
          <w:tcPr>
            <w:tcW w:w="8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.579(a)</w:t>
            </w:r>
          </w:p>
        </w:tc>
        <w:tc>
          <w:tcPr>
            <w:tcW w:w="54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.335</w:t>
            </w:r>
          </w:p>
        </w:tc>
        <w:tc>
          <w:tcPr>
            <w:tcW w:w="84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.262</w:t>
            </w:r>
          </w:p>
        </w:tc>
        <w:tc>
          <w:tcPr>
            <w:tcW w:w="98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.08824</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.335</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4.541</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w:t>
            </w:r>
          </w:p>
        </w:tc>
        <w:tc>
          <w:tcPr>
            <w:tcW w:w="799"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18</w:t>
            </w:r>
          </w:p>
        </w:tc>
        <w:tc>
          <w:tcPr>
            <w:tcW w:w="326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.025</w:t>
            </w:r>
          </w:p>
        </w:tc>
      </w:tr>
    </w:tbl>
    <w:p w:rsidR="001B6052" w:rsidRPr="0091374D" w:rsidRDefault="001B6052" w:rsidP="001B6052">
      <w:pPr>
        <w:jc w:val="center"/>
        <w:rPr>
          <w:rFonts w:ascii="Times New Roman" w:eastAsia="Times New Roman" w:hAnsi="Times New Roman" w:cs="Times New Roman"/>
          <w:b/>
          <w:color w:val="000000"/>
        </w:rPr>
      </w:pPr>
      <w:r w:rsidRPr="0091374D">
        <w:rPr>
          <w:rFonts w:ascii="Times New Roman" w:hAnsi="Times New Roman" w:cs="Times New Roman"/>
          <w:b/>
          <w:color w:val="000000"/>
        </w:rPr>
        <w:t>Table-2: Fitness of models</w:t>
      </w:r>
    </w:p>
    <w:p w:rsidR="001B6052" w:rsidRPr="0091374D" w:rsidRDefault="001B6052" w:rsidP="001B6052">
      <w:pPr>
        <w:jc w:val="center"/>
        <w:rPr>
          <w:rFonts w:ascii="Times New Roman" w:eastAsia="Times New Roman" w:hAnsi="Times New Roman" w:cs="Times New Roman"/>
          <w:b/>
          <w:color w:val="000000"/>
        </w:r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27"/>
        <w:gridCol w:w="993"/>
        <w:gridCol w:w="985"/>
        <w:gridCol w:w="853"/>
        <w:gridCol w:w="1156"/>
        <w:gridCol w:w="915"/>
        <w:gridCol w:w="3291"/>
      </w:tblGrid>
      <w:tr w:rsidR="001B6052" w:rsidRPr="0091374D" w:rsidTr="00940B83">
        <w:trPr>
          <w:trHeight w:val="402"/>
          <w:tblHeader/>
        </w:trPr>
        <w:tc>
          <w:tcPr>
            <w:tcW w:w="996"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Models</w:t>
            </w:r>
          </w:p>
        </w:tc>
        <w:tc>
          <w:tcPr>
            <w:tcW w:w="996"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 xml:space="preserve"> </w:t>
            </w:r>
          </w:p>
        </w:tc>
        <w:tc>
          <w:tcPr>
            <w:tcW w:w="1052"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Sum of Squares</w:t>
            </w:r>
          </w:p>
        </w:tc>
        <w:tc>
          <w:tcPr>
            <w:tcW w:w="1038"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proofErr w:type="spellStart"/>
            <w:r w:rsidRPr="0091374D">
              <w:rPr>
                <w:rFonts w:ascii="Times New Roman" w:hAnsi="Times New Roman" w:cs="Times New Roman"/>
                <w:b/>
                <w:color w:val="000000"/>
                <w:sz w:val="18"/>
                <w:szCs w:val="18"/>
              </w:rPr>
              <w:t>df</w:t>
            </w:r>
            <w:proofErr w:type="spellEnd"/>
          </w:p>
        </w:tc>
        <w:tc>
          <w:tcPr>
            <w:tcW w:w="1315"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Mean Square</w:t>
            </w:r>
          </w:p>
        </w:tc>
        <w:tc>
          <w:tcPr>
            <w:tcW w:w="1038"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F</w:t>
            </w:r>
          </w:p>
        </w:tc>
        <w:tc>
          <w:tcPr>
            <w:tcW w:w="4275"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Sig.</w:t>
            </w:r>
          </w:p>
        </w:tc>
      </w:tr>
      <w:tr w:rsidR="001B6052" w:rsidRPr="0091374D" w:rsidTr="00940B83">
        <w:trPr>
          <w:trHeight w:val="218"/>
        </w:trPr>
        <w:tc>
          <w:tcPr>
            <w:tcW w:w="996" w:type="dxa"/>
            <w:vMerge w:val="restart"/>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Model-I</w:t>
            </w:r>
          </w:p>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996"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Regression</w:t>
            </w:r>
          </w:p>
        </w:tc>
        <w:tc>
          <w:tcPr>
            <w:tcW w:w="10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.044</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5</w:t>
            </w:r>
          </w:p>
        </w:tc>
        <w:tc>
          <w:tcPr>
            <w:tcW w:w="131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.009</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8.326</w:t>
            </w:r>
          </w:p>
        </w:tc>
        <w:tc>
          <w:tcPr>
            <w:tcW w:w="42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.001(a)</w:t>
            </w:r>
          </w:p>
        </w:tc>
      </w:tr>
      <w:tr w:rsidR="001B6052" w:rsidRPr="0091374D" w:rsidTr="00940B83">
        <w:trPr>
          <w:trHeight w:val="218"/>
        </w:trPr>
        <w:tc>
          <w:tcPr>
            <w:tcW w:w="996" w:type="dxa"/>
            <w:vMerge/>
            <w:shd w:val="clear" w:color="000000" w:fill="FFFFFF"/>
          </w:tcPr>
          <w:p w:rsidR="001B6052" w:rsidRPr="0091374D" w:rsidRDefault="001B6052" w:rsidP="00940B83">
            <w:pPr>
              <w:rPr>
                <w:rFonts w:ascii="Times New Roman" w:hAnsi="Times New Roman" w:cs="Times New Roman"/>
              </w:rPr>
            </w:pPr>
          </w:p>
        </w:tc>
        <w:tc>
          <w:tcPr>
            <w:tcW w:w="996"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Residual</w:t>
            </w:r>
          </w:p>
        </w:tc>
        <w:tc>
          <w:tcPr>
            <w:tcW w:w="10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.016</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15</w:t>
            </w:r>
          </w:p>
        </w:tc>
        <w:tc>
          <w:tcPr>
            <w:tcW w:w="131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.001</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42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r>
      <w:tr w:rsidR="001B6052" w:rsidRPr="0091374D" w:rsidTr="00940B83">
        <w:trPr>
          <w:trHeight w:val="218"/>
        </w:trPr>
        <w:tc>
          <w:tcPr>
            <w:tcW w:w="996" w:type="dxa"/>
            <w:vMerge/>
            <w:shd w:val="clear" w:color="000000" w:fill="FFFFFF"/>
          </w:tcPr>
          <w:p w:rsidR="001B6052" w:rsidRPr="0091374D" w:rsidRDefault="001B6052" w:rsidP="00940B83">
            <w:pPr>
              <w:rPr>
                <w:rFonts w:ascii="Times New Roman" w:hAnsi="Times New Roman" w:cs="Times New Roman"/>
              </w:rPr>
            </w:pPr>
          </w:p>
        </w:tc>
        <w:tc>
          <w:tcPr>
            <w:tcW w:w="996"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Total</w:t>
            </w:r>
          </w:p>
        </w:tc>
        <w:tc>
          <w:tcPr>
            <w:tcW w:w="10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.060</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20</w:t>
            </w:r>
          </w:p>
        </w:tc>
        <w:tc>
          <w:tcPr>
            <w:tcW w:w="131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42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r>
      <w:tr w:rsidR="001B6052" w:rsidRPr="0091374D" w:rsidTr="00940B83">
        <w:trPr>
          <w:trHeight w:val="218"/>
        </w:trPr>
        <w:tc>
          <w:tcPr>
            <w:tcW w:w="996" w:type="dxa"/>
            <w:vMerge w:val="restart"/>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Model-II</w:t>
            </w:r>
          </w:p>
        </w:tc>
        <w:tc>
          <w:tcPr>
            <w:tcW w:w="996"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Regression</w:t>
            </w:r>
          </w:p>
        </w:tc>
        <w:tc>
          <w:tcPr>
            <w:tcW w:w="10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.071</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w:t>
            </w:r>
          </w:p>
        </w:tc>
        <w:tc>
          <w:tcPr>
            <w:tcW w:w="131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.035</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4.541</w:t>
            </w:r>
          </w:p>
        </w:tc>
        <w:tc>
          <w:tcPr>
            <w:tcW w:w="42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.025(a)</w:t>
            </w:r>
          </w:p>
        </w:tc>
      </w:tr>
      <w:tr w:rsidR="001B6052" w:rsidRPr="0091374D" w:rsidTr="00940B83">
        <w:trPr>
          <w:trHeight w:val="218"/>
        </w:trPr>
        <w:tc>
          <w:tcPr>
            <w:tcW w:w="996" w:type="dxa"/>
            <w:vMerge/>
            <w:shd w:val="clear" w:color="000000" w:fill="FFFFFF"/>
          </w:tcPr>
          <w:p w:rsidR="001B6052" w:rsidRPr="0091374D" w:rsidRDefault="001B6052" w:rsidP="00940B83">
            <w:pPr>
              <w:rPr>
                <w:rFonts w:ascii="Times New Roman" w:hAnsi="Times New Roman" w:cs="Times New Roman"/>
              </w:rPr>
            </w:pPr>
          </w:p>
        </w:tc>
        <w:tc>
          <w:tcPr>
            <w:tcW w:w="996"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Residual</w:t>
            </w:r>
          </w:p>
        </w:tc>
        <w:tc>
          <w:tcPr>
            <w:tcW w:w="10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.140</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18</w:t>
            </w:r>
          </w:p>
        </w:tc>
        <w:tc>
          <w:tcPr>
            <w:tcW w:w="131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.008</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42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r>
      <w:tr w:rsidR="001B6052" w:rsidRPr="0091374D" w:rsidTr="00940B83">
        <w:trPr>
          <w:trHeight w:val="218"/>
        </w:trPr>
        <w:tc>
          <w:tcPr>
            <w:tcW w:w="996" w:type="dxa"/>
            <w:vMerge/>
            <w:shd w:val="clear" w:color="000000" w:fill="FFFFFF"/>
          </w:tcPr>
          <w:p w:rsidR="001B6052" w:rsidRPr="0091374D" w:rsidRDefault="001B6052" w:rsidP="00940B83">
            <w:pPr>
              <w:rPr>
                <w:rFonts w:ascii="Times New Roman" w:hAnsi="Times New Roman" w:cs="Times New Roman"/>
              </w:rPr>
            </w:pPr>
          </w:p>
        </w:tc>
        <w:tc>
          <w:tcPr>
            <w:tcW w:w="996"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Total</w:t>
            </w:r>
          </w:p>
        </w:tc>
        <w:tc>
          <w:tcPr>
            <w:tcW w:w="10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.211</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20</w:t>
            </w:r>
          </w:p>
        </w:tc>
        <w:tc>
          <w:tcPr>
            <w:tcW w:w="131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038"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4275"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r>
    </w:tbl>
    <w:p w:rsidR="001B6052" w:rsidRPr="0091374D" w:rsidRDefault="001B6052" w:rsidP="001B6052">
      <w:pPr>
        <w:spacing w:after="200" w:line="276" w:lineRule="auto"/>
        <w:jc w:val="center"/>
        <w:rPr>
          <w:rFonts w:ascii="Times New Roman" w:eastAsia="Times New Roman" w:hAnsi="Times New Roman" w:cs="Times New Roman"/>
          <w:b/>
        </w:rPr>
      </w:pPr>
      <w:r w:rsidRPr="0091374D">
        <w:rPr>
          <w:rFonts w:ascii="Times New Roman" w:hAnsi="Times New Roman" w:cs="Times New Roman"/>
          <w:b/>
        </w:rPr>
        <w:t>Table-3: Presentation of the F-value</w:t>
      </w: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3"/>
        <w:gridCol w:w="1013"/>
        <w:gridCol w:w="1029"/>
        <w:gridCol w:w="1012"/>
        <w:gridCol w:w="1451"/>
        <w:gridCol w:w="1012"/>
        <w:gridCol w:w="2650"/>
      </w:tblGrid>
      <w:tr w:rsidR="001B6052" w:rsidRPr="0091374D" w:rsidTr="00940B83">
        <w:trPr>
          <w:trHeight w:val="287"/>
        </w:trPr>
        <w:tc>
          <w:tcPr>
            <w:tcW w:w="1042"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Models</w:t>
            </w:r>
          </w:p>
        </w:tc>
        <w:tc>
          <w:tcPr>
            <w:tcW w:w="1042"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 xml:space="preserve"> </w:t>
            </w:r>
          </w:p>
        </w:tc>
        <w:tc>
          <w:tcPr>
            <w:tcW w:w="2304" w:type="dxa"/>
            <w:gridSpan w:val="2"/>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Unstandardized Coefficients</w:t>
            </w:r>
          </w:p>
        </w:tc>
        <w:tc>
          <w:tcPr>
            <w:tcW w:w="1550"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Standardized Coefficients</w:t>
            </w:r>
          </w:p>
        </w:tc>
        <w:tc>
          <w:tcPr>
            <w:tcW w:w="1152"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t</w:t>
            </w:r>
          </w:p>
        </w:tc>
        <w:tc>
          <w:tcPr>
            <w:tcW w:w="3530" w:type="dxa"/>
            <w:shd w:val="clear" w:color="000000" w:fill="D8D8D8" w:themeFill="background1" w:themeFillShade="D8"/>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Sig.</w:t>
            </w:r>
          </w:p>
        </w:tc>
      </w:tr>
      <w:tr w:rsidR="001B6052" w:rsidRPr="0091374D" w:rsidTr="00940B83">
        <w:trPr>
          <w:trHeight w:val="327"/>
        </w:trPr>
        <w:tc>
          <w:tcPr>
            <w:tcW w:w="1042" w:type="dxa"/>
            <w:shd w:val="clear" w:color="000000" w:fill="FFFFFF"/>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042" w:type="dxa"/>
            <w:shd w:val="clear" w:color="000000" w:fill="FFFFFF"/>
            <w:tcMar>
              <w:top w:w="0" w:type="dxa"/>
              <w:left w:w="93" w:type="dxa"/>
              <w:bottom w:w="0" w:type="dxa"/>
              <w:right w:w="93" w:type="dxa"/>
            </w:tcMar>
            <w:vAlign w:val="bottom"/>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152"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B</w:t>
            </w:r>
          </w:p>
        </w:tc>
        <w:tc>
          <w:tcPr>
            <w:tcW w:w="1152"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Std. Error</w:t>
            </w:r>
          </w:p>
        </w:tc>
        <w:tc>
          <w:tcPr>
            <w:tcW w:w="1550"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Beta</w:t>
            </w:r>
          </w:p>
        </w:tc>
        <w:tc>
          <w:tcPr>
            <w:tcW w:w="1152"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3530" w:type="dxa"/>
            <w:shd w:val="clear" w:color="000000" w:fill="FFFFFF"/>
            <w:tcMar>
              <w:top w:w="0" w:type="dxa"/>
              <w:left w:w="93" w:type="dxa"/>
              <w:bottom w:w="0" w:type="dxa"/>
              <w:right w:w="93" w:type="dxa"/>
            </w:tcMar>
            <w:vAlign w:val="bottom"/>
          </w:tcPr>
          <w:p w:rsidR="001B6052" w:rsidRPr="0091374D" w:rsidRDefault="001B6052" w:rsidP="00940B83">
            <w:pPr>
              <w:jc w:val="cente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r>
      <w:tr w:rsidR="001B6052" w:rsidRPr="0091374D" w:rsidTr="00940B83">
        <w:trPr>
          <w:trHeight w:val="78"/>
        </w:trPr>
        <w:tc>
          <w:tcPr>
            <w:tcW w:w="1042" w:type="dxa"/>
            <w:shd w:val="clear" w:color="000000" w:fill="D8D8D8" w:themeFill="background1" w:themeFillShade="D8"/>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b/>
                <w:color w:val="000000"/>
                <w:sz w:val="18"/>
                <w:szCs w:val="18"/>
              </w:rPr>
            </w:pPr>
            <w:r w:rsidRPr="0091374D">
              <w:rPr>
                <w:rFonts w:ascii="Times New Roman" w:hAnsi="Times New Roman" w:cs="Times New Roman"/>
                <w:b/>
                <w:color w:val="000000"/>
                <w:sz w:val="18"/>
                <w:szCs w:val="18"/>
              </w:rPr>
              <w:t>Model-I</w:t>
            </w: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(Constant)</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.761</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.226</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3.370</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.004</w:t>
            </w:r>
          </w:p>
        </w:tc>
      </w:tr>
      <w:tr w:rsidR="001B6052" w:rsidRPr="0091374D" w:rsidTr="00940B83">
        <w:trPr>
          <w:trHeight w:val="229"/>
        </w:trPr>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ROA</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-1.209</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1.149</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-.518</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-1.052</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.309</w:t>
            </w:r>
          </w:p>
        </w:tc>
      </w:tr>
      <w:tr w:rsidR="001B6052" w:rsidRPr="0091374D" w:rsidTr="00940B83">
        <w:trPr>
          <w:trHeight w:val="229"/>
        </w:trPr>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SIZE</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-.146</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.052</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-3.830</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-2.799</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.013</w:t>
            </w:r>
          </w:p>
        </w:tc>
      </w:tr>
      <w:tr w:rsidR="001B6052" w:rsidRPr="0091374D" w:rsidTr="00940B83">
        <w:trPr>
          <w:trHeight w:val="229"/>
        </w:trPr>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EBT</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.146</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.053</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4.545</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2.752</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.015</w:t>
            </w:r>
          </w:p>
        </w:tc>
      </w:tr>
      <w:tr w:rsidR="001B6052" w:rsidRPr="0091374D" w:rsidTr="00940B83">
        <w:trPr>
          <w:trHeight w:val="229"/>
        </w:trPr>
        <w:tc>
          <w:tcPr>
            <w:tcW w:w="1042" w:type="dxa"/>
            <w:tcBorders>
              <w:bottom w:val="single" w:sz="4" w:space="0" w:color="000000"/>
            </w:tcBorders>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BS</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-.010</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.003</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-.490</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-3.082</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.008</w:t>
            </w:r>
          </w:p>
        </w:tc>
      </w:tr>
      <w:tr w:rsidR="001B6052" w:rsidRPr="0091374D" w:rsidTr="00940B83">
        <w:trPr>
          <w:trHeight w:val="83"/>
        </w:trPr>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b/>
                <w:color w:val="000000"/>
                <w:sz w:val="18"/>
                <w:szCs w:val="18"/>
              </w:rPr>
            </w:pP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AGE</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.002</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.001</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.552</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3.024</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.009</w:t>
            </w:r>
          </w:p>
        </w:tc>
      </w:tr>
      <w:tr w:rsidR="001B6052" w:rsidRPr="0091374D" w:rsidTr="00940B83">
        <w:trPr>
          <w:trHeight w:val="83"/>
        </w:trPr>
        <w:tc>
          <w:tcPr>
            <w:tcW w:w="1042" w:type="dxa"/>
            <w:shd w:val="clear" w:color="000000" w:fill="D9D9D9" w:themeFill="background1" w:themeFillShade="D9"/>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b/>
                <w:color w:val="000000"/>
                <w:sz w:val="18"/>
                <w:szCs w:val="18"/>
              </w:rPr>
              <w:t>Model-II</w:t>
            </w: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(Constant)</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.734</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.149</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 xml:space="preserve"> </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4.928</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.000</w:t>
            </w:r>
          </w:p>
        </w:tc>
      </w:tr>
      <w:tr w:rsidR="001B6052" w:rsidRPr="0091374D" w:rsidTr="00940B83">
        <w:trPr>
          <w:trHeight w:val="83"/>
        </w:trPr>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INDEPB</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-1.063</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.446</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-.492</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-2.381</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sz w:val="18"/>
                <w:szCs w:val="18"/>
              </w:rPr>
            </w:pPr>
            <w:r w:rsidRPr="0091374D">
              <w:rPr>
                <w:rFonts w:ascii="Times New Roman" w:hAnsi="Times New Roman" w:cs="Times New Roman"/>
                <w:color w:val="000000"/>
                <w:sz w:val="18"/>
                <w:szCs w:val="18"/>
              </w:rPr>
              <w:t>.029</w:t>
            </w:r>
          </w:p>
        </w:tc>
      </w:tr>
      <w:tr w:rsidR="001B6052" w:rsidRPr="0091374D" w:rsidTr="00940B83">
        <w:trPr>
          <w:trHeight w:val="83"/>
        </w:trPr>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p>
        </w:tc>
        <w:tc>
          <w:tcPr>
            <w:tcW w:w="1042" w:type="dxa"/>
            <w:shd w:val="clear" w:color="000000" w:fill="FFFFFF"/>
            <w:tcMar>
              <w:top w:w="0" w:type="dxa"/>
              <w:left w:w="93" w:type="dxa"/>
              <w:bottom w:w="0" w:type="dxa"/>
              <w:right w:w="93" w:type="dxa"/>
            </w:tcMar>
          </w:tcPr>
          <w:p w:rsidR="001B6052" w:rsidRPr="0091374D" w:rsidRDefault="001B6052" w:rsidP="00940B83">
            <w:pPr>
              <w:rPr>
                <w:rFonts w:ascii="Times New Roman" w:eastAsia="Times New Roman" w:hAnsi="Times New Roman" w:cs="Times New Roman"/>
                <w:color w:val="000000"/>
              </w:rPr>
            </w:pPr>
            <w:r w:rsidRPr="0091374D">
              <w:rPr>
                <w:rFonts w:ascii="Times New Roman" w:hAnsi="Times New Roman" w:cs="Times New Roman"/>
                <w:color w:val="000000"/>
              </w:rPr>
              <w:t>BS</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-.023</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.009</w:t>
            </w:r>
          </w:p>
        </w:tc>
        <w:tc>
          <w:tcPr>
            <w:tcW w:w="155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-.537</w:t>
            </w:r>
          </w:p>
        </w:tc>
        <w:tc>
          <w:tcPr>
            <w:tcW w:w="1152"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-2.595</w:t>
            </w:r>
          </w:p>
        </w:tc>
        <w:tc>
          <w:tcPr>
            <w:tcW w:w="3530" w:type="dxa"/>
            <w:shd w:val="clear" w:color="000000" w:fill="FFFFFF"/>
            <w:tcMar>
              <w:top w:w="0" w:type="dxa"/>
              <w:left w:w="93" w:type="dxa"/>
              <w:bottom w:w="0" w:type="dxa"/>
              <w:right w:w="93" w:type="dxa"/>
            </w:tcMar>
            <w:vAlign w:val="center"/>
          </w:tcPr>
          <w:p w:rsidR="001B6052" w:rsidRPr="0091374D" w:rsidRDefault="001B6052" w:rsidP="00940B83">
            <w:pPr>
              <w:jc w:val="right"/>
              <w:rPr>
                <w:rFonts w:ascii="Times New Roman" w:eastAsia="Times New Roman" w:hAnsi="Times New Roman" w:cs="Times New Roman"/>
                <w:color w:val="000000"/>
              </w:rPr>
            </w:pPr>
            <w:r w:rsidRPr="0091374D">
              <w:rPr>
                <w:rFonts w:ascii="Times New Roman" w:hAnsi="Times New Roman" w:cs="Times New Roman"/>
                <w:color w:val="000000"/>
              </w:rPr>
              <w:t>.018</w:t>
            </w:r>
          </w:p>
        </w:tc>
      </w:tr>
    </w:tbl>
    <w:p w:rsidR="001B6052" w:rsidRDefault="001B6052" w:rsidP="001B6052">
      <w:pPr>
        <w:spacing w:after="200" w:line="276" w:lineRule="auto"/>
        <w:jc w:val="center"/>
        <w:rPr>
          <w:rFonts w:ascii="Times New Roman" w:hAnsi="Times New Roman" w:cs="Times New Roman"/>
          <w:b/>
        </w:rPr>
      </w:pPr>
      <w:r w:rsidRPr="0091374D">
        <w:rPr>
          <w:rFonts w:ascii="Times New Roman" w:hAnsi="Times New Roman" w:cs="Times New Roman"/>
          <w:b/>
        </w:rPr>
        <w:t>Table-4: Regression Analysis</w:t>
      </w:r>
    </w:p>
    <w:p w:rsidR="007B1FF6" w:rsidRPr="0091374D" w:rsidRDefault="007B1FF6" w:rsidP="007B1FF6">
      <w:pPr>
        <w:spacing w:after="200" w:line="276" w:lineRule="auto"/>
        <w:rPr>
          <w:rFonts w:ascii="Times New Roman" w:eastAsia="Times New Roman" w:hAnsi="Times New Roman" w:cs="Times New Roman"/>
          <w:b/>
        </w:rPr>
      </w:pPr>
    </w:p>
    <w:sectPr w:rsidR="007B1FF6" w:rsidRPr="0091374D" w:rsidSect="00AD76DE">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NanumGothic">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052"/>
    <w:rsid w:val="001B6052"/>
    <w:rsid w:val="002015F1"/>
    <w:rsid w:val="0075119C"/>
    <w:rsid w:val="007B1FF6"/>
    <w:rsid w:val="00AD76DE"/>
    <w:rsid w:val="00CF3198"/>
    <w:rsid w:val="00FE6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052"/>
    <w:pPr>
      <w:spacing w:after="160" w:line="259" w:lineRule="auto"/>
    </w:pPr>
  </w:style>
  <w:style w:type="paragraph" w:styleId="Heading1">
    <w:name w:val="heading 1"/>
    <w:basedOn w:val="Normal"/>
    <w:next w:val="Normal"/>
    <w:link w:val="Heading1Char"/>
    <w:uiPriority w:val="9"/>
    <w:qFormat/>
    <w:rsid w:val="001B6052"/>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1B6052"/>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052"/>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1B6052"/>
    <w:rPr>
      <w:rFonts w:asciiTheme="majorHAnsi" w:eastAsiaTheme="majorEastAsia" w:hAnsiTheme="majorHAnsi" w:cstheme="majorBidi"/>
      <w:b/>
      <w:bCs/>
      <w:i/>
      <w:iCs/>
      <w:sz w:val="28"/>
      <w:szCs w:val="28"/>
    </w:rPr>
  </w:style>
  <w:style w:type="paragraph" w:styleId="NoSpacing">
    <w:name w:val="No Spacing"/>
    <w:link w:val="NoSpacingChar"/>
    <w:uiPriority w:val="1"/>
    <w:qFormat/>
    <w:rsid w:val="001B6052"/>
    <w:pPr>
      <w:spacing w:after="0" w:line="240" w:lineRule="auto"/>
    </w:pPr>
  </w:style>
  <w:style w:type="character" w:customStyle="1" w:styleId="NoSpacingChar">
    <w:name w:val="No Spacing Char"/>
    <w:basedOn w:val="DefaultParagraphFont"/>
    <w:link w:val="NoSpacing"/>
    <w:uiPriority w:val="1"/>
    <w:locked/>
    <w:rsid w:val="001B6052"/>
  </w:style>
  <w:style w:type="character" w:styleId="Emphasis">
    <w:name w:val="Emphasis"/>
    <w:basedOn w:val="DefaultParagraphFont"/>
    <w:uiPriority w:val="20"/>
    <w:qFormat/>
    <w:rsid w:val="001B6052"/>
    <w:rPr>
      <w:i/>
      <w:iCs/>
    </w:rPr>
  </w:style>
  <w:style w:type="paragraph" w:styleId="NormalWeb">
    <w:name w:val="Normal (Web)"/>
    <w:basedOn w:val="Normal"/>
    <w:uiPriority w:val="99"/>
    <w:unhideWhenUsed/>
    <w:rsid w:val="001B6052"/>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052"/>
    <w:pPr>
      <w:spacing w:after="160" w:line="259" w:lineRule="auto"/>
    </w:pPr>
  </w:style>
  <w:style w:type="paragraph" w:styleId="Heading1">
    <w:name w:val="heading 1"/>
    <w:basedOn w:val="Normal"/>
    <w:next w:val="Normal"/>
    <w:link w:val="Heading1Char"/>
    <w:uiPriority w:val="9"/>
    <w:qFormat/>
    <w:rsid w:val="001B6052"/>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1B6052"/>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052"/>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1B6052"/>
    <w:rPr>
      <w:rFonts w:asciiTheme="majorHAnsi" w:eastAsiaTheme="majorEastAsia" w:hAnsiTheme="majorHAnsi" w:cstheme="majorBidi"/>
      <w:b/>
      <w:bCs/>
      <w:i/>
      <w:iCs/>
      <w:sz w:val="28"/>
      <w:szCs w:val="28"/>
    </w:rPr>
  </w:style>
  <w:style w:type="paragraph" w:styleId="NoSpacing">
    <w:name w:val="No Spacing"/>
    <w:link w:val="NoSpacingChar"/>
    <w:uiPriority w:val="1"/>
    <w:qFormat/>
    <w:rsid w:val="001B6052"/>
    <w:pPr>
      <w:spacing w:after="0" w:line="240" w:lineRule="auto"/>
    </w:pPr>
  </w:style>
  <w:style w:type="character" w:customStyle="1" w:styleId="NoSpacingChar">
    <w:name w:val="No Spacing Char"/>
    <w:basedOn w:val="DefaultParagraphFont"/>
    <w:link w:val="NoSpacing"/>
    <w:uiPriority w:val="1"/>
    <w:locked/>
    <w:rsid w:val="001B6052"/>
  </w:style>
  <w:style w:type="character" w:styleId="Emphasis">
    <w:name w:val="Emphasis"/>
    <w:basedOn w:val="DefaultParagraphFont"/>
    <w:uiPriority w:val="20"/>
    <w:qFormat/>
    <w:rsid w:val="001B6052"/>
    <w:rPr>
      <w:i/>
      <w:iCs/>
    </w:rPr>
  </w:style>
  <w:style w:type="paragraph" w:styleId="NormalWeb">
    <w:name w:val="Normal (Web)"/>
    <w:basedOn w:val="Normal"/>
    <w:uiPriority w:val="99"/>
    <w:unhideWhenUsed/>
    <w:rsid w:val="001B605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4233</Words>
  <Characters>24130</Characters>
  <Application>Microsoft Office Word</Application>
  <DocSecurity>0</DocSecurity>
  <Lines>201</Lines>
  <Paragraphs>56</Paragraphs>
  <ScaleCrop>false</ScaleCrop>
  <Company/>
  <LinksUpToDate>false</LinksUpToDate>
  <CharactersWithSpaces>28307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ATIQUR RAHMAN</dc:creator>
  <cp:lastModifiedBy>MOHAMMAD ATIQUR RAHMAN</cp:lastModifiedBy>
  <cp:revision>5</cp:revision>
  <dcterms:created xsi:type="dcterms:W3CDTF">2019-01-07T08:46:00Z</dcterms:created>
  <dcterms:modified xsi:type="dcterms:W3CDTF">2019-01-12T06:46:00Z</dcterms:modified>
</cp:coreProperties>
</file>