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82E" w:rsidRDefault="00A4482E" w:rsidP="00A4482E">
      <w:pPr>
        <w:jc w:val="center"/>
        <w:rPr>
          <w:rFonts w:ascii="Times New Roman" w:hAnsi="Times New Roman" w:cs="Times New Roman"/>
          <w:b/>
          <w:sz w:val="40"/>
          <w:szCs w:val="40"/>
        </w:rPr>
      </w:pPr>
      <w:r>
        <w:rPr>
          <w:rFonts w:ascii="Times New Roman" w:hAnsi="Times New Roman" w:cs="Times New Roman"/>
          <w:noProof/>
          <w:sz w:val="40"/>
          <w:szCs w:val="40"/>
        </w:rPr>
        <mc:AlternateContent>
          <mc:Choice Requires="wps">
            <w:drawing>
              <wp:anchor distT="0" distB="0" distL="114300" distR="114300" simplePos="0" relativeHeight="251767808" behindDoc="0" locked="0" layoutInCell="1" allowOverlap="1" wp14:anchorId="109BD9AB" wp14:editId="45FA2D64">
                <wp:simplePos x="0" y="0"/>
                <wp:positionH relativeFrom="column">
                  <wp:posOffset>269050</wp:posOffset>
                </wp:positionH>
                <wp:positionV relativeFrom="paragraph">
                  <wp:posOffset>769620</wp:posOffset>
                </wp:positionV>
                <wp:extent cx="5343525" cy="6074410"/>
                <wp:effectExtent l="19050" t="19050" r="28575" b="21590"/>
                <wp:wrapNone/>
                <wp:docPr id="16" name="Straight Connector 16"/>
                <wp:cNvGraphicFramePr/>
                <a:graphic xmlns:a="http://schemas.openxmlformats.org/drawingml/2006/main">
                  <a:graphicData uri="http://schemas.microsoft.com/office/word/2010/wordprocessingShape">
                    <wps:wsp>
                      <wps:cNvCnPr/>
                      <wps:spPr>
                        <a:xfrm flipV="1">
                          <a:off x="0" y="0"/>
                          <a:ext cx="5343525" cy="6074410"/>
                        </a:xfrm>
                        <a:prstGeom prst="line">
                          <a:avLst/>
                        </a:prstGeom>
                        <a:ln w="28575">
                          <a:solidFill>
                            <a:schemeClr val="tx1">
                              <a:lumMod val="85000"/>
                              <a:lumOff val="15000"/>
                            </a:schemeClr>
                          </a:solidFill>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pt,60.6pt" to="441.95pt,5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" strokecolor="#272727 [2749]" strokeweight="2.25pt">
                <v:stroke dashstyle="1 1"/>
              </v:line>
            </w:pict>
          </mc:Fallback>
        </mc:AlternateContent>
      </w:r>
      <w:r w:rsidR="00ED3D30">
        <w:rPr>
          <w:rFonts w:ascii="Times New Roman" w:hAnsi="Times New Roman" w:cs="Times New Roman"/>
          <w:b/>
          <w:sz w:val="40"/>
          <w:szCs w:val="40"/>
        </w:rPr>
        <w:t xml:space="preserve">RETURN </w:t>
      </w:r>
      <w:r w:rsidRPr="00541225">
        <w:rPr>
          <w:rFonts w:ascii="Times New Roman" w:hAnsi="Times New Roman" w:cs="Times New Roman"/>
          <w:b/>
          <w:sz w:val="40"/>
          <w:szCs w:val="40"/>
        </w:rPr>
        <w:t xml:space="preserve">BEHAVIOR OF </w:t>
      </w:r>
      <w:r>
        <w:rPr>
          <w:rFonts w:ascii="Times New Roman" w:hAnsi="Times New Roman" w:cs="Times New Roman"/>
          <w:b/>
          <w:sz w:val="40"/>
          <w:szCs w:val="40"/>
        </w:rPr>
        <w:t xml:space="preserve">BANKING </w:t>
      </w:r>
      <w:r w:rsidR="00ED3D30">
        <w:rPr>
          <w:rFonts w:ascii="Times New Roman" w:hAnsi="Times New Roman" w:cs="Times New Roman"/>
          <w:b/>
          <w:sz w:val="40"/>
          <w:szCs w:val="40"/>
        </w:rPr>
        <w:t xml:space="preserve">SECTOR </w:t>
      </w:r>
      <w:r>
        <w:rPr>
          <w:rFonts w:ascii="Times New Roman" w:hAnsi="Times New Roman" w:cs="Times New Roman"/>
          <w:b/>
          <w:sz w:val="40"/>
          <w:szCs w:val="40"/>
        </w:rPr>
        <w:t xml:space="preserve">STOCKS </w:t>
      </w:r>
      <w:r w:rsidR="00ED3D30">
        <w:rPr>
          <w:rFonts w:ascii="Times New Roman" w:hAnsi="Times New Roman" w:cs="Times New Roman"/>
          <w:b/>
          <w:sz w:val="40"/>
          <w:szCs w:val="40"/>
        </w:rPr>
        <w:t>IN BANGLADESH</w:t>
      </w:r>
    </w:p>
    <w:p w:rsidR="00A4482E" w:rsidRPr="00541225" w:rsidRDefault="00A4482E" w:rsidP="00A4482E">
      <w:pPr>
        <w:rPr>
          <w:rFonts w:ascii="Times New Roman" w:hAnsi="Times New Roman" w:cs="Times New Roman"/>
          <w:sz w:val="40"/>
          <w:szCs w:val="40"/>
        </w:rPr>
      </w:pPr>
      <w:r>
        <w:rPr>
          <w:rFonts w:ascii="Times New Roman" w:hAnsi="Times New Roman" w:cs="Times New Roman"/>
          <w:noProof/>
          <w:sz w:val="40"/>
          <w:szCs w:val="40"/>
        </w:rPr>
        <w:drawing>
          <wp:anchor distT="0" distB="0" distL="114300" distR="114300" simplePos="0" relativeHeight="251769856" behindDoc="0" locked="0" layoutInCell="1" allowOverlap="1" wp14:anchorId="2222BDD6" wp14:editId="29D9896B">
            <wp:simplePos x="0" y="0"/>
            <wp:positionH relativeFrom="margin">
              <wp:posOffset>-240665</wp:posOffset>
            </wp:positionH>
            <wp:positionV relativeFrom="paragraph">
              <wp:posOffset>1075055</wp:posOffset>
            </wp:positionV>
            <wp:extent cx="3721100" cy="2184400"/>
            <wp:effectExtent l="977900" t="260350" r="971550" b="26670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banking-customer-experience.png"/>
                    <pic:cNvPicPr/>
                  </pic:nvPicPr>
                  <pic:blipFill>
                    <a:blip r:embed="rId9">
                      <a:extLst>
                        <a:ext uri="{28A0092B-C50C-407E-A947-70E740481C1C}">
                          <a14:useLocalDpi xmlns:a14="http://schemas.microsoft.com/office/drawing/2010/main" val="0"/>
                        </a:ext>
                      </a:extLst>
                    </a:blip>
                    <a:stretch>
                      <a:fillRect/>
                    </a:stretch>
                  </pic:blipFill>
                  <pic:spPr>
                    <a:xfrm rot="18738199">
                      <a:off x="0" y="0"/>
                      <a:ext cx="3721100" cy="2184400"/>
                    </a:xfrm>
                    <a:prstGeom prst="rect">
                      <a:avLst/>
                    </a:prstGeom>
                  </pic:spPr>
                </pic:pic>
              </a:graphicData>
            </a:graphic>
            <wp14:sizeRelH relativeFrom="page">
              <wp14:pctWidth>0</wp14:pctWidth>
            </wp14:sizeRelH>
            <wp14:sizeRelV relativeFrom="page">
              <wp14:pctHeight>0</wp14:pctHeight>
            </wp14:sizeRelV>
          </wp:anchor>
        </w:drawing>
      </w: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r>
        <w:rPr>
          <w:rFonts w:ascii="Times New Roman" w:hAnsi="Times New Roman" w:cs="Times New Roman"/>
          <w:b/>
          <w:noProof/>
          <w:sz w:val="40"/>
          <w:szCs w:val="40"/>
        </w:rPr>
        <w:drawing>
          <wp:anchor distT="0" distB="0" distL="114300" distR="114300" simplePos="0" relativeHeight="251768832" behindDoc="0" locked="0" layoutInCell="1" allowOverlap="1" wp14:anchorId="4F41355D" wp14:editId="13A8FDE4">
            <wp:simplePos x="0" y="0"/>
            <wp:positionH relativeFrom="margin">
              <wp:posOffset>2712720</wp:posOffset>
            </wp:positionH>
            <wp:positionV relativeFrom="margin">
              <wp:posOffset>3565525</wp:posOffset>
            </wp:positionV>
            <wp:extent cx="2804160" cy="2832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842458_dhaka-stock-exchange-logo-clipart-removebg-preview.png"/>
                    <pic:cNvPicPr/>
                  </pic:nvPicPr>
                  <pic:blipFill>
                    <a:blip r:embed="rId10">
                      <a:extLst>
                        <a:ext uri="{28A0092B-C50C-407E-A947-70E740481C1C}">
                          <a14:useLocalDpi xmlns:a14="http://schemas.microsoft.com/office/drawing/2010/main" val="0"/>
                        </a:ext>
                      </a:extLst>
                    </a:blip>
                    <a:stretch>
                      <a:fillRect/>
                    </a:stretch>
                  </pic:blipFill>
                  <pic:spPr>
                    <a:xfrm rot="18720114">
                      <a:off x="0" y="0"/>
                      <a:ext cx="2804160" cy="2832100"/>
                    </a:xfrm>
                    <a:prstGeom prst="rect">
                      <a:avLst/>
                    </a:prstGeom>
                  </pic:spPr>
                </pic:pic>
              </a:graphicData>
            </a:graphic>
            <wp14:sizeRelH relativeFrom="page">
              <wp14:pctWidth>0</wp14:pctWidth>
            </wp14:sizeRelH>
            <wp14:sizeRelV relativeFrom="page">
              <wp14:pctHeight>0</wp14:pctHeight>
            </wp14:sizeRelV>
          </wp:anchor>
        </w:drawing>
      </w: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Pr="00541225" w:rsidRDefault="00A4482E" w:rsidP="00A4482E">
      <w:pPr>
        <w:rPr>
          <w:rFonts w:ascii="Times New Roman" w:hAnsi="Times New Roman" w:cs="Times New Roman"/>
          <w:sz w:val="40"/>
          <w:szCs w:val="40"/>
        </w:rPr>
      </w:pPr>
    </w:p>
    <w:p w:rsidR="00A4482E" w:rsidRDefault="00A4482E" w:rsidP="00A4482E">
      <w:pPr>
        <w:jc w:val="center"/>
        <w:rPr>
          <w:rFonts w:ascii="Times New Roman" w:hAnsi="Times New Roman" w:cs="Times New Roman"/>
          <w:b/>
          <w:sz w:val="30"/>
          <w:szCs w:val="30"/>
        </w:rPr>
      </w:pPr>
    </w:p>
    <w:p w:rsidR="00A4482E" w:rsidRPr="00541225" w:rsidRDefault="00A4482E" w:rsidP="00A4482E">
      <w:pPr>
        <w:jc w:val="center"/>
        <w:rPr>
          <w:rFonts w:ascii="Times New Roman" w:hAnsi="Times New Roman" w:cs="Times New Roman"/>
          <w:b/>
          <w:sz w:val="30"/>
          <w:szCs w:val="30"/>
        </w:rPr>
      </w:pPr>
      <w:r w:rsidRPr="00541225">
        <w:rPr>
          <w:rFonts w:ascii="Times New Roman" w:hAnsi="Times New Roman" w:cs="Times New Roman"/>
          <w:b/>
          <w:sz w:val="30"/>
          <w:szCs w:val="30"/>
        </w:rPr>
        <w:t>This report is submitted to the school of Business and Economics, United International University as a partial requirement for the degree fulfillment of Bachelor of Business Administration</w:t>
      </w:r>
    </w:p>
    <w:p w:rsidR="00ED3D30" w:rsidRDefault="00ED3D30" w:rsidP="00BE33DB">
      <w:pPr>
        <w:tabs>
          <w:tab w:val="left" w:pos="1189"/>
        </w:tabs>
        <w:jc w:val="center"/>
        <w:rPr>
          <w:rFonts w:ascii="Times New Roman" w:hAnsi="Times New Roman" w:cs="Times New Roman"/>
          <w:b/>
          <w:sz w:val="36"/>
          <w:szCs w:val="36"/>
        </w:rPr>
      </w:pPr>
    </w:p>
    <w:p w:rsidR="00A626D0" w:rsidRDefault="00ED3D30" w:rsidP="00BE33DB">
      <w:pPr>
        <w:tabs>
          <w:tab w:val="left" w:pos="1189"/>
        </w:tabs>
        <w:jc w:val="center"/>
        <w:rPr>
          <w:rFonts w:ascii="Times New Roman" w:hAnsi="Times New Roman" w:cs="Times New Roman"/>
          <w:b/>
          <w:sz w:val="36"/>
          <w:szCs w:val="36"/>
        </w:rPr>
      </w:pPr>
      <w:r>
        <w:rPr>
          <w:rFonts w:ascii="Times New Roman" w:hAnsi="Times New Roman" w:cs="Times New Roman"/>
          <w:b/>
          <w:sz w:val="36"/>
          <w:szCs w:val="36"/>
        </w:rPr>
        <w:t>Return Behavior of Banking Sector Stocks in Bangladesh</w:t>
      </w:r>
    </w:p>
    <w:p w:rsidR="00D348AF" w:rsidRDefault="00D348AF" w:rsidP="00BE33DB">
      <w:pPr>
        <w:tabs>
          <w:tab w:val="left" w:pos="1189"/>
        </w:tabs>
        <w:jc w:val="center"/>
        <w:rPr>
          <w:rFonts w:ascii="Times New Roman" w:hAnsi="Times New Roman" w:cs="Times New Roman"/>
          <w:b/>
          <w:sz w:val="36"/>
          <w:szCs w:val="36"/>
        </w:rPr>
      </w:pPr>
    </w:p>
    <w:p w:rsidR="00D348AF" w:rsidRPr="00D348AF" w:rsidRDefault="00D348AF" w:rsidP="00D348AF">
      <w:pPr>
        <w:jc w:val="center"/>
        <w:rPr>
          <w:rFonts w:ascii="Times New Roman" w:hAnsi="Times New Roman" w:cs="Times New Roman"/>
          <w:b/>
          <w:sz w:val="28"/>
          <w:szCs w:val="28"/>
        </w:rPr>
      </w:pPr>
      <w:r w:rsidRPr="00D348AF">
        <w:rPr>
          <w:rFonts w:ascii="Times New Roman" w:hAnsi="Times New Roman" w:cs="Times New Roman"/>
          <w:b/>
          <w:sz w:val="28"/>
          <w:szCs w:val="28"/>
        </w:rPr>
        <w:t>Submitted to:</w:t>
      </w:r>
    </w:p>
    <w:p w:rsidR="00D348AF" w:rsidRPr="00521C6B" w:rsidRDefault="00521C6B" w:rsidP="00521C6B">
      <w:pPr>
        <w:jc w:val="center"/>
        <w:rPr>
          <w:rFonts w:ascii="Times New Roman" w:hAnsi="Times New Roman" w:cs="Times New Roman"/>
          <w:b/>
          <w:sz w:val="24"/>
          <w:szCs w:val="24"/>
        </w:rPr>
      </w:pPr>
      <w:r w:rsidRPr="00521C6B">
        <w:rPr>
          <w:rFonts w:ascii="Times New Roman" w:hAnsi="Times New Roman" w:cs="Times New Roman"/>
          <w:sz w:val="24"/>
          <w:szCs w:val="24"/>
        </w:rPr>
        <w:t xml:space="preserve">Muhammad </w:t>
      </w:r>
      <w:proofErr w:type="spellStart"/>
      <w:r w:rsidRPr="00521C6B">
        <w:rPr>
          <w:rFonts w:ascii="Times New Roman" w:hAnsi="Times New Roman" w:cs="Times New Roman"/>
          <w:sz w:val="24"/>
          <w:szCs w:val="24"/>
        </w:rPr>
        <w:t>Enamul</w:t>
      </w:r>
      <w:proofErr w:type="spellEnd"/>
      <w:r w:rsidRPr="00521C6B">
        <w:rPr>
          <w:rFonts w:ascii="Times New Roman" w:hAnsi="Times New Roman" w:cs="Times New Roman"/>
          <w:sz w:val="24"/>
          <w:szCs w:val="24"/>
        </w:rPr>
        <w:t xml:space="preserve"> </w:t>
      </w:r>
      <w:proofErr w:type="spellStart"/>
      <w:r w:rsidRPr="00521C6B">
        <w:rPr>
          <w:rFonts w:ascii="Times New Roman" w:hAnsi="Times New Roman" w:cs="Times New Roman"/>
          <w:sz w:val="24"/>
          <w:szCs w:val="24"/>
        </w:rPr>
        <w:t>Haque</w:t>
      </w:r>
      <w:proofErr w:type="spellEnd"/>
      <w:r w:rsidRPr="00521C6B">
        <w:rPr>
          <w:rFonts w:ascii="Times New Roman" w:hAnsi="Times New Roman" w:cs="Times New Roman"/>
          <w:sz w:val="24"/>
          <w:szCs w:val="24"/>
        </w:rPr>
        <w:t xml:space="preserve"> (MEH)</w:t>
      </w:r>
    </w:p>
    <w:p w:rsidR="00D348AF" w:rsidRPr="00521C6B" w:rsidRDefault="00ED3D30" w:rsidP="00521C6B">
      <w:pPr>
        <w:spacing w:line="360" w:lineRule="auto"/>
        <w:jc w:val="center"/>
        <w:rPr>
          <w:rFonts w:ascii="Times New Roman" w:eastAsia="Calibri" w:hAnsi="Times New Roman" w:cs="Times New Roman"/>
          <w:sz w:val="24"/>
          <w:szCs w:val="24"/>
          <w:lang w:bidi="bn-BD"/>
        </w:rPr>
      </w:pPr>
      <w:r>
        <w:rPr>
          <w:rFonts w:ascii="Times New Roman" w:eastAsia="Calibri" w:hAnsi="Times New Roman" w:cs="Times New Roman"/>
          <w:sz w:val="24"/>
          <w:szCs w:val="24"/>
          <w:lang w:bidi="bn-BD"/>
        </w:rPr>
        <w:t>Assistant</w:t>
      </w:r>
      <w:r w:rsidR="00521C6B" w:rsidRPr="00521C6B">
        <w:rPr>
          <w:rFonts w:ascii="Times New Roman" w:eastAsia="Calibri" w:hAnsi="Times New Roman" w:cs="Times New Roman"/>
          <w:sz w:val="24"/>
          <w:szCs w:val="24"/>
          <w:lang w:bidi="bn-BD"/>
        </w:rPr>
        <w:t xml:space="preserve"> Professor</w:t>
      </w:r>
    </w:p>
    <w:p w:rsidR="00D348AF" w:rsidRDefault="00D348AF" w:rsidP="00D348AF">
      <w:pPr>
        <w:spacing w:line="360" w:lineRule="auto"/>
        <w:jc w:val="center"/>
        <w:rPr>
          <w:rFonts w:ascii="Times New Roman" w:hAnsi="Times New Roman" w:cs="Times New Roman"/>
          <w:sz w:val="24"/>
          <w:szCs w:val="24"/>
        </w:rPr>
      </w:pPr>
      <w:r w:rsidRPr="00D348AF">
        <w:rPr>
          <w:rFonts w:ascii="Times New Roman" w:hAnsi="Times New Roman" w:cs="Times New Roman"/>
          <w:sz w:val="24"/>
          <w:szCs w:val="24"/>
        </w:rPr>
        <w:t>Major: Finance</w:t>
      </w:r>
    </w:p>
    <w:p w:rsidR="00ED3D30" w:rsidRPr="00D348AF" w:rsidRDefault="00ED3D30" w:rsidP="00D348AF">
      <w:pPr>
        <w:spacing w:line="360" w:lineRule="auto"/>
        <w:jc w:val="center"/>
        <w:rPr>
          <w:rFonts w:ascii="Times New Roman" w:hAnsi="Times New Roman" w:cs="Times New Roman"/>
          <w:sz w:val="24"/>
          <w:szCs w:val="24"/>
        </w:rPr>
      </w:pPr>
      <w:r>
        <w:rPr>
          <w:rFonts w:ascii="Times New Roman" w:hAnsi="Times New Roman" w:cs="Times New Roman"/>
          <w:sz w:val="24"/>
          <w:szCs w:val="24"/>
        </w:rPr>
        <w:t>School of Business and Economics</w:t>
      </w:r>
    </w:p>
    <w:p w:rsidR="00D348AF" w:rsidRPr="00D348AF" w:rsidRDefault="00D348AF" w:rsidP="00D348AF">
      <w:pPr>
        <w:jc w:val="center"/>
        <w:rPr>
          <w:rFonts w:ascii="Times New Roman" w:hAnsi="Times New Roman" w:cs="Times New Roman"/>
          <w:sz w:val="24"/>
          <w:szCs w:val="24"/>
        </w:rPr>
      </w:pPr>
    </w:p>
    <w:p w:rsidR="00D348AF" w:rsidRPr="00D348AF" w:rsidRDefault="00D348AF" w:rsidP="00D348AF">
      <w:pPr>
        <w:spacing w:line="360" w:lineRule="auto"/>
        <w:jc w:val="center"/>
        <w:rPr>
          <w:rFonts w:ascii="Times New Roman" w:hAnsi="Times New Roman" w:cs="Times New Roman"/>
          <w:b/>
          <w:sz w:val="28"/>
          <w:szCs w:val="28"/>
        </w:rPr>
      </w:pPr>
      <w:r w:rsidRPr="00D348AF">
        <w:rPr>
          <w:rFonts w:ascii="Times New Roman" w:hAnsi="Times New Roman" w:cs="Times New Roman"/>
          <w:b/>
          <w:sz w:val="28"/>
          <w:szCs w:val="28"/>
        </w:rPr>
        <w:t>Submitted by:</w:t>
      </w:r>
    </w:p>
    <w:p w:rsidR="00D348AF" w:rsidRPr="00D348AF" w:rsidRDefault="00D348AF" w:rsidP="00D348AF">
      <w:pPr>
        <w:spacing w:line="360" w:lineRule="auto"/>
        <w:jc w:val="center"/>
        <w:rPr>
          <w:rFonts w:ascii="Times New Roman" w:hAnsi="Times New Roman" w:cs="Times New Roman"/>
          <w:sz w:val="24"/>
          <w:szCs w:val="24"/>
        </w:rPr>
      </w:pPr>
      <w:r w:rsidRPr="00D348AF">
        <w:rPr>
          <w:rFonts w:ascii="Times New Roman" w:hAnsi="Times New Roman" w:cs="Times New Roman"/>
          <w:sz w:val="24"/>
          <w:szCs w:val="24"/>
        </w:rPr>
        <w:t xml:space="preserve">Name: </w:t>
      </w:r>
      <w:r>
        <w:rPr>
          <w:rFonts w:ascii="Times New Roman" w:hAnsi="Times New Roman" w:cs="Times New Roman"/>
          <w:sz w:val="24"/>
          <w:szCs w:val="24"/>
        </w:rPr>
        <w:t xml:space="preserve">Md. </w:t>
      </w:r>
      <w:proofErr w:type="spellStart"/>
      <w:r>
        <w:rPr>
          <w:rFonts w:ascii="Times New Roman" w:hAnsi="Times New Roman" w:cs="Times New Roman"/>
          <w:sz w:val="24"/>
          <w:szCs w:val="24"/>
        </w:rPr>
        <w:t>Niaj</w:t>
      </w:r>
      <w:proofErr w:type="spellEnd"/>
      <w:r>
        <w:rPr>
          <w:rFonts w:ascii="Times New Roman" w:hAnsi="Times New Roman" w:cs="Times New Roman"/>
          <w:sz w:val="24"/>
          <w:szCs w:val="24"/>
        </w:rPr>
        <w:t xml:space="preserve"> Uddin</w:t>
      </w:r>
    </w:p>
    <w:p w:rsidR="00D348AF" w:rsidRPr="00D348AF" w:rsidRDefault="00D348AF" w:rsidP="00D348AF">
      <w:pPr>
        <w:spacing w:line="360" w:lineRule="auto"/>
        <w:jc w:val="center"/>
        <w:rPr>
          <w:rFonts w:ascii="Times New Roman" w:hAnsi="Times New Roman" w:cs="Times New Roman"/>
          <w:sz w:val="24"/>
          <w:szCs w:val="24"/>
        </w:rPr>
      </w:pPr>
      <w:r w:rsidRPr="00D348AF">
        <w:rPr>
          <w:rFonts w:ascii="Times New Roman" w:hAnsi="Times New Roman" w:cs="Times New Roman"/>
          <w:sz w:val="24"/>
          <w:szCs w:val="24"/>
        </w:rPr>
        <w:t xml:space="preserve">Id: 111 152 </w:t>
      </w:r>
      <w:r>
        <w:rPr>
          <w:rFonts w:ascii="Times New Roman" w:hAnsi="Times New Roman" w:cs="Times New Roman"/>
          <w:sz w:val="24"/>
          <w:szCs w:val="24"/>
        </w:rPr>
        <w:t>089</w:t>
      </w:r>
    </w:p>
    <w:p w:rsidR="00D348AF" w:rsidRDefault="00D348AF" w:rsidP="00D348AF">
      <w:pPr>
        <w:rPr>
          <w:rFonts w:ascii="Times New Roman" w:hAnsi="Times New Roman" w:cs="Times New Roman"/>
          <w:sz w:val="24"/>
          <w:szCs w:val="24"/>
        </w:rPr>
      </w:pPr>
    </w:p>
    <w:p w:rsidR="001D33D5" w:rsidRDefault="001D33D5" w:rsidP="00D348AF">
      <w:pPr>
        <w:rPr>
          <w:rFonts w:ascii="Times New Roman" w:hAnsi="Times New Roman" w:cs="Times New Roman"/>
          <w:sz w:val="24"/>
          <w:szCs w:val="24"/>
        </w:rPr>
      </w:pPr>
    </w:p>
    <w:p w:rsidR="00ED3D30" w:rsidRPr="00D348AF" w:rsidRDefault="00ED3D30" w:rsidP="00D348AF">
      <w:pPr>
        <w:rPr>
          <w:rFonts w:ascii="Times New Roman" w:hAnsi="Times New Roman" w:cs="Times New Roman"/>
          <w:sz w:val="24"/>
          <w:szCs w:val="24"/>
        </w:rPr>
      </w:pPr>
    </w:p>
    <w:p w:rsidR="00D348AF" w:rsidRPr="00ED3D30" w:rsidRDefault="00D348AF" w:rsidP="00D348AF">
      <w:pPr>
        <w:jc w:val="center"/>
        <w:rPr>
          <w:rFonts w:ascii="Times New Roman" w:hAnsi="Times New Roman" w:cs="Times New Roman"/>
          <w:b/>
          <w:i/>
          <w:sz w:val="32"/>
          <w:szCs w:val="32"/>
        </w:rPr>
      </w:pPr>
      <w:r w:rsidRPr="00ED3D30">
        <w:rPr>
          <w:rFonts w:ascii="Times New Roman" w:hAnsi="Times New Roman" w:cs="Times New Roman"/>
          <w:b/>
          <w:i/>
          <w:noProof/>
          <w:sz w:val="36"/>
          <w:szCs w:val="36"/>
        </w:rPr>
        <w:drawing>
          <wp:anchor distT="0" distB="0" distL="114300" distR="114300" simplePos="0" relativeHeight="251660288" behindDoc="0" locked="0" layoutInCell="1" allowOverlap="1" wp14:anchorId="6401553C" wp14:editId="222FC932">
            <wp:simplePos x="0" y="0"/>
            <wp:positionH relativeFrom="column">
              <wp:posOffset>279577</wp:posOffset>
            </wp:positionH>
            <wp:positionV relativeFrom="paragraph">
              <wp:posOffset>112425</wp:posOffset>
            </wp:positionV>
            <wp:extent cx="752475" cy="639460"/>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78283" name="heade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2475" cy="639460"/>
                    </a:xfrm>
                    <a:prstGeom prst="rect">
                      <a:avLst/>
                    </a:prstGeom>
                  </pic:spPr>
                </pic:pic>
              </a:graphicData>
            </a:graphic>
          </wp:anchor>
        </w:drawing>
      </w:r>
      <w:r w:rsidRPr="00ED3D30">
        <w:rPr>
          <w:rFonts w:ascii="Times New Roman" w:hAnsi="Times New Roman" w:cs="Times New Roman"/>
          <w:b/>
          <w:i/>
          <w:sz w:val="32"/>
          <w:szCs w:val="32"/>
        </w:rPr>
        <w:t>School of Business and Economic</w:t>
      </w:r>
    </w:p>
    <w:p w:rsidR="00D348AF" w:rsidRPr="00D348AF" w:rsidRDefault="00D348AF" w:rsidP="00D348AF">
      <w:pPr>
        <w:jc w:val="center"/>
        <w:rPr>
          <w:rFonts w:ascii="Times New Roman" w:hAnsi="Times New Roman" w:cs="Times New Roman"/>
          <w:b/>
          <w:sz w:val="40"/>
          <w:szCs w:val="40"/>
        </w:rPr>
      </w:pPr>
      <w:r w:rsidRPr="00D348AF">
        <w:rPr>
          <w:rFonts w:ascii="Times New Roman" w:hAnsi="Times New Roman" w:cs="Times New Roman"/>
          <w:b/>
          <w:sz w:val="40"/>
          <w:szCs w:val="40"/>
        </w:rPr>
        <w:t>United International University</w:t>
      </w:r>
    </w:p>
    <w:p w:rsidR="00D348AF" w:rsidRPr="00D348AF" w:rsidRDefault="00D348AF" w:rsidP="00ED3D30">
      <w:pPr>
        <w:rPr>
          <w:rFonts w:ascii="Times New Roman" w:hAnsi="Times New Roman" w:cs="Times New Roman"/>
          <w:sz w:val="24"/>
          <w:szCs w:val="24"/>
        </w:rPr>
      </w:pPr>
    </w:p>
    <w:p w:rsidR="00D348AF" w:rsidRPr="00D348AF" w:rsidRDefault="00D348AF" w:rsidP="00ED3D30">
      <w:pPr>
        <w:rPr>
          <w:rFonts w:ascii="Times New Roman" w:hAnsi="Times New Roman" w:cs="Times New Roman"/>
          <w:sz w:val="24"/>
          <w:szCs w:val="24"/>
        </w:rPr>
      </w:pPr>
    </w:p>
    <w:p w:rsidR="00D348AF" w:rsidRPr="00D348AF" w:rsidRDefault="00627D24" w:rsidP="00D348AF">
      <w:pPr>
        <w:jc w:val="center"/>
        <w:rPr>
          <w:rFonts w:ascii="Times New Roman" w:hAnsi="Times New Roman" w:cs="Times New Roman"/>
          <w:b/>
          <w:sz w:val="28"/>
          <w:szCs w:val="28"/>
        </w:rPr>
      </w:pPr>
      <w:r>
        <w:rPr>
          <w:rFonts w:ascii="Times New Roman" w:hAnsi="Times New Roman" w:cs="Times New Roman"/>
          <w:b/>
          <w:sz w:val="28"/>
          <w:szCs w:val="28"/>
        </w:rPr>
        <w:t>Date of submission:</w:t>
      </w:r>
      <w:r w:rsidR="00035029">
        <w:rPr>
          <w:rFonts w:ascii="Times New Roman" w:hAnsi="Times New Roman" w:cs="Times New Roman"/>
          <w:b/>
          <w:sz w:val="28"/>
          <w:szCs w:val="28"/>
        </w:rPr>
        <w:t xml:space="preserve"> </w:t>
      </w:r>
      <w:r w:rsidR="00245300">
        <w:rPr>
          <w:rFonts w:ascii="Times New Roman" w:hAnsi="Times New Roman" w:cs="Times New Roman"/>
          <w:b/>
          <w:sz w:val="28"/>
          <w:szCs w:val="28"/>
        </w:rPr>
        <w:t>10</w:t>
      </w:r>
      <w:r w:rsidR="00035029" w:rsidRPr="00035029">
        <w:rPr>
          <w:rFonts w:ascii="Times New Roman" w:hAnsi="Times New Roman" w:cs="Times New Roman"/>
          <w:b/>
          <w:sz w:val="28"/>
          <w:szCs w:val="28"/>
          <w:vertAlign w:val="superscript"/>
        </w:rPr>
        <w:t>th</w:t>
      </w:r>
      <w:r w:rsidR="00035029">
        <w:rPr>
          <w:rFonts w:ascii="Times New Roman" w:hAnsi="Times New Roman" w:cs="Times New Roman"/>
          <w:b/>
          <w:sz w:val="28"/>
          <w:szCs w:val="28"/>
        </w:rPr>
        <w:t xml:space="preserve"> </w:t>
      </w:r>
      <w:r w:rsidR="00245300">
        <w:rPr>
          <w:rFonts w:ascii="Times New Roman" w:hAnsi="Times New Roman" w:cs="Times New Roman"/>
          <w:b/>
          <w:sz w:val="28"/>
          <w:szCs w:val="28"/>
        </w:rPr>
        <w:t>January</w:t>
      </w:r>
      <w:r w:rsidR="00035029">
        <w:rPr>
          <w:rFonts w:ascii="Times New Roman" w:hAnsi="Times New Roman" w:cs="Times New Roman"/>
          <w:b/>
          <w:sz w:val="28"/>
          <w:szCs w:val="28"/>
        </w:rPr>
        <w:t>, 202</w:t>
      </w:r>
      <w:r w:rsidR="00245300">
        <w:rPr>
          <w:rFonts w:ascii="Times New Roman" w:hAnsi="Times New Roman" w:cs="Times New Roman"/>
          <w:b/>
          <w:sz w:val="28"/>
          <w:szCs w:val="28"/>
        </w:rPr>
        <w:t>1</w:t>
      </w:r>
    </w:p>
    <w:p w:rsidR="003B0EA8" w:rsidRDefault="003B0EA8">
      <w:pPr>
        <w:rPr>
          <w:rFonts w:ascii="Times New Roman" w:hAnsi="Times New Roman" w:cs="Times New Roman"/>
          <w:sz w:val="36"/>
          <w:szCs w:val="36"/>
        </w:rPr>
      </w:pPr>
      <w:r>
        <w:rPr>
          <w:rFonts w:ascii="Times New Roman" w:hAnsi="Times New Roman" w:cs="Times New Roman"/>
          <w:sz w:val="36"/>
          <w:szCs w:val="36"/>
        </w:rPr>
        <w:br w:type="page"/>
      </w:r>
    </w:p>
    <w:p w:rsidR="003B0EA8" w:rsidRPr="00107BB0" w:rsidRDefault="003B0EA8" w:rsidP="00107BB0">
      <w:pPr>
        <w:pStyle w:val="Heading1"/>
      </w:pPr>
      <w:bookmarkStart w:id="0" w:name="_Toc36981433"/>
      <w:bookmarkStart w:id="1" w:name="_Toc62037694"/>
      <w:r w:rsidRPr="00107BB0">
        <w:lastRenderedPageBreak/>
        <w:t>Letter of transmittal</w:t>
      </w:r>
      <w:bookmarkEnd w:id="0"/>
      <w:bookmarkEnd w:id="1"/>
    </w:p>
    <w:p w:rsidR="003B0EA8" w:rsidRDefault="003B0EA8" w:rsidP="003B0EA8"/>
    <w:p w:rsidR="003B0EA8" w:rsidRPr="006548D2" w:rsidRDefault="007A79BF" w:rsidP="00CA1A3A">
      <w:pPr>
        <w:spacing w:line="360" w:lineRule="auto"/>
        <w:jc w:val="both"/>
        <w:rPr>
          <w:rFonts w:ascii="Times New Roman" w:eastAsia="Calibri" w:hAnsi="Times New Roman" w:cs="Times New Roman"/>
          <w:sz w:val="24"/>
          <w:szCs w:val="24"/>
          <w:lang w:bidi="bn-BD"/>
        </w:rPr>
      </w:pPr>
      <w:r>
        <w:rPr>
          <w:rFonts w:ascii="Times New Roman" w:eastAsia="Calibri" w:hAnsi="Times New Roman" w:cs="Times New Roman"/>
          <w:sz w:val="24"/>
          <w:szCs w:val="24"/>
          <w:lang w:bidi="bn-BD"/>
        </w:rPr>
        <w:t>10</w:t>
      </w:r>
      <w:r w:rsidR="003B0EA8" w:rsidRPr="006548D2">
        <w:rPr>
          <w:rFonts w:ascii="Times New Roman" w:eastAsia="Calibri" w:hAnsi="Times New Roman" w:cs="Times New Roman"/>
          <w:sz w:val="24"/>
          <w:szCs w:val="24"/>
          <w:vertAlign w:val="superscript"/>
          <w:lang w:bidi="bn-BD"/>
        </w:rPr>
        <w:t>th</w:t>
      </w:r>
      <w:r w:rsidR="00905E64">
        <w:rPr>
          <w:rFonts w:ascii="Times New Roman" w:eastAsia="Calibri" w:hAnsi="Times New Roman" w:cs="Times New Roman"/>
          <w:sz w:val="24"/>
          <w:szCs w:val="24"/>
          <w:lang w:bidi="bn-BD"/>
        </w:rPr>
        <w:t xml:space="preserve"> </w:t>
      </w:r>
      <w:r>
        <w:rPr>
          <w:rFonts w:ascii="Times New Roman" w:eastAsia="Calibri" w:hAnsi="Times New Roman" w:cs="Times New Roman"/>
          <w:sz w:val="24"/>
          <w:szCs w:val="24"/>
          <w:lang w:bidi="bn-BD"/>
        </w:rPr>
        <w:t>January</w:t>
      </w:r>
      <w:r w:rsidR="003B0EA8" w:rsidRPr="006548D2">
        <w:rPr>
          <w:rFonts w:ascii="Times New Roman" w:eastAsia="Calibri" w:hAnsi="Times New Roman" w:cs="Times New Roman"/>
          <w:sz w:val="24"/>
          <w:szCs w:val="24"/>
          <w:lang w:bidi="bn-BD"/>
        </w:rPr>
        <w:t>, 20</w:t>
      </w:r>
      <w:r w:rsidR="009450D7">
        <w:rPr>
          <w:rFonts w:ascii="Times New Roman" w:eastAsia="Calibri" w:hAnsi="Times New Roman" w:cs="Times New Roman"/>
          <w:sz w:val="24"/>
          <w:szCs w:val="24"/>
          <w:lang w:bidi="bn-BD"/>
        </w:rPr>
        <w:t>21</w:t>
      </w:r>
    </w:p>
    <w:p w:rsidR="003B0EA8" w:rsidRPr="006548D2" w:rsidRDefault="003B0EA8" w:rsidP="00CA1A3A">
      <w:pPr>
        <w:spacing w:line="360" w:lineRule="auto"/>
        <w:jc w:val="both"/>
        <w:rPr>
          <w:rFonts w:ascii="Times New Roman" w:hAnsi="Times New Roman" w:cs="Times New Roman"/>
          <w:b/>
          <w:sz w:val="24"/>
          <w:szCs w:val="24"/>
        </w:rPr>
      </w:pPr>
      <w:r w:rsidRPr="006548D2">
        <w:rPr>
          <w:rFonts w:ascii="Times New Roman" w:hAnsi="Times New Roman" w:cs="Times New Roman"/>
          <w:b/>
          <w:sz w:val="24"/>
          <w:szCs w:val="24"/>
        </w:rPr>
        <w:t xml:space="preserve">Muhammad </w:t>
      </w:r>
      <w:proofErr w:type="spellStart"/>
      <w:r w:rsidRPr="006548D2">
        <w:rPr>
          <w:rFonts w:ascii="Times New Roman" w:hAnsi="Times New Roman" w:cs="Times New Roman"/>
          <w:b/>
          <w:sz w:val="24"/>
          <w:szCs w:val="24"/>
        </w:rPr>
        <w:t>Enamul</w:t>
      </w:r>
      <w:proofErr w:type="spellEnd"/>
      <w:r w:rsidRPr="006548D2">
        <w:rPr>
          <w:rFonts w:ascii="Times New Roman" w:hAnsi="Times New Roman" w:cs="Times New Roman"/>
          <w:b/>
          <w:sz w:val="24"/>
          <w:szCs w:val="24"/>
        </w:rPr>
        <w:t xml:space="preserve"> </w:t>
      </w:r>
      <w:proofErr w:type="spellStart"/>
      <w:r w:rsidRPr="006548D2">
        <w:rPr>
          <w:rFonts w:ascii="Times New Roman" w:hAnsi="Times New Roman" w:cs="Times New Roman"/>
          <w:b/>
          <w:sz w:val="24"/>
          <w:szCs w:val="24"/>
        </w:rPr>
        <w:t>Haque</w:t>
      </w:r>
      <w:proofErr w:type="spellEnd"/>
      <w:r w:rsidRPr="006548D2">
        <w:rPr>
          <w:rFonts w:ascii="Times New Roman" w:hAnsi="Times New Roman" w:cs="Times New Roman"/>
          <w:b/>
          <w:sz w:val="24"/>
          <w:szCs w:val="24"/>
        </w:rPr>
        <w:t xml:space="preserve"> (MEH)</w:t>
      </w:r>
    </w:p>
    <w:p w:rsidR="003B0EA8" w:rsidRPr="006548D2" w:rsidRDefault="003B0EA8" w:rsidP="00CA1A3A">
      <w:pPr>
        <w:spacing w:line="360" w:lineRule="auto"/>
        <w:jc w:val="both"/>
        <w:rPr>
          <w:rFonts w:ascii="Times New Roman" w:eastAsia="Calibri" w:hAnsi="Times New Roman" w:cs="Times New Roman"/>
          <w:sz w:val="24"/>
          <w:szCs w:val="24"/>
          <w:lang w:bidi="bn-BD"/>
        </w:rPr>
      </w:pPr>
      <w:r w:rsidRPr="006548D2">
        <w:rPr>
          <w:rFonts w:ascii="Times New Roman" w:eastAsia="Calibri" w:hAnsi="Times New Roman" w:cs="Times New Roman"/>
          <w:sz w:val="24"/>
          <w:szCs w:val="24"/>
          <w:lang w:bidi="bn-BD"/>
        </w:rPr>
        <w:t>Ass</w:t>
      </w:r>
      <w:r w:rsidR="00ED3D30">
        <w:rPr>
          <w:rFonts w:ascii="Times New Roman" w:eastAsia="Calibri" w:hAnsi="Times New Roman" w:cs="Times New Roman"/>
          <w:sz w:val="24"/>
          <w:szCs w:val="24"/>
          <w:lang w:bidi="bn-BD"/>
        </w:rPr>
        <w:t>istant</w:t>
      </w:r>
      <w:r w:rsidRPr="006548D2">
        <w:rPr>
          <w:rFonts w:ascii="Times New Roman" w:eastAsia="Calibri" w:hAnsi="Times New Roman" w:cs="Times New Roman"/>
          <w:sz w:val="24"/>
          <w:szCs w:val="24"/>
          <w:lang w:bidi="bn-BD"/>
        </w:rPr>
        <w:t xml:space="preserve"> Professor</w:t>
      </w:r>
    </w:p>
    <w:p w:rsidR="003B0EA8" w:rsidRPr="006548D2" w:rsidRDefault="003B0EA8" w:rsidP="00CA1A3A">
      <w:pPr>
        <w:spacing w:line="360" w:lineRule="auto"/>
        <w:jc w:val="both"/>
        <w:rPr>
          <w:rFonts w:ascii="Times New Roman" w:eastAsia="Calibri" w:hAnsi="Times New Roman" w:cs="Times New Roman"/>
          <w:sz w:val="24"/>
          <w:szCs w:val="24"/>
          <w:lang w:bidi="bn-BD"/>
        </w:rPr>
      </w:pPr>
      <w:r w:rsidRPr="006548D2">
        <w:rPr>
          <w:rFonts w:ascii="Times New Roman" w:eastAsia="Calibri" w:hAnsi="Times New Roman" w:cs="Times New Roman"/>
          <w:sz w:val="24"/>
          <w:szCs w:val="24"/>
          <w:lang w:bidi="bn-BD"/>
        </w:rPr>
        <w:t>School of Business and Economics</w:t>
      </w:r>
    </w:p>
    <w:p w:rsidR="003B0EA8" w:rsidRPr="006548D2" w:rsidRDefault="003B0EA8" w:rsidP="00CA1A3A">
      <w:pPr>
        <w:spacing w:line="360" w:lineRule="auto"/>
        <w:jc w:val="both"/>
        <w:rPr>
          <w:rFonts w:ascii="Times New Roman" w:eastAsia="Calibri" w:hAnsi="Times New Roman" w:cs="Times New Roman"/>
          <w:sz w:val="24"/>
          <w:szCs w:val="24"/>
          <w:lang w:bidi="bn-BD"/>
        </w:rPr>
      </w:pPr>
      <w:r w:rsidRPr="006548D2">
        <w:rPr>
          <w:rFonts w:ascii="Times New Roman" w:eastAsia="Calibri" w:hAnsi="Times New Roman" w:cs="Times New Roman"/>
          <w:b/>
          <w:sz w:val="24"/>
          <w:szCs w:val="24"/>
          <w:lang w:bidi="bn-BD"/>
        </w:rPr>
        <w:t>United</w:t>
      </w:r>
      <w:r w:rsidRPr="006548D2">
        <w:rPr>
          <w:rFonts w:ascii="Times New Roman" w:eastAsia="Calibri" w:hAnsi="Times New Roman" w:cs="Times New Roman"/>
          <w:sz w:val="24"/>
          <w:szCs w:val="24"/>
          <w:lang w:bidi="bn-BD"/>
        </w:rPr>
        <w:t xml:space="preserve"> International </w:t>
      </w:r>
      <w:r w:rsidRPr="006548D2">
        <w:rPr>
          <w:rFonts w:ascii="Times New Roman" w:eastAsia="Calibri" w:hAnsi="Times New Roman" w:cs="Times New Roman"/>
          <w:b/>
          <w:sz w:val="24"/>
          <w:szCs w:val="24"/>
          <w:lang w:bidi="bn-BD"/>
        </w:rPr>
        <w:t>University</w:t>
      </w:r>
    </w:p>
    <w:p w:rsidR="003B0EA8" w:rsidRPr="00ED3D30" w:rsidRDefault="003B0EA8" w:rsidP="00ED3D30">
      <w:pPr>
        <w:tabs>
          <w:tab w:val="left" w:pos="1189"/>
        </w:tabs>
        <w:jc w:val="both"/>
        <w:rPr>
          <w:rFonts w:ascii="Times New Roman" w:hAnsi="Times New Roman" w:cs="Times New Roman"/>
          <w:b/>
          <w:sz w:val="36"/>
          <w:szCs w:val="36"/>
        </w:rPr>
      </w:pPr>
      <w:r w:rsidRPr="006548D2">
        <w:rPr>
          <w:rFonts w:ascii="Times New Roman" w:eastAsia="Calibri" w:hAnsi="Times New Roman" w:cs="Times New Roman"/>
          <w:b/>
          <w:sz w:val="24"/>
          <w:szCs w:val="24"/>
          <w:lang w:bidi="bn-BD"/>
        </w:rPr>
        <w:t xml:space="preserve">Subject: </w:t>
      </w:r>
      <w:r w:rsidR="00246C92" w:rsidRPr="00EA0888">
        <w:rPr>
          <w:rFonts w:ascii="Times New Roman" w:eastAsia="Calibri" w:hAnsi="Times New Roman" w:cs="Times New Roman"/>
          <w:sz w:val="24"/>
          <w:szCs w:val="24"/>
          <w:u w:val="single"/>
          <w:lang w:bidi="bn-BD"/>
        </w:rPr>
        <w:t>Submission of internship report on “</w:t>
      </w:r>
      <w:r w:rsidR="00ED3D30" w:rsidRPr="00ED3D30">
        <w:rPr>
          <w:rFonts w:ascii="Times New Roman" w:hAnsi="Times New Roman" w:cs="Times New Roman"/>
          <w:b/>
          <w:szCs w:val="36"/>
        </w:rPr>
        <w:t>Return Behavior of Banking Sector Stocks in Bangladesh</w:t>
      </w:r>
    </w:p>
    <w:p w:rsidR="003B0EA8" w:rsidRPr="006548D2" w:rsidRDefault="003B0EA8" w:rsidP="00CA1A3A">
      <w:pPr>
        <w:spacing w:line="360" w:lineRule="auto"/>
        <w:jc w:val="both"/>
        <w:rPr>
          <w:rFonts w:ascii="Times New Roman" w:eastAsia="Calibri" w:hAnsi="Times New Roman" w:cs="Times New Roman"/>
          <w:sz w:val="24"/>
          <w:szCs w:val="24"/>
          <w:lang w:bidi="bn-BD"/>
        </w:rPr>
      </w:pPr>
      <w:r w:rsidRPr="006548D2">
        <w:rPr>
          <w:rFonts w:ascii="Times New Roman" w:eastAsia="Calibri" w:hAnsi="Times New Roman" w:cs="Times New Roman"/>
          <w:sz w:val="24"/>
          <w:szCs w:val="24"/>
          <w:lang w:bidi="bn-BD"/>
        </w:rPr>
        <w:t>Dear Sir,</w:t>
      </w:r>
    </w:p>
    <w:p w:rsidR="006548D2" w:rsidRPr="006548D2" w:rsidRDefault="006548D2" w:rsidP="00CA1A3A">
      <w:pPr>
        <w:spacing w:line="360" w:lineRule="auto"/>
        <w:jc w:val="both"/>
        <w:rPr>
          <w:rFonts w:ascii="Times New Roman" w:hAnsi="Times New Roman" w:cs="Times New Roman"/>
          <w:sz w:val="24"/>
          <w:szCs w:val="24"/>
        </w:rPr>
      </w:pPr>
      <w:r w:rsidRPr="006548D2">
        <w:rPr>
          <w:rFonts w:ascii="Times New Roman" w:hAnsi="Times New Roman" w:cs="Times New Roman"/>
          <w:sz w:val="24"/>
          <w:szCs w:val="24"/>
        </w:rPr>
        <w:t xml:space="preserve">I am the undergraduate student of BBA and my </w:t>
      </w:r>
      <w:r w:rsidR="0088567F">
        <w:rPr>
          <w:rFonts w:ascii="Times New Roman" w:hAnsi="Times New Roman" w:cs="Times New Roman"/>
          <w:sz w:val="24"/>
          <w:szCs w:val="24"/>
        </w:rPr>
        <w:t xml:space="preserve">internship </w:t>
      </w:r>
      <w:r w:rsidRPr="006548D2">
        <w:rPr>
          <w:rFonts w:ascii="Times New Roman" w:hAnsi="Times New Roman" w:cs="Times New Roman"/>
          <w:sz w:val="24"/>
          <w:szCs w:val="24"/>
        </w:rPr>
        <w:t>report topic "</w:t>
      </w:r>
      <w:r w:rsidR="00E96E26">
        <w:rPr>
          <w:rFonts w:ascii="Times New Roman" w:hAnsi="Times New Roman" w:cs="Times New Roman"/>
          <w:sz w:val="24"/>
          <w:szCs w:val="24"/>
        </w:rPr>
        <w:t xml:space="preserve">Return Behavior of Banking </w:t>
      </w:r>
      <w:r w:rsidR="0088567F" w:rsidRPr="0088567F">
        <w:rPr>
          <w:rFonts w:ascii="Times New Roman" w:hAnsi="Times New Roman" w:cs="Times New Roman"/>
          <w:sz w:val="24"/>
          <w:szCs w:val="24"/>
        </w:rPr>
        <w:t>Stocks</w:t>
      </w:r>
      <w:r w:rsidR="00E96E26">
        <w:rPr>
          <w:rFonts w:ascii="Times New Roman" w:hAnsi="Times New Roman" w:cs="Times New Roman"/>
          <w:sz w:val="24"/>
          <w:szCs w:val="24"/>
        </w:rPr>
        <w:t xml:space="preserve"> in Bangladesh</w:t>
      </w:r>
      <w:r w:rsidRPr="006548D2">
        <w:rPr>
          <w:rFonts w:ascii="Times New Roman" w:hAnsi="Times New Roman" w:cs="Times New Roman"/>
          <w:sz w:val="24"/>
          <w:szCs w:val="24"/>
        </w:rPr>
        <w:t>" under the Internship program</w:t>
      </w:r>
      <w:r w:rsidR="00633406">
        <w:rPr>
          <w:rFonts w:ascii="Times New Roman" w:hAnsi="Times New Roman" w:cs="Times New Roman"/>
          <w:sz w:val="24"/>
          <w:szCs w:val="24"/>
        </w:rPr>
        <w:t>”</w:t>
      </w:r>
      <w:r w:rsidRPr="006548D2">
        <w:rPr>
          <w:rFonts w:ascii="Times New Roman" w:hAnsi="Times New Roman" w:cs="Times New Roman"/>
          <w:sz w:val="24"/>
          <w:szCs w:val="24"/>
        </w:rPr>
        <w:t>.</w:t>
      </w:r>
    </w:p>
    <w:p w:rsidR="006548D2" w:rsidRPr="006548D2" w:rsidRDefault="006548D2" w:rsidP="00CA1A3A">
      <w:pPr>
        <w:spacing w:line="360" w:lineRule="auto"/>
        <w:jc w:val="both"/>
        <w:rPr>
          <w:rFonts w:ascii="Times New Roman" w:hAnsi="Times New Roman" w:cs="Times New Roman"/>
          <w:sz w:val="24"/>
          <w:szCs w:val="24"/>
        </w:rPr>
      </w:pPr>
      <w:r w:rsidRPr="006548D2">
        <w:rPr>
          <w:rFonts w:ascii="Times New Roman" w:hAnsi="Times New Roman" w:cs="Times New Roman"/>
          <w:sz w:val="24"/>
          <w:szCs w:val="24"/>
        </w:rPr>
        <w:t xml:space="preserve">Though I am in the learning curve, this report has enabled us to gain insight into the </w:t>
      </w:r>
      <w:r>
        <w:rPr>
          <w:rFonts w:ascii="Times New Roman" w:hAnsi="Times New Roman" w:cs="Times New Roman"/>
          <w:sz w:val="24"/>
          <w:szCs w:val="24"/>
        </w:rPr>
        <w:t>return behavior of banking industries stocks</w:t>
      </w:r>
      <w:r w:rsidRPr="006548D2">
        <w:rPr>
          <w:rFonts w:ascii="Times New Roman" w:hAnsi="Times New Roman" w:cs="Times New Roman"/>
          <w:sz w:val="24"/>
          <w:szCs w:val="24"/>
        </w:rPr>
        <w:t xml:space="preserve">. So it becomes like a very </w:t>
      </w:r>
      <w:r w:rsidR="0088567F">
        <w:rPr>
          <w:rFonts w:ascii="Times New Roman" w:hAnsi="Times New Roman" w:cs="Times New Roman"/>
          <w:sz w:val="24"/>
          <w:szCs w:val="24"/>
        </w:rPr>
        <w:t>interesting</w:t>
      </w:r>
      <w:r w:rsidRPr="006548D2">
        <w:rPr>
          <w:rFonts w:ascii="Times New Roman" w:hAnsi="Times New Roman" w:cs="Times New Roman"/>
          <w:sz w:val="24"/>
          <w:szCs w:val="24"/>
        </w:rPr>
        <w:t xml:space="preserve"> and fascinating experience. Much obliged to you for your </w:t>
      </w:r>
      <w:r w:rsidR="0088567F">
        <w:rPr>
          <w:rFonts w:ascii="Times New Roman" w:hAnsi="Times New Roman" w:cs="Times New Roman"/>
          <w:sz w:val="24"/>
          <w:szCs w:val="24"/>
        </w:rPr>
        <w:t>constant</w:t>
      </w:r>
      <w:r w:rsidRPr="006548D2">
        <w:rPr>
          <w:rFonts w:ascii="Times New Roman" w:hAnsi="Times New Roman" w:cs="Times New Roman"/>
          <w:sz w:val="24"/>
          <w:szCs w:val="24"/>
        </w:rPr>
        <w:t xml:space="preserve"> thought for detailing a thought. Without your </w:t>
      </w:r>
      <w:r w:rsidR="0088567F">
        <w:rPr>
          <w:rFonts w:ascii="Times New Roman" w:hAnsi="Times New Roman" w:cs="Times New Roman"/>
          <w:sz w:val="24"/>
          <w:szCs w:val="24"/>
        </w:rPr>
        <w:t>supervision</w:t>
      </w:r>
      <w:r w:rsidRPr="006548D2">
        <w:rPr>
          <w:rFonts w:ascii="Times New Roman" w:hAnsi="Times New Roman" w:cs="Times New Roman"/>
          <w:sz w:val="24"/>
          <w:szCs w:val="24"/>
        </w:rPr>
        <w:t>, this report would have been a deficient one.</w:t>
      </w:r>
    </w:p>
    <w:p w:rsidR="006548D2" w:rsidRPr="006548D2" w:rsidRDefault="006548D2" w:rsidP="00CA1A3A">
      <w:pPr>
        <w:spacing w:line="360" w:lineRule="auto"/>
        <w:jc w:val="both"/>
        <w:rPr>
          <w:rFonts w:ascii="Times New Roman" w:hAnsi="Times New Roman" w:cs="Times New Roman"/>
          <w:sz w:val="24"/>
          <w:szCs w:val="24"/>
        </w:rPr>
      </w:pPr>
      <w:r w:rsidRPr="006548D2">
        <w:rPr>
          <w:rFonts w:ascii="Times New Roman" w:hAnsi="Times New Roman" w:cs="Times New Roman"/>
          <w:sz w:val="24"/>
          <w:szCs w:val="24"/>
        </w:rPr>
        <w:t xml:space="preserve">Lastly, I would be </w:t>
      </w:r>
      <w:r w:rsidR="0088567F">
        <w:rPr>
          <w:rFonts w:ascii="Times New Roman" w:hAnsi="Times New Roman" w:cs="Times New Roman"/>
          <w:sz w:val="24"/>
          <w:szCs w:val="24"/>
        </w:rPr>
        <w:t>obliged</w:t>
      </w:r>
      <w:r w:rsidRPr="006548D2">
        <w:rPr>
          <w:rFonts w:ascii="Times New Roman" w:hAnsi="Times New Roman" w:cs="Times New Roman"/>
          <w:sz w:val="24"/>
          <w:szCs w:val="24"/>
        </w:rPr>
        <w:t xml:space="preserve"> once again if you please give your judicious advice on my effort.</w:t>
      </w:r>
    </w:p>
    <w:p w:rsidR="003B0EA8" w:rsidRPr="006548D2" w:rsidRDefault="005D2F20" w:rsidP="00CA1A3A">
      <w:pPr>
        <w:spacing w:line="360" w:lineRule="auto"/>
        <w:jc w:val="both"/>
        <w:rPr>
          <w:rFonts w:ascii="Times New Roman" w:hAnsi="Times New Roman" w:cs="Times New Roman"/>
          <w:sz w:val="24"/>
          <w:szCs w:val="24"/>
        </w:rPr>
      </w:pPr>
      <w:r>
        <w:rPr>
          <w:rFonts w:ascii="Times New Roman" w:eastAsia="Calibri" w:hAnsi="Times New Roman" w:cs="Times New Roman"/>
          <w:sz w:val="24"/>
          <w:szCs w:val="24"/>
          <w:lang w:bidi="bn-BD"/>
        </w:rPr>
        <w:t>I</w:t>
      </w:r>
      <w:r w:rsidR="003B0EA8" w:rsidRPr="006548D2">
        <w:rPr>
          <w:rFonts w:ascii="Times New Roman" w:eastAsia="Calibri" w:hAnsi="Times New Roman" w:cs="Times New Roman"/>
          <w:sz w:val="24"/>
          <w:szCs w:val="24"/>
          <w:lang w:bidi="bn-BD"/>
        </w:rPr>
        <w:t xml:space="preserve"> hope that this report will </w:t>
      </w:r>
      <w:r w:rsidR="0088567F">
        <w:rPr>
          <w:rFonts w:ascii="Times New Roman" w:eastAsia="Calibri" w:hAnsi="Times New Roman" w:cs="Times New Roman"/>
          <w:sz w:val="24"/>
          <w:szCs w:val="24"/>
          <w:lang w:bidi="bn-BD"/>
        </w:rPr>
        <w:t>qualify for</w:t>
      </w:r>
      <w:r w:rsidR="003B0EA8" w:rsidRPr="006548D2">
        <w:rPr>
          <w:rFonts w:ascii="Times New Roman" w:eastAsia="Calibri" w:hAnsi="Times New Roman" w:cs="Times New Roman"/>
          <w:sz w:val="24"/>
          <w:szCs w:val="24"/>
          <w:lang w:bidi="bn-BD"/>
        </w:rPr>
        <w:t xml:space="preserve"> your approval.</w:t>
      </w:r>
    </w:p>
    <w:p w:rsidR="003B0EA8" w:rsidRPr="006548D2" w:rsidRDefault="003B0EA8" w:rsidP="00CA1A3A">
      <w:pPr>
        <w:spacing w:line="360" w:lineRule="auto"/>
        <w:jc w:val="both"/>
        <w:rPr>
          <w:rFonts w:ascii="Times New Roman" w:hAnsi="Times New Roman" w:cs="Times New Roman"/>
          <w:sz w:val="24"/>
          <w:szCs w:val="24"/>
        </w:rPr>
      </w:pPr>
      <w:r w:rsidRPr="006548D2">
        <w:rPr>
          <w:rFonts w:ascii="Times New Roman" w:hAnsi="Times New Roman" w:cs="Times New Roman"/>
          <w:sz w:val="24"/>
          <w:szCs w:val="24"/>
        </w:rPr>
        <w:t>Yours’ sincerely,</w:t>
      </w:r>
    </w:p>
    <w:p w:rsidR="003B0EA8" w:rsidRPr="006548D2" w:rsidRDefault="00CA164A" w:rsidP="00CA1A3A">
      <w:pPr>
        <w:spacing w:line="360" w:lineRule="auto"/>
        <w:jc w:val="both"/>
        <w:rPr>
          <w:rFonts w:ascii="Times New Roman" w:eastAsia="Calibri" w:hAnsi="Times New Roman" w:cs="Times New Roman"/>
          <w:sz w:val="24"/>
          <w:szCs w:val="24"/>
          <w:lang w:bidi="bn-BD"/>
        </w:rPr>
      </w:pPr>
      <w:r>
        <w:rPr>
          <w:rFonts w:ascii="Times New Roman" w:eastAsia="Calibri" w:hAnsi="Times New Roman" w:cs="Times New Roman"/>
          <w:noProof/>
          <w:sz w:val="24"/>
          <w:szCs w:val="24"/>
        </w:rPr>
        <w:drawing>
          <wp:anchor distT="0" distB="0" distL="114300" distR="114300" simplePos="0" relativeHeight="251761664" behindDoc="0" locked="0" layoutInCell="1" allowOverlap="1" wp14:anchorId="55B7C3B8" wp14:editId="05DC604F">
            <wp:simplePos x="0" y="0"/>
            <wp:positionH relativeFrom="column">
              <wp:posOffset>104140</wp:posOffset>
            </wp:positionH>
            <wp:positionV relativeFrom="paragraph">
              <wp:posOffset>41275</wp:posOffset>
            </wp:positionV>
            <wp:extent cx="1019175" cy="342900"/>
            <wp:effectExtent l="0" t="0" r="952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9175" cy="3429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noProof/>
          <w:sz w:val="24"/>
          <w:szCs w:val="24"/>
        </w:rPr>
        <w:drawing>
          <wp:anchor distT="0" distB="0" distL="114300" distR="114300" simplePos="0" relativeHeight="251760640" behindDoc="1" locked="0" layoutInCell="1" allowOverlap="1" wp14:anchorId="5BBA5812" wp14:editId="16D19C82">
            <wp:simplePos x="0" y="0"/>
            <wp:positionH relativeFrom="column">
              <wp:posOffset>1052195</wp:posOffset>
            </wp:positionH>
            <wp:positionV relativeFrom="paragraph">
              <wp:posOffset>7743190</wp:posOffset>
            </wp:positionV>
            <wp:extent cx="1014095" cy="33210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4095" cy="3321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noProof/>
          <w:sz w:val="24"/>
          <w:szCs w:val="24"/>
        </w:rPr>
        <w:drawing>
          <wp:anchor distT="0" distB="0" distL="114300" distR="114300" simplePos="0" relativeHeight="251759616" behindDoc="1" locked="0" layoutInCell="1" allowOverlap="1" wp14:anchorId="026DE545" wp14:editId="4D014AD4">
            <wp:simplePos x="0" y="0"/>
            <wp:positionH relativeFrom="column">
              <wp:posOffset>1052195</wp:posOffset>
            </wp:positionH>
            <wp:positionV relativeFrom="paragraph">
              <wp:posOffset>7743190</wp:posOffset>
            </wp:positionV>
            <wp:extent cx="1014095" cy="33210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4095" cy="3321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noProof/>
          <w:sz w:val="24"/>
          <w:szCs w:val="24"/>
        </w:rPr>
        <w:drawing>
          <wp:anchor distT="0" distB="0" distL="114300" distR="114300" simplePos="0" relativeHeight="251758592" behindDoc="1" locked="0" layoutInCell="1" allowOverlap="1" wp14:anchorId="45A07ACA" wp14:editId="389364B6">
            <wp:simplePos x="0" y="0"/>
            <wp:positionH relativeFrom="column">
              <wp:posOffset>1052195</wp:posOffset>
            </wp:positionH>
            <wp:positionV relativeFrom="paragraph">
              <wp:posOffset>7743190</wp:posOffset>
            </wp:positionV>
            <wp:extent cx="1014095" cy="33210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4095" cy="332105"/>
                    </a:xfrm>
                    <a:prstGeom prst="rect">
                      <a:avLst/>
                    </a:prstGeom>
                    <a:noFill/>
                  </pic:spPr>
                </pic:pic>
              </a:graphicData>
            </a:graphic>
            <wp14:sizeRelH relativeFrom="page">
              <wp14:pctWidth>0</wp14:pctWidth>
            </wp14:sizeRelH>
            <wp14:sizeRelV relativeFrom="page">
              <wp14:pctHeight>0</wp14:pctHeight>
            </wp14:sizeRelV>
          </wp:anchor>
        </w:drawing>
      </w:r>
    </w:p>
    <w:p w:rsidR="003B0EA8" w:rsidRPr="006548D2" w:rsidRDefault="00810B41" w:rsidP="00CA1A3A">
      <w:pPr>
        <w:spacing w:line="360" w:lineRule="auto"/>
        <w:jc w:val="both"/>
        <w:rPr>
          <w:rFonts w:ascii="Times New Roman" w:hAnsi="Times New Roman" w:cs="Times New Roman"/>
          <w:sz w:val="24"/>
          <w:szCs w:val="24"/>
        </w:rPr>
      </w:pPr>
      <w:r>
        <w:rPr>
          <w:rFonts w:ascii="Times New Roman" w:hAnsi="Times New Roman" w:cs="Times New Roman"/>
          <w:sz w:val="24"/>
          <w:szCs w:val="24"/>
        </w:rPr>
        <w:pict>
          <v:rect id="_x0000_i1025" style="width:145.1pt;height:.65pt" o:hrpct="310" o:hrstd="t" o:hr="t" fillcolor="#a0a0a0" stroked="f"/>
        </w:pict>
      </w:r>
    </w:p>
    <w:p w:rsidR="003B0EA8" w:rsidRPr="006548D2" w:rsidRDefault="003B0EA8" w:rsidP="007A79BF">
      <w:pPr>
        <w:jc w:val="both"/>
        <w:rPr>
          <w:rFonts w:ascii="Times New Roman" w:eastAsia="Calibri" w:hAnsi="Times New Roman" w:cs="Times New Roman"/>
          <w:sz w:val="24"/>
          <w:szCs w:val="24"/>
        </w:rPr>
      </w:pPr>
      <w:r w:rsidRPr="006548D2">
        <w:rPr>
          <w:rFonts w:ascii="Times New Roman" w:eastAsia="Calibri" w:hAnsi="Times New Roman" w:cs="Times New Roman"/>
          <w:sz w:val="24"/>
          <w:szCs w:val="24"/>
        </w:rPr>
        <w:t xml:space="preserve">Md. </w:t>
      </w:r>
      <w:proofErr w:type="spellStart"/>
      <w:r w:rsidRPr="006548D2">
        <w:rPr>
          <w:rFonts w:ascii="Times New Roman" w:eastAsia="Calibri" w:hAnsi="Times New Roman" w:cs="Times New Roman"/>
          <w:sz w:val="24"/>
          <w:szCs w:val="24"/>
        </w:rPr>
        <w:t>Niaj</w:t>
      </w:r>
      <w:proofErr w:type="spellEnd"/>
      <w:r w:rsidRPr="006548D2">
        <w:rPr>
          <w:rFonts w:ascii="Times New Roman" w:eastAsia="Calibri" w:hAnsi="Times New Roman" w:cs="Times New Roman"/>
          <w:sz w:val="24"/>
          <w:szCs w:val="24"/>
        </w:rPr>
        <w:t xml:space="preserve"> Uddin</w:t>
      </w:r>
      <w:r w:rsidRPr="006548D2">
        <w:rPr>
          <w:rFonts w:ascii="Times New Roman" w:eastAsia="Calibri" w:hAnsi="Times New Roman" w:cs="Times New Roman"/>
          <w:sz w:val="24"/>
          <w:szCs w:val="24"/>
        </w:rPr>
        <w:tab/>
      </w:r>
    </w:p>
    <w:p w:rsidR="003B0EA8" w:rsidRPr="006548D2" w:rsidRDefault="003B0EA8" w:rsidP="007A79BF">
      <w:pPr>
        <w:jc w:val="both"/>
        <w:rPr>
          <w:rFonts w:ascii="Times New Roman" w:eastAsia="Calibri" w:hAnsi="Times New Roman" w:cs="Times New Roman"/>
          <w:sz w:val="24"/>
          <w:szCs w:val="24"/>
        </w:rPr>
      </w:pPr>
      <w:r w:rsidRPr="006548D2">
        <w:rPr>
          <w:rFonts w:ascii="Times New Roman" w:hAnsi="Times New Roman" w:cs="Times New Roman"/>
          <w:sz w:val="24"/>
          <w:szCs w:val="24"/>
        </w:rPr>
        <w:t>ID: 111 152 089</w:t>
      </w:r>
    </w:p>
    <w:p w:rsidR="00BF6CD0" w:rsidRDefault="003B0EA8" w:rsidP="007A79BF">
      <w:pPr>
        <w:jc w:val="both"/>
        <w:rPr>
          <w:rFonts w:ascii="Times New Roman" w:eastAsia="Calibri" w:hAnsi="Times New Roman" w:cs="Times New Roman"/>
          <w:sz w:val="24"/>
          <w:szCs w:val="24"/>
          <w:lang w:bidi="bn-BD"/>
        </w:rPr>
      </w:pPr>
      <w:r w:rsidRPr="006548D2">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14:anchorId="0A992528" wp14:editId="30333451">
                <wp:simplePos x="0" y="0"/>
                <wp:positionH relativeFrom="column">
                  <wp:posOffset>2790825</wp:posOffset>
                </wp:positionH>
                <wp:positionV relativeFrom="paragraph">
                  <wp:posOffset>570230</wp:posOffset>
                </wp:positionV>
                <wp:extent cx="390525" cy="219075"/>
                <wp:effectExtent l="9525" t="8255" r="9525" b="10795"/>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19075"/>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margin-left:219.75pt;margin-top:44.9pt;width:30.7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" fillcolor="white [3212]" strokecolor="white [3212]"/>
            </w:pict>
          </mc:Fallback>
        </mc:AlternateContent>
      </w:r>
      <w:r w:rsidRPr="006548D2">
        <w:rPr>
          <w:rFonts w:ascii="Times New Roman" w:eastAsia="Calibri" w:hAnsi="Times New Roman" w:cs="Times New Roman"/>
          <w:sz w:val="24"/>
          <w:szCs w:val="24"/>
          <w:lang w:bidi="bn-BD"/>
        </w:rPr>
        <w:t>Bachelor of Business Administration</w:t>
      </w:r>
    </w:p>
    <w:p w:rsidR="0053081F" w:rsidRPr="00365ADA" w:rsidRDefault="0053081F" w:rsidP="00365ADA">
      <w:pPr>
        <w:pStyle w:val="Heading1"/>
        <w:rPr>
          <w:rFonts w:eastAsia="Calibri"/>
          <w:sz w:val="24"/>
          <w:szCs w:val="24"/>
          <w:lang w:bidi="bn-BD"/>
        </w:rPr>
      </w:pPr>
      <w:bookmarkStart w:id="2" w:name="_Toc36981435"/>
      <w:bookmarkStart w:id="3" w:name="_Toc62037695"/>
      <w:r w:rsidRPr="00B6536E">
        <w:lastRenderedPageBreak/>
        <w:t>Declaration of the student</w:t>
      </w:r>
      <w:bookmarkEnd w:id="2"/>
      <w:bookmarkEnd w:id="3"/>
    </w:p>
    <w:p w:rsidR="0053081F" w:rsidRDefault="0053081F" w:rsidP="0053081F"/>
    <w:p w:rsidR="0053081F" w:rsidRDefault="0053081F" w:rsidP="0053081F"/>
    <w:p w:rsidR="0053081F" w:rsidRPr="0053081F" w:rsidRDefault="00664D28" w:rsidP="0053081F">
      <w:pPr>
        <w:spacing w:line="360" w:lineRule="auto"/>
        <w:jc w:val="both"/>
        <w:rPr>
          <w:rFonts w:ascii="Times New Roman" w:hAnsi="Times New Roman" w:cs="Times New Roman"/>
          <w:sz w:val="24"/>
          <w:szCs w:val="24"/>
        </w:rPr>
      </w:pPr>
      <w:r>
        <w:rPr>
          <w:rFonts w:ascii="Times New Roman" w:hAnsi="Times New Roman" w:cs="Times New Roman"/>
          <w:sz w:val="24"/>
          <w:szCs w:val="24"/>
        </w:rPr>
        <w:t>I declare that this internship r</w:t>
      </w:r>
      <w:r w:rsidR="0053081F" w:rsidRPr="0053081F">
        <w:rPr>
          <w:rFonts w:ascii="Times New Roman" w:hAnsi="Times New Roman" w:cs="Times New Roman"/>
          <w:sz w:val="24"/>
          <w:szCs w:val="24"/>
        </w:rPr>
        <w:t xml:space="preserve">eport is my original work and has never been submitted for a degree in any other university or college for academic purposes. </w:t>
      </w:r>
    </w:p>
    <w:p w:rsidR="0053081F" w:rsidRPr="0053081F" w:rsidRDefault="00B25916" w:rsidP="00B25916">
      <w:pPr>
        <w:tabs>
          <w:tab w:val="left" w:pos="1273"/>
        </w:tabs>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765760" behindDoc="0" locked="0" layoutInCell="1" allowOverlap="1" wp14:anchorId="6BB5205B" wp14:editId="1EA744B0">
                <wp:simplePos x="0" y="0"/>
                <wp:positionH relativeFrom="column">
                  <wp:posOffset>3776316</wp:posOffset>
                </wp:positionH>
                <wp:positionV relativeFrom="paragraph">
                  <wp:posOffset>141605</wp:posOffset>
                </wp:positionV>
                <wp:extent cx="1201420" cy="244475"/>
                <wp:effectExtent l="0" t="0" r="0"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420" cy="244475"/>
                        </a:xfrm>
                        <a:prstGeom prst="rect">
                          <a:avLst/>
                        </a:prstGeom>
                        <a:solidFill>
                          <a:srgbClr val="FFFFFF"/>
                        </a:solidFill>
                        <a:ln w="9525">
                          <a:noFill/>
                          <a:miter lim="800000"/>
                          <a:headEnd/>
                          <a:tailEnd/>
                        </a:ln>
                      </wps:spPr>
                      <wps:txbx>
                        <w:txbxContent>
                          <w:p w:rsidR="00ED3D30" w:rsidRPr="00B25916" w:rsidRDefault="00ED3D30" w:rsidP="00B25916">
                            <w:pPr>
                              <w:jc w:val="center"/>
                              <w:rPr>
                                <w:rFonts w:ascii="Times New Roman" w:hAnsi="Times New Roman" w:cs="Times New Roman"/>
                                <w:sz w:val="24"/>
                                <w:szCs w:val="24"/>
                              </w:rPr>
                            </w:pPr>
                            <w:r>
                              <w:rPr>
                                <w:rFonts w:ascii="Times New Roman" w:hAnsi="Times New Roman" w:cs="Times New Roman"/>
                                <w:sz w:val="24"/>
                                <w:szCs w:val="24"/>
                              </w:rPr>
                              <w:t>0</w:t>
                            </w:r>
                            <w:r w:rsidRPr="00B25916">
                              <w:rPr>
                                <w:rFonts w:ascii="Times New Roman" w:hAnsi="Times New Roman" w:cs="Times New Roman"/>
                                <w:sz w:val="24"/>
                                <w:szCs w:val="24"/>
                              </w:rPr>
                              <w:t>1/</w:t>
                            </w:r>
                            <w:r>
                              <w:rPr>
                                <w:rFonts w:ascii="Times New Roman" w:hAnsi="Times New Roman" w:cs="Times New Roman"/>
                                <w:sz w:val="24"/>
                                <w:szCs w:val="24"/>
                              </w:rPr>
                              <w:t>10</w:t>
                            </w:r>
                            <w:r w:rsidRPr="00B25916">
                              <w:rPr>
                                <w:rFonts w:ascii="Times New Roman" w:hAnsi="Times New Roman" w:cs="Times New Roman"/>
                                <w:sz w:val="24"/>
                                <w:szCs w:val="24"/>
                              </w:rPr>
                              <w:t>/202</w:t>
                            </w:r>
                            <w:r>
                              <w:rPr>
                                <w:rFonts w:ascii="Times New Roman" w:hAnsi="Times New Roman" w:cs="Times New Roman"/>
                                <w:sz w:val="24"/>
                                <w:szCs w:val="2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7.35pt;margin-top:11.15pt;width:94.6pt;height:19.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" stroked="f">
                <v:textbox>
                  <w:txbxContent>
                    <w:p w:rsidR="00ED3D30" w:rsidRPr="00B25916" w:rsidRDefault="00ED3D30" w:rsidP="00B25916">
                      <w:pPr>
                        <w:jc w:val="center"/>
                        <w:rPr>
                          <w:rFonts w:ascii="Times New Roman" w:hAnsi="Times New Roman" w:cs="Times New Roman"/>
                          <w:sz w:val="24"/>
                          <w:szCs w:val="24"/>
                        </w:rPr>
                      </w:pPr>
                      <w:r>
                        <w:rPr>
                          <w:rFonts w:ascii="Times New Roman" w:hAnsi="Times New Roman" w:cs="Times New Roman"/>
                          <w:sz w:val="24"/>
                          <w:szCs w:val="24"/>
                        </w:rPr>
                        <w:t>0</w:t>
                      </w:r>
                      <w:r w:rsidRPr="00B25916">
                        <w:rPr>
                          <w:rFonts w:ascii="Times New Roman" w:hAnsi="Times New Roman" w:cs="Times New Roman"/>
                          <w:sz w:val="24"/>
                          <w:szCs w:val="24"/>
                        </w:rPr>
                        <w:t>1/</w:t>
                      </w:r>
                      <w:r>
                        <w:rPr>
                          <w:rFonts w:ascii="Times New Roman" w:hAnsi="Times New Roman" w:cs="Times New Roman"/>
                          <w:sz w:val="24"/>
                          <w:szCs w:val="24"/>
                        </w:rPr>
                        <w:t>10</w:t>
                      </w:r>
                      <w:r w:rsidRPr="00B25916">
                        <w:rPr>
                          <w:rFonts w:ascii="Times New Roman" w:hAnsi="Times New Roman" w:cs="Times New Roman"/>
                          <w:sz w:val="24"/>
                          <w:szCs w:val="24"/>
                        </w:rPr>
                        <w:t>/202</w:t>
                      </w:r>
                      <w:r>
                        <w:rPr>
                          <w:rFonts w:ascii="Times New Roman" w:hAnsi="Times New Roman" w:cs="Times New Roman"/>
                          <w:sz w:val="24"/>
                          <w:szCs w:val="24"/>
                        </w:rPr>
                        <w:t>1</w:t>
                      </w:r>
                    </w:p>
                  </w:txbxContent>
                </v:textbox>
              </v:shape>
            </w:pict>
          </mc:Fallback>
        </mc:AlternateContent>
      </w:r>
      <w:r>
        <w:rPr>
          <w:rFonts w:ascii="Times New Roman" w:hAnsi="Times New Roman" w:cs="Times New Roman"/>
          <w:noProof/>
          <w:sz w:val="24"/>
          <w:szCs w:val="24"/>
        </w:rPr>
        <w:drawing>
          <wp:anchor distT="0" distB="0" distL="114300" distR="114300" simplePos="0" relativeHeight="251763712" behindDoc="0" locked="0" layoutInCell="1" allowOverlap="1" wp14:anchorId="2440ECB3" wp14:editId="69C54E6A">
            <wp:simplePos x="0" y="0"/>
            <wp:positionH relativeFrom="column">
              <wp:posOffset>742950</wp:posOffset>
            </wp:positionH>
            <wp:positionV relativeFrom="paragraph">
              <wp:posOffset>44450</wp:posOffset>
            </wp:positionV>
            <wp:extent cx="1017905" cy="341630"/>
            <wp:effectExtent l="0" t="0" r="0" b="127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7905" cy="341630"/>
                    </a:xfrm>
                    <a:prstGeom prst="rect">
                      <a:avLst/>
                    </a:prstGeom>
                    <a:noFill/>
                  </pic:spPr>
                </pic:pic>
              </a:graphicData>
            </a:graphic>
            <wp14:sizeRelH relativeFrom="page">
              <wp14:pctWidth>0</wp14:pctWidth>
            </wp14:sizeRelH>
            <wp14:sizeRelV relativeFrom="page">
              <wp14:pctHeight>0</wp14:pctHeight>
            </wp14:sizeRelV>
          </wp:anchor>
        </w:drawing>
      </w:r>
      <w:r w:rsidR="0053081F" w:rsidRPr="0053081F">
        <w:rPr>
          <w:rFonts w:ascii="Times New Roman" w:hAnsi="Times New Roman" w:cs="Times New Roman"/>
          <w:sz w:val="24"/>
          <w:szCs w:val="24"/>
        </w:rPr>
        <w:t xml:space="preserve"> </w:t>
      </w:r>
      <w:r>
        <w:rPr>
          <w:rFonts w:ascii="Times New Roman" w:hAnsi="Times New Roman" w:cs="Times New Roman"/>
          <w:sz w:val="24"/>
          <w:szCs w:val="24"/>
        </w:rPr>
        <w:tab/>
      </w:r>
    </w:p>
    <w:p w:rsidR="0053081F" w:rsidRPr="0053081F" w:rsidRDefault="0053081F" w:rsidP="0053081F">
      <w:pPr>
        <w:spacing w:line="360" w:lineRule="auto"/>
        <w:jc w:val="both"/>
        <w:rPr>
          <w:rFonts w:ascii="Times New Roman" w:hAnsi="Times New Roman" w:cs="Times New Roman"/>
          <w:sz w:val="24"/>
          <w:szCs w:val="24"/>
        </w:rPr>
      </w:pPr>
      <w:r w:rsidRPr="0053081F">
        <w:rPr>
          <w:rFonts w:ascii="Times New Roman" w:hAnsi="Times New Roman" w:cs="Times New Roman"/>
          <w:sz w:val="24"/>
          <w:szCs w:val="24"/>
        </w:rPr>
        <w:t xml:space="preserve">Signature: ………………………     </w:t>
      </w:r>
      <w:r w:rsidRPr="0053081F">
        <w:rPr>
          <w:rFonts w:ascii="Times New Roman" w:hAnsi="Times New Roman" w:cs="Times New Roman"/>
          <w:sz w:val="24"/>
          <w:szCs w:val="24"/>
        </w:rPr>
        <w:tab/>
      </w:r>
      <w:r w:rsidRPr="0053081F">
        <w:rPr>
          <w:rFonts w:ascii="Times New Roman" w:hAnsi="Times New Roman" w:cs="Times New Roman"/>
          <w:sz w:val="24"/>
          <w:szCs w:val="24"/>
        </w:rPr>
        <w:tab/>
      </w:r>
      <w:r w:rsidRPr="0053081F">
        <w:rPr>
          <w:rFonts w:ascii="Times New Roman" w:hAnsi="Times New Roman" w:cs="Times New Roman"/>
          <w:sz w:val="24"/>
          <w:szCs w:val="24"/>
        </w:rPr>
        <w:tab/>
        <w:t xml:space="preserve"> Date: ……………………………… </w:t>
      </w:r>
    </w:p>
    <w:p w:rsidR="0053081F" w:rsidRPr="0053081F" w:rsidRDefault="0053081F" w:rsidP="0053081F">
      <w:pPr>
        <w:spacing w:line="360" w:lineRule="auto"/>
        <w:jc w:val="both"/>
        <w:rPr>
          <w:rFonts w:ascii="Times New Roman" w:hAnsi="Times New Roman" w:cs="Times New Roman"/>
          <w:sz w:val="24"/>
          <w:szCs w:val="24"/>
        </w:rPr>
      </w:pPr>
      <w:r w:rsidRPr="0053081F">
        <w:rPr>
          <w:rFonts w:ascii="Times New Roman" w:hAnsi="Times New Roman" w:cs="Times New Roman"/>
          <w:sz w:val="24"/>
          <w:szCs w:val="24"/>
        </w:rPr>
        <w:t xml:space="preserve"> </w:t>
      </w:r>
    </w:p>
    <w:p w:rsidR="0053081F" w:rsidRPr="0053081F" w:rsidRDefault="0053081F" w:rsidP="0053081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Md. </w:t>
      </w:r>
      <w:proofErr w:type="spellStart"/>
      <w:r>
        <w:rPr>
          <w:rFonts w:ascii="Times New Roman" w:hAnsi="Times New Roman" w:cs="Times New Roman"/>
          <w:sz w:val="24"/>
          <w:szCs w:val="24"/>
        </w:rPr>
        <w:t>Niaj</w:t>
      </w:r>
      <w:proofErr w:type="spellEnd"/>
      <w:r>
        <w:rPr>
          <w:rFonts w:ascii="Times New Roman" w:hAnsi="Times New Roman" w:cs="Times New Roman"/>
          <w:sz w:val="24"/>
          <w:szCs w:val="24"/>
        </w:rPr>
        <w:t xml:space="preserve"> Uddin</w:t>
      </w:r>
      <w:r w:rsidRPr="0053081F">
        <w:rPr>
          <w:rFonts w:ascii="Times New Roman" w:hAnsi="Times New Roman" w:cs="Times New Roman"/>
          <w:sz w:val="24"/>
          <w:szCs w:val="24"/>
        </w:rPr>
        <w:t xml:space="preserve">       </w:t>
      </w:r>
      <w:r w:rsidRPr="0053081F">
        <w:rPr>
          <w:rFonts w:ascii="Times New Roman" w:hAnsi="Times New Roman" w:cs="Times New Roman"/>
          <w:sz w:val="24"/>
          <w:szCs w:val="24"/>
        </w:rPr>
        <w:tab/>
      </w:r>
      <w:r w:rsidRPr="0053081F">
        <w:rPr>
          <w:rFonts w:ascii="Times New Roman" w:hAnsi="Times New Roman" w:cs="Times New Roman"/>
          <w:sz w:val="24"/>
          <w:szCs w:val="24"/>
        </w:rPr>
        <w:tab/>
      </w:r>
      <w:r w:rsidRPr="0053081F">
        <w:rPr>
          <w:rFonts w:ascii="Times New Roman" w:hAnsi="Times New Roman" w:cs="Times New Roman"/>
          <w:sz w:val="24"/>
          <w:szCs w:val="24"/>
        </w:rPr>
        <w:tab/>
      </w:r>
      <w:r w:rsidRPr="0053081F">
        <w:rPr>
          <w:rFonts w:ascii="Times New Roman" w:hAnsi="Times New Roman" w:cs="Times New Roman"/>
          <w:sz w:val="24"/>
          <w:szCs w:val="24"/>
        </w:rPr>
        <w:tab/>
      </w:r>
      <w:r w:rsidRPr="0053081F">
        <w:rPr>
          <w:rFonts w:ascii="Times New Roman" w:hAnsi="Times New Roman" w:cs="Times New Roman"/>
          <w:sz w:val="24"/>
          <w:szCs w:val="24"/>
        </w:rPr>
        <w:tab/>
      </w:r>
      <w:r w:rsidRPr="0053081F">
        <w:rPr>
          <w:rFonts w:ascii="Times New Roman" w:hAnsi="Times New Roman" w:cs="Times New Roman"/>
          <w:sz w:val="24"/>
          <w:szCs w:val="24"/>
        </w:rPr>
        <w:tab/>
      </w:r>
      <w:r w:rsidRPr="0053081F">
        <w:rPr>
          <w:rFonts w:ascii="Times New Roman" w:hAnsi="Times New Roman" w:cs="Times New Roman"/>
          <w:sz w:val="24"/>
          <w:szCs w:val="24"/>
        </w:rPr>
        <w:tab/>
      </w:r>
      <w:r w:rsidRPr="0053081F">
        <w:rPr>
          <w:rFonts w:ascii="Times New Roman" w:hAnsi="Times New Roman" w:cs="Times New Roman"/>
          <w:sz w:val="24"/>
          <w:szCs w:val="24"/>
        </w:rPr>
        <w:tab/>
      </w:r>
    </w:p>
    <w:p w:rsidR="003B0EA8" w:rsidRPr="0053081F" w:rsidRDefault="0053081F" w:rsidP="0053081F">
      <w:pPr>
        <w:spacing w:line="360" w:lineRule="auto"/>
        <w:jc w:val="both"/>
        <w:rPr>
          <w:rFonts w:ascii="Times New Roman" w:eastAsia="Calibri" w:hAnsi="Times New Roman" w:cs="Times New Roman"/>
          <w:sz w:val="24"/>
          <w:szCs w:val="24"/>
          <w:lang w:bidi="bn-BD"/>
        </w:rPr>
      </w:pPr>
      <w:r w:rsidRPr="0053081F">
        <w:rPr>
          <w:rFonts w:ascii="Times New Roman" w:hAnsi="Times New Roman" w:cs="Times New Roman"/>
          <w:sz w:val="24"/>
          <w:szCs w:val="24"/>
        </w:rPr>
        <w:t>ID: 111 152 0</w:t>
      </w:r>
      <w:r>
        <w:rPr>
          <w:rFonts w:ascii="Times New Roman" w:hAnsi="Times New Roman" w:cs="Times New Roman"/>
          <w:sz w:val="24"/>
          <w:szCs w:val="24"/>
        </w:rPr>
        <w:t>89</w:t>
      </w:r>
    </w:p>
    <w:p w:rsidR="00DF33D7" w:rsidRDefault="00DF33D7">
      <w:r>
        <w:br w:type="page"/>
      </w:r>
    </w:p>
    <w:p w:rsidR="00DF33D7" w:rsidRPr="003A3F0D" w:rsidRDefault="00DF33D7" w:rsidP="00B6536E">
      <w:pPr>
        <w:pStyle w:val="Heading1"/>
        <w:jc w:val="both"/>
        <w:rPr>
          <w:rFonts w:cs="Times New Roman"/>
          <w:szCs w:val="32"/>
        </w:rPr>
      </w:pPr>
      <w:bookmarkStart w:id="4" w:name="_Toc36981436"/>
      <w:bookmarkStart w:id="5" w:name="_Toc62037696"/>
      <w:r w:rsidRPr="003A3F0D">
        <w:rPr>
          <w:rFonts w:cs="Times New Roman"/>
          <w:szCs w:val="32"/>
        </w:rPr>
        <w:lastRenderedPageBreak/>
        <w:t>Acknowledgment</w:t>
      </w:r>
      <w:bookmarkEnd w:id="4"/>
      <w:bookmarkEnd w:id="5"/>
    </w:p>
    <w:p w:rsidR="00DF33D7" w:rsidRDefault="00DF33D7" w:rsidP="00DF33D7"/>
    <w:p w:rsidR="00DF33D7" w:rsidRPr="00DF33D7" w:rsidRDefault="002021FC" w:rsidP="00DF33D7">
      <w:pPr>
        <w:spacing w:line="360" w:lineRule="auto"/>
        <w:jc w:val="both"/>
        <w:rPr>
          <w:rFonts w:ascii="Times New Roman" w:hAnsi="Times New Roman" w:cs="Times New Roman"/>
          <w:sz w:val="24"/>
          <w:szCs w:val="24"/>
        </w:rPr>
      </w:pPr>
      <w:r>
        <w:rPr>
          <w:rFonts w:ascii="Times New Roman" w:hAnsi="Times New Roman" w:cs="Times New Roman"/>
          <w:sz w:val="24"/>
          <w:szCs w:val="24"/>
        </w:rPr>
        <w:t>To start with</w:t>
      </w:r>
      <w:r w:rsidR="00DF33D7" w:rsidRPr="00DF33D7">
        <w:rPr>
          <w:rFonts w:ascii="Times New Roman" w:hAnsi="Times New Roman" w:cs="Times New Roman"/>
          <w:sz w:val="24"/>
          <w:szCs w:val="24"/>
        </w:rPr>
        <w:t xml:space="preserve">, I am </w:t>
      </w:r>
      <w:r w:rsidR="00664D28">
        <w:rPr>
          <w:rFonts w:ascii="Times New Roman" w:hAnsi="Times New Roman" w:cs="Times New Roman"/>
          <w:sz w:val="24"/>
          <w:szCs w:val="24"/>
        </w:rPr>
        <w:t>grateful to my a</w:t>
      </w:r>
      <w:r w:rsidR="00DF33D7" w:rsidRPr="00DF33D7">
        <w:rPr>
          <w:rFonts w:ascii="Times New Roman" w:hAnsi="Times New Roman" w:cs="Times New Roman"/>
          <w:sz w:val="24"/>
          <w:szCs w:val="24"/>
        </w:rPr>
        <w:t xml:space="preserve">lmighty Allah, who gives me the strength to complete this </w:t>
      </w:r>
      <w:r w:rsidR="00664D28">
        <w:rPr>
          <w:rFonts w:ascii="Times New Roman" w:hAnsi="Times New Roman" w:cs="Times New Roman"/>
          <w:sz w:val="24"/>
          <w:szCs w:val="24"/>
        </w:rPr>
        <w:t xml:space="preserve">internship </w:t>
      </w:r>
      <w:r w:rsidR="00DF33D7" w:rsidRPr="00DF33D7">
        <w:rPr>
          <w:rFonts w:ascii="Times New Roman" w:hAnsi="Times New Roman" w:cs="Times New Roman"/>
          <w:sz w:val="24"/>
          <w:szCs w:val="24"/>
        </w:rPr>
        <w:t xml:space="preserve">report. Any work </w:t>
      </w:r>
      <w:r w:rsidR="00A657BD">
        <w:rPr>
          <w:rFonts w:ascii="Times New Roman" w:hAnsi="Times New Roman" w:cs="Times New Roman"/>
          <w:sz w:val="24"/>
          <w:szCs w:val="24"/>
        </w:rPr>
        <w:t>like</w:t>
      </w:r>
      <w:r w:rsidR="00DF33D7" w:rsidRPr="00DF33D7">
        <w:rPr>
          <w:rFonts w:ascii="Times New Roman" w:hAnsi="Times New Roman" w:cs="Times New Roman"/>
          <w:sz w:val="24"/>
          <w:szCs w:val="24"/>
        </w:rPr>
        <w:t xml:space="preserve"> this must </w:t>
      </w:r>
      <w:r w:rsidR="00664D28" w:rsidRPr="00664D28">
        <w:rPr>
          <w:rFonts w:ascii="Times New Roman" w:hAnsi="Times New Roman" w:cs="Times New Roman"/>
          <w:sz w:val="24"/>
          <w:szCs w:val="24"/>
        </w:rPr>
        <w:t>be under an obligation</w:t>
      </w:r>
      <w:r w:rsidR="00664D28" w:rsidRPr="00DF33D7">
        <w:rPr>
          <w:rFonts w:ascii="Times New Roman" w:hAnsi="Times New Roman" w:cs="Times New Roman"/>
          <w:sz w:val="24"/>
          <w:szCs w:val="24"/>
        </w:rPr>
        <w:t xml:space="preserve"> </w:t>
      </w:r>
      <w:r w:rsidR="00DF33D7" w:rsidRPr="00DF33D7">
        <w:rPr>
          <w:rFonts w:ascii="Times New Roman" w:hAnsi="Times New Roman" w:cs="Times New Roman"/>
          <w:sz w:val="24"/>
          <w:szCs w:val="24"/>
        </w:rPr>
        <w:t xml:space="preserve">to a multiple of people. This is my humble effort to present </w:t>
      </w:r>
      <w:r w:rsidR="00664D28">
        <w:rPr>
          <w:rFonts w:ascii="Times New Roman" w:hAnsi="Times New Roman" w:cs="Times New Roman"/>
          <w:sz w:val="24"/>
          <w:szCs w:val="24"/>
        </w:rPr>
        <w:t>gratefulness</w:t>
      </w:r>
      <w:r w:rsidR="00DF33D7" w:rsidRPr="00DF33D7">
        <w:rPr>
          <w:rFonts w:ascii="Times New Roman" w:hAnsi="Times New Roman" w:cs="Times New Roman"/>
          <w:sz w:val="24"/>
          <w:szCs w:val="24"/>
        </w:rPr>
        <w:t xml:space="preserve"> in submitting this </w:t>
      </w:r>
      <w:r w:rsidR="00664D28">
        <w:rPr>
          <w:rFonts w:ascii="Times New Roman" w:hAnsi="Times New Roman" w:cs="Times New Roman"/>
          <w:sz w:val="24"/>
          <w:szCs w:val="24"/>
        </w:rPr>
        <w:t xml:space="preserve">internship </w:t>
      </w:r>
      <w:r w:rsidR="00DF33D7" w:rsidRPr="00DF33D7">
        <w:rPr>
          <w:rFonts w:ascii="Times New Roman" w:hAnsi="Times New Roman" w:cs="Times New Roman"/>
          <w:sz w:val="24"/>
          <w:szCs w:val="24"/>
        </w:rPr>
        <w:t xml:space="preserve">report which I have </w:t>
      </w:r>
      <w:r w:rsidR="00664D28">
        <w:rPr>
          <w:rFonts w:ascii="Times New Roman" w:hAnsi="Times New Roman" w:cs="Times New Roman"/>
          <w:sz w:val="24"/>
          <w:szCs w:val="24"/>
        </w:rPr>
        <w:t>really</w:t>
      </w:r>
      <w:r w:rsidR="00DF33D7" w:rsidRPr="00DF33D7">
        <w:rPr>
          <w:rFonts w:ascii="Times New Roman" w:hAnsi="Times New Roman" w:cs="Times New Roman"/>
          <w:sz w:val="24"/>
          <w:szCs w:val="24"/>
        </w:rPr>
        <w:t xml:space="preserve"> drawn upon own </w:t>
      </w:r>
      <w:r w:rsidR="00664D28">
        <w:rPr>
          <w:rFonts w:ascii="Times New Roman" w:hAnsi="Times New Roman" w:cs="Times New Roman"/>
          <w:sz w:val="24"/>
          <w:szCs w:val="24"/>
        </w:rPr>
        <w:t>perception</w:t>
      </w:r>
      <w:r w:rsidR="00DF33D7" w:rsidRPr="00DF33D7">
        <w:rPr>
          <w:rFonts w:ascii="Times New Roman" w:hAnsi="Times New Roman" w:cs="Times New Roman"/>
          <w:sz w:val="24"/>
          <w:szCs w:val="24"/>
        </w:rPr>
        <w:t xml:space="preserve"> as students of BBA.</w:t>
      </w:r>
    </w:p>
    <w:p w:rsidR="00DF33D7" w:rsidRPr="00DF33D7" w:rsidRDefault="00DF33D7" w:rsidP="00DF33D7">
      <w:pPr>
        <w:spacing w:line="360" w:lineRule="auto"/>
        <w:jc w:val="both"/>
        <w:rPr>
          <w:rFonts w:ascii="Times New Roman" w:hAnsi="Times New Roman" w:cs="Times New Roman"/>
          <w:sz w:val="24"/>
          <w:szCs w:val="24"/>
        </w:rPr>
      </w:pPr>
      <w:r w:rsidRPr="00DF33D7">
        <w:rPr>
          <w:rFonts w:ascii="Times New Roman" w:hAnsi="Times New Roman" w:cs="Times New Roman"/>
          <w:sz w:val="24"/>
          <w:szCs w:val="24"/>
        </w:rPr>
        <w:t xml:space="preserve">Above all else, I am obliged to </w:t>
      </w:r>
      <w:r w:rsidRPr="006548D2">
        <w:rPr>
          <w:rFonts w:ascii="Times New Roman" w:hAnsi="Times New Roman" w:cs="Times New Roman"/>
          <w:b/>
          <w:sz w:val="24"/>
          <w:szCs w:val="24"/>
        </w:rPr>
        <w:t xml:space="preserve">Muhammad </w:t>
      </w:r>
      <w:proofErr w:type="spellStart"/>
      <w:r w:rsidRPr="006548D2">
        <w:rPr>
          <w:rFonts w:ascii="Times New Roman" w:hAnsi="Times New Roman" w:cs="Times New Roman"/>
          <w:b/>
          <w:sz w:val="24"/>
          <w:szCs w:val="24"/>
        </w:rPr>
        <w:t>Enamul</w:t>
      </w:r>
      <w:proofErr w:type="spellEnd"/>
      <w:r w:rsidRPr="006548D2">
        <w:rPr>
          <w:rFonts w:ascii="Times New Roman" w:hAnsi="Times New Roman" w:cs="Times New Roman"/>
          <w:b/>
          <w:sz w:val="24"/>
          <w:szCs w:val="24"/>
        </w:rPr>
        <w:t xml:space="preserve"> </w:t>
      </w:r>
      <w:proofErr w:type="spellStart"/>
      <w:r w:rsidRPr="006548D2">
        <w:rPr>
          <w:rFonts w:ascii="Times New Roman" w:hAnsi="Times New Roman" w:cs="Times New Roman"/>
          <w:b/>
          <w:sz w:val="24"/>
          <w:szCs w:val="24"/>
        </w:rPr>
        <w:t>Haque</w:t>
      </w:r>
      <w:proofErr w:type="spellEnd"/>
      <w:r w:rsidRPr="00DF33D7">
        <w:rPr>
          <w:rFonts w:ascii="Times New Roman" w:hAnsi="Times New Roman" w:cs="Times New Roman"/>
          <w:sz w:val="24"/>
          <w:szCs w:val="24"/>
        </w:rPr>
        <w:t xml:space="preserve">, My course </w:t>
      </w:r>
      <w:r w:rsidR="00E55F0B">
        <w:rPr>
          <w:rFonts w:ascii="Times New Roman" w:hAnsi="Times New Roman" w:cs="Times New Roman"/>
          <w:sz w:val="24"/>
          <w:szCs w:val="24"/>
        </w:rPr>
        <w:t>instructor</w:t>
      </w:r>
      <w:r w:rsidRPr="00DF33D7">
        <w:rPr>
          <w:rFonts w:ascii="Times New Roman" w:hAnsi="Times New Roman" w:cs="Times New Roman"/>
          <w:sz w:val="24"/>
          <w:szCs w:val="24"/>
        </w:rPr>
        <w:t xml:space="preserve">, for </w:t>
      </w:r>
      <w:r w:rsidR="00E55F0B">
        <w:rPr>
          <w:rFonts w:ascii="Times New Roman" w:hAnsi="Times New Roman" w:cs="Times New Roman"/>
          <w:sz w:val="24"/>
          <w:szCs w:val="24"/>
        </w:rPr>
        <w:t>his</w:t>
      </w:r>
      <w:r w:rsidRPr="00DF33D7">
        <w:rPr>
          <w:rFonts w:ascii="Times New Roman" w:hAnsi="Times New Roman" w:cs="Times New Roman"/>
          <w:sz w:val="24"/>
          <w:szCs w:val="24"/>
        </w:rPr>
        <w:t xml:space="preserve"> </w:t>
      </w:r>
      <w:r w:rsidR="00E55F0B">
        <w:rPr>
          <w:rFonts w:ascii="Times New Roman" w:hAnsi="Times New Roman" w:cs="Times New Roman"/>
          <w:sz w:val="24"/>
          <w:szCs w:val="24"/>
        </w:rPr>
        <w:t>generous</w:t>
      </w:r>
      <w:r w:rsidR="008C367A">
        <w:rPr>
          <w:rFonts w:ascii="Times New Roman" w:hAnsi="Times New Roman" w:cs="Times New Roman"/>
          <w:sz w:val="24"/>
          <w:szCs w:val="24"/>
        </w:rPr>
        <w:t xml:space="preserve"> direction through the work. Hi</w:t>
      </w:r>
      <w:r w:rsidR="00ED1687">
        <w:rPr>
          <w:rFonts w:ascii="Times New Roman" w:hAnsi="Times New Roman" w:cs="Times New Roman"/>
          <w:sz w:val="24"/>
          <w:szCs w:val="24"/>
        </w:rPr>
        <w:t>s</w:t>
      </w:r>
      <w:r w:rsidRPr="00DF33D7">
        <w:rPr>
          <w:rFonts w:ascii="Times New Roman" w:hAnsi="Times New Roman" w:cs="Times New Roman"/>
          <w:sz w:val="24"/>
          <w:szCs w:val="24"/>
        </w:rPr>
        <w:t xml:space="preserve"> </w:t>
      </w:r>
      <w:r w:rsidR="00E55F0B">
        <w:rPr>
          <w:rFonts w:ascii="Times New Roman" w:hAnsi="Times New Roman" w:cs="Times New Roman"/>
          <w:sz w:val="24"/>
          <w:szCs w:val="24"/>
        </w:rPr>
        <w:t>modest</w:t>
      </w:r>
      <w:r w:rsidRPr="00DF33D7">
        <w:rPr>
          <w:rFonts w:ascii="Times New Roman" w:hAnsi="Times New Roman" w:cs="Times New Roman"/>
          <w:sz w:val="24"/>
          <w:szCs w:val="24"/>
        </w:rPr>
        <w:t xml:space="preserve"> help, confidence and motivation</w:t>
      </w:r>
      <w:r w:rsidR="00E55F0B">
        <w:rPr>
          <w:rFonts w:ascii="Times New Roman" w:hAnsi="Times New Roman" w:cs="Times New Roman"/>
          <w:sz w:val="24"/>
          <w:szCs w:val="24"/>
        </w:rPr>
        <w:t xml:space="preserve"> to me</w:t>
      </w:r>
      <w:r w:rsidRPr="00DF33D7">
        <w:rPr>
          <w:rFonts w:ascii="Times New Roman" w:hAnsi="Times New Roman" w:cs="Times New Roman"/>
          <w:sz w:val="24"/>
          <w:szCs w:val="24"/>
        </w:rPr>
        <w:t xml:space="preserve"> </w:t>
      </w:r>
      <w:r>
        <w:rPr>
          <w:rFonts w:ascii="Times New Roman" w:hAnsi="Times New Roman" w:cs="Times New Roman"/>
          <w:sz w:val="24"/>
          <w:szCs w:val="24"/>
        </w:rPr>
        <w:t>for this report</w:t>
      </w:r>
      <w:r w:rsidRPr="00DF33D7">
        <w:rPr>
          <w:rFonts w:ascii="Times New Roman" w:hAnsi="Times New Roman" w:cs="Times New Roman"/>
          <w:sz w:val="24"/>
          <w:szCs w:val="24"/>
        </w:rPr>
        <w:t xml:space="preserve">, was a </w:t>
      </w:r>
      <w:r w:rsidR="00E55F0B">
        <w:rPr>
          <w:rFonts w:ascii="Times New Roman" w:hAnsi="Times New Roman" w:cs="Times New Roman"/>
          <w:sz w:val="24"/>
          <w:szCs w:val="24"/>
        </w:rPr>
        <w:t>top</w:t>
      </w:r>
      <w:r w:rsidRPr="00DF33D7">
        <w:rPr>
          <w:rFonts w:ascii="Times New Roman" w:hAnsi="Times New Roman" w:cs="Times New Roman"/>
          <w:sz w:val="24"/>
          <w:szCs w:val="24"/>
        </w:rPr>
        <w:t xml:space="preserve"> of solidarity in assembling the pieces and an unfailing well</w:t>
      </w:r>
      <w:r w:rsidR="00E55F0B">
        <w:rPr>
          <w:rFonts w:ascii="Times New Roman" w:hAnsi="Times New Roman" w:cs="Times New Roman"/>
          <w:sz w:val="24"/>
          <w:szCs w:val="24"/>
        </w:rPr>
        <w:t>-</w:t>
      </w:r>
      <w:r w:rsidRPr="00DF33D7">
        <w:rPr>
          <w:rFonts w:ascii="Times New Roman" w:hAnsi="Times New Roman" w:cs="Times New Roman"/>
          <w:sz w:val="24"/>
          <w:szCs w:val="24"/>
        </w:rPr>
        <w:t xml:space="preserve">spring of cheer and consolation. In this way, warm </w:t>
      </w:r>
      <w:r w:rsidR="00E55F0B">
        <w:rPr>
          <w:rFonts w:ascii="Times New Roman" w:hAnsi="Times New Roman" w:cs="Times New Roman"/>
          <w:sz w:val="24"/>
          <w:szCs w:val="24"/>
        </w:rPr>
        <w:t>thanks</w:t>
      </w:r>
      <w:r w:rsidRPr="00DF33D7">
        <w:rPr>
          <w:rFonts w:ascii="Times New Roman" w:hAnsi="Times New Roman" w:cs="Times New Roman"/>
          <w:sz w:val="24"/>
          <w:szCs w:val="24"/>
        </w:rPr>
        <w:t xml:space="preserve"> to </w:t>
      </w:r>
      <w:r w:rsidR="00E55F0B">
        <w:rPr>
          <w:rFonts w:ascii="Times New Roman" w:hAnsi="Times New Roman" w:cs="Times New Roman"/>
          <w:sz w:val="24"/>
          <w:szCs w:val="24"/>
        </w:rPr>
        <w:t>the website</w:t>
      </w:r>
      <w:r w:rsidRPr="00DF33D7">
        <w:rPr>
          <w:rFonts w:ascii="Times New Roman" w:hAnsi="Times New Roman" w:cs="Times New Roman"/>
          <w:sz w:val="24"/>
          <w:szCs w:val="24"/>
        </w:rPr>
        <w:t xml:space="preserve"> </w:t>
      </w:r>
      <w:r w:rsidR="00E55F0B">
        <w:rPr>
          <w:rFonts w:ascii="Times New Roman" w:hAnsi="Times New Roman" w:cs="Times New Roman"/>
          <w:sz w:val="24"/>
          <w:szCs w:val="24"/>
        </w:rPr>
        <w:t xml:space="preserve">maintenance people </w:t>
      </w:r>
      <w:r w:rsidRPr="00DF33D7">
        <w:rPr>
          <w:rFonts w:ascii="Times New Roman" w:hAnsi="Times New Roman" w:cs="Times New Roman"/>
          <w:sz w:val="24"/>
          <w:szCs w:val="24"/>
        </w:rPr>
        <w:t>for supporting me and giving me a satisfactory measure of information.</w:t>
      </w:r>
    </w:p>
    <w:p w:rsidR="00FF1391" w:rsidRDefault="00FF1391">
      <w:pPr>
        <w:rPr>
          <w:rFonts w:ascii="Times New Roman" w:hAnsi="Times New Roman" w:cs="Times New Roman"/>
          <w:sz w:val="24"/>
          <w:szCs w:val="24"/>
        </w:rPr>
      </w:pPr>
      <w:bookmarkStart w:id="6" w:name="_GoBack"/>
      <w:bookmarkEnd w:id="6"/>
      <w:r>
        <w:rPr>
          <w:rFonts w:ascii="Times New Roman" w:hAnsi="Times New Roman" w:cs="Times New Roman"/>
          <w:sz w:val="24"/>
          <w:szCs w:val="24"/>
        </w:rPr>
        <w:br w:type="page"/>
      </w:r>
    </w:p>
    <w:p w:rsidR="00DF33D7" w:rsidRPr="00B6536E" w:rsidRDefault="00B6536E" w:rsidP="00B6536E">
      <w:pPr>
        <w:pStyle w:val="Heading1"/>
        <w:jc w:val="both"/>
        <w:rPr>
          <w:rFonts w:cs="Times New Roman"/>
          <w:szCs w:val="32"/>
        </w:rPr>
      </w:pPr>
      <w:bookmarkStart w:id="7" w:name="_Toc62037697"/>
      <w:r w:rsidRPr="00B6536E">
        <w:rPr>
          <w:rFonts w:cs="Times New Roman"/>
          <w:szCs w:val="32"/>
        </w:rPr>
        <w:lastRenderedPageBreak/>
        <w:t>Executive Summary</w:t>
      </w:r>
      <w:bookmarkEnd w:id="7"/>
    </w:p>
    <w:p w:rsidR="00D348AF" w:rsidRDefault="00D348AF" w:rsidP="00B6536E">
      <w:pPr>
        <w:jc w:val="both"/>
      </w:pPr>
    </w:p>
    <w:p w:rsidR="00C85FD7" w:rsidRPr="00E96E26" w:rsidRDefault="00E96E26" w:rsidP="00E96E26">
      <w:pPr>
        <w:tabs>
          <w:tab w:val="left" w:pos="1189"/>
        </w:tabs>
        <w:spacing w:line="360" w:lineRule="auto"/>
        <w:jc w:val="both"/>
        <w:rPr>
          <w:rFonts w:ascii="Times New Roman" w:hAnsi="Times New Roman" w:cs="Times New Roman"/>
          <w:b/>
          <w:sz w:val="24"/>
          <w:szCs w:val="24"/>
        </w:rPr>
      </w:pPr>
      <w:r w:rsidRPr="00E96E26">
        <w:rPr>
          <w:rFonts w:ascii="Times New Roman" w:hAnsi="Times New Roman" w:cs="Times New Roman"/>
          <w:sz w:val="24"/>
          <w:szCs w:val="24"/>
        </w:rPr>
        <w:t>The</w:t>
      </w:r>
      <w:r w:rsidR="00C85FD7" w:rsidRPr="00E96E26">
        <w:rPr>
          <w:rFonts w:ascii="Times New Roman" w:hAnsi="Times New Roman" w:cs="Times New Roman"/>
          <w:sz w:val="24"/>
          <w:szCs w:val="24"/>
        </w:rPr>
        <w:t xml:space="preserve"> report </w:t>
      </w:r>
      <w:r w:rsidRPr="00E96E26">
        <w:rPr>
          <w:rFonts w:ascii="Times New Roman" w:hAnsi="Times New Roman" w:cs="Times New Roman"/>
          <w:sz w:val="24"/>
          <w:szCs w:val="24"/>
        </w:rPr>
        <w:t xml:space="preserve">is </w:t>
      </w:r>
      <w:r w:rsidR="00C85FD7" w:rsidRPr="00E96E26">
        <w:rPr>
          <w:rFonts w:ascii="Times New Roman" w:hAnsi="Times New Roman" w:cs="Times New Roman"/>
          <w:sz w:val="24"/>
          <w:szCs w:val="24"/>
        </w:rPr>
        <w:t xml:space="preserve">on </w:t>
      </w:r>
      <w:r w:rsidRPr="00E96E26">
        <w:rPr>
          <w:rFonts w:ascii="Times New Roman" w:hAnsi="Times New Roman" w:cs="Times New Roman"/>
          <w:sz w:val="24"/>
          <w:szCs w:val="24"/>
        </w:rPr>
        <w:t>Return Behavior of Banking Sector Stocks in Bangladesh</w:t>
      </w:r>
      <w:r w:rsidRPr="00E96E26">
        <w:rPr>
          <w:rFonts w:ascii="Times New Roman" w:hAnsi="Times New Roman" w:cs="Times New Roman"/>
          <w:b/>
          <w:sz w:val="24"/>
          <w:szCs w:val="24"/>
        </w:rPr>
        <w:t xml:space="preserve">. </w:t>
      </w:r>
      <w:r w:rsidR="00D32117" w:rsidRPr="00E96E26">
        <w:rPr>
          <w:rFonts w:ascii="Times New Roman" w:hAnsi="Times New Roman" w:cs="Times New Roman"/>
          <w:sz w:val="24"/>
          <w:szCs w:val="24"/>
        </w:rPr>
        <w:t>After independence Bangladesh Bank has been regulating the whole Banking System of Bangladesh. There are 30 commercial bank</w:t>
      </w:r>
      <w:r w:rsidR="00CA35BB">
        <w:rPr>
          <w:rFonts w:ascii="Times New Roman" w:hAnsi="Times New Roman" w:cs="Times New Roman"/>
          <w:sz w:val="24"/>
          <w:szCs w:val="24"/>
        </w:rPr>
        <w:t>s</w:t>
      </w:r>
      <w:r w:rsidR="00D32117" w:rsidRPr="00E96E26">
        <w:rPr>
          <w:rFonts w:ascii="Times New Roman" w:hAnsi="Times New Roman" w:cs="Times New Roman"/>
          <w:sz w:val="24"/>
          <w:szCs w:val="24"/>
        </w:rPr>
        <w:t xml:space="preserve"> listed on Dhaka Stock Exchange. </w:t>
      </w:r>
      <w:r w:rsidR="00CA35BB">
        <w:rPr>
          <w:rFonts w:ascii="Times New Roman" w:hAnsi="Times New Roman" w:cs="Times New Roman"/>
          <w:sz w:val="24"/>
          <w:szCs w:val="24"/>
        </w:rPr>
        <w:t xml:space="preserve">In this report, </w:t>
      </w:r>
      <w:r w:rsidR="00C85FD7" w:rsidRPr="00E96E26">
        <w:rPr>
          <w:rFonts w:ascii="Times New Roman" w:hAnsi="Times New Roman" w:cs="Times New Roman"/>
          <w:sz w:val="24"/>
          <w:szCs w:val="24"/>
        </w:rPr>
        <w:t>I am trying to find out yearly returns of banks stock using three important behavior techniques.</w:t>
      </w:r>
    </w:p>
    <w:p w:rsidR="00C85FD7" w:rsidRPr="00C85FD7" w:rsidRDefault="00C85FD7" w:rsidP="00C171A4">
      <w:pPr>
        <w:spacing w:line="360" w:lineRule="auto"/>
        <w:jc w:val="both"/>
        <w:rPr>
          <w:rFonts w:ascii="Times New Roman" w:hAnsi="Times New Roman" w:cs="Times New Roman"/>
          <w:sz w:val="24"/>
          <w:szCs w:val="24"/>
        </w:rPr>
      </w:pPr>
      <w:r w:rsidRPr="00C85FD7">
        <w:rPr>
          <w:rFonts w:ascii="Times New Roman" w:hAnsi="Times New Roman" w:cs="Times New Roman"/>
          <w:sz w:val="24"/>
          <w:szCs w:val="24"/>
        </w:rPr>
        <w:t xml:space="preserve">Report discusses </w:t>
      </w:r>
      <w:r>
        <w:rPr>
          <w:rFonts w:ascii="Times New Roman" w:hAnsi="Times New Roman" w:cs="Times New Roman"/>
          <w:sz w:val="24"/>
          <w:szCs w:val="24"/>
        </w:rPr>
        <w:t>about return differences of stocks year by year</w:t>
      </w:r>
      <w:r w:rsidRPr="00C85FD7">
        <w:rPr>
          <w:rFonts w:ascii="Times New Roman" w:hAnsi="Times New Roman" w:cs="Times New Roman"/>
          <w:sz w:val="24"/>
          <w:szCs w:val="24"/>
        </w:rPr>
        <w:t xml:space="preserve">. </w:t>
      </w:r>
      <w:r>
        <w:rPr>
          <w:rFonts w:ascii="Times New Roman" w:hAnsi="Times New Roman" w:cs="Times New Roman"/>
          <w:sz w:val="24"/>
          <w:szCs w:val="24"/>
        </w:rPr>
        <w:t xml:space="preserve">Fast of all we collect all the information to determine the yearly returns. For calculating yearly returns I use rate of return, holding period return </w:t>
      </w:r>
      <w:r w:rsidR="002706A1">
        <w:rPr>
          <w:rFonts w:ascii="Times New Roman" w:hAnsi="Times New Roman" w:cs="Times New Roman"/>
          <w:sz w:val="24"/>
          <w:szCs w:val="24"/>
        </w:rPr>
        <w:t>and absolute return techniques.</w:t>
      </w:r>
    </w:p>
    <w:p w:rsidR="002C5107" w:rsidRDefault="00C85FD7" w:rsidP="00C171A4">
      <w:pPr>
        <w:spacing w:line="360" w:lineRule="auto"/>
        <w:jc w:val="both"/>
        <w:rPr>
          <w:rFonts w:ascii="Times New Roman" w:hAnsi="Times New Roman" w:cs="Times New Roman"/>
          <w:sz w:val="24"/>
          <w:szCs w:val="24"/>
        </w:rPr>
      </w:pPr>
      <w:r w:rsidRPr="00C85FD7">
        <w:rPr>
          <w:rFonts w:ascii="Times New Roman" w:hAnsi="Times New Roman" w:cs="Times New Roman"/>
          <w:sz w:val="24"/>
          <w:szCs w:val="24"/>
        </w:rPr>
        <w:t>Based on</w:t>
      </w:r>
      <w:r>
        <w:rPr>
          <w:rFonts w:ascii="Times New Roman" w:hAnsi="Times New Roman" w:cs="Times New Roman"/>
          <w:sz w:val="24"/>
          <w:szCs w:val="24"/>
        </w:rPr>
        <w:t xml:space="preserve"> these techniques I</w:t>
      </w:r>
      <w:r w:rsidR="005C375B">
        <w:rPr>
          <w:rFonts w:ascii="Times New Roman" w:hAnsi="Times New Roman" w:cs="Times New Roman"/>
          <w:sz w:val="24"/>
          <w:szCs w:val="24"/>
        </w:rPr>
        <w:t xml:space="preserve"> find detail</w:t>
      </w:r>
      <w:r>
        <w:rPr>
          <w:rFonts w:ascii="Times New Roman" w:hAnsi="Times New Roman" w:cs="Times New Roman"/>
          <w:sz w:val="24"/>
          <w:szCs w:val="24"/>
        </w:rPr>
        <w:t xml:space="preserve"> yearly returns</w:t>
      </w:r>
      <w:r w:rsidRPr="00C85FD7">
        <w:rPr>
          <w:rFonts w:ascii="Times New Roman" w:hAnsi="Times New Roman" w:cs="Times New Roman"/>
          <w:sz w:val="24"/>
          <w:szCs w:val="24"/>
        </w:rPr>
        <w:t>.</w:t>
      </w:r>
      <w:r w:rsidR="00ED3D30">
        <w:rPr>
          <w:rFonts w:ascii="Times New Roman" w:hAnsi="Times New Roman" w:cs="Times New Roman"/>
          <w:sz w:val="24"/>
          <w:szCs w:val="24"/>
        </w:rPr>
        <w:t xml:space="preserve"> </w:t>
      </w:r>
      <w:r w:rsidR="005A1BED">
        <w:rPr>
          <w:rFonts w:ascii="Times New Roman" w:hAnsi="Times New Roman" w:cs="Times New Roman"/>
          <w:sz w:val="24"/>
          <w:szCs w:val="24"/>
        </w:rPr>
        <w:t xml:space="preserve">But holding period returns show the different picture. </w:t>
      </w:r>
      <w:r w:rsidR="00CB4567">
        <w:rPr>
          <w:rFonts w:ascii="Times New Roman" w:hAnsi="Times New Roman" w:cs="Times New Roman"/>
          <w:sz w:val="24"/>
          <w:szCs w:val="24"/>
        </w:rPr>
        <w:t>The average holding period returns was 1.41%, 0.48</w:t>
      </w:r>
      <w:proofErr w:type="gramStart"/>
      <w:r w:rsidR="00CB4567">
        <w:rPr>
          <w:rFonts w:ascii="Times New Roman" w:hAnsi="Times New Roman" w:cs="Times New Roman"/>
          <w:sz w:val="24"/>
          <w:szCs w:val="24"/>
        </w:rPr>
        <w:t xml:space="preserve">% </w:t>
      </w:r>
      <w:r w:rsidR="00CA35BB">
        <w:rPr>
          <w:rFonts w:ascii="Times New Roman" w:hAnsi="Times New Roman" w:cs="Times New Roman"/>
          <w:sz w:val="24"/>
          <w:szCs w:val="24"/>
        </w:rPr>
        <w:t>,</w:t>
      </w:r>
      <w:proofErr w:type="gramEnd"/>
      <w:r w:rsidR="00CA35BB">
        <w:rPr>
          <w:rFonts w:ascii="Times New Roman" w:hAnsi="Times New Roman" w:cs="Times New Roman"/>
          <w:sz w:val="24"/>
          <w:szCs w:val="24"/>
        </w:rPr>
        <w:t xml:space="preserve"> </w:t>
      </w:r>
      <w:r w:rsidR="00CB4567">
        <w:rPr>
          <w:rFonts w:ascii="Times New Roman" w:hAnsi="Times New Roman" w:cs="Times New Roman"/>
          <w:sz w:val="24"/>
          <w:szCs w:val="24"/>
        </w:rPr>
        <w:t xml:space="preserve">and 0.30% respectively years 2017, 2018 and 2019. In holding period returns, most of the banks return </w:t>
      </w:r>
      <w:r w:rsidR="00CA35BB">
        <w:rPr>
          <w:rFonts w:ascii="Times New Roman" w:hAnsi="Times New Roman" w:cs="Times New Roman"/>
          <w:sz w:val="24"/>
          <w:szCs w:val="24"/>
        </w:rPr>
        <w:t xml:space="preserve">percentages were </w:t>
      </w:r>
      <w:r w:rsidR="00CB4567">
        <w:rPr>
          <w:rFonts w:ascii="Times New Roman" w:hAnsi="Times New Roman" w:cs="Times New Roman"/>
          <w:sz w:val="24"/>
          <w:szCs w:val="24"/>
        </w:rPr>
        <w:t xml:space="preserve">positive. It indicates that if investor holds the stocks for longer period of time it decreased losses. Highest holding period return was 3.29%, 1.93% and 1.92% respectively years 2017, 2018 and 2019. Lowest holding period was </w:t>
      </w:r>
      <w:r w:rsidR="002C5107">
        <w:rPr>
          <w:rFonts w:ascii="Times New Roman" w:hAnsi="Times New Roman" w:cs="Times New Roman"/>
          <w:sz w:val="24"/>
          <w:szCs w:val="24"/>
        </w:rPr>
        <w:t xml:space="preserve">0.06%, -0.37% and 0.37% respectively years 2017, 2018 and 2019. </w:t>
      </w:r>
      <w:r w:rsidR="00CB4567">
        <w:rPr>
          <w:rFonts w:ascii="Times New Roman" w:hAnsi="Times New Roman" w:cs="Times New Roman"/>
          <w:sz w:val="24"/>
          <w:szCs w:val="24"/>
        </w:rPr>
        <w:t xml:space="preserve">The average absolute return and rate of return was 34.15%, -14.21% and -17.13% respectively years 2017, 2018 and 2019. Where most of the banks return was negative in 2018 and 2019 but 2017 was positive </w:t>
      </w:r>
      <w:r w:rsidR="002C5107">
        <w:rPr>
          <w:rFonts w:ascii="Times New Roman" w:hAnsi="Times New Roman" w:cs="Times New Roman"/>
          <w:sz w:val="24"/>
          <w:szCs w:val="24"/>
        </w:rPr>
        <w:t>return. Highest absolute returns and rate of return was 129.72%, 23.39% and 19.55% respectively years 2017, 2018 and 2019. Lowest absolute returns and rate of return was -18.85%, -37.16% and -36.81% respectively years 2017, 2018 and 2019. After</w:t>
      </w:r>
      <w:r w:rsidR="00AE2171">
        <w:rPr>
          <w:rFonts w:ascii="Times New Roman" w:hAnsi="Times New Roman" w:cs="Times New Roman"/>
          <w:sz w:val="24"/>
          <w:szCs w:val="24"/>
        </w:rPr>
        <w:t xml:space="preserve"> saw graphical representation I found that banks return performance decreasing year by year. In 2017, most of the bank performance was good. But in 2018, some banks maintain good performance but most of the bank out performs. In 2019, all the banks performance was not good. Few banks still maintain only a certain margin.</w:t>
      </w:r>
      <w:r w:rsidR="003B0E60">
        <w:rPr>
          <w:rFonts w:ascii="Times New Roman" w:hAnsi="Times New Roman" w:cs="Times New Roman"/>
          <w:sz w:val="24"/>
          <w:szCs w:val="24"/>
        </w:rPr>
        <w:t xml:space="preserve"> </w:t>
      </w:r>
    </w:p>
    <w:p w:rsidR="00C85FD7" w:rsidRPr="00C171A4" w:rsidRDefault="002C5107" w:rsidP="00C171A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more accurate result </w:t>
      </w:r>
      <w:r w:rsidR="00C171A4">
        <w:rPr>
          <w:rFonts w:ascii="Times New Roman" w:hAnsi="Times New Roman" w:cs="Times New Roman"/>
          <w:sz w:val="24"/>
          <w:szCs w:val="24"/>
        </w:rPr>
        <w:t>I</w:t>
      </w:r>
      <w:r>
        <w:rPr>
          <w:rFonts w:ascii="Times New Roman" w:hAnsi="Times New Roman" w:cs="Times New Roman"/>
          <w:sz w:val="24"/>
          <w:szCs w:val="24"/>
        </w:rPr>
        <w:t xml:space="preserve"> use monthly compound returns for year 2019. I find average monthly return for year 2019 was </w:t>
      </w:r>
      <w:r w:rsidRPr="00C171A4">
        <w:rPr>
          <w:rFonts w:ascii="Times New Roman" w:hAnsi="Times New Roman" w:cs="Times New Roman"/>
          <w:sz w:val="24"/>
          <w:szCs w:val="24"/>
        </w:rPr>
        <w:t>0.67%, -0.35%, -0.41%, -0.17%, 0.56%, -0.20%, -0.18%, -0.32%, 0.07%,-0.18%,-0.04% and -0.37%</w:t>
      </w:r>
      <w:r w:rsidR="00C171A4">
        <w:rPr>
          <w:rFonts w:ascii="Times New Roman" w:hAnsi="Times New Roman" w:cs="Times New Roman"/>
          <w:sz w:val="24"/>
          <w:szCs w:val="24"/>
        </w:rPr>
        <w:t xml:space="preserve"> for respective months. Highest monthly returns was </w:t>
      </w:r>
      <w:r w:rsidR="00C171A4" w:rsidRPr="00C171A4">
        <w:rPr>
          <w:rFonts w:ascii="Times New Roman" w:hAnsi="Times New Roman" w:cs="Times New Roman"/>
          <w:sz w:val="24"/>
          <w:szCs w:val="24"/>
        </w:rPr>
        <w:t>2.43%, 1.54%, 1.75%, 0.82%, 2.29%, 0.48%, 0.60%, 0.12%, 0.90%, 0.77%, 0.88% and 0.36%</w:t>
      </w:r>
      <w:r w:rsidR="00C171A4">
        <w:rPr>
          <w:rFonts w:ascii="Times New Roman" w:hAnsi="Times New Roman" w:cs="Times New Roman"/>
          <w:sz w:val="24"/>
          <w:szCs w:val="24"/>
        </w:rPr>
        <w:t xml:space="preserve"> for respective months. Negative returns was </w:t>
      </w:r>
      <w:r w:rsidR="00C171A4" w:rsidRPr="00C171A4">
        <w:rPr>
          <w:rFonts w:ascii="Times New Roman" w:hAnsi="Times New Roman" w:cs="Times New Roman"/>
          <w:sz w:val="24"/>
          <w:szCs w:val="24"/>
        </w:rPr>
        <w:t>-1.25%, -0.85%, -1.37%, -1.23%, -0.76%, -1.01%, -</w:t>
      </w:r>
      <w:r w:rsidR="00C171A4" w:rsidRPr="00C171A4">
        <w:rPr>
          <w:rFonts w:ascii="Times New Roman" w:hAnsi="Times New Roman" w:cs="Times New Roman"/>
          <w:sz w:val="24"/>
          <w:szCs w:val="24"/>
        </w:rPr>
        <w:lastRenderedPageBreak/>
        <w:t>0.88%, -0.77%, -0.65%, -1.61%, -1.39% and -0.86%</w:t>
      </w:r>
      <w:r w:rsidR="00C171A4">
        <w:rPr>
          <w:rFonts w:ascii="Times New Roman" w:hAnsi="Times New Roman" w:cs="Times New Roman"/>
          <w:sz w:val="24"/>
          <w:szCs w:val="24"/>
        </w:rPr>
        <w:t xml:space="preserve"> for respective months. </w:t>
      </w:r>
      <w:r w:rsidR="00ED3D30">
        <w:rPr>
          <w:rFonts w:ascii="Times New Roman" w:hAnsi="Times New Roman" w:cs="Times New Roman"/>
          <w:sz w:val="24"/>
          <w:szCs w:val="24"/>
        </w:rPr>
        <w:t>But After measuring c</w:t>
      </w:r>
      <w:r w:rsidR="003B0E60">
        <w:rPr>
          <w:rFonts w:ascii="Times New Roman" w:hAnsi="Times New Roman" w:cs="Times New Roman"/>
          <w:sz w:val="24"/>
          <w:szCs w:val="24"/>
        </w:rPr>
        <w:t>ompound monthly growth rate and daily absolute return on 2019</w:t>
      </w:r>
      <w:r w:rsidR="00ED3D30">
        <w:rPr>
          <w:rFonts w:ascii="Times New Roman" w:hAnsi="Times New Roman" w:cs="Times New Roman"/>
          <w:sz w:val="24"/>
          <w:szCs w:val="24"/>
        </w:rPr>
        <w:t>,</w:t>
      </w:r>
      <w:r w:rsidR="003B0E60">
        <w:rPr>
          <w:rFonts w:ascii="Times New Roman" w:hAnsi="Times New Roman" w:cs="Times New Roman"/>
          <w:sz w:val="24"/>
          <w:szCs w:val="24"/>
        </w:rPr>
        <w:t xml:space="preserve"> I saw almost all banks have negative return pattern.</w:t>
      </w:r>
      <w:r w:rsidR="00FA7B26">
        <w:rPr>
          <w:rFonts w:ascii="Times New Roman" w:hAnsi="Times New Roman" w:cs="Times New Roman"/>
          <w:sz w:val="24"/>
          <w:szCs w:val="24"/>
        </w:rPr>
        <w:t xml:space="preserve"> In 2019 the positive returns was higher than the negative returns.</w:t>
      </w:r>
    </w:p>
    <w:p w:rsidR="0073588B" w:rsidRPr="004969D0" w:rsidRDefault="00793E39" w:rsidP="00C171A4">
      <w:pPr>
        <w:spacing w:line="360" w:lineRule="auto"/>
        <w:jc w:val="both"/>
        <w:rPr>
          <w:rFonts w:ascii="Times New Roman" w:hAnsi="Times New Roman" w:cs="Times New Roman"/>
          <w:sz w:val="24"/>
          <w:szCs w:val="24"/>
        </w:rPr>
      </w:pPr>
      <w:r>
        <w:br w:type="page"/>
      </w:r>
    </w:p>
    <w:sdt>
      <w:sdtPr>
        <w:rPr>
          <w:rFonts w:ascii="Times New Roman" w:eastAsiaTheme="minorHAnsi" w:hAnsi="Times New Roman" w:cs="Times New Roman"/>
          <w:b w:val="0"/>
          <w:bCs w:val="0"/>
          <w:color w:val="auto"/>
          <w:sz w:val="22"/>
          <w:szCs w:val="22"/>
          <w:lang w:eastAsia="en-US"/>
        </w:rPr>
        <w:id w:val="-737780756"/>
        <w:docPartObj>
          <w:docPartGallery w:val="Table of Contents"/>
          <w:docPartUnique/>
        </w:docPartObj>
      </w:sdtPr>
      <w:sdtEndPr>
        <w:rPr>
          <w:rFonts w:asciiTheme="minorHAnsi" w:hAnsiTheme="minorHAnsi" w:cstheme="minorBidi"/>
          <w:noProof/>
        </w:rPr>
      </w:sdtEndPr>
      <w:sdtContent>
        <w:p w:rsidR="0073588B" w:rsidRPr="00D87050" w:rsidRDefault="0073588B">
          <w:pPr>
            <w:pStyle w:val="TOCHeading"/>
            <w:rPr>
              <w:rFonts w:ascii="Times New Roman" w:hAnsi="Times New Roman" w:cs="Times New Roman"/>
              <w:szCs w:val="32"/>
            </w:rPr>
          </w:pPr>
          <w:r w:rsidRPr="00D87050">
            <w:rPr>
              <w:rFonts w:ascii="Times New Roman" w:hAnsi="Times New Roman" w:cs="Times New Roman"/>
              <w:szCs w:val="32"/>
            </w:rPr>
            <w:t>Table of Contents</w:t>
          </w:r>
        </w:p>
        <w:p w:rsidR="0073588B" w:rsidRPr="00FA7B26" w:rsidRDefault="0073588B" w:rsidP="0073588B">
          <w:pPr>
            <w:rPr>
              <w:rFonts w:ascii="Times New Roman" w:hAnsi="Times New Roman" w:cs="Times New Roman"/>
              <w:lang w:eastAsia="ja-JP"/>
            </w:rPr>
          </w:pPr>
        </w:p>
        <w:p w:rsidR="00F64913" w:rsidRDefault="0073588B">
          <w:pPr>
            <w:pStyle w:val="TOC1"/>
            <w:tabs>
              <w:tab w:val="right" w:leader="dot" w:pos="9350"/>
            </w:tabs>
            <w:rPr>
              <w:rFonts w:eastAsiaTheme="minorEastAsia"/>
              <w:noProof/>
            </w:rPr>
          </w:pPr>
          <w:r w:rsidRPr="00FA7B26">
            <w:rPr>
              <w:rFonts w:ascii="Times New Roman" w:hAnsi="Times New Roman" w:cs="Times New Roman"/>
            </w:rPr>
            <w:fldChar w:fldCharType="begin"/>
          </w:r>
          <w:r w:rsidRPr="00FA7B26">
            <w:rPr>
              <w:rFonts w:ascii="Times New Roman" w:hAnsi="Times New Roman" w:cs="Times New Roman"/>
            </w:rPr>
            <w:instrText xml:space="preserve"> TOC \o "1-3" \h \z \u </w:instrText>
          </w:r>
          <w:r w:rsidRPr="00FA7B26">
            <w:rPr>
              <w:rFonts w:ascii="Times New Roman" w:hAnsi="Times New Roman" w:cs="Times New Roman"/>
            </w:rPr>
            <w:fldChar w:fldCharType="separate"/>
          </w:r>
          <w:hyperlink w:anchor="_Toc62037694" w:history="1">
            <w:r w:rsidR="00F64913" w:rsidRPr="00071373">
              <w:rPr>
                <w:rStyle w:val="Hyperlink"/>
                <w:noProof/>
              </w:rPr>
              <w:t>Letter of transmittal</w:t>
            </w:r>
            <w:r w:rsidR="00F64913">
              <w:rPr>
                <w:noProof/>
                <w:webHidden/>
              </w:rPr>
              <w:tab/>
            </w:r>
            <w:r w:rsidR="00F64913">
              <w:rPr>
                <w:noProof/>
                <w:webHidden/>
              </w:rPr>
              <w:fldChar w:fldCharType="begin"/>
            </w:r>
            <w:r w:rsidR="00F64913">
              <w:rPr>
                <w:noProof/>
                <w:webHidden/>
              </w:rPr>
              <w:instrText xml:space="preserve"> PAGEREF _Toc62037694 \h </w:instrText>
            </w:r>
            <w:r w:rsidR="00F64913">
              <w:rPr>
                <w:noProof/>
                <w:webHidden/>
              </w:rPr>
            </w:r>
            <w:r w:rsidR="00F64913">
              <w:rPr>
                <w:noProof/>
                <w:webHidden/>
              </w:rPr>
              <w:fldChar w:fldCharType="separate"/>
            </w:r>
            <w:r w:rsidR="00F64913">
              <w:rPr>
                <w:noProof/>
                <w:webHidden/>
              </w:rPr>
              <w:t>III</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695" w:history="1">
            <w:r w:rsidR="00F64913" w:rsidRPr="00071373">
              <w:rPr>
                <w:rStyle w:val="Hyperlink"/>
                <w:noProof/>
              </w:rPr>
              <w:t>Declaration of the student</w:t>
            </w:r>
            <w:r w:rsidR="00F64913">
              <w:rPr>
                <w:noProof/>
                <w:webHidden/>
              </w:rPr>
              <w:tab/>
            </w:r>
            <w:r w:rsidR="00F64913">
              <w:rPr>
                <w:noProof/>
                <w:webHidden/>
              </w:rPr>
              <w:fldChar w:fldCharType="begin"/>
            </w:r>
            <w:r w:rsidR="00F64913">
              <w:rPr>
                <w:noProof/>
                <w:webHidden/>
              </w:rPr>
              <w:instrText xml:space="preserve"> PAGEREF _Toc62037695 \h </w:instrText>
            </w:r>
            <w:r w:rsidR="00F64913">
              <w:rPr>
                <w:noProof/>
                <w:webHidden/>
              </w:rPr>
            </w:r>
            <w:r w:rsidR="00F64913">
              <w:rPr>
                <w:noProof/>
                <w:webHidden/>
              </w:rPr>
              <w:fldChar w:fldCharType="separate"/>
            </w:r>
            <w:r w:rsidR="00F64913">
              <w:rPr>
                <w:noProof/>
                <w:webHidden/>
              </w:rPr>
              <w:t>IV</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696" w:history="1">
            <w:r w:rsidR="00F64913" w:rsidRPr="00071373">
              <w:rPr>
                <w:rStyle w:val="Hyperlink"/>
                <w:rFonts w:cs="Times New Roman"/>
                <w:noProof/>
              </w:rPr>
              <w:t>Acknowledgment</w:t>
            </w:r>
            <w:r w:rsidR="00F64913">
              <w:rPr>
                <w:noProof/>
                <w:webHidden/>
              </w:rPr>
              <w:tab/>
            </w:r>
            <w:r w:rsidR="00F64913">
              <w:rPr>
                <w:noProof/>
                <w:webHidden/>
              </w:rPr>
              <w:fldChar w:fldCharType="begin"/>
            </w:r>
            <w:r w:rsidR="00F64913">
              <w:rPr>
                <w:noProof/>
                <w:webHidden/>
              </w:rPr>
              <w:instrText xml:space="preserve"> PAGEREF _Toc62037696 \h </w:instrText>
            </w:r>
            <w:r w:rsidR="00F64913">
              <w:rPr>
                <w:noProof/>
                <w:webHidden/>
              </w:rPr>
            </w:r>
            <w:r w:rsidR="00F64913">
              <w:rPr>
                <w:noProof/>
                <w:webHidden/>
              </w:rPr>
              <w:fldChar w:fldCharType="separate"/>
            </w:r>
            <w:r w:rsidR="00F64913">
              <w:rPr>
                <w:noProof/>
                <w:webHidden/>
              </w:rPr>
              <w:t>V</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697" w:history="1">
            <w:r w:rsidR="00F64913" w:rsidRPr="00071373">
              <w:rPr>
                <w:rStyle w:val="Hyperlink"/>
                <w:rFonts w:cs="Times New Roman"/>
                <w:noProof/>
              </w:rPr>
              <w:t>Executive Summary</w:t>
            </w:r>
            <w:r w:rsidR="00F64913">
              <w:rPr>
                <w:noProof/>
                <w:webHidden/>
              </w:rPr>
              <w:tab/>
            </w:r>
            <w:r w:rsidR="00F64913">
              <w:rPr>
                <w:noProof/>
                <w:webHidden/>
              </w:rPr>
              <w:fldChar w:fldCharType="begin"/>
            </w:r>
            <w:r w:rsidR="00F64913">
              <w:rPr>
                <w:noProof/>
                <w:webHidden/>
              </w:rPr>
              <w:instrText xml:space="preserve"> PAGEREF _Toc62037697 \h </w:instrText>
            </w:r>
            <w:r w:rsidR="00F64913">
              <w:rPr>
                <w:noProof/>
                <w:webHidden/>
              </w:rPr>
            </w:r>
            <w:r w:rsidR="00F64913">
              <w:rPr>
                <w:noProof/>
                <w:webHidden/>
              </w:rPr>
              <w:fldChar w:fldCharType="separate"/>
            </w:r>
            <w:r w:rsidR="00F64913">
              <w:rPr>
                <w:noProof/>
                <w:webHidden/>
              </w:rPr>
              <w:t>VI</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698" w:history="1">
            <w:r w:rsidR="00F64913" w:rsidRPr="00071373">
              <w:rPr>
                <w:rStyle w:val="Hyperlink"/>
                <w:noProof/>
              </w:rPr>
              <w:t>List of Tables</w:t>
            </w:r>
            <w:r w:rsidR="00F64913">
              <w:rPr>
                <w:noProof/>
                <w:webHidden/>
              </w:rPr>
              <w:tab/>
            </w:r>
            <w:r w:rsidR="00F64913">
              <w:rPr>
                <w:noProof/>
                <w:webHidden/>
              </w:rPr>
              <w:fldChar w:fldCharType="begin"/>
            </w:r>
            <w:r w:rsidR="00F64913">
              <w:rPr>
                <w:noProof/>
                <w:webHidden/>
              </w:rPr>
              <w:instrText xml:space="preserve"> PAGEREF _Toc62037698 \h </w:instrText>
            </w:r>
            <w:r w:rsidR="00F64913">
              <w:rPr>
                <w:noProof/>
                <w:webHidden/>
              </w:rPr>
            </w:r>
            <w:r w:rsidR="00F64913">
              <w:rPr>
                <w:noProof/>
                <w:webHidden/>
              </w:rPr>
              <w:fldChar w:fldCharType="separate"/>
            </w:r>
            <w:r w:rsidR="00F64913">
              <w:rPr>
                <w:noProof/>
                <w:webHidden/>
              </w:rPr>
              <w:t>X</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699" w:history="1">
            <w:r w:rsidR="00F64913" w:rsidRPr="00071373">
              <w:rPr>
                <w:rStyle w:val="Hyperlink"/>
                <w:noProof/>
              </w:rPr>
              <w:t>List of Graph</w:t>
            </w:r>
            <w:r w:rsidR="00F64913">
              <w:rPr>
                <w:noProof/>
                <w:webHidden/>
              </w:rPr>
              <w:tab/>
            </w:r>
            <w:r w:rsidR="00F64913">
              <w:rPr>
                <w:noProof/>
                <w:webHidden/>
              </w:rPr>
              <w:fldChar w:fldCharType="begin"/>
            </w:r>
            <w:r w:rsidR="00F64913">
              <w:rPr>
                <w:noProof/>
                <w:webHidden/>
              </w:rPr>
              <w:instrText xml:space="preserve"> PAGEREF _Toc62037699 \h </w:instrText>
            </w:r>
            <w:r w:rsidR="00F64913">
              <w:rPr>
                <w:noProof/>
                <w:webHidden/>
              </w:rPr>
            </w:r>
            <w:r w:rsidR="00F64913">
              <w:rPr>
                <w:noProof/>
                <w:webHidden/>
              </w:rPr>
              <w:fldChar w:fldCharType="separate"/>
            </w:r>
            <w:r w:rsidR="00F64913">
              <w:rPr>
                <w:noProof/>
                <w:webHidden/>
              </w:rPr>
              <w:t>XIII</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700" w:history="1">
            <w:r w:rsidR="00F64913" w:rsidRPr="00071373">
              <w:rPr>
                <w:rStyle w:val="Hyperlink"/>
                <w:rFonts w:cs="Times New Roman"/>
                <w:noProof/>
              </w:rPr>
              <w:t>List of Equation</w:t>
            </w:r>
            <w:r w:rsidR="00F64913">
              <w:rPr>
                <w:noProof/>
                <w:webHidden/>
              </w:rPr>
              <w:tab/>
            </w:r>
            <w:r w:rsidR="00F64913">
              <w:rPr>
                <w:noProof/>
                <w:webHidden/>
              </w:rPr>
              <w:fldChar w:fldCharType="begin"/>
            </w:r>
            <w:r w:rsidR="00F64913">
              <w:rPr>
                <w:noProof/>
                <w:webHidden/>
              </w:rPr>
              <w:instrText xml:space="preserve"> PAGEREF _Toc62037700 \h </w:instrText>
            </w:r>
            <w:r w:rsidR="00F64913">
              <w:rPr>
                <w:noProof/>
                <w:webHidden/>
              </w:rPr>
            </w:r>
            <w:r w:rsidR="00F64913">
              <w:rPr>
                <w:noProof/>
                <w:webHidden/>
              </w:rPr>
              <w:fldChar w:fldCharType="separate"/>
            </w:r>
            <w:r w:rsidR="00F64913">
              <w:rPr>
                <w:noProof/>
                <w:webHidden/>
              </w:rPr>
              <w:t>XV</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701" w:history="1">
            <w:r w:rsidR="00F64913" w:rsidRPr="00071373">
              <w:rPr>
                <w:rStyle w:val="Hyperlink"/>
                <w:rFonts w:cs="Times New Roman"/>
                <w:noProof/>
              </w:rPr>
              <w:t>CHAPTER I: INTRODUCTION</w:t>
            </w:r>
            <w:r w:rsidR="00F64913">
              <w:rPr>
                <w:noProof/>
                <w:webHidden/>
              </w:rPr>
              <w:tab/>
            </w:r>
            <w:r w:rsidR="00F64913">
              <w:rPr>
                <w:noProof/>
                <w:webHidden/>
              </w:rPr>
              <w:fldChar w:fldCharType="begin"/>
            </w:r>
            <w:r w:rsidR="00F64913">
              <w:rPr>
                <w:noProof/>
                <w:webHidden/>
              </w:rPr>
              <w:instrText xml:space="preserve"> PAGEREF _Toc62037701 \h </w:instrText>
            </w:r>
            <w:r w:rsidR="00F64913">
              <w:rPr>
                <w:noProof/>
                <w:webHidden/>
              </w:rPr>
            </w:r>
            <w:r w:rsidR="00F64913">
              <w:rPr>
                <w:noProof/>
                <w:webHidden/>
              </w:rPr>
              <w:fldChar w:fldCharType="separate"/>
            </w:r>
            <w:r w:rsidR="00F64913">
              <w:rPr>
                <w:noProof/>
                <w:webHidden/>
              </w:rPr>
              <w:t>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02" w:history="1">
            <w:r w:rsidR="00F64913" w:rsidRPr="00071373">
              <w:rPr>
                <w:rStyle w:val="Hyperlink"/>
                <w:rFonts w:cs="Times New Roman"/>
                <w:noProof/>
                <w:shd w:val="clear" w:color="auto" w:fill="FFFFFF"/>
              </w:rPr>
              <w:t>Background of the Report</w:t>
            </w:r>
            <w:r w:rsidR="00F64913">
              <w:rPr>
                <w:noProof/>
                <w:webHidden/>
              </w:rPr>
              <w:tab/>
            </w:r>
            <w:r w:rsidR="00F64913">
              <w:rPr>
                <w:noProof/>
                <w:webHidden/>
              </w:rPr>
              <w:fldChar w:fldCharType="begin"/>
            </w:r>
            <w:r w:rsidR="00F64913">
              <w:rPr>
                <w:noProof/>
                <w:webHidden/>
              </w:rPr>
              <w:instrText xml:space="preserve"> PAGEREF _Toc62037702 \h </w:instrText>
            </w:r>
            <w:r w:rsidR="00F64913">
              <w:rPr>
                <w:noProof/>
                <w:webHidden/>
              </w:rPr>
            </w:r>
            <w:r w:rsidR="00F64913">
              <w:rPr>
                <w:noProof/>
                <w:webHidden/>
              </w:rPr>
              <w:fldChar w:fldCharType="separate"/>
            </w:r>
            <w:r w:rsidR="00F64913">
              <w:rPr>
                <w:noProof/>
                <w:webHidden/>
              </w:rPr>
              <w:t>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03" w:history="1">
            <w:r w:rsidR="00F64913" w:rsidRPr="00071373">
              <w:rPr>
                <w:rStyle w:val="Hyperlink"/>
                <w:rFonts w:cs="Times New Roman"/>
                <w:noProof/>
              </w:rPr>
              <w:t>Objectives of the Report</w:t>
            </w:r>
            <w:r w:rsidR="00F64913">
              <w:rPr>
                <w:noProof/>
                <w:webHidden/>
              </w:rPr>
              <w:tab/>
            </w:r>
            <w:r w:rsidR="00F64913">
              <w:rPr>
                <w:noProof/>
                <w:webHidden/>
              </w:rPr>
              <w:fldChar w:fldCharType="begin"/>
            </w:r>
            <w:r w:rsidR="00F64913">
              <w:rPr>
                <w:noProof/>
                <w:webHidden/>
              </w:rPr>
              <w:instrText xml:space="preserve"> PAGEREF _Toc62037703 \h </w:instrText>
            </w:r>
            <w:r w:rsidR="00F64913">
              <w:rPr>
                <w:noProof/>
                <w:webHidden/>
              </w:rPr>
            </w:r>
            <w:r w:rsidR="00F64913">
              <w:rPr>
                <w:noProof/>
                <w:webHidden/>
              </w:rPr>
              <w:fldChar w:fldCharType="separate"/>
            </w:r>
            <w:r w:rsidR="00F64913">
              <w:rPr>
                <w:noProof/>
                <w:webHidden/>
              </w:rPr>
              <w:t>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04" w:history="1">
            <w:r w:rsidR="00F64913" w:rsidRPr="00071373">
              <w:rPr>
                <w:rStyle w:val="Hyperlink"/>
                <w:rFonts w:cs="Times New Roman"/>
                <w:noProof/>
              </w:rPr>
              <w:t>Motivation of the Report</w:t>
            </w:r>
            <w:r w:rsidR="00F64913">
              <w:rPr>
                <w:noProof/>
                <w:webHidden/>
              </w:rPr>
              <w:tab/>
            </w:r>
            <w:r w:rsidR="00F64913">
              <w:rPr>
                <w:noProof/>
                <w:webHidden/>
              </w:rPr>
              <w:fldChar w:fldCharType="begin"/>
            </w:r>
            <w:r w:rsidR="00F64913">
              <w:rPr>
                <w:noProof/>
                <w:webHidden/>
              </w:rPr>
              <w:instrText xml:space="preserve"> PAGEREF _Toc62037704 \h </w:instrText>
            </w:r>
            <w:r w:rsidR="00F64913">
              <w:rPr>
                <w:noProof/>
                <w:webHidden/>
              </w:rPr>
            </w:r>
            <w:r w:rsidR="00F64913">
              <w:rPr>
                <w:noProof/>
                <w:webHidden/>
              </w:rPr>
              <w:fldChar w:fldCharType="separate"/>
            </w:r>
            <w:r w:rsidR="00F64913">
              <w:rPr>
                <w:noProof/>
                <w:webHidden/>
              </w:rPr>
              <w:t>2</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05" w:history="1">
            <w:r w:rsidR="00F64913" w:rsidRPr="00071373">
              <w:rPr>
                <w:rStyle w:val="Hyperlink"/>
                <w:rFonts w:cs="Times New Roman"/>
                <w:noProof/>
              </w:rPr>
              <w:t>Scope, Source and limitations of the Report</w:t>
            </w:r>
            <w:r w:rsidR="00F64913">
              <w:rPr>
                <w:noProof/>
                <w:webHidden/>
              </w:rPr>
              <w:tab/>
            </w:r>
            <w:r w:rsidR="00F64913">
              <w:rPr>
                <w:noProof/>
                <w:webHidden/>
              </w:rPr>
              <w:fldChar w:fldCharType="begin"/>
            </w:r>
            <w:r w:rsidR="00F64913">
              <w:rPr>
                <w:noProof/>
                <w:webHidden/>
              </w:rPr>
              <w:instrText xml:space="preserve"> PAGEREF _Toc62037705 \h </w:instrText>
            </w:r>
            <w:r w:rsidR="00F64913">
              <w:rPr>
                <w:noProof/>
                <w:webHidden/>
              </w:rPr>
            </w:r>
            <w:r w:rsidR="00F64913">
              <w:rPr>
                <w:noProof/>
                <w:webHidden/>
              </w:rPr>
              <w:fldChar w:fldCharType="separate"/>
            </w:r>
            <w:r w:rsidR="00F64913">
              <w:rPr>
                <w:noProof/>
                <w:webHidden/>
              </w:rPr>
              <w:t>2</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706" w:history="1">
            <w:r w:rsidR="00F64913" w:rsidRPr="00071373">
              <w:rPr>
                <w:rStyle w:val="Hyperlink"/>
                <w:rFonts w:cs="Times New Roman"/>
                <w:noProof/>
              </w:rPr>
              <w:t>CHAPTER II: INDUSTRY PREVIEW</w:t>
            </w:r>
            <w:r w:rsidR="00F64913">
              <w:rPr>
                <w:noProof/>
                <w:webHidden/>
              </w:rPr>
              <w:tab/>
            </w:r>
            <w:r w:rsidR="00F64913">
              <w:rPr>
                <w:noProof/>
                <w:webHidden/>
              </w:rPr>
              <w:fldChar w:fldCharType="begin"/>
            </w:r>
            <w:r w:rsidR="00F64913">
              <w:rPr>
                <w:noProof/>
                <w:webHidden/>
              </w:rPr>
              <w:instrText xml:space="preserve"> PAGEREF _Toc62037706 \h </w:instrText>
            </w:r>
            <w:r w:rsidR="00F64913">
              <w:rPr>
                <w:noProof/>
                <w:webHidden/>
              </w:rPr>
            </w:r>
            <w:r w:rsidR="00F64913">
              <w:rPr>
                <w:noProof/>
                <w:webHidden/>
              </w:rPr>
              <w:fldChar w:fldCharType="separate"/>
            </w:r>
            <w:r w:rsidR="00F64913">
              <w:rPr>
                <w:noProof/>
                <w:webHidden/>
              </w:rPr>
              <w:t>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07" w:history="1">
            <w:r w:rsidR="00F64913" w:rsidRPr="00071373">
              <w:rPr>
                <w:rStyle w:val="Hyperlink"/>
                <w:rFonts w:cs="Times New Roman"/>
                <w:noProof/>
              </w:rPr>
              <w:t>Industry preview</w:t>
            </w:r>
            <w:r w:rsidR="00F64913">
              <w:rPr>
                <w:noProof/>
                <w:webHidden/>
              </w:rPr>
              <w:tab/>
            </w:r>
            <w:r w:rsidR="00F64913">
              <w:rPr>
                <w:noProof/>
                <w:webHidden/>
              </w:rPr>
              <w:fldChar w:fldCharType="begin"/>
            </w:r>
            <w:r w:rsidR="00F64913">
              <w:rPr>
                <w:noProof/>
                <w:webHidden/>
              </w:rPr>
              <w:instrText xml:space="preserve"> PAGEREF _Toc62037707 \h </w:instrText>
            </w:r>
            <w:r w:rsidR="00F64913">
              <w:rPr>
                <w:noProof/>
                <w:webHidden/>
              </w:rPr>
            </w:r>
            <w:r w:rsidR="00F64913">
              <w:rPr>
                <w:noProof/>
                <w:webHidden/>
              </w:rPr>
              <w:fldChar w:fldCharType="separate"/>
            </w:r>
            <w:r w:rsidR="00F64913">
              <w:rPr>
                <w:noProof/>
                <w:webHidden/>
              </w:rPr>
              <w:t>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08" w:history="1">
            <w:r w:rsidR="00F64913" w:rsidRPr="00071373">
              <w:rPr>
                <w:rStyle w:val="Hyperlink"/>
                <w:rFonts w:cs="Times New Roman"/>
                <w:noProof/>
              </w:rPr>
              <w:t>Contribution of the Banking sector in National Economy</w:t>
            </w:r>
            <w:r w:rsidR="00F64913">
              <w:rPr>
                <w:noProof/>
                <w:webHidden/>
              </w:rPr>
              <w:tab/>
            </w:r>
            <w:r w:rsidR="00F64913">
              <w:rPr>
                <w:noProof/>
                <w:webHidden/>
              </w:rPr>
              <w:fldChar w:fldCharType="begin"/>
            </w:r>
            <w:r w:rsidR="00F64913">
              <w:rPr>
                <w:noProof/>
                <w:webHidden/>
              </w:rPr>
              <w:instrText xml:space="preserve"> PAGEREF _Toc62037708 \h </w:instrText>
            </w:r>
            <w:r w:rsidR="00F64913">
              <w:rPr>
                <w:noProof/>
                <w:webHidden/>
              </w:rPr>
            </w:r>
            <w:r w:rsidR="00F64913">
              <w:rPr>
                <w:noProof/>
                <w:webHidden/>
              </w:rPr>
              <w:fldChar w:fldCharType="separate"/>
            </w:r>
            <w:r w:rsidR="00F64913">
              <w:rPr>
                <w:noProof/>
                <w:webHidden/>
              </w:rPr>
              <w:t>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09" w:history="1">
            <w:r w:rsidR="00F64913" w:rsidRPr="00071373">
              <w:rPr>
                <w:rStyle w:val="Hyperlink"/>
                <w:rFonts w:cs="Times New Roman"/>
                <w:noProof/>
              </w:rPr>
              <w:t>Analysis of Banking Sector’s Performance in Capital Market</w:t>
            </w:r>
            <w:r w:rsidR="00F64913">
              <w:rPr>
                <w:noProof/>
                <w:webHidden/>
              </w:rPr>
              <w:tab/>
            </w:r>
            <w:r w:rsidR="00F64913">
              <w:rPr>
                <w:noProof/>
                <w:webHidden/>
              </w:rPr>
              <w:fldChar w:fldCharType="begin"/>
            </w:r>
            <w:r w:rsidR="00F64913">
              <w:rPr>
                <w:noProof/>
                <w:webHidden/>
              </w:rPr>
              <w:instrText xml:space="preserve"> PAGEREF _Toc62037709 \h </w:instrText>
            </w:r>
            <w:r w:rsidR="00F64913">
              <w:rPr>
                <w:noProof/>
                <w:webHidden/>
              </w:rPr>
            </w:r>
            <w:r w:rsidR="00F64913">
              <w:rPr>
                <w:noProof/>
                <w:webHidden/>
              </w:rPr>
              <w:fldChar w:fldCharType="separate"/>
            </w:r>
            <w:r w:rsidR="00F64913">
              <w:rPr>
                <w:noProof/>
                <w:webHidden/>
              </w:rPr>
              <w:t>4</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0" w:history="1">
            <w:r w:rsidR="00F64913" w:rsidRPr="00071373">
              <w:rPr>
                <w:rStyle w:val="Hyperlink"/>
                <w:rFonts w:cs="Times New Roman"/>
                <w:noProof/>
              </w:rPr>
              <w:t>Banks’ Participation in Capital Market</w:t>
            </w:r>
            <w:r w:rsidR="00F64913">
              <w:rPr>
                <w:noProof/>
                <w:webHidden/>
              </w:rPr>
              <w:tab/>
            </w:r>
            <w:r w:rsidR="00F64913">
              <w:rPr>
                <w:noProof/>
                <w:webHidden/>
              </w:rPr>
              <w:fldChar w:fldCharType="begin"/>
            </w:r>
            <w:r w:rsidR="00F64913">
              <w:rPr>
                <w:noProof/>
                <w:webHidden/>
              </w:rPr>
              <w:instrText xml:space="preserve"> PAGEREF _Toc62037710 \h </w:instrText>
            </w:r>
            <w:r w:rsidR="00F64913">
              <w:rPr>
                <w:noProof/>
                <w:webHidden/>
              </w:rPr>
            </w:r>
            <w:r w:rsidR="00F64913">
              <w:rPr>
                <w:noProof/>
                <w:webHidden/>
              </w:rPr>
              <w:fldChar w:fldCharType="separate"/>
            </w:r>
            <w:r w:rsidR="00F64913">
              <w:rPr>
                <w:noProof/>
                <w:webHidden/>
              </w:rPr>
              <w:t>4</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711" w:history="1">
            <w:r w:rsidR="00F64913" w:rsidRPr="00071373">
              <w:rPr>
                <w:rStyle w:val="Hyperlink"/>
                <w:rFonts w:cs="Times New Roman"/>
                <w:noProof/>
              </w:rPr>
              <w:t>CHAPTER IV: BANKS STOCKS RETURN BEHAVIOR</w:t>
            </w:r>
            <w:r w:rsidR="00F64913">
              <w:rPr>
                <w:noProof/>
                <w:webHidden/>
              </w:rPr>
              <w:tab/>
            </w:r>
            <w:r w:rsidR="00F64913">
              <w:rPr>
                <w:noProof/>
                <w:webHidden/>
              </w:rPr>
              <w:fldChar w:fldCharType="begin"/>
            </w:r>
            <w:r w:rsidR="00F64913">
              <w:rPr>
                <w:noProof/>
                <w:webHidden/>
              </w:rPr>
              <w:instrText xml:space="preserve"> PAGEREF _Toc62037711 \h </w:instrText>
            </w:r>
            <w:r w:rsidR="00F64913">
              <w:rPr>
                <w:noProof/>
                <w:webHidden/>
              </w:rPr>
            </w:r>
            <w:r w:rsidR="00F64913">
              <w:rPr>
                <w:noProof/>
                <w:webHidden/>
              </w:rPr>
              <w:fldChar w:fldCharType="separate"/>
            </w:r>
            <w:r w:rsidR="00F64913">
              <w:rPr>
                <w:noProof/>
                <w:webHidden/>
              </w:rPr>
              <w:t>7</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2" w:history="1">
            <w:r w:rsidR="00F64913" w:rsidRPr="00071373">
              <w:rPr>
                <w:rStyle w:val="Hyperlink"/>
                <w:rFonts w:cs="Times New Roman"/>
                <w:noProof/>
              </w:rPr>
              <w:t>Stock Return behavior tools</w:t>
            </w:r>
            <w:r w:rsidR="00F64913">
              <w:rPr>
                <w:noProof/>
                <w:webHidden/>
              </w:rPr>
              <w:tab/>
            </w:r>
            <w:r w:rsidR="00F64913">
              <w:rPr>
                <w:noProof/>
                <w:webHidden/>
              </w:rPr>
              <w:fldChar w:fldCharType="begin"/>
            </w:r>
            <w:r w:rsidR="00F64913">
              <w:rPr>
                <w:noProof/>
                <w:webHidden/>
              </w:rPr>
              <w:instrText xml:space="preserve"> PAGEREF _Toc62037712 \h </w:instrText>
            </w:r>
            <w:r w:rsidR="00F64913">
              <w:rPr>
                <w:noProof/>
                <w:webHidden/>
              </w:rPr>
            </w:r>
            <w:r w:rsidR="00F64913">
              <w:rPr>
                <w:noProof/>
                <w:webHidden/>
              </w:rPr>
              <w:fldChar w:fldCharType="separate"/>
            </w:r>
            <w:r w:rsidR="00F64913">
              <w:rPr>
                <w:noProof/>
                <w:webHidden/>
              </w:rPr>
              <w:t>7</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3" w:history="1">
            <w:r w:rsidR="00F64913" w:rsidRPr="00071373">
              <w:rPr>
                <w:rStyle w:val="Hyperlink"/>
                <w:rFonts w:eastAsia="Times New Roman" w:cs="Times New Roman"/>
                <w:noProof/>
              </w:rPr>
              <w:t>Arab Bangladesh Bank:</w:t>
            </w:r>
            <w:r w:rsidR="00F64913">
              <w:rPr>
                <w:noProof/>
                <w:webHidden/>
              </w:rPr>
              <w:tab/>
            </w:r>
            <w:r w:rsidR="00F64913">
              <w:rPr>
                <w:noProof/>
                <w:webHidden/>
              </w:rPr>
              <w:fldChar w:fldCharType="begin"/>
            </w:r>
            <w:r w:rsidR="00F64913">
              <w:rPr>
                <w:noProof/>
                <w:webHidden/>
              </w:rPr>
              <w:instrText xml:space="preserve"> PAGEREF _Toc62037713 \h </w:instrText>
            </w:r>
            <w:r w:rsidR="00F64913">
              <w:rPr>
                <w:noProof/>
                <w:webHidden/>
              </w:rPr>
            </w:r>
            <w:r w:rsidR="00F64913">
              <w:rPr>
                <w:noProof/>
                <w:webHidden/>
              </w:rPr>
              <w:fldChar w:fldCharType="separate"/>
            </w:r>
            <w:r w:rsidR="00F64913">
              <w:rPr>
                <w:noProof/>
                <w:webHidden/>
              </w:rPr>
              <w:t>10</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4" w:history="1">
            <w:r w:rsidR="00F64913" w:rsidRPr="00071373">
              <w:rPr>
                <w:rStyle w:val="Hyperlink"/>
                <w:rFonts w:eastAsia="Times New Roman" w:cs="Times New Roman"/>
                <w:noProof/>
              </w:rPr>
              <w:t>Al-Arafah Islami Bank:</w:t>
            </w:r>
            <w:r w:rsidR="00F64913">
              <w:rPr>
                <w:noProof/>
                <w:webHidden/>
              </w:rPr>
              <w:tab/>
            </w:r>
            <w:r w:rsidR="00F64913">
              <w:rPr>
                <w:noProof/>
                <w:webHidden/>
              </w:rPr>
              <w:fldChar w:fldCharType="begin"/>
            </w:r>
            <w:r w:rsidR="00F64913">
              <w:rPr>
                <w:noProof/>
                <w:webHidden/>
              </w:rPr>
              <w:instrText xml:space="preserve"> PAGEREF _Toc62037714 \h </w:instrText>
            </w:r>
            <w:r w:rsidR="00F64913">
              <w:rPr>
                <w:noProof/>
                <w:webHidden/>
              </w:rPr>
            </w:r>
            <w:r w:rsidR="00F64913">
              <w:rPr>
                <w:noProof/>
                <w:webHidden/>
              </w:rPr>
              <w:fldChar w:fldCharType="separate"/>
            </w:r>
            <w:r w:rsidR="00F64913">
              <w:rPr>
                <w:noProof/>
                <w:webHidden/>
              </w:rPr>
              <w:t>12</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5" w:history="1">
            <w:r w:rsidR="00F64913" w:rsidRPr="00071373">
              <w:rPr>
                <w:rStyle w:val="Hyperlink"/>
                <w:rFonts w:eastAsia="Times New Roman" w:cs="Times New Roman"/>
                <w:noProof/>
              </w:rPr>
              <w:t>Bank Asia:</w:t>
            </w:r>
            <w:r w:rsidR="00F64913">
              <w:rPr>
                <w:noProof/>
                <w:webHidden/>
              </w:rPr>
              <w:tab/>
            </w:r>
            <w:r w:rsidR="00F64913">
              <w:rPr>
                <w:noProof/>
                <w:webHidden/>
              </w:rPr>
              <w:fldChar w:fldCharType="begin"/>
            </w:r>
            <w:r w:rsidR="00F64913">
              <w:rPr>
                <w:noProof/>
                <w:webHidden/>
              </w:rPr>
              <w:instrText xml:space="preserve"> PAGEREF _Toc62037715 \h </w:instrText>
            </w:r>
            <w:r w:rsidR="00F64913">
              <w:rPr>
                <w:noProof/>
                <w:webHidden/>
              </w:rPr>
            </w:r>
            <w:r w:rsidR="00F64913">
              <w:rPr>
                <w:noProof/>
                <w:webHidden/>
              </w:rPr>
              <w:fldChar w:fldCharType="separate"/>
            </w:r>
            <w:r w:rsidR="00F64913">
              <w:rPr>
                <w:noProof/>
                <w:webHidden/>
              </w:rPr>
              <w:t>14</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6" w:history="1">
            <w:r w:rsidR="00F64913" w:rsidRPr="00071373">
              <w:rPr>
                <w:rStyle w:val="Hyperlink"/>
                <w:rFonts w:eastAsia="Times New Roman" w:cs="Times New Roman"/>
                <w:noProof/>
              </w:rPr>
              <w:t>Brac Bank:</w:t>
            </w:r>
            <w:r w:rsidR="00F64913">
              <w:rPr>
                <w:noProof/>
                <w:webHidden/>
              </w:rPr>
              <w:tab/>
            </w:r>
            <w:r w:rsidR="00F64913">
              <w:rPr>
                <w:noProof/>
                <w:webHidden/>
              </w:rPr>
              <w:fldChar w:fldCharType="begin"/>
            </w:r>
            <w:r w:rsidR="00F64913">
              <w:rPr>
                <w:noProof/>
                <w:webHidden/>
              </w:rPr>
              <w:instrText xml:space="preserve"> PAGEREF _Toc62037716 \h </w:instrText>
            </w:r>
            <w:r w:rsidR="00F64913">
              <w:rPr>
                <w:noProof/>
                <w:webHidden/>
              </w:rPr>
            </w:r>
            <w:r w:rsidR="00F64913">
              <w:rPr>
                <w:noProof/>
                <w:webHidden/>
              </w:rPr>
              <w:fldChar w:fldCharType="separate"/>
            </w:r>
            <w:r w:rsidR="00F64913">
              <w:rPr>
                <w:noProof/>
                <w:webHidden/>
              </w:rPr>
              <w:t>16</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7" w:history="1">
            <w:r w:rsidR="00F64913" w:rsidRPr="00071373">
              <w:rPr>
                <w:rStyle w:val="Hyperlink"/>
                <w:rFonts w:eastAsia="Times New Roman" w:cs="Times New Roman"/>
                <w:noProof/>
              </w:rPr>
              <w:t>City Bank:</w:t>
            </w:r>
            <w:r w:rsidR="00F64913">
              <w:rPr>
                <w:noProof/>
                <w:webHidden/>
              </w:rPr>
              <w:tab/>
            </w:r>
            <w:r w:rsidR="00F64913">
              <w:rPr>
                <w:noProof/>
                <w:webHidden/>
              </w:rPr>
              <w:fldChar w:fldCharType="begin"/>
            </w:r>
            <w:r w:rsidR="00F64913">
              <w:rPr>
                <w:noProof/>
                <w:webHidden/>
              </w:rPr>
              <w:instrText xml:space="preserve"> PAGEREF _Toc62037717 \h </w:instrText>
            </w:r>
            <w:r w:rsidR="00F64913">
              <w:rPr>
                <w:noProof/>
                <w:webHidden/>
              </w:rPr>
            </w:r>
            <w:r w:rsidR="00F64913">
              <w:rPr>
                <w:noProof/>
                <w:webHidden/>
              </w:rPr>
              <w:fldChar w:fldCharType="separate"/>
            </w:r>
            <w:r w:rsidR="00F64913">
              <w:rPr>
                <w:noProof/>
                <w:webHidden/>
              </w:rPr>
              <w:t>18</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8" w:history="1">
            <w:r w:rsidR="00F64913" w:rsidRPr="00071373">
              <w:rPr>
                <w:rStyle w:val="Hyperlink"/>
                <w:rFonts w:eastAsia="Times New Roman" w:cs="Times New Roman"/>
                <w:noProof/>
              </w:rPr>
              <w:t>Dhaka Bank:</w:t>
            </w:r>
            <w:r w:rsidR="00F64913">
              <w:rPr>
                <w:noProof/>
                <w:webHidden/>
              </w:rPr>
              <w:tab/>
            </w:r>
            <w:r w:rsidR="00F64913">
              <w:rPr>
                <w:noProof/>
                <w:webHidden/>
              </w:rPr>
              <w:fldChar w:fldCharType="begin"/>
            </w:r>
            <w:r w:rsidR="00F64913">
              <w:rPr>
                <w:noProof/>
                <w:webHidden/>
              </w:rPr>
              <w:instrText xml:space="preserve"> PAGEREF _Toc62037718 \h </w:instrText>
            </w:r>
            <w:r w:rsidR="00F64913">
              <w:rPr>
                <w:noProof/>
                <w:webHidden/>
              </w:rPr>
            </w:r>
            <w:r w:rsidR="00F64913">
              <w:rPr>
                <w:noProof/>
                <w:webHidden/>
              </w:rPr>
              <w:fldChar w:fldCharType="separate"/>
            </w:r>
            <w:r w:rsidR="00F64913">
              <w:rPr>
                <w:noProof/>
                <w:webHidden/>
              </w:rPr>
              <w:t>21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19" w:history="1">
            <w:r w:rsidR="00F64913" w:rsidRPr="00071373">
              <w:rPr>
                <w:rStyle w:val="Hyperlink"/>
                <w:rFonts w:eastAsia="Times New Roman" w:cs="Times New Roman"/>
                <w:noProof/>
              </w:rPr>
              <w:t>Dutch-Bangla Bank:</w:t>
            </w:r>
            <w:r w:rsidR="00F64913">
              <w:rPr>
                <w:noProof/>
                <w:webHidden/>
              </w:rPr>
              <w:tab/>
            </w:r>
            <w:r w:rsidR="00F64913">
              <w:rPr>
                <w:noProof/>
                <w:webHidden/>
              </w:rPr>
              <w:fldChar w:fldCharType="begin"/>
            </w:r>
            <w:r w:rsidR="00F64913">
              <w:rPr>
                <w:noProof/>
                <w:webHidden/>
              </w:rPr>
              <w:instrText xml:space="preserve"> PAGEREF _Toc62037719 \h </w:instrText>
            </w:r>
            <w:r w:rsidR="00F64913">
              <w:rPr>
                <w:noProof/>
                <w:webHidden/>
              </w:rPr>
            </w:r>
            <w:r w:rsidR="00F64913">
              <w:rPr>
                <w:noProof/>
                <w:webHidden/>
              </w:rPr>
              <w:fldChar w:fldCharType="separate"/>
            </w:r>
            <w:r w:rsidR="00F64913">
              <w:rPr>
                <w:noProof/>
                <w:webHidden/>
              </w:rPr>
              <w:t>23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0" w:history="1">
            <w:r w:rsidR="00F64913" w:rsidRPr="00071373">
              <w:rPr>
                <w:rStyle w:val="Hyperlink"/>
                <w:rFonts w:eastAsia="Times New Roman"/>
                <w:noProof/>
              </w:rPr>
              <w:t>Eastern Bank:</w:t>
            </w:r>
            <w:r w:rsidR="00F64913">
              <w:rPr>
                <w:noProof/>
                <w:webHidden/>
              </w:rPr>
              <w:tab/>
            </w:r>
            <w:r w:rsidR="00F64913">
              <w:rPr>
                <w:noProof/>
                <w:webHidden/>
              </w:rPr>
              <w:fldChar w:fldCharType="begin"/>
            </w:r>
            <w:r w:rsidR="00F64913">
              <w:rPr>
                <w:noProof/>
                <w:webHidden/>
              </w:rPr>
              <w:instrText xml:space="preserve"> PAGEREF _Toc62037720 \h </w:instrText>
            </w:r>
            <w:r w:rsidR="00F64913">
              <w:rPr>
                <w:noProof/>
                <w:webHidden/>
              </w:rPr>
            </w:r>
            <w:r w:rsidR="00F64913">
              <w:rPr>
                <w:noProof/>
                <w:webHidden/>
              </w:rPr>
              <w:fldChar w:fldCharType="separate"/>
            </w:r>
            <w:r w:rsidR="00F64913">
              <w:rPr>
                <w:noProof/>
                <w:webHidden/>
              </w:rPr>
              <w:t>25</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1" w:history="1">
            <w:r w:rsidR="00F64913" w:rsidRPr="00071373">
              <w:rPr>
                <w:rStyle w:val="Hyperlink"/>
                <w:rFonts w:eastAsia="Times New Roman"/>
                <w:noProof/>
              </w:rPr>
              <w:t>Exim Bank:</w:t>
            </w:r>
            <w:r w:rsidR="00F64913">
              <w:rPr>
                <w:noProof/>
                <w:webHidden/>
              </w:rPr>
              <w:tab/>
            </w:r>
            <w:r w:rsidR="00F64913">
              <w:rPr>
                <w:noProof/>
                <w:webHidden/>
              </w:rPr>
              <w:fldChar w:fldCharType="begin"/>
            </w:r>
            <w:r w:rsidR="00F64913">
              <w:rPr>
                <w:noProof/>
                <w:webHidden/>
              </w:rPr>
              <w:instrText xml:space="preserve"> PAGEREF _Toc62037721 \h </w:instrText>
            </w:r>
            <w:r w:rsidR="00F64913">
              <w:rPr>
                <w:noProof/>
                <w:webHidden/>
              </w:rPr>
            </w:r>
            <w:r w:rsidR="00F64913">
              <w:rPr>
                <w:noProof/>
                <w:webHidden/>
              </w:rPr>
              <w:fldChar w:fldCharType="separate"/>
            </w:r>
            <w:r w:rsidR="00F64913">
              <w:rPr>
                <w:noProof/>
                <w:webHidden/>
              </w:rPr>
              <w:t>27</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2" w:history="1">
            <w:r w:rsidR="00F64913" w:rsidRPr="00071373">
              <w:rPr>
                <w:rStyle w:val="Hyperlink"/>
                <w:noProof/>
              </w:rPr>
              <w:t>First Security Islami Bank:</w:t>
            </w:r>
            <w:r w:rsidR="00F64913">
              <w:rPr>
                <w:noProof/>
                <w:webHidden/>
              </w:rPr>
              <w:tab/>
            </w:r>
            <w:r w:rsidR="00F64913">
              <w:rPr>
                <w:noProof/>
                <w:webHidden/>
              </w:rPr>
              <w:fldChar w:fldCharType="begin"/>
            </w:r>
            <w:r w:rsidR="00F64913">
              <w:rPr>
                <w:noProof/>
                <w:webHidden/>
              </w:rPr>
              <w:instrText xml:space="preserve"> PAGEREF _Toc62037722 \h </w:instrText>
            </w:r>
            <w:r w:rsidR="00F64913">
              <w:rPr>
                <w:noProof/>
                <w:webHidden/>
              </w:rPr>
            </w:r>
            <w:r w:rsidR="00F64913">
              <w:rPr>
                <w:noProof/>
                <w:webHidden/>
              </w:rPr>
              <w:fldChar w:fldCharType="separate"/>
            </w:r>
            <w:r w:rsidR="00F64913">
              <w:rPr>
                <w:noProof/>
                <w:webHidden/>
              </w:rPr>
              <w:t>29</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3" w:history="1">
            <w:r w:rsidR="00F64913" w:rsidRPr="00071373">
              <w:rPr>
                <w:rStyle w:val="Hyperlink"/>
                <w:rFonts w:eastAsia="Times New Roman"/>
                <w:noProof/>
              </w:rPr>
              <w:t>ICB Islamic Bank:</w:t>
            </w:r>
            <w:r w:rsidR="00F64913">
              <w:rPr>
                <w:noProof/>
                <w:webHidden/>
              </w:rPr>
              <w:tab/>
            </w:r>
            <w:r w:rsidR="00F64913">
              <w:rPr>
                <w:noProof/>
                <w:webHidden/>
              </w:rPr>
              <w:fldChar w:fldCharType="begin"/>
            </w:r>
            <w:r w:rsidR="00F64913">
              <w:rPr>
                <w:noProof/>
                <w:webHidden/>
              </w:rPr>
              <w:instrText xml:space="preserve"> PAGEREF _Toc62037723 \h </w:instrText>
            </w:r>
            <w:r w:rsidR="00F64913">
              <w:rPr>
                <w:noProof/>
                <w:webHidden/>
              </w:rPr>
            </w:r>
            <w:r w:rsidR="00F64913">
              <w:rPr>
                <w:noProof/>
                <w:webHidden/>
              </w:rPr>
              <w:fldChar w:fldCharType="separate"/>
            </w:r>
            <w:r w:rsidR="00F64913">
              <w:rPr>
                <w:noProof/>
                <w:webHidden/>
              </w:rPr>
              <w:t>31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4" w:history="1">
            <w:r w:rsidR="00F64913" w:rsidRPr="00071373">
              <w:rPr>
                <w:rStyle w:val="Hyperlink"/>
                <w:rFonts w:eastAsia="Times New Roman"/>
                <w:noProof/>
              </w:rPr>
              <w:t>IFIC Bank:</w:t>
            </w:r>
            <w:r w:rsidR="00F64913">
              <w:rPr>
                <w:noProof/>
                <w:webHidden/>
              </w:rPr>
              <w:tab/>
            </w:r>
            <w:r w:rsidR="00F64913">
              <w:rPr>
                <w:noProof/>
                <w:webHidden/>
              </w:rPr>
              <w:fldChar w:fldCharType="begin"/>
            </w:r>
            <w:r w:rsidR="00F64913">
              <w:rPr>
                <w:noProof/>
                <w:webHidden/>
              </w:rPr>
              <w:instrText xml:space="preserve"> PAGEREF _Toc62037724 \h </w:instrText>
            </w:r>
            <w:r w:rsidR="00F64913">
              <w:rPr>
                <w:noProof/>
                <w:webHidden/>
              </w:rPr>
            </w:r>
            <w:r w:rsidR="00F64913">
              <w:rPr>
                <w:noProof/>
                <w:webHidden/>
              </w:rPr>
              <w:fldChar w:fldCharType="separate"/>
            </w:r>
            <w:r w:rsidR="00F64913">
              <w:rPr>
                <w:noProof/>
                <w:webHidden/>
              </w:rPr>
              <w:t>33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5" w:history="1">
            <w:r w:rsidR="00F64913" w:rsidRPr="00071373">
              <w:rPr>
                <w:rStyle w:val="Hyperlink"/>
                <w:rFonts w:eastAsia="Times New Roman"/>
                <w:noProof/>
              </w:rPr>
              <w:t>Islami Bank Bangladesh:</w:t>
            </w:r>
            <w:r w:rsidR="00F64913">
              <w:rPr>
                <w:noProof/>
                <w:webHidden/>
              </w:rPr>
              <w:tab/>
            </w:r>
            <w:r w:rsidR="00F64913">
              <w:rPr>
                <w:noProof/>
                <w:webHidden/>
              </w:rPr>
              <w:fldChar w:fldCharType="begin"/>
            </w:r>
            <w:r w:rsidR="00F64913">
              <w:rPr>
                <w:noProof/>
                <w:webHidden/>
              </w:rPr>
              <w:instrText xml:space="preserve"> PAGEREF _Toc62037725 \h </w:instrText>
            </w:r>
            <w:r w:rsidR="00F64913">
              <w:rPr>
                <w:noProof/>
                <w:webHidden/>
              </w:rPr>
            </w:r>
            <w:r w:rsidR="00F64913">
              <w:rPr>
                <w:noProof/>
                <w:webHidden/>
              </w:rPr>
              <w:fldChar w:fldCharType="separate"/>
            </w:r>
            <w:r w:rsidR="00F64913">
              <w:rPr>
                <w:noProof/>
                <w:webHidden/>
              </w:rPr>
              <w:t>35</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6" w:history="1">
            <w:r w:rsidR="00F64913" w:rsidRPr="00071373">
              <w:rPr>
                <w:rStyle w:val="Hyperlink"/>
                <w:rFonts w:eastAsia="Times New Roman"/>
                <w:noProof/>
              </w:rPr>
              <w:t>Jamuna Bank:</w:t>
            </w:r>
            <w:r w:rsidR="00F64913">
              <w:rPr>
                <w:noProof/>
                <w:webHidden/>
              </w:rPr>
              <w:tab/>
            </w:r>
            <w:r w:rsidR="00F64913">
              <w:rPr>
                <w:noProof/>
                <w:webHidden/>
              </w:rPr>
              <w:fldChar w:fldCharType="begin"/>
            </w:r>
            <w:r w:rsidR="00F64913">
              <w:rPr>
                <w:noProof/>
                <w:webHidden/>
              </w:rPr>
              <w:instrText xml:space="preserve"> PAGEREF _Toc62037726 \h </w:instrText>
            </w:r>
            <w:r w:rsidR="00F64913">
              <w:rPr>
                <w:noProof/>
                <w:webHidden/>
              </w:rPr>
            </w:r>
            <w:r w:rsidR="00F64913">
              <w:rPr>
                <w:noProof/>
                <w:webHidden/>
              </w:rPr>
              <w:fldChar w:fldCharType="separate"/>
            </w:r>
            <w:r w:rsidR="00F64913">
              <w:rPr>
                <w:noProof/>
                <w:webHidden/>
              </w:rPr>
              <w:t>37</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7" w:history="1">
            <w:r w:rsidR="00F64913" w:rsidRPr="00071373">
              <w:rPr>
                <w:rStyle w:val="Hyperlink"/>
                <w:rFonts w:eastAsia="Times New Roman"/>
                <w:noProof/>
              </w:rPr>
              <w:t>Mercantile Bank:</w:t>
            </w:r>
            <w:r w:rsidR="00F64913">
              <w:rPr>
                <w:noProof/>
                <w:webHidden/>
              </w:rPr>
              <w:tab/>
            </w:r>
            <w:r w:rsidR="00F64913">
              <w:rPr>
                <w:noProof/>
                <w:webHidden/>
              </w:rPr>
              <w:fldChar w:fldCharType="begin"/>
            </w:r>
            <w:r w:rsidR="00F64913">
              <w:rPr>
                <w:noProof/>
                <w:webHidden/>
              </w:rPr>
              <w:instrText xml:space="preserve"> PAGEREF _Toc62037727 \h </w:instrText>
            </w:r>
            <w:r w:rsidR="00F64913">
              <w:rPr>
                <w:noProof/>
                <w:webHidden/>
              </w:rPr>
            </w:r>
            <w:r w:rsidR="00F64913">
              <w:rPr>
                <w:noProof/>
                <w:webHidden/>
              </w:rPr>
              <w:fldChar w:fldCharType="separate"/>
            </w:r>
            <w:r w:rsidR="00F64913">
              <w:rPr>
                <w:noProof/>
                <w:webHidden/>
              </w:rPr>
              <w:t>39</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8" w:history="1">
            <w:r w:rsidR="00F64913" w:rsidRPr="00071373">
              <w:rPr>
                <w:rStyle w:val="Hyperlink"/>
                <w:rFonts w:eastAsia="Times New Roman"/>
                <w:noProof/>
              </w:rPr>
              <w:t>Mutual Trust Bank:</w:t>
            </w:r>
            <w:r w:rsidR="00F64913">
              <w:rPr>
                <w:noProof/>
                <w:webHidden/>
              </w:rPr>
              <w:tab/>
            </w:r>
            <w:r w:rsidR="00F64913">
              <w:rPr>
                <w:noProof/>
                <w:webHidden/>
              </w:rPr>
              <w:fldChar w:fldCharType="begin"/>
            </w:r>
            <w:r w:rsidR="00F64913">
              <w:rPr>
                <w:noProof/>
                <w:webHidden/>
              </w:rPr>
              <w:instrText xml:space="preserve"> PAGEREF _Toc62037728 \h </w:instrText>
            </w:r>
            <w:r w:rsidR="00F64913">
              <w:rPr>
                <w:noProof/>
                <w:webHidden/>
              </w:rPr>
            </w:r>
            <w:r w:rsidR="00F64913">
              <w:rPr>
                <w:noProof/>
                <w:webHidden/>
              </w:rPr>
              <w:fldChar w:fldCharType="separate"/>
            </w:r>
            <w:r w:rsidR="00F64913">
              <w:rPr>
                <w:noProof/>
                <w:webHidden/>
              </w:rPr>
              <w:t>41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29" w:history="1">
            <w:r w:rsidR="00F64913" w:rsidRPr="00071373">
              <w:rPr>
                <w:rStyle w:val="Hyperlink"/>
                <w:rFonts w:eastAsia="Times New Roman"/>
                <w:noProof/>
              </w:rPr>
              <w:t>National Bank:</w:t>
            </w:r>
            <w:r w:rsidR="00F64913">
              <w:rPr>
                <w:noProof/>
                <w:webHidden/>
              </w:rPr>
              <w:tab/>
            </w:r>
            <w:r w:rsidR="00F64913">
              <w:rPr>
                <w:noProof/>
                <w:webHidden/>
              </w:rPr>
              <w:fldChar w:fldCharType="begin"/>
            </w:r>
            <w:r w:rsidR="00F64913">
              <w:rPr>
                <w:noProof/>
                <w:webHidden/>
              </w:rPr>
              <w:instrText xml:space="preserve"> PAGEREF _Toc62037729 \h </w:instrText>
            </w:r>
            <w:r w:rsidR="00F64913">
              <w:rPr>
                <w:noProof/>
                <w:webHidden/>
              </w:rPr>
            </w:r>
            <w:r w:rsidR="00F64913">
              <w:rPr>
                <w:noProof/>
                <w:webHidden/>
              </w:rPr>
              <w:fldChar w:fldCharType="separate"/>
            </w:r>
            <w:r w:rsidR="00F64913">
              <w:rPr>
                <w:noProof/>
                <w:webHidden/>
              </w:rPr>
              <w:t>43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0" w:history="1">
            <w:r w:rsidR="00F64913" w:rsidRPr="00071373">
              <w:rPr>
                <w:rStyle w:val="Hyperlink"/>
                <w:rFonts w:eastAsia="Times New Roman"/>
                <w:noProof/>
              </w:rPr>
              <w:t>NCC Bank:</w:t>
            </w:r>
            <w:r w:rsidR="00F64913">
              <w:rPr>
                <w:noProof/>
                <w:webHidden/>
              </w:rPr>
              <w:tab/>
            </w:r>
            <w:r w:rsidR="00F64913">
              <w:rPr>
                <w:noProof/>
                <w:webHidden/>
              </w:rPr>
              <w:fldChar w:fldCharType="begin"/>
            </w:r>
            <w:r w:rsidR="00F64913">
              <w:rPr>
                <w:noProof/>
                <w:webHidden/>
              </w:rPr>
              <w:instrText xml:space="preserve"> PAGEREF _Toc62037730 \h </w:instrText>
            </w:r>
            <w:r w:rsidR="00F64913">
              <w:rPr>
                <w:noProof/>
                <w:webHidden/>
              </w:rPr>
            </w:r>
            <w:r w:rsidR="00F64913">
              <w:rPr>
                <w:noProof/>
                <w:webHidden/>
              </w:rPr>
              <w:fldChar w:fldCharType="separate"/>
            </w:r>
            <w:r w:rsidR="00F64913">
              <w:rPr>
                <w:noProof/>
                <w:webHidden/>
              </w:rPr>
              <w:t>45</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1" w:history="1">
            <w:r w:rsidR="00F64913" w:rsidRPr="00071373">
              <w:rPr>
                <w:rStyle w:val="Hyperlink"/>
                <w:rFonts w:eastAsia="Times New Roman"/>
                <w:noProof/>
              </w:rPr>
              <w:t>ONE Bank:</w:t>
            </w:r>
            <w:r w:rsidR="00F64913">
              <w:rPr>
                <w:noProof/>
                <w:webHidden/>
              </w:rPr>
              <w:tab/>
            </w:r>
            <w:r w:rsidR="00F64913">
              <w:rPr>
                <w:noProof/>
                <w:webHidden/>
              </w:rPr>
              <w:fldChar w:fldCharType="begin"/>
            </w:r>
            <w:r w:rsidR="00F64913">
              <w:rPr>
                <w:noProof/>
                <w:webHidden/>
              </w:rPr>
              <w:instrText xml:space="preserve"> PAGEREF _Toc62037731 \h </w:instrText>
            </w:r>
            <w:r w:rsidR="00F64913">
              <w:rPr>
                <w:noProof/>
                <w:webHidden/>
              </w:rPr>
            </w:r>
            <w:r w:rsidR="00F64913">
              <w:rPr>
                <w:noProof/>
                <w:webHidden/>
              </w:rPr>
              <w:fldChar w:fldCharType="separate"/>
            </w:r>
            <w:r w:rsidR="00F64913">
              <w:rPr>
                <w:noProof/>
                <w:webHidden/>
              </w:rPr>
              <w:t>47</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2" w:history="1">
            <w:r w:rsidR="00F64913" w:rsidRPr="00071373">
              <w:rPr>
                <w:rStyle w:val="Hyperlink"/>
                <w:rFonts w:eastAsia="Times New Roman"/>
                <w:noProof/>
              </w:rPr>
              <w:t>Premier Bank:</w:t>
            </w:r>
            <w:r w:rsidR="00F64913">
              <w:rPr>
                <w:noProof/>
                <w:webHidden/>
              </w:rPr>
              <w:tab/>
            </w:r>
            <w:r w:rsidR="00F64913">
              <w:rPr>
                <w:noProof/>
                <w:webHidden/>
              </w:rPr>
              <w:fldChar w:fldCharType="begin"/>
            </w:r>
            <w:r w:rsidR="00F64913">
              <w:rPr>
                <w:noProof/>
                <w:webHidden/>
              </w:rPr>
              <w:instrText xml:space="preserve"> PAGEREF _Toc62037732 \h </w:instrText>
            </w:r>
            <w:r w:rsidR="00F64913">
              <w:rPr>
                <w:noProof/>
                <w:webHidden/>
              </w:rPr>
            </w:r>
            <w:r w:rsidR="00F64913">
              <w:rPr>
                <w:noProof/>
                <w:webHidden/>
              </w:rPr>
              <w:fldChar w:fldCharType="separate"/>
            </w:r>
            <w:r w:rsidR="00F64913">
              <w:rPr>
                <w:noProof/>
                <w:webHidden/>
              </w:rPr>
              <w:t>49</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3" w:history="1">
            <w:r w:rsidR="00F64913" w:rsidRPr="00071373">
              <w:rPr>
                <w:rStyle w:val="Hyperlink"/>
                <w:rFonts w:eastAsia="Times New Roman"/>
                <w:noProof/>
              </w:rPr>
              <w:t>Prime Bank:</w:t>
            </w:r>
            <w:r w:rsidR="00F64913">
              <w:rPr>
                <w:noProof/>
                <w:webHidden/>
              </w:rPr>
              <w:tab/>
            </w:r>
            <w:r w:rsidR="00F64913">
              <w:rPr>
                <w:noProof/>
                <w:webHidden/>
              </w:rPr>
              <w:fldChar w:fldCharType="begin"/>
            </w:r>
            <w:r w:rsidR="00F64913">
              <w:rPr>
                <w:noProof/>
                <w:webHidden/>
              </w:rPr>
              <w:instrText xml:space="preserve"> PAGEREF _Toc62037733 \h </w:instrText>
            </w:r>
            <w:r w:rsidR="00F64913">
              <w:rPr>
                <w:noProof/>
                <w:webHidden/>
              </w:rPr>
            </w:r>
            <w:r w:rsidR="00F64913">
              <w:rPr>
                <w:noProof/>
                <w:webHidden/>
              </w:rPr>
              <w:fldChar w:fldCharType="separate"/>
            </w:r>
            <w:r w:rsidR="00F64913">
              <w:rPr>
                <w:noProof/>
                <w:webHidden/>
              </w:rPr>
              <w:t>51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4" w:history="1">
            <w:r w:rsidR="00F64913" w:rsidRPr="00071373">
              <w:rPr>
                <w:rStyle w:val="Hyperlink"/>
                <w:rFonts w:eastAsia="Times New Roman"/>
                <w:noProof/>
              </w:rPr>
              <w:t>Pubali Bank:</w:t>
            </w:r>
            <w:r w:rsidR="00F64913">
              <w:rPr>
                <w:noProof/>
                <w:webHidden/>
              </w:rPr>
              <w:tab/>
            </w:r>
            <w:r w:rsidR="00F64913">
              <w:rPr>
                <w:noProof/>
                <w:webHidden/>
              </w:rPr>
              <w:fldChar w:fldCharType="begin"/>
            </w:r>
            <w:r w:rsidR="00F64913">
              <w:rPr>
                <w:noProof/>
                <w:webHidden/>
              </w:rPr>
              <w:instrText xml:space="preserve"> PAGEREF _Toc62037734 \h </w:instrText>
            </w:r>
            <w:r w:rsidR="00F64913">
              <w:rPr>
                <w:noProof/>
                <w:webHidden/>
              </w:rPr>
            </w:r>
            <w:r w:rsidR="00F64913">
              <w:rPr>
                <w:noProof/>
                <w:webHidden/>
              </w:rPr>
              <w:fldChar w:fldCharType="separate"/>
            </w:r>
            <w:r w:rsidR="00F64913">
              <w:rPr>
                <w:noProof/>
                <w:webHidden/>
              </w:rPr>
              <w:t>53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5" w:history="1">
            <w:r w:rsidR="00F64913" w:rsidRPr="00071373">
              <w:rPr>
                <w:rStyle w:val="Hyperlink"/>
                <w:rFonts w:eastAsia="Times New Roman"/>
                <w:noProof/>
              </w:rPr>
              <w:t>Rupali Bank:</w:t>
            </w:r>
            <w:r w:rsidR="00F64913">
              <w:rPr>
                <w:noProof/>
                <w:webHidden/>
              </w:rPr>
              <w:tab/>
            </w:r>
            <w:r w:rsidR="00F64913">
              <w:rPr>
                <w:noProof/>
                <w:webHidden/>
              </w:rPr>
              <w:fldChar w:fldCharType="begin"/>
            </w:r>
            <w:r w:rsidR="00F64913">
              <w:rPr>
                <w:noProof/>
                <w:webHidden/>
              </w:rPr>
              <w:instrText xml:space="preserve"> PAGEREF _Toc62037735 \h </w:instrText>
            </w:r>
            <w:r w:rsidR="00F64913">
              <w:rPr>
                <w:noProof/>
                <w:webHidden/>
              </w:rPr>
            </w:r>
            <w:r w:rsidR="00F64913">
              <w:rPr>
                <w:noProof/>
                <w:webHidden/>
              </w:rPr>
              <w:fldChar w:fldCharType="separate"/>
            </w:r>
            <w:r w:rsidR="00F64913">
              <w:rPr>
                <w:noProof/>
                <w:webHidden/>
              </w:rPr>
              <w:t>55</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6" w:history="1">
            <w:r w:rsidR="00F64913" w:rsidRPr="00071373">
              <w:rPr>
                <w:rStyle w:val="Hyperlink"/>
                <w:rFonts w:eastAsia="Times New Roman"/>
                <w:noProof/>
              </w:rPr>
              <w:t>Shahjalal Islami Bank:</w:t>
            </w:r>
            <w:r w:rsidR="00F64913">
              <w:rPr>
                <w:noProof/>
                <w:webHidden/>
              </w:rPr>
              <w:tab/>
            </w:r>
            <w:r w:rsidR="00F64913">
              <w:rPr>
                <w:noProof/>
                <w:webHidden/>
              </w:rPr>
              <w:fldChar w:fldCharType="begin"/>
            </w:r>
            <w:r w:rsidR="00F64913">
              <w:rPr>
                <w:noProof/>
                <w:webHidden/>
              </w:rPr>
              <w:instrText xml:space="preserve"> PAGEREF _Toc62037736 \h </w:instrText>
            </w:r>
            <w:r w:rsidR="00F64913">
              <w:rPr>
                <w:noProof/>
                <w:webHidden/>
              </w:rPr>
            </w:r>
            <w:r w:rsidR="00F64913">
              <w:rPr>
                <w:noProof/>
                <w:webHidden/>
              </w:rPr>
              <w:fldChar w:fldCharType="separate"/>
            </w:r>
            <w:r w:rsidR="00F64913">
              <w:rPr>
                <w:noProof/>
                <w:webHidden/>
              </w:rPr>
              <w:t>57</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7" w:history="1">
            <w:r w:rsidR="00F64913" w:rsidRPr="00071373">
              <w:rPr>
                <w:rStyle w:val="Hyperlink"/>
                <w:rFonts w:eastAsia="Times New Roman"/>
                <w:noProof/>
              </w:rPr>
              <w:t>Social Islami Bank:</w:t>
            </w:r>
            <w:r w:rsidR="00F64913">
              <w:rPr>
                <w:noProof/>
                <w:webHidden/>
              </w:rPr>
              <w:tab/>
            </w:r>
            <w:r w:rsidR="00F64913">
              <w:rPr>
                <w:noProof/>
                <w:webHidden/>
              </w:rPr>
              <w:fldChar w:fldCharType="begin"/>
            </w:r>
            <w:r w:rsidR="00F64913">
              <w:rPr>
                <w:noProof/>
                <w:webHidden/>
              </w:rPr>
              <w:instrText xml:space="preserve"> PAGEREF _Toc62037737 \h </w:instrText>
            </w:r>
            <w:r w:rsidR="00F64913">
              <w:rPr>
                <w:noProof/>
                <w:webHidden/>
              </w:rPr>
            </w:r>
            <w:r w:rsidR="00F64913">
              <w:rPr>
                <w:noProof/>
                <w:webHidden/>
              </w:rPr>
              <w:fldChar w:fldCharType="separate"/>
            </w:r>
            <w:r w:rsidR="00F64913">
              <w:rPr>
                <w:noProof/>
                <w:webHidden/>
              </w:rPr>
              <w:t>59</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8" w:history="1">
            <w:r w:rsidR="00F64913" w:rsidRPr="00071373">
              <w:rPr>
                <w:rStyle w:val="Hyperlink"/>
                <w:rFonts w:eastAsia="Times New Roman"/>
                <w:noProof/>
              </w:rPr>
              <w:t>Southeast Bank:</w:t>
            </w:r>
            <w:r w:rsidR="00F64913">
              <w:rPr>
                <w:noProof/>
                <w:webHidden/>
              </w:rPr>
              <w:tab/>
            </w:r>
            <w:r w:rsidR="00F64913">
              <w:rPr>
                <w:noProof/>
                <w:webHidden/>
              </w:rPr>
              <w:fldChar w:fldCharType="begin"/>
            </w:r>
            <w:r w:rsidR="00F64913">
              <w:rPr>
                <w:noProof/>
                <w:webHidden/>
              </w:rPr>
              <w:instrText xml:space="preserve"> PAGEREF _Toc62037738 \h </w:instrText>
            </w:r>
            <w:r w:rsidR="00F64913">
              <w:rPr>
                <w:noProof/>
                <w:webHidden/>
              </w:rPr>
            </w:r>
            <w:r w:rsidR="00F64913">
              <w:rPr>
                <w:noProof/>
                <w:webHidden/>
              </w:rPr>
              <w:fldChar w:fldCharType="separate"/>
            </w:r>
            <w:r w:rsidR="00F64913">
              <w:rPr>
                <w:noProof/>
                <w:webHidden/>
              </w:rPr>
              <w:t>61</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39" w:history="1">
            <w:r w:rsidR="00F64913" w:rsidRPr="00071373">
              <w:rPr>
                <w:rStyle w:val="Hyperlink"/>
                <w:rFonts w:eastAsia="Times New Roman"/>
                <w:noProof/>
              </w:rPr>
              <w:t>Standard Bank:</w:t>
            </w:r>
            <w:r w:rsidR="00F64913">
              <w:rPr>
                <w:noProof/>
                <w:webHidden/>
              </w:rPr>
              <w:tab/>
            </w:r>
            <w:r w:rsidR="00F64913">
              <w:rPr>
                <w:noProof/>
                <w:webHidden/>
              </w:rPr>
              <w:fldChar w:fldCharType="begin"/>
            </w:r>
            <w:r w:rsidR="00F64913">
              <w:rPr>
                <w:noProof/>
                <w:webHidden/>
              </w:rPr>
              <w:instrText xml:space="preserve"> PAGEREF _Toc62037739 \h </w:instrText>
            </w:r>
            <w:r w:rsidR="00F64913">
              <w:rPr>
                <w:noProof/>
                <w:webHidden/>
              </w:rPr>
            </w:r>
            <w:r w:rsidR="00F64913">
              <w:rPr>
                <w:noProof/>
                <w:webHidden/>
              </w:rPr>
              <w:fldChar w:fldCharType="separate"/>
            </w:r>
            <w:r w:rsidR="00F64913">
              <w:rPr>
                <w:noProof/>
                <w:webHidden/>
              </w:rPr>
              <w:t>63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0" w:history="1">
            <w:r w:rsidR="00F64913" w:rsidRPr="00071373">
              <w:rPr>
                <w:rStyle w:val="Hyperlink"/>
                <w:rFonts w:eastAsia="Times New Roman"/>
                <w:noProof/>
              </w:rPr>
              <w:t>Trust Bank:</w:t>
            </w:r>
            <w:r w:rsidR="00F64913">
              <w:rPr>
                <w:noProof/>
                <w:webHidden/>
              </w:rPr>
              <w:tab/>
            </w:r>
            <w:r w:rsidR="00F64913">
              <w:rPr>
                <w:noProof/>
                <w:webHidden/>
              </w:rPr>
              <w:fldChar w:fldCharType="begin"/>
            </w:r>
            <w:r w:rsidR="00F64913">
              <w:rPr>
                <w:noProof/>
                <w:webHidden/>
              </w:rPr>
              <w:instrText xml:space="preserve"> PAGEREF _Toc62037740 \h </w:instrText>
            </w:r>
            <w:r w:rsidR="00F64913">
              <w:rPr>
                <w:noProof/>
                <w:webHidden/>
              </w:rPr>
            </w:r>
            <w:r w:rsidR="00F64913">
              <w:rPr>
                <w:noProof/>
                <w:webHidden/>
              </w:rPr>
              <w:fldChar w:fldCharType="separate"/>
            </w:r>
            <w:r w:rsidR="00F64913">
              <w:rPr>
                <w:noProof/>
                <w:webHidden/>
              </w:rPr>
              <w:t>65</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1" w:history="1">
            <w:r w:rsidR="00F64913" w:rsidRPr="00071373">
              <w:rPr>
                <w:rStyle w:val="Hyperlink"/>
                <w:rFonts w:eastAsia="Times New Roman"/>
                <w:noProof/>
              </w:rPr>
              <w:t>United Commercial Bank:</w:t>
            </w:r>
            <w:r w:rsidR="00F64913">
              <w:rPr>
                <w:noProof/>
                <w:webHidden/>
              </w:rPr>
              <w:tab/>
            </w:r>
            <w:r w:rsidR="00F64913">
              <w:rPr>
                <w:noProof/>
                <w:webHidden/>
              </w:rPr>
              <w:fldChar w:fldCharType="begin"/>
            </w:r>
            <w:r w:rsidR="00F64913">
              <w:rPr>
                <w:noProof/>
                <w:webHidden/>
              </w:rPr>
              <w:instrText xml:space="preserve"> PAGEREF _Toc62037741 \h </w:instrText>
            </w:r>
            <w:r w:rsidR="00F64913">
              <w:rPr>
                <w:noProof/>
                <w:webHidden/>
              </w:rPr>
            </w:r>
            <w:r w:rsidR="00F64913">
              <w:rPr>
                <w:noProof/>
                <w:webHidden/>
              </w:rPr>
              <w:fldChar w:fldCharType="separate"/>
            </w:r>
            <w:r w:rsidR="00F64913">
              <w:rPr>
                <w:noProof/>
                <w:webHidden/>
              </w:rPr>
              <w:t>67</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2" w:history="1">
            <w:r w:rsidR="00F64913" w:rsidRPr="00071373">
              <w:rPr>
                <w:rStyle w:val="Hyperlink"/>
                <w:rFonts w:eastAsia="Times New Roman"/>
                <w:noProof/>
              </w:rPr>
              <w:t>Uttara Bank:</w:t>
            </w:r>
            <w:r w:rsidR="00F64913">
              <w:rPr>
                <w:noProof/>
                <w:webHidden/>
              </w:rPr>
              <w:tab/>
            </w:r>
            <w:r w:rsidR="00F64913">
              <w:rPr>
                <w:noProof/>
                <w:webHidden/>
              </w:rPr>
              <w:fldChar w:fldCharType="begin"/>
            </w:r>
            <w:r w:rsidR="00F64913">
              <w:rPr>
                <w:noProof/>
                <w:webHidden/>
              </w:rPr>
              <w:instrText xml:space="preserve"> PAGEREF _Toc62037742 \h </w:instrText>
            </w:r>
            <w:r w:rsidR="00F64913">
              <w:rPr>
                <w:noProof/>
                <w:webHidden/>
              </w:rPr>
            </w:r>
            <w:r w:rsidR="00F64913">
              <w:rPr>
                <w:noProof/>
                <w:webHidden/>
              </w:rPr>
              <w:fldChar w:fldCharType="separate"/>
            </w:r>
            <w:r w:rsidR="00F64913">
              <w:rPr>
                <w:noProof/>
                <w:webHidden/>
              </w:rPr>
              <w:t>69</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3" w:history="1">
            <w:r w:rsidR="00F64913" w:rsidRPr="00071373">
              <w:rPr>
                <w:rStyle w:val="Hyperlink"/>
                <w:noProof/>
              </w:rPr>
              <w:t>Key understanding</w:t>
            </w:r>
            <w:r w:rsidR="00F64913">
              <w:rPr>
                <w:noProof/>
                <w:webHidden/>
              </w:rPr>
              <w:tab/>
            </w:r>
            <w:r w:rsidR="00F64913">
              <w:rPr>
                <w:noProof/>
                <w:webHidden/>
              </w:rPr>
              <w:fldChar w:fldCharType="begin"/>
            </w:r>
            <w:r w:rsidR="00F64913">
              <w:rPr>
                <w:noProof/>
                <w:webHidden/>
              </w:rPr>
              <w:instrText xml:space="preserve"> PAGEREF _Toc62037743 \h </w:instrText>
            </w:r>
            <w:r w:rsidR="00F64913">
              <w:rPr>
                <w:noProof/>
                <w:webHidden/>
              </w:rPr>
            </w:r>
            <w:r w:rsidR="00F64913">
              <w:rPr>
                <w:noProof/>
                <w:webHidden/>
              </w:rPr>
              <w:fldChar w:fldCharType="separate"/>
            </w:r>
            <w:r w:rsidR="00F64913">
              <w:rPr>
                <w:noProof/>
                <w:webHidden/>
              </w:rPr>
              <w:t>71</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744" w:history="1">
            <w:r w:rsidR="00F64913" w:rsidRPr="00071373">
              <w:rPr>
                <w:rStyle w:val="Hyperlink"/>
                <w:noProof/>
              </w:rPr>
              <w:t>CHAPTER V: CONCLUSIONS</w:t>
            </w:r>
            <w:r w:rsidR="00F64913">
              <w:rPr>
                <w:noProof/>
                <w:webHidden/>
              </w:rPr>
              <w:tab/>
            </w:r>
            <w:r w:rsidR="00F64913">
              <w:rPr>
                <w:noProof/>
                <w:webHidden/>
              </w:rPr>
              <w:fldChar w:fldCharType="begin"/>
            </w:r>
            <w:r w:rsidR="00F64913">
              <w:rPr>
                <w:noProof/>
                <w:webHidden/>
              </w:rPr>
              <w:instrText xml:space="preserve"> PAGEREF _Toc62037744 \h </w:instrText>
            </w:r>
            <w:r w:rsidR="00F64913">
              <w:rPr>
                <w:noProof/>
                <w:webHidden/>
              </w:rPr>
            </w:r>
            <w:r w:rsidR="00F64913">
              <w:rPr>
                <w:noProof/>
                <w:webHidden/>
              </w:rPr>
              <w:fldChar w:fldCharType="separate"/>
            </w:r>
            <w:r w:rsidR="00F64913">
              <w:rPr>
                <w:noProof/>
                <w:webHidden/>
              </w:rPr>
              <w:t>71</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745" w:history="1">
            <w:r w:rsidR="00F64913" w:rsidRPr="00071373">
              <w:rPr>
                <w:rStyle w:val="Hyperlink"/>
                <w:rFonts w:cs="Times New Roman"/>
                <w:noProof/>
              </w:rPr>
              <w:t>CHAPTER VI: INTERNSHIP EXPERIENCE</w:t>
            </w:r>
            <w:r w:rsidR="00F64913">
              <w:rPr>
                <w:noProof/>
                <w:webHidden/>
              </w:rPr>
              <w:tab/>
            </w:r>
            <w:r w:rsidR="00F64913">
              <w:rPr>
                <w:noProof/>
                <w:webHidden/>
              </w:rPr>
              <w:fldChar w:fldCharType="begin"/>
            </w:r>
            <w:r w:rsidR="00F64913">
              <w:rPr>
                <w:noProof/>
                <w:webHidden/>
              </w:rPr>
              <w:instrText xml:space="preserve"> PAGEREF _Toc62037745 \h </w:instrText>
            </w:r>
            <w:r w:rsidR="00F64913">
              <w:rPr>
                <w:noProof/>
                <w:webHidden/>
              </w:rPr>
            </w:r>
            <w:r w:rsidR="00F64913">
              <w:rPr>
                <w:noProof/>
                <w:webHidden/>
              </w:rPr>
              <w:fldChar w:fldCharType="separate"/>
            </w:r>
            <w:r w:rsidR="00F64913">
              <w:rPr>
                <w:noProof/>
                <w:webHidden/>
              </w:rPr>
              <w:t>73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6" w:history="1">
            <w:r w:rsidR="00F64913" w:rsidRPr="00071373">
              <w:rPr>
                <w:rStyle w:val="Hyperlink"/>
                <w:noProof/>
              </w:rPr>
              <w:t>Position, duties, and responsibilities:</w:t>
            </w:r>
            <w:r w:rsidR="00F64913">
              <w:rPr>
                <w:noProof/>
                <w:webHidden/>
              </w:rPr>
              <w:tab/>
            </w:r>
            <w:r w:rsidR="00F64913">
              <w:rPr>
                <w:noProof/>
                <w:webHidden/>
              </w:rPr>
              <w:fldChar w:fldCharType="begin"/>
            </w:r>
            <w:r w:rsidR="00F64913">
              <w:rPr>
                <w:noProof/>
                <w:webHidden/>
              </w:rPr>
              <w:instrText xml:space="preserve"> PAGEREF _Toc62037746 \h </w:instrText>
            </w:r>
            <w:r w:rsidR="00F64913">
              <w:rPr>
                <w:noProof/>
                <w:webHidden/>
              </w:rPr>
            </w:r>
            <w:r w:rsidR="00F64913">
              <w:rPr>
                <w:noProof/>
                <w:webHidden/>
              </w:rPr>
              <w:fldChar w:fldCharType="separate"/>
            </w:r>
            <w:r w:rsidR="00F64913">
              <w:rPr>
                <w:noProof/>
                <w:webHidden/>
              </w:rPr>
              <w:t>73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7" w:history="1">
            <w:r w:rsidR="00F64913" w:rsidRPr="00071373">
              <w:rPr>
                <w:rStyle w:val="Hyperlink"/>
                <w:noProof/>
              </w:rPr>
              <w:t>Training:</w:t>
            </w:r>
            <w:r w:rsidR="00F64913">
              <w:rPr>
                <w:noProof/>
                <w:webHidden/>
              </w:rPr>
              <w:tab/>
            </w:r>
            <w:r w:rsidR="00F64913">
              <w:rPr>
                <w:noProof/>
                <w:webHidden/>
              </w:rPr>
              <w:fldChar w:fldCharType="begin"/>
            </w:r>
            <w:r w:rsidR="00F64913">
              <w:rPr>
                <w:noProof/>
                <w:webHidden/>
              </w:rPr>
              <w:instrText xml:space="preserve"> PAGEREF _Toc62037747 \h </w:instrText>
            </w:r>
            <w:r w:rsidR="00F64913">
              <w:rPr>
                <w:noProof/>
                <w:webHidden/>
              </w:rPr>
            </w:r>
            <w:r w:rsidR="00F64913">
              <w:rPr>
                <w:noProof/>
                <w:webHidden/>
              </w:rPr>
              <w:fldChar w:fldCharType="separate"/>
            </w:r>
            <w:r w:rsidR="00F64913">
              <w:rPr>
                <w:noProof/>
                <w:webHidden/>
              </w:rPr>
              <w:t>73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8" w:history="1">
            <w:r w:rsidR="00F64913" w:rsidRPr="00071373">
              <w:rPr>
                <w:rStyle w:val="Hyperlink"/>
                <w:noProof/>
              </w:rPr>
              <w:t>Contribution to departmental functions:</w:t>
            </w:r>
            <w:r w:rsidR="00F64913">
              <w:rPr>
                <w:noProof/>
                <w:webHidden/>
              </w:rPr>
              <w:tab/>
            </w:r>
            <w:r w:rsidR="00F64913">
              <w:rPr>
                <w:noProof/>
                <w:webHidden/>
              </w:rPr>
              <w:fldChar w:fldCharType="begin"/>
            </w:r>
            <w:r w:rsidR="00F64913">
              <w:rPr>
                <w:noProof/>
                <w:webHidden/>
              </w:rPr>
              <w:instrText xml:space="preserve"> PAGEREF _Toc62037748 \h </w:instrText>
            </w:r>
            <w:r w:rsidR="00F64913">
              <w:rPr>
                <w:noProof/>
                <w:webHidden/>
              </w:rPr>
            </w:r>
            <w:r w:rsidR="00F64913">
              <w:rPr>
                <w:noProof/>
                <w:webHidden/>
              </w:rPr>
              <w:fldChar w:fldCharType="separate"/>
            </w:r>
            <w:r w:rsidR="00F64913">
              <w:rPr>
                <w:noProof/>
                <w:webHidden/>
              </w:rPr>
              <w:t>73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49" w:history="1">
            <w:r w:rsidR="00F64913" w:rsidRPr="00071373">
              <w:rPr>
                <w:rStyle w:val="Hyperlink"/>
                <w:noProof/>
              </w:rPr>
              <w:t>Evaluation:</w:t>
            </w:r>
            <w:r w:rsidR="00F64913">
              <w:rPr>
                <w:noProof/>
                <w:webHidden/>
              </w:rPr>
              <w:tab/>
            </w:r>
            <w:r w:rsidR="00F64913">
              <w:rPr>
                <w:noProof/>
                <w:webHidden/>
              </w:rPr>
              <w:fldChar w:fldCharType="begin"/>
            </w:r>
            <w:r w:rsidR="00F64913">
              <w:rPr>
                <w:noProof/>
                <w:webHidden/>
              </w:rPr>
              <w:instrText xml:space="preserve"> PAGEREF _Toc62037749 \h </w:instrText>
            </w:r>
            <w:r w:rsidR="00F64913">
              <w:rPr>
                <w:noProof/>
                <w:webHidden/>
              </w:rPr>
            </w:r>
            <w:r w:rsidR="00F64913">
              <w:rPr>
                <w:noProof/>
                <w:webHidden/>
              </w:rPr>
              <w:fldChar w:fldCharType="separate"/>
            </w:r>
            <w:r w:rsidR="00F64913">
              <w:rPr>
                <w:noProof/>
                <w:webHidden/>
              </w:rPr>
              <w:t>73</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50" w:history="1">
            <w:r w:rsidR="00F64913" w:rsidRPr="00071373">
              <w:rPr>
                <w:rStyle w:val="Hyperlink"/>
                <w:noProof/>
              </w:rPr>
              <w:t>Skills applied:</w:t>
            </w:r>
            <w:r w:rsidR="00F64913">
              <w:rPr>
                <w:noProof/>
                <w:webHidden/>
              </w:rPr>
              <w:tab/>
            </w:r>
            <w:r w:rsidR="00F64913">
              <w:rPr>
                <w:noProof/>
                <w:webHidden/>
              </w:rPr>
              <w:fldChar w:fldCharType="begin"/>
            </w:r>
            <w:r w:rsidR="00F64913">
              <w:rPr>
                <w:noProof/>
                <w:webHidden/>
              </w:rPr>
              <w:instrText xml:space="preserve"> PAGEREF _Toc62037750 \h </w:instrText>
            </w:r>
            <w:r w:rsidR="00F64913">
              <w:rPr>
                <w:noProof/>
                <w:webHidden/>
              </w:rPr>
            </w:r>
            <w:r w:rsidR="00F64913">
              <w:rPr>
                <w:noProof/>
                <w:webHidden/>
              </w:rPr>
              <w:fldChar w:fldCharType="separate"/>
            </w:r>
            <w:r w:rsidR="00F64913">
              <w:rPr>
                <w:noProof/>
                <w:webHidden/>
              </w:rPr>
              <w:t>74</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51" w:history="1">
            <w:r w:rsidR="00F64913" w:rsidRPr="00071373">
              <w:rPr>
                <w:rStyle w:val="Hyperlink"/>
                <w:noProof/>
              </w:rPr>
              <w:t>New skills developed:</w:t>
            </w:r>
            <w:r w:rsidR="00F64913">
              <w:rPr>
                <w:noProof/>
                <w:webHidden/>
              </w:rPr>
              <w:tab/>
            </w:r>
            <w:r w:rsidR="00F64913">
              <w:rPr>
                <w:noProof/>
                <w:webHidden/>
              </w:rPr>
              <w:fldChar w:fldCharType="begin"/>
            </w:r>
            <w:r w:rsidR="00F64913">
              <w:rPr>
                <w:noProof/>
                <w:webHidden/>
              </w:rPr>
              <w:instrText xml:space="preserve"> PAGEREF _Toc62037751 \h </w:instrText>
            </w:r>
            <w:r w:rsidR="00F64913">
              <w:rPr>
                <w:noProof/>
                <w:webHidden/>
              </w:rPr>
            </w:r>
            <w:r w:rsidR="00F64913">
              <w:rPr>
                <w:noProof/>
                <w:webHidden/>
              </w:rPr>
              <w:fldChar w:fldCharType="separate"/>
            </w:r>
            <w:r w:rsidR="00F64913">
              <w:rPr>
                <w:noProof/>
                <w:webHidden/>
              </w:rPr>
              <w:t>74</w:t>
            </w:r>
            <w:r w:rsidR="00F64913">
              <w:rPr>
                <w:noProof/>
                <w:webHidden/>
              </w:rPr>
              <w:fldChar w:fldCharType="end"/>
            </w:r>
          </w:hyperlink>
        </w:p>
        <w:p w:rsidR="00F64913" w:rsidRDefault="00810B41">
          <w:pPr>
            <w:pStyle w:val="TOC2"/>
            <w:tabs>
              <w:tab w:val="right" w:leader="dot" w:pos="9350"/>
            </w:tabs>
            <w:rPr>
              <w:rFonts w:eastAsiaTheme="minorEastAsia"/>
              <w:noProof/>
            </w:rPr>
          </w:pPr>
          <w:hyperlink w:anchor="_Toc62037752" w:history="1">
            <w:r w:rsidR="00F64913" w:rsidRPr="00071373">
              <w:rPr>
                <w:rStyle w:val="Hyperlink"/>
                <w:noProof/>
              </w:rPr>
              <w:t>Application of academic knowledge:</w:t>
            </w:r>
            <w:r w:rsidR="00F64913">
              <w:rPr>
                <w:noProof/>
                <w:webHidden/>
              </w:rPr>
              <w:tab/>
            </w:r>
            <w:r w:rsidR="00F64913">
              <w:rPr>
                <w:noProof/>
                <w:webHidden/>
              </w:rPr>
              <w:fldChar w:fldCharType="begin"/>
            </w:r>
            <w:r w:rsidR="00F64913">
              <w:rPr>
                <w:noProof/>
                <w:webHidden/>
              </w:rPr>
              <w:instrText xml:space="preserve"> PAGEREF _Toc62037752 \h </w:instrText>
            </w:r>
            <w:r w:rsidR="00F64913">
              <w:rPr>
                <w:noProof/>
                <w:webHidden/>
              </w:rPr>
            </w:r>
            <w:r w:rsidR="00F64913">
              <w:rPr>
                <w:noProof/>
                <w:webHidden/>
              </w:rPr>
              <w:fldChar w:fldCharType="separate"/>
            </w:r>
            <w:r w:rsidR="00F64913">
              <w:rPr>
                <w:noProof/>
                <w:webHidden/>
              </w:rPr>
              <w:t>74</w:t>
            </w:r>
            <w:r w:rsidR="00F64913">
              <w:rPr>
                <w:noProof/>
                <w:webHidden/>
              </w:rPr>
              <w:fldChar w:fldCharType="end"/>
            </w:r>
          </w:hyperlink>
        </w:p>
        <w:p w:rsidR="00F64913" w:rsidRDefault="00810B41">
          <w:pPr>
            <w:pStyle w:val="TOC1"/>
            <w:tabs>
              <w:tab w:val="right" w:leader="dot" w:pos="9350"/>
            </w:tabs>
            <w:rPr>
              <w:rFonts w:eastAsiaTheme="minorEastAsia"/>
              <w:noProof/>
            </w:rPr>
          </w:pPr>
          <w:hyperlink w:anchor="_Toc62037753" w:history="1">
            <w:r w:rsidR="00F64913" w:rsidRPr="00071373">
              <w:rPr>
                <w:rStyle w:val="Hyperlink"/>
                <w:noProof/>
              </w:rPr>
              <w:t>References</w:t>
            </w:r>
            <w:r w:rsidR="00F64913">
              <w:rPr>
                <w:noProof/>
                <w:webHidden/>
              </w:rPr>
              <w:tab/>
            </w:r>
            <w:r w:rsidR="00F64913">
              <w:rPr>
                <w:noProof/>
                <w:webHidden/>
              </w:rPr>
              <w:fldChar w:fldCharType="begin"/>
            </w:r>
            <w:r w:rsidR="00F64913">
              <w:rPr>
                <w:noProof/>
                <w:webHidden/>
              </w:rPr>
              <w:instrText xml:space="preserve"> PAGEREF _Toc62037753 \h </w:instrText>
            </w:r>
            <w:r w:rsidR="00F64913">
              <w:rPr>
                <w:noProof/>
                <w:webHidden/>
              </w:rPr>
            </w:r>
            <w:r w:rsidR="00F64913">
              <w:rPr>
                <w:noProof/>
                <w:webHidden/>
              </w:rPr>
              <w:fldChar w:fldCharType="separate"/>
            </w:r>
            <w:r w:rsidR="00F64913">
              <w:rPr>
                <w:noProof/>
                <w:webHidden/>
              </w:rPr>
              <w:t>XII</w:t>
            </w:r>
            <w:r w:rsidR="00F64913">
              <w:rPr>
                <w:noProof/>
                <w:webHidden/>
              </w:rPr>
              <w:fldChar w:fldCharType="end"/>
            </w:r>
          </w:hyperlink>
        </w:p>
        <w:p w:rsidR="0073588B" w:rsidRDefault="0073588B">
          <w:r w:rsidRPr="00FA7B26">
            <w:rPr>
              <w:rFonts w:ascii="Times New Roman" w:hAnsi="Times New Roman" w:cs="Times New Roman"/>
              <w:b/>
              <w:bCs/>
              <w:noProof/>
            </w:rPr>
            <w:lastRenderedPageBreak/>
            <w:fldChar w:fldCharType="end"/>
          </w:r>
        </w:p>
      </w:sdtContent>
    </w:sdt>
    <w:p w:rsidR="00D84723" w:rsidRDefault="00D84723" w:rsidP="0073588B">
      <w:pPr>
        <w:pStyle w:val="Heading1"/>
      </w:pPr>
    </w:p>
    <w:p w:rsidR="00E01905" w:rsidRPr="0073588B" w:rsidRDefault="00E01905" w:rsidP="0073588B">
      <w:pPr>
        <w:pStyle w:val="Heading1"/>
      </w:pPr>
      <w:bookmarkStart w:id="8" w:name="_Toc62037698"/>
      <w:r>
        <w:t>List of Tables</w:t>
      </w:r>
      <w:bookmarkEnd w:id="8"/>
    </w:p>
    <w:p w:rsidR="00E01905" w:rsidRPr="00E01905" w:rsidRDefault="00E01905" w:rsidP="00E01905">
      <w:pPr>
        <w:spacing w:line="360" w:lineRule="auto"/>
        <w:jc w:val="both"/>
        <w:rPr>
          <w:rFonts w:ascii="Times New Roman" w:hAnsi="Times New Roman" w:cs="Times New Roman"/>
          <w:sz w:val="20"/>
          <w:szCs w:val="20"/>
        </w:rPr>
      </w:pPr>
    </w:p>
    <w:p w:rsidR="00FA7B26" w:rsidRPr="00FA7B26" w:rsidRDefault="00E01905"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r w:rsidRPr="00C7530F">
        <w:rPr>
          <w:rFonts w:ascii="Times New Roman" w:hAnsi="Times New Roman" w:cs="Times New Roman"/>
          <w:caps w:val="0"/>
        </w:rPr>
        <w:fldChar w:fldCharType="begin"/>
      </w:r>
      <w:r w:rsidRPr="00C7530F">
        <w:rPr>
          <w:rFonts w:ascii="Times New Roman" w:hAnsi="Times New Roman" w:cs="Times New Roman"/>
          <w:caps w:val="0"/>
        </w:rPr>
        <w:instrText xml:space="preserve"> TOC \h \z \c "Table" </w:instrText>
      </w:r>
      <w:r w:rsidRPr="00C7530F">
        <w:rPr>
          <w:rFonts w:ascii="Times New Roman" w:hAnsi="Times New Roman" w:cs="Times New Roman"/>
          <w:caps w:val="0"/>
        </w:rPr>
        <w:fldChar w:fldCharType="separate"/>
      </w:r>
      <w:hyperlink w:anchor="_Toc61651504" w:history="1">
        <w:r w:rsidR="00FA7B26" w:rsidRPr="00FA7B26">
          <w:rPr>
            <w:rStyle w:val="Hyperlink"/>
            <w:rFonts w:ascii="Times New Roman" w:hAnsi="Times New Roman" w:cs="Times New Roman"/>
            <w:noProof/>
          </w:rPr>
          <w:t>Table 1: 1st generation commercial banks listed with the exchanges (1982-1988)</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05" w:history="1">
        <w:r w:rsidR="00FA7B26" w:rsidRPr="00FA7B26">
          <w:rPr>
            <w:rStyle w:val="Hyperlink"/>
            <w:rFonts w:ascii="Times New Roman" w:hAnsi="Times New Roman" w:cs="Times New Roman"/>
            <w:noProof/>
          </w:rPr>
          <w:t>Table 2: 2nd generation commercial banks listed with the exchanges (1992-1996)</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06" w:history="1">
        <w:r w:rsidR="00FA7B26" w:rsidRPr="00FA7B26">
          <w:rPr>
            <w:rStyle w:val="Hyperlink"/>
            <w:rFonts w:ascii="Times New Roman" w:hAnsi="Times New Roman" w:cs="Times New Roman"/>
            <w:noProof/>
          </w:rPr>
          <w:t>Table 3: 3rd generation commercial banks listed with the exchanges (1998- Present)</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07" w:history="1">
        <w:r w:rsidR="00FA7B26" w:rsidRPr="00FA7B26">
          <w:rPr>
            <w:rStyle w:val="Hyperlink"/>
            <w:rFonts w:ascii="Times New Roman" w:hAnsi="Times New Roman" w:cs="Times New Roman"/>
            <w:noProof/>
          </w:rPr>
          <w:t>Table 4: Yearly returns of Arab Bangladesh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08" w:history="1">
        <w:r w:rsidR="00FA7B26" w:rsidRPr="00FA7B26">
          <w:rPr>
            <w:rStyle w:val="Hyperlink"/>
            <w:rFonts w:ascii="Times New Roman" w:hAnsi="Times New Roman" w:cs="Times New Roman"/>
            <w:noProof/>
          </w:rPr>
          <w:t>Table 5: Compound Monthly Growth rate of Arab Bangladesh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09" w:history="1">
        <w:r w:rsidR="00FA7B26" w:rsidRPr="00FA7B26">
          <w:rPr>
            <w:rStyle w:val="Hyperlink"/>
            <w:rFonts w:ascii="Times New Roman" w:hAnsi="Times New Roman" w:cs="Times New Roman"/>
            <w:noProof/>
          </w:rPr>
          <w:t>Table 6: Yearly returns of Al-Arafah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0" w:history="1">
        <w:r w:rsidR="00FA7B26" w:rsidRPr="00FA7B26">
          <w:rPr>
            <w:rStyle w:val="Hyperlink"/>
            <w:rFonts w:ascii="Times New Roman" w:hAnsi="Times New Roman" w:cs="Times New Roman"/>
            <w:noProof/>
          </w:rPr>
          <w:t>Table 7: Compound Monthly Growth rate of Al-Arafah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1" w:history="1">
        <w:r w:rsidR="00FA7B26" w:rsidRPr="00FA7B26">
          <w:rPr>
            <w:rStyle w:val="Hyperlink"/>
            <w:rFonts w:ascii="Times New Roman" w:hAnsi="Times New Roman" w:cs="Times New Roman"/>
            <w:noProof/>
          </w:rPr>
          <w:t>Table 8: Yearly returns of Bank Asia</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2" w:history="1">
        <w:r w:rsidR="00FA7B26" w:rsidRPr="00FA7B26">
          <w:rPr>
            <w:rStyle w:val="Hyperlink"/>
            <w:rFonts w:ascii="Times New Roman" w:hAnsi="Times New Roman" w:cs="Times New Roman"/>
            <w:noProof/>
          </w:rPr>
          <w:t>Table 9: Compound Monthly Growth rate of Bank Asia</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3" w:history="1">
        <w:r w:rsidR="00FA7B26" w:rsidRPr="00FA7B26">
          <w:rPr>
            <w:rStyle w:val="Hyperlink"/>
            <w:rFonts w:ascii="Times New Roman" w:hAnsi="Times New Roman" w:cs="Times New Roman"/>
            <w:noProof/>
          </w:rPr>
          <w:t>Table 10: Yearly returns of Brac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4" w:history="1">
        <w:r w:rsidR="00FA7B26" w:rsidRPr="00FA7B26">
          <w:rPr>
            <w:rStyle w:val="Hyperlink"/>
            <w:rFonts w:ascii="Times New Roman" w:hAnsi="Times New Roman" w:cs="Times New Roman"/>
            <w:noProof/>
          </w:rPr>
          <w:t>Table 11: Compound Monthly Growth rate of Brac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5" w:history="1">
        <w:r w:rsidR="00FA7B26" w:rsidRPr="00FA7B26">
          <w:rPr>
            <w:rStyle w:val="Hyperlink"/>
            <w:rFonts w:ascii="Times New Roman" w:hAnsi="Times New Roman" w:cs="Times New Roman"/>
            <w:noProof/>
          </w:rPr>
          <w:t>Table 12: Yearly returns of City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6" w:history="1">
        <w:r w:rsidR="00FA7B26" w:rsidRPr="00FA7B26">
          <w:rPr>
            <w:rStyle w:val="Hyperlink"/>
            <w:rFonts w:ascii="Times New Roman" w:hAnsi="Times New Roman" w:cs="Times New Roman"/>
            <w:noProof/>
          </w:rPr>
          <w:t>Table 13: Compound Monthly Growth rate of City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7" w:history="1">
        <w:r w:rsidR="00FA7B26" w:rsidRPr="00FA7B26">
          <w:rPr>
            <w:rStyle w:val="Hyperlink"/>
            <w:rFonts w:ascii="Times New Roman" w:hAnsi="Times New Roman" w:cs="Times New Roman"/>
            <w:noProof/>
          </w:rPr>
          <w:t>Table 14: Yearly returns of Dhaka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8" w:history="1">
        <w:r w:rsidR="00FA7B26" w:rsidRPr="00FA7B26">
          <w:rPr>
            <w:rStyle w:val="Hyperlink"/>
            <w:rFonts w:ascii="Times New Roman" w:hAnsi="Times New Roman" w:cs="Times New Roman"/>
            <w:noProof/>
          </w:rPr>
          <w:t>Table 15: Compound Monthly Growth rate of Dhaka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19" w:history="1">
        <w:r w:rsidR="00FA7B26" w:rsidRPr="00FA7B26">
          <w:rPr>
            <w:rStyle w:val="Hyperlink"/>
            <w:rFonts w:ascii="Times New Roman" w:hAnsi="Times New Roman" w:cs="Times New Roman"/>
            <w:noProof/>
          </w:rPr>
          <w:t>Table 16: Yearly returns of Duch-Bangla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_Toc61651519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0" w:history="1">
        <w:r w:rsidR="00FA7B26" w:rsidRPr="00FA7B26">
          <w:rPr>
            <w:rStyle w:val="Hyperlink"/>
            <w:rFonts w:ascii="Times New Roman" w:hAnsi="Times New Roman" w:cs="Times New Roman"/>
            <w:noProof/>
          </w:rPr>
          <w:t>Table 17: Compound Monthly Growth rate of Duch-Bangla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1" w:history="1">
        <w:r w:rsidR="00FA7B26" w:rsidRPr="00FA7B26">
          <w:rPr>
            <w:rStyle w:val="Hyperlink"/>
            <w:rFonts w:ascii="Times New Roman" w:hAnsi="Times New Roman" w:cs="Times New Roman"/>
            <w:noProof/>
          </w:rPr>
          <w:t>Table 18: Yearly returns of Eastern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2" w:history="1">
        <w:r w:rsidR="00FA7B26" w:rsidRPr="00FA7B26">
          <w:rPr>
            <w:rStyle w:val="Hyperlink"/>
            <w:rFonts w:ascii="Times New Roman" w:hAnsi="Times New Roman" w:cs="Times New Roman"/>
            <w:noProof/>
          </w:rPr>
          <w:t>Table 19: Compound Monthly Growth rate of Eastern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3" w:history="1">
        <w:r w:rsidR="00FA7B26" w:rsidRPr="00FA7B26">
          <w:rPr>
            <w:rStyle w:val="Hyperlink"/>
            <w:rFonts w:ascii="Times New Roman" w:hAnsi="Times New Roman" w:cs="Times New Roman"/>
            <w:noProof/>
          </w:rPr>
          <w:t>Table 20: Yearly returns of Exim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4" w:history="1">
        <w:r w:rsidR="00FA7B26" w:rsidRPr="00FA7B26">
          <w:rPr>
            <w:rStyle w:val="Hyperlink"/>
            <w:rFonts w:ascii="Times New Roman" w:hAnsi="Times New Roman" w:cs="Times New Roman"/>
            <w:noProof/>
          </w:rPr>
          <w:t>Table 21: Compound Monthly Growth rate of Exim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5" w:history="1">
        <w:r w:rsidR="00FA7B26" w:rsidRPr="00FA7B26">
          <w:rPr>
            <w:rStyle w:val="Hyperlink"/>
            <w:rFonts w:ascii="Times New Roman" w:hAnsi="Times New Roman" w:cs="Times New Roman"/>
            <w:noProof/>
          </w:rPr>
          <w:t>Table 22: Yearly returns of First Security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6" w:history="1">
        <w:r w:rsidR="00FA7B26" w:rsidRPr="00FA7B26">
          <w:rPr>
            <w:rStyle w:val="Hyperlink"/>
            <w:rFonts w:ascii="Times New Roman" w:hAnsi="Times New Roman" w:cs="Times New Roman"/>
            <w:noProof/>
          </w:rPr>
          <w:t>Table 23: Compound Monthly Growth rate of First Security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7" w:history="1">
        <w:r w:rsidR="00FA7B26" w:rsidRPr="00FA7B26">
          <w:rPr>
            <w:rStyle w:val="Hyperlink"/>
            <w:rFonts w:ascii="Times New Roman" w:hAnsi="Times New Roman" w:cs="Times New Roman"/>
            <w:noProof/>
          </w:rPr>
          <w:t>Table 24: Yearly returns of ICB Islamic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8" w:history="1">
        <w:r w:rsidR="00FA7B26" w:rsidRPr="00FA7B26">
          <w:rPr>
            <w:rStyle w:val="Hyperlink"/>
            <w:rFonts w:ascii="Times New Roman" w:hAnsi="Times New Roman" w:cs="Times New Roman"/>
            <w:noProof/>
          </w:rPr>
          <w:t>Table 25: Compound Monthly Growth rate of ICB Islamic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29" w:history="1">
        <w:r w:rsidR="00FA7B26" w:rsidRPr="00FA7B26">
          <w:rPr>
            <w:rStyle w:val="Hyperlink"/>
            <w:rFonts w:ascii="Times New Roman" w:hAnsi="Times New Roman" w:cs="Times New Roman"/>
            <w:noProof/>
          </w:rPr>
          <w:t>Table 26: Yearly returns of IFIC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_Toc61651529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0" w:history="1">
        <w:r w:rsidR="00FA7B26" w:rsidRPr="00FA7B26">
          <w:rPr>
            <w:rStyle w:val="Hyperlink"/>
            <w:rFonts w:ascii="Times New Roman" w:hAnsi="Times New Roman" w:cs="Times New Roman"/>
            <w:noProof/>
          </w:rPr>
          <w:t>Table 27: Compound Monthly Growth rate of IFIC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1" w:history="1">
        <w:r w:rsidR="00FA7B26" w:rsidRPr="00FA7B26">
          <w:rPr>
            <w:rStyle w:val="Hyperlink"/>
            <w:rFonts w:ascii="Times New Roman" w:hAnsi="Times New Roman" w:cs="Times New Roman"/>
            <w:noProof/>
          </w:rPr>
          <w:t>Table 28: Yearly returns of Islamic Bank Bangladesh</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2" w:history="1">
        <w:r w:rsidR="00FA7B26" w:rsidRPr="00FA7B26">
          <w:rPr>
            <w:rStyle w:val="Hyperlink"/>
            <w:rFonts w:ascii="Times New Roman" w:hAnsi="Times New Roman" w:cs="Times New Roman"/>
            <w:noProof/>
          </w:rPr>
          <w:t>Table 29: Compound Monthly Growth rate of Islamic Bank Bangladesh</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3" w:history="1">
        <w:r w:rsidR="00FA7B26" w:rsidRPr="00FA7B26">
          <w:rPr>
            <w:rStyle w:val="Hyperlink"/>
            <w:rFonts w:ascii="Times New Roman" w:hAnsi="Times New Roman" w:cs="Times New Roman"/>
            <w:noProof/>
          </w:rPr>
          <w:t>Table 30: Yearly returns of Jamuna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4" w:history="1">
        <w:r w:rsidR="00FA7B26" w:rsidRPr="00FA7B26">
          <w:rPr>
            <w:rStyle w:val="Hyperlink"/>
            <w:rFonts w:ascii="Times New Roman" w:hAnsi="Times New Roman" w:cs="Times New Roman"/>
            <w:noProof/>
          </w:rPr>
          <w:t>Table 31: Compound Monthly Growth rate of Jamuna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5" w:history="1">
        <w:r w:rsidR="00FA7B26" w:rsidRPr="00FA7B26">
          <w:rPr>
            <w:rStyle w:val="Hyperlink"/>
            <w:rFonts w:ascii="Times New Roman" w:hAnsi="Times New Roman" w:cs="Times New Roman"/>
            <w:noProof/>
          </w:rPr>
          <w:t>Table 32: Yearly returns of Mercantile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6" w:history="1">
        <w:r w:rsidR="00FA7B26" w:rsidRPr="00FA7B26">
          <w:rPr>
            <w:rStyle w:val="Hyperlink"/>
            <w:rFonts w:ascii="Times New Roman" w:hAnsi="Times New Roman" w:cs="Times New Roman"/>
            <w:noProof/>
          </w:rPr>
          <w:t>Table 33: Compound Monthly Growth rate of Mercantile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7" w:history="1">
        <w:r w:rsidR="00FA7B26" w:rsidRPr="00FA7B26">
          <w:rPr>
            <w:rStyle w:val="Hyperlink"/>
            <w:rFonts w:ascii="Times New Roman" w:hAnsi="Times New Roman" w:cs="Times New Roman"/>
            <w:noProof/>
          </w:rPr>
          <w:t>Table 34: Yearly returns of Mutual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8" w:history="1">
        <w:r w:rsidR="00FA7B26" w:rsidRPr="00FA7B26">
          <w:rPr>
            <w:rStyle w:val="Hyperlink"/>
            <w:rFonts w:ascii="Times New Roman" w:hAnsi="Times New Roman" w:cs="Times New Roman"/>
            <w:noProof/>
          </w:rPr>
          <w:t>Table 35: Compound Monthly Growth rate of Mutual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39" w:history="1">
        <w:r w:rsidR="00FA7B26" w:rsidRPr="00FA7B26">
          <w:rPr>
            <w:rStyle w:val="Hyperlink"/>
            <w:rFonts w:ascii="Times New Roman" w:hAnsi="Times New Roman" w:cs="Times New Roman"/>
            <w:noProof/>
          </w:rPr>
          <w:t>Table 36: Yearly returns of National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_Toc61651539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0" w:history="1">
        <w:r w:rsidR="00FA7B26" w:rsidRPr="00FA7B26">
          <w:rPr>
            <w:rStyle w:val="Hyperlink"/>
            <w:rFonts w:ascii="Times New Roman" w:hAnsi="Times New Roman" w:cs="Times New Roman"/>
            <w:noProof/>
          </w:rPr>
          <w:t>Table 37: Compound Monthly Growth rate of National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1" w:history="1">
        <w:r w:rsidR="00FA7B26" w:rsidRPr="00FA7B26">
          <w:rPr>
            <w:rStyle w:val="Hyperlink"/>
            <w:rFonts w:ascii="Times New Roman" w:hAnsi="Times New Roman" w:cs="Times New Roman"/>
            <w:noProof/>
          </w:rPr>
          <w:t>Table 38: Yearly returns of NCC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2" w:history="1">
        <w:r w:rsidR="00FA7B26" w:rsidRPr="00FA7B26">
          <w:rPr>
            <w:rStyle w:val="Hyperlink"/>
            <w:rFonts w:ascii="Times New Roman" w:hAnsi="Times New Roman" w:cs="Times New Roman"/>
            <w:noProof/>
          </w:rPr>
          <w:t>Table 39: Compound Monthly Growth rate of NCC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3" w:history="1">
        <w:r w:rsidR="00FA7B26" w:rsidRPr="00FA7B26">
          <w:rPr>
            <w:rStyle w:val="Hyperlink"/>
            <w:rFonts w:ascii="Times New Roman" w:hAnsi="Times New Roman" w:cs="Times New Roman"/>
            <w:noProof/>
          </w:rPr>
          <w:t>Table 40: Yearly returns of ONE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4" w:history="1">
        <w:r w:rsidR="00FA7B26" w:rsidRPr="00FA7B26">
          <w:rPr>
            <w:rStyle w:val="Hyperlink"/>
            <w:rFonts w:ascii="Times New Roman" w:hAnsi="Times New Roman" w:cs="Times New Roman"/>
            <w:noProof/>
          </w:rPr>
          <w:t>Table 41: Compound Monthly Growth rate of ONE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5" w:history="1">
        <w:r w:rsidR="00FA7B26" w:rsidRPr="00FA7B26">
          <w:rPr>
            <w:rStyle w:val="Hyperlink"/>
            <w:rFonts w:ascii="Times New Roman" w:hAnsi="Times New Roman" w:cs="Times New Roman"/>
            <w:noProof/>
          </w:rPr>
          <w:t>Table 42: Yearly returns of premier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6" w:history="1">
        <w:r w:rsidR="00FA7B26" w:rsidRPr="00FA7B26">
          <w:rPr>
            <w:rStyle w:val="Hyperlink"/>
            <w:rFonts w:ascii="Times New Roman" w:hAnsi="Times New Roman" w:cs="Times New Roman"/>
            <w:noProof/>
          </w:rPr>
          <w:t>Table 43: Compound Monthly Growth rate of premier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7" w:history="1">
        <w:r w:rsidR="00FA7B26" w:rsidRPr="00FA7B26">
          <w:rPr>
            <w:rStyle w:val="Hyperlink"/>
            <w:rFonts w:ascii="Times New Roman" w:hAnsi="Times New Roman" w:cs="Times New Roman"/>
            <w:noProof/>
          </w:rPr>
          <w:t>Table 44: Yearly returns of Prime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8" w:history="1">
        <w:r w:rsidR="00FA7B26" w:rsidRPr="00FA7B26">
          <w:rPr>
            <w:rStyle w:val="Hyperlink"/>
            <w:rFonts w:ascii="Times New Roman" w:hAnsi="Times New Roman" w:cs="Times New Roman"/>
            <w:noProof/>
          </w:rPr>
          <w:t>Table 45: Compound Monthly Growth rate of Prime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49" w:history="1">
        <w:r w:rsidR="00FA7B26" w:rsidRPr="00FA7B26">
          <w:rPr>
            <w:rStyle w:val="Hyperlink"/>
            <w:rFonts w:ascii="Times New Roman" w:hAnsi="Times New Roman" w:cs="Times New Roman"/>
            <w:noProof/>
          </w:rPr>
          <w:t>Table 46: Yearly returns of Pubali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_Toc61651549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0" w:history="1">
        <w:r w:rsidR="00FA7B26" w:rsidRPr="00FA7B26">
          <w:rPr>
            <w:rStyle w:val="Hyperlink"/>
            <w:rFonts w:ascii="Times New Roman" w:hAnsi="Times New Roman" w:cs="Times New Roman"/>
            <w:noProof/>
          </w:rPr>
          <w:t>Table 47: Compound Monthly Growth rate of Pubali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1" w:history="1">
        <w:r w:rsidR="00FA7B26" w:rsidRPr="00FA7B26">
          <w:rPr>
            <w:rStyle w:val="Hyperlink"/>
            <w:rFonts w:ascii="Times New Roman" w:hAnsi="Times New Roman" w:cs="Times New Roman"/>
            <w:noProof/>
          </w:rPr>
          <w:t>Table 48: Yearly returns of Rupali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2" w:history="1">
        <w:r w:rsidR="00FA7B26" w:rsidRPr="00FA7B26">
          <w:rPr>
            <w:rStyle w:val="Hyperlink"/>
            <w:rFonts w:ascii="Times New Roman" w:hAnsi="Times New Roman" w:cs="Times New Roman"/>
            <w:noProof/>
          </w:rPr>
          <w:t>Table 49: Compound Monthly Growth rate of Rupali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3" w:history="1">
        <w:r w:rsidR="00FA7B26" w:rsidRPr="00FA7B26">
          <w:rPr>
            <w:rStyle w:val="Hyperlink"/>
            <w:rFonts w:ascii="Times New Roman" w:hAnsi="Times New Roman" w:cs="Times New Roman"/>
            <w:noProof/>
          </w:rPr>
          <w:t>Table 50: Yearly returns of Shahjalal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4" w:history="1">
        <w:r w:rsidR="00FA7B26" w:rsidRPr="00FA7B26">
          <w:rPr>
            <w:rStyle w:val="Hyperlink"/>
            <w:rFonts w:ascii="Times New Roman" w:hAnsi="Times New Roman" w:cs="Times New Roman"/>
            <w:noProof/>
          </w:rPr>
          <w:t>Table 51: Compound Monthly Growth rate of Shahjalal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5" w:history="1">
        <w:r w:rsidR="00FA7B26" w:rsidRPr="00FA7B26">
          <w:rPr>
            <w:rStyle w:val="Hyperlink"/>
            <w:rFonts w:ascii="Times New Roman" w:hAnsi="Times New Roman" w:cs="Times New Roman"/>
            <w:noProof/>
          </w:rPr>
          <w:t>Table 52: Yearly returns of Social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6" w:history="1">
        <w:r w:rsidR="00FA7B26" w:rsidRPr="00FA7B26">
          <w:rPr>
            <w:rStyle w:val="Hyperlink"/>
            <w:rFonts w:ascii="Times New Roman" w:hAnsi="Times New Roman" w:cs="Times New Roman"/>
            <w:noProof/>
          </w:rPr>
          <w:t>Table 53: Compound Monthly Growth rate of Social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7" w:history="1">
        <w:r w:rsidR="00FA7B26" w:rsidRPr="00FA7B26">
          <w:rPr>
            <w:rStyle w:val="Hyperlink"/>
            <w:rFonts w:ascii="Times New Roman" w:hAnsi="Times New Roman" w:cs="Times New Roman"/>
            <w:noProof/>
          </w:rPr>
          <w:t>Table 54: Yearly returns of Southeast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8" w:history="1">
        <w:r w:rsidR="00FA7B26" w:rsidRPr="00FA7B26">
          <w:rPr>
            <w:rStyle w:val="Hyperlink"/>
            <w:rFonts w:ascii="Times New Roman" w:hAnsi="Times New Roman" w:cs="Times New Roman"/>
            <w:noProof/>
          </w:rPr>
          <w:t>Table 55: Compound Monthly Growth rate of Southeast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59" w:history="1">
        <w:r w:rsidR="00FA7B26" w:rsidRPr="00FA7B26">
          <w:rPr>
            <w:rStyle w:val="Hyperlink"/>
            <w:rFonts w:ascii="Times New Roman" w:hAnsi="Times New Roman" w:cs="Times New Roman"/>
            <w:noProof/>
          </w:rPr>
          <w:t>Table 56: Yearly returns of Standard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_Toc61651559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60" w:history="1">
        <w:r w:rsidR="00FA7B26" w:rsidRPr="00FA7B26">
          <w:rPr>
            <w:rStyle w:val="Hyperlink"/>
            <w:rFonts w:ascii="Times New Roman" w:hAnsi="Times New Roman" w:cs="Times New Roman"/>
            <w:noProof/>
          </w:rPr>
          <w:t>Table 57: Compound Monthly Growth rate of Standard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61" w:history="1">
        <w:r w:rsidR="00FA7B26" w:rsidRPr="00FA7B26">
          <w:rPr>
            <w:rStyle w:val="Hyperlink"/>
            <w:rFonts w:ascii="Times New Roman" w:hAnsi="Times New Roman" w:cs="Times New Roman"/>
            <w:noProof/>
          </w:rPr>
          <w:t>Table 58: Yearly returns of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62" w:history="1">
        <w:r w:rsidR="00FA7B26" w:rsidRPr="00FA7B26">
          <w:rPr>
            <w:rStyle w:val="Hyperlink"/>
            <w:rFonts w:ascii="Times New Roman" w:hAnsi="Times New Roman" w:cs="Times New Roman"/>
            <w:noProof/>
          </w:rPr>
          <w:t>Table 59: Compound Monthly Growth rate of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63" w:history="1">
        <w:r w:rsidR="00FA7B26" w:rsidRPr="00FA7B26">
          <w:rPr>
            <w:rStyle w:val="Hyperlink"/>
            <w:rFonts w:ascii="Times New Roman" w:hAnsi="Times New Roman" w:cs="Times New Roman"/>
            <w:noProof/>
          </w:rPr>
          <w:t>Table 60: Yearly returns of United Commercial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64" w:history="1">
        <w:r w:rsidR="00FA7B26" w:rsidRPr="00FA7B26">
          <w:rPr>
            <w:rStyle w:val="Hyperlink"/>
            <w:rFonts w:ascii="Times New Roman" w:hAnsi="Times New Roman" w:cs="Times New Roman"/>
            <w:noProof/>
          </w:rPr>
          <w:t>Table 61: Compound Monthly Growth rate of United Commercial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65" w:history="1">
        <w:r w:rsidR="00FA7B26" w:rsidRPr="00FA7B26">
          <w:rPr>
            <w:rStyle w:val="Hyperlink"/>
            <w:rFonts w:ascii="Times New Roman" w:hAnsi="Times New Roman" w:cs="Times New Roman"/>
            <w:noProof/>
          </w:rPr>
          <w:t>Table 62: Yearly returns of Uttara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sz w:val="22"/>
          <w:szCs w:val="22"/>
        </w:rPr>
      </w:pPr>
      <w:hyperlink w:anchor="_Toc61651566" w:history="1">
        <w:r w:rsidR="00FA7B26" w:rsidRPr="00FA7B26">
          <w:rPr>
            <w:rStyle w:val="Hyperlink"/>
            <w:rFonts w:ascii="Times New Roman" w:hAnsi="Times New Roman" w:cs="Times New Roman"/>
            <w:noProof/>
          </w:rPr>
          <w:t>Table 63: Compound Monthly Growth rate of Uttara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68</w:t>
        </w:r>
        <w:r w:rsidR="00FA7B26" w:rsidRPr="00FA7B26">
          <w:rPr>
            <w:rFonts w:ascii="Times New Roman" w:hAnsi="Times New Roman" w:cs="Times New Roman"/>
            <w:noProof/>
            <w:webHidden/>
          </w:rPr>
          <w:fldChar w:fldCharType="end"/>
        </w:r>
      </w:hyperlink>
    </w:p>
    <w:p w:rsidR="00956CDE" w:rsidRDefault="00E01905" w:rsidP="00C7530F">
      <w:pPr>
        <w:pStyle w:val="Heading1"/>
        <w:spacing w:line="360" w:lineRule="auto"/>
        <w:jc w:val="both"/>
        <w:rPr>
          <w:rFonts w:cs="Times New Roman"/>
          <w:caps/>
          <w:sz w:val="20"/>
          <w:szCs w:val="20"/>
        </w:rPr>
      </w:pPr>
      <w:r w:rsidRPr="00C7530F">
        <w:rPr>
          <w:rFonts w:cs="Times New Roman"/>
          <w:caps/>
          <w:sz w:val="20"/>
          <w:szCs w:val="20"/>
        </w:rPr>
        <w:lastRenderedPageBreak/>
        <w:fldChar w:fldCharType="end"/>
      </w:r>
    </w:p>
    <w:p w:rsidR="00D87050" w:rsidRDefault="00D87050">
      <w:pPr>
        <w:rPr>
          <w:rFonts w:ascii="Times New Roman" w:eastAsiaTheme="majorEastAsia" w:hAnsi="Times New Roman" w:cstheme="majorBidi"/>
          <w:b/>
          <w:bCs/>
          <w:color w:val="365F91" w:themeColor="accent1" w:themeShade="BF"/>
          <w:sz w:val="32"/>
          <w:szCs w:val="28"/>
        </w:rPr>
      </w:pPr>
      <w:r>
        <w:br w:type="page"/>
      </w:r>
      <w:sdt>
        <w:sdtPr>
          <w:id w:val="-1142505516"/>
          <w:citation/>
        </w:sdtPr>
        <w:sdtEndPr/>
        <w:sdtContent>
          <w:r w:rsidR="00FA7B26">
            <w:fldChar w:fldCharType="begin"/>
          </w:r>
          <w:r w:rsidR="00FA7B26">
            <w:instrText xml:space="preserve"> CITATION Inv99 \l 1033 </w:instrText>
          </w:r>
          <w:r w:rsidR="00FA7B26">
            <w:fldChar w:fldCharType="separate"/>
          </w:r>
          <w:r w:rsidR="00FA7B26">
            <w:rPr>
              <w:noProof/>
            </w:rPr>
            <w:t>(Investopedia, 1999)</w:t>
          </w:r>
          <w:r w:rsidR="00FA7B26">
            <w:fldChar w:fldCharType="end"/>
          </w:r>
        </w:sdtContent>
      </w:sdt>
    </w:p>
    <w:p w:rsidR="00793E39" w:rsidRPr="00956CDE" w:rsidRDefault="00793E39" w:rsidP="00C7530F">
      <w:pPr>
        <w:pStyle w:val="Heading1"/>
        <w:spacing w:line="360" w:lineRule="auto"/>
        <w:jc w:val="both"/>
        <w:rPr>
          <w:rFonts w:cs="Times New Roman"/>
          <w:caps/>
          <w:sz w:val="20"/>
          <w:szCs w:val="20"/>
        </w:rPr>
      </w:pPr>
      <w:bookmarkStart w:id="9" w:name="_Toc62037699"/>
      <w:r>
        <w:t xml:space="preserve">List of </w:t>
      </w:r>
      <w:r w:rsidR="00E01905">
        <w:t>Graph</w:t>
      </w:r>
      <w:bookmarkEnd w:id="9"/>
    </w:p>
    <w:p w:rsidR="00E01905" w:rsidRPr="00E01905" w:rsidRDefault="00E01905" w:rsidP="00E01905"/>
    <w:p w:rsidR="00FA7B26" w:rsidRPr="00FA7B26" w:rsidRDefault="00E01905" w:rsidP="00FA7B26">
      <w:pPr>
        <w:pStyle w:val="TableofFigures"/>
        <w:tabs>
          <w:tab w:val="right" w:leader="dot" w:pos="9350"/>
        </w:tabs>
        <w:spacing w:line="360" w:lineRule="auto"/>
        <w:rPr>
          <w:rFonts w:ascii="Times New Roman" w:eastAsiaTheme="minorEastAsia" w:hAnsi="Times New Roman" w:cs="Times New Roman"/>
          <w:caps w:val="0"/>
          <w:noProof/>
        </w:rPr>
      </w:pPr>
      <w:r w:rsidRPr="00E01905">
        <w:rPr>
          <w:rFonts w:ascii="Times New Roman" w:hAnsi="Times New Roman" w:cs="Times New Roman"/>
        </w:rPr>
        <w:fldChar w:fldCharType="begin"/>
      </w:r>
      <w:r w:rsidRPr="00E01905">
        <w:rPr>
          <w:rFonts w:ascii="Times New Roman" w:hAnsi="Times New Roman" w:cs="Times New Roman"/>
        </w:rPr>
        <w:instrText xml:space="preserve"> TOC \h \z \c "Graph" </w:instrText>
      </w:r>
      <w:r w:rsidRPr="00E01905">
        <w:rPr>
          <w:rFonts w:ascii="Times New Roman" w:hAnsi="Times New Roman" w:cs="Times New Roman"/>
        </w:rPr>
        <w:fldChar w:fldCharType="separate"/>
      </w:r>
      <w:hyperlink w:anchor="_Toc61651444" w:history="1">
        <w:r w:rsidR="00FA7B26" w:rsidRPr="00FA7B26">
          <w:rPr>
            <w:rStyle w:val="Hyperlink"/>
            <w:rFonts w:ascii="Times New Roman" w:hAnsi="Times New Roman" w:cs="Times New Roman"/>
            <w:noProof/>
          </w:rPr>
          <w:t>Graph 1: Yearly returns of Arab Bangladesh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_Toc61651444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45" w:history="1">
        <w:r w:rsidR="00FA7B26" w:rsidRPr="00FA7B26">
          <w:rPr>
            <w:rStyle w:val="Hyperlink"/>
            <w:rFonts w:ascii="Times New Roman" w:hAnsi="Times New Roman" w:cs="Times New Roman"/>
            <w:noProof/>
          </w:rPr>
          <w:t>Graph 2: Compound Monthly Growth rate of Arab Bangladesh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_Toc61651445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46" w:history="1">
        <w:r w:rsidR="00FA7B26" w:rsidRPr="00FA7B26">
          <w:rPr>
            <w:rStyle w:val="Hyperlink"/>
            <w:rFonts w:ascii="Times New Roman" w:hAnsi="Times New Roman" w:cs="Times New Roman"/>
            <w:noProof/>
          </w:rPr>
          <w:t>Graph 3: Yearly returns of Al-Arafah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_Toc61651446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47" w:history="1">
        <w:r w:rsidR="00FA7B26" w:rsidRPr="00FA7B26">
          <w:rPr>
            <w:rStyle w:val="Hyperlink"/>
            <w:rFonts w:ascii="Times New Roman" w:hAnsi="Times New Roman" w:cs="Times New Roman"/>
            <w:noProof/>
          </w:rPr>
          <w:t>Graph 4: Compound Monthly Growth rate of Al-Arafah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_Toc61651447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48" w:history="1">
        <w:r w:rsidR="00FA7B26" w:rsidRPr="00FA7B26">
          <w:rPr>
            <w:rStyle w:val="Hyperlink"/>
            <w:rFonts w:ascii="Times New Roman" w:hAnsi="Times New Roman" w:cs="Times New Roman"/>
            <w:noProof/>
          </w:rPr>
          <w:t>Graph 5: Yearly returns of Bank Asia</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_Toc61651448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49" w:history="1">
        <w:r w:rsidR="00FA7B26" w:rsidRPr="00FA7B26">
          <w:rPr>
            <w:rStyle w:val="Hyperlink"/>
            <w:rFonts w:ascii="Times New Roman" w:hAnsi="Times New Roman" w:cs="Times New Roman"/>
            <w:noProof/>
          </w:rPr>
          <w:t>Graph 6: Compound Monthly Growth rate of Bank Asia</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_Toc61651449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0" w:history="1">
        <w:r w:rsidR="00FA7B26" w:rsidRPr="00FA7B26">
          <w:rPr>
            <w:rStyle w:val="Hyperlink"/>
            <w:rFonts w:ascii="Times New Roman" w:hAnsi="Times New Roman" w:cs="Times New Roman"/>
            <w:noProof/>
          </w:rPr>
          <w:t>Graph 7: Yearly returns of Brac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1" w:history="1">
        <w:r w:rsidR="00FA7B26" w:rsidRPr="00FA7B26">
          <w:rPr>
            <w:rStyle w:val="Hyperlink"/>
            <w:rFonts w:ascii="Times New Roman" w:hAnsi="Times New Roman" w:cs="Times New Roman"/>
            <w:noProof/>
          </w:rPr>
          <w:t>Graph 8: Compound Monthly Growth rate of Brac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2" w:history="1">
        <w:r w:rsidR="00FA7B26" w:rsidRPr="00FA7B26">
          <w:rPr>
            <w:rStyle w:val="Hyperlink"/>
            <w:rFonts w:ascii="Times New Roman" w:hAnsi="Times New Roman" w:cs="Times New Roman"/>
            <w:noProof/>
          </w:rPr>
          <w:t>Graph 9: Yearly returns of City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3" w:history="1">
        <w:r w:rsidR="00FA7B26" w:rsidRPr="00FA7B26">
          <w:rPr>
            <w:rStyle w:val="Hyperlink"/>
            <w:rFonts w:ascii="Times New Roman" w:hAnsi="Times New Roman" w:cs="Times New Roman"/>
            <w:noProof/>
          </w:rPr>
          <w:t>Graph 10: Compound Monthly Growth rate of City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4" w:history="1">
        <w:r w:rsidR="00FA7B26" w:rsidRPr="00FA7B26">
          <w:rPr>
            <w:rStyle w:val="Hyperlink"/>
            <w:rFonts w:ascii="Times New Roman" w:hAnsi="Times New Roman" w:cs="Times New Roman"/>
            <w:noProof/>
          </w:rPr>
          <w:t>Graph 11: Yearly returns of Dhaka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19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5" w:history="1">
        <w:r w:rsidR="00FA7B26" w:rsidRPr="00FA7B26">
          <w:rPr>
            <w:rStyle w:val="Hyperlink"/>
            <w:rFonts w:ascii="Times New Roman" w:hAnsi="Times New Roman" w:cs="Times New Roman"/>
            <w:noProof/>
          </w:rPr>
          <w:t>Graph 12: Compound Monthly Growth rate of Dhaka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6" w:history="1">
        <w:r w:rsidR="00FA7B26" w:rsidRPr="00FA7B26">
          <w:rPr>
            <w:rStyle w:val="Hyperlink"/>
            <w:rFonts w:ascii="Times New Roman" w:hAnsi="Times New Roman" w:cs="Times New Roman"/>
            <w:noProof/>
          </w:rPr>
          <w:t>Graph 13: Yearly returns of Duch-Bangla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7" w:history="1">
        <w:r w:rsidR="00FA7B26" w:rsidRPr="00FA7B26">
          <w:rPr>
            <w:rStyle w:val="Hyperlink"/>
            <w:rFonts w:ascii="Times New Roman" w:hAnsi="Times New Roman" w:cs="Times New Roman"/>
            <w:noProof/>
          </w:rPr>
          <w:t>Graph 14: Compound Monthly Growth rate of Duch-Bangla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8" w:history="1">
        <w:r w:rsidR="00FA7B26" w:rsidRPr="00FA7B26">
          <w:rPr>
            <w:rStyle w:val="Hyperlink"/>
            <w:rFonts w:ascii="Times New Roman" w:hAnsi="Times New Roman" w:cs="Times New Roman"/>
            <w:noProof/>
          </w:rPr>
          <w:t>Graph 15: Yearly returns of Eastern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59" w:history="1">
        <w:r w:rsidR="00FA7B26" w:rsidRPr="00FA7B26">
          <w:rPr>
            <w:rStyle w:val="Hyperlink"/>
            <w:rFonts w:ascii="Times New Roman" w:hAnsi="Times New Roman" w:cs="Times New Roman"/>
            <w:noProof/>
          </w:rPr>
          <w:t>Graph 16: Compound Monthly Growth rate of Eastern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_Toc61651459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0" w:history="1">
        <w:r w:rsidR="00FA7B26" w:rsidRPr="00FA7B26">
          <w:rPr>
            <w:rStyle w:val="Hyperlink"/>
            <w:rFonts w:ascii="Times New Roman" w:hAnsi="Times New Roman" w:cs="Times New Roman"/>
            <w:noProof/>
          </w:rPr>
          <w:t>Graph 17: Yearly returns of Exim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1" w:history="1">
        <w:r w:rsidR="00FA7B26" w:rsidRPr="00FA7B26">
          <w:rPr>
            <w:rStyle w:val="Hyperlink"/>
            <w:rFonts w:ascii="Times New Roman" w:hAnsi="Times New Roman" w:cs="Times New Roman"/>
            <w:noProof/>
          </w:rPr>
          <w:t>Graph 18: Compound Monthly Growth rate of Exim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2" w:history="1">
        <w:r w:rsidR="00FA7B26" w:rsidRPr="00FA7B26">
          <w:rPr>
            <w:rStyle w:val="Hyperlink"/>
            <w:rFonts w:ascii="Times New Roman" w:hAnsi="Times New Roman" w:cs="Times New Roman"/>
            <w:noProof/>
          </w:rPr>
          <w:t>Graph 19: Yearly returns of First Security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3" w:history="1">
        <w:r w:rsidR="00FA7B26" w:rsidRPr="00FA7B26">
          <w:rPr>
            <w:rStyle w:val="Hyperlink"/>
            <w:rFonts w:ascii="Times New Roman" w:hAnsi="Times New Roman" w:cs="Times New Roman"/>
            <w:noProof/>
          </w:rPr>
          <w:t>Graph 20: Compound Monthly Growth rate of First Security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4" w:history="1">
        <w:r w:rsidR="00FA7B26" w:rsidRPr="00FA7B26">
          <w:rPr>
            <w:rStyle w:val="Hyperlink"/>
            <w:rFonts w:ascii="Times New Roman" w:hAnsi="Times New Roman" w:cs="Times New Roman"/>
            <w:noProof/>
          </w:rPr>
          <w:t>Graph 21: Yearly returns of ICB Islamic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29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5" w:history="1">
        <w:r w:rsidR="00FA7B26" w:rsidRPr="00FA7B26">
          <w:rPr>
            <w:rStyle w:val="Hyperlink"/>
            <w:rFonts w:ascii="Times New Roman" w:hAnsi="Times New Roman" w:cs="Times New Roman"/>
            <w:noProof/>
          </w:rPr>
          <w:t>Graph 22: Compound Monthly Growth rate of ICB Islamic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6" w:history="1">
        <w:r w:rsidR="00FA7B26" w:rsidRPr="00FA7B26">
          <w:rPr>
            <w:rStyle w:val="Hyperlink"/>
            <w:rFonts w:ascii="Times New Roman" w:hAnsi="Times New Roman" w:cs="Times New Roman"/>
            <w:noProof/>
          </w:rPr>
          <w:t>Graph 23: Yearly returns of IFIC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7" w:history="1">
        <w:r w:rsidR="00FA7B26" w:rsidRPr="00FA7B26">
          <w:rPr>
            <w:rStyle w:val="Hyperlink"/>
            <w:rFonts w:ascii="Times New Roman" w:hAnsi="Times New Roman" w:cs="Times New Roman"/>
            <w:noProof/>
          </w:rPr>
          <w:t>Graph 24: Compound Monthly Growth rate of IFIC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8" w:history="1">
        <w:r w:rsidR="00FA7B26" w:rsidRPr="00FA7B26">
          <w:rPr>
            <w:rStyle w:val="Hyperlink"/>
            <w:rFonts w:ascii="Times New Roman" w:hAnsi="Times New Roman" w:cs="Times New Roman"/>
            <w:noProof/>
          </w:rPr>
          <w:t>Graph 25: Yearly returns of Islamic Bank Bangladesh</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69" w:history="1">
        <w:r w:rsidR="00FA7B26" w:rsidRPr="00FA7B26">
          <w:rPr>
            <w:rStyle w:val="Hyperlink"/>
            <w:rFonts w:ascii="Times New Roman" w:hAnsi="Times New Roman" w:cs="Times New Roman"/>
            <w:noProof/>
          </w:rPr>
          <w:t>Graph 26: Compound Monthly Growth rate of Islamic Bank Bangladesh</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_Toc61651469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0" w:history="1">
        <w:r w:rsidR="00FA7B26" w:rsidRPr="00FA7B26">
          <w:rPr>
            <w:rStyle w:val="Hyperlink"/>
            <w:rFonts w:ascii="Times New Roman" w:hAnsi="Times New Roman" w:cs="Times New Roman"/>
            <w:noProof/>
          </w:rPr>
          <w:t>Graph 27: Yearly returns of Jamuna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1" w:history="1">
        <w:r w:rsidR="00FA7B26" w:rsidRPr="00FA7B26">
          <w:rPr>
            <w:rStyle w:val="Hyperlink"/>
            <w:rFonts w:ascii="Times New Roman" w:hAnsi="Times New Roman" w:cs="Times New Roman"/>
            <w:noProof/>
          </w:rPr>
          <w:t>Graph 28: Compound Monthly Growth rate of Jamuna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2" w:history="1">
        <w:r w:rsidR="00FA7B26" w:rsidRPr="00FA7B26">
          <w:rPr>
            <w:rStyle w:val="Hyperlink"/>
            <w:rFonts w:ascii="Times New Roman" w:hAnsi="Times New Roman" w:cs="Times New Roman"/>
            <w:noProof/>
          </w:rPr>
          <w:t>Graph 29 : Yearly returns of Mercantile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3" w:history="1">
        <w:r w:rsidR="00FA7B26" w:rsidRPr="00FA7B26">
          <w:rPr>
            <w:rStyle w:val="Hyperlink"/>
            <w:rFonts w:ascii="Times New Roman" w:hAnsi="Times New Roman" w:cs="Times New Roman"/>
            <w:noProof/>
          </w:rPr>
          <w:t>Graph 30: Compound Monthly Growth rate of Mercantile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4" w:history="1">
        <w:r w:rsidR="00FA7B26" w:rsidRPr="00FA7B26">
          <w:rPr>
            <w:rStyle w:val="Hyperlink"/>
            <w:rFonts w:ascii="Times New Roman" w:hAnsi="Times New Roman" w:cs="Times New Roman"/>
            <w:noProof/>
          </w:rPr>
          <w:t>Graph 31: Yearly returns of Mutual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39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5" w:history="1">
        <w:r w:rsidR="00FA7B26" w:rsidRPr="00FA7B26">
          <w:rPr>
            <w:rStyle w:val="Hyperlink"/>
            <w:rFonts w:ascii="Times New Roman" w:hAnsi="Times New Roman" w:cs="Times New Roman"/>
            <w:noProof/>
          </w:rPr>
          <w:t>Graph 32: Compound Monthly Growth rate of Mutual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6" w:history="1">
        <w:r w:rsidR="00FA7B26" w:rsidRPr="00FA7B26">
          <w:rPr>
            <w:rStyle w:val="Hyperlink"/>
            <w:rFonts w:ascii="Times New Roman" w:hAnsi="Times New Roman" w:cs="Times New Roman"/>
            <w:noProof/>
          </w:rPr>
          <w:t>Graph 33: Yearly returns of National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7" w:history="1">
        <w:r w:rsidR="00FA7B26" w:rsidRPr="00FA7B26">
          <w:rPr>
            <w:rStyle w:val="Hyperlink"/>
            <w:rFonts w:ascii="Times New Roman" w:hAnsi="Times New Roman" w:cs="Times New Roman"/>
            <w:noProof/>
          </w:rPr>
          <w:t>Graph 34: Compound Monthly Growth rate of National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8" w:history="1">
        <w:r w:rsidR="00FA7B26" w:rsidRPr="00FA7B26">
          <w:rPr>
            <w:rStyle w:val="Hyperlink"/>
            <w:rFonts w:ascii="Times New Roman" w:hAnsi="Times New Roman" w:cs="Times New Roman"/>
            <w:noProof/>
          </w:rPr>
          <w:t>Graph 35: Yearly returns of NCC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79" w:history="1">
        <w:r w:rsidR="00FA7B26" w:rsidRPr="00FA7B26">
          <w:rPr>
            <w:rStyle w:val="Hyperlink"/>
            <w:rFonts w:ascii="Times New Roman" w:hAnsi="Times New Roman" w:cs="Times New Roman"/>
            <w:noProof/>
          </w:rPr>
          <w:t>Graph 36: Compound Monthly Growth rate of NCC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_Toc61651479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0" w:history="1">
        <w:r w:rsidR="00FA7B26" w:rsidRPr="00FA7B26">
          <w:rPr>
            <w:rStyle w:val="Hyperlink"/>
            <w:rFonts w:ascii="Times New Roman" w:hAnsi="Times New Roman" w:cs="Times New Roman"/>
            <w:noProof/>
          </w:rPr>
          <w:t>Graph 37: Yearly returns of ONE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1" w:history="1">
        <w:r w:rsidR="00FA7B26" w:rsidRPr="00FA7B26">
          <w:rPr>
            <w:rStyle w:val="Hyperlink"/>
            <w:rFonts w:ascii="Times New Roman" w:hAnsi="Times New Roman" w:cs="Times New Roman"/>
            <w:noProof/>
          </w:rPr>
          <w:t>Graph 38: Compound Monthly Growth rate of ONE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2" w:history="1">
        <w:r w:rsidR="00FA7B26" w:rsidRPr="00FA7B26">
          <w:rPr>
            <w:rStyle w:val="Hyperlink"/>
            <w:rFonts w:ascii="Times New Roman" w:hAnsi="Times New Roman" w:cs="Times New Roman"/>
            <w:noProof/>
          </w:rPr>
          <w:t>Graph 39: Yearly returns of premier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3" w:history="1">
        <w:r w:rsidR="00FA7B26" w:rsidRPr="00FA7B26">
          <w:rPr>
            <w:rStyle w:val="Hyperlink"/>
            <w:rFonts w:ascii="Times New Roman" w:hAnsi="Times New Roman" w:cs="Times New Roman"/>
            <w:noProof/>
          </w:rPr>
          <w:t>Graph 40: Compound Monthly Growth rate of premier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4" w:history="1">
        <w:r w:rsidR="00FA7B26" w:rsidRPr="00FA7B26">
          <w:rPr>
            <w:rStyle w:val="Hyperlink"/>
            <w:rFonts w:ascii="Times New Roman" w:hAnsi="Times New Roman" w:cs="Times New Roman"/>
            <w:noProof/>
          </w:rPr>
          <w:t>Graph 41: Yearly returns of Prime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49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5" w:history="1">
        <w:r w:rsidR="00FA7B26" w:rsidRPr="00FA7B26">
          <w:rPr>
            <w:rStyle w:val="Hyperlink"/>
            <w:rFonts w:ascii="Times New Roman" w:hAnsi="Times New Roman" w:cs="Times New Roman"/>
            <w:noProof/>
          </w:rPr>
          <w:t>Graph 42: Compound Monthly Growth rate of Prime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6" w:history="1">
        <w:r w:rsidR="00FA7B26" w:rsidRPr="00FA7B26">
          <w:rPr>
            <w:rStyle w:val="Hyperlink"/>
            <w:rFonts w:ascii="Times New Roman" w:hAnsi="Times New Roman" w:cs="Times New Roman"/>
            <w:noProof/>
          </w:rPr>
          <w:t>Graph 43: Yearly returns of Pubali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7" w:history="1">
        <w:r w:rsidR="00FA7B26" w:rsidRPr="00FA7B26">
          <w:rPr>
            <w:rStyle w:val="Hyperlink"/>
            <w:rFonts w:ascii="Times New Roman" w:hAnsi="Times New Roman" w:cs="Times New Roman"/>
            <w:noProof/>
          </w:rPr>
          <w:t>Graph 44: Compound Monthly Growth rate of Pubali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8" w:history="1">
        <w:r w:rsidR="00FA7B26" w:rsidRPr="00FA7B26">
          <w:rPr>
            <w:rStyle w:val="Hyperlink"/>
            <w:rFonts w:ascii="Times New Roman" w:hAnsi="Times New Roman" w:cs="Times New Roman"/>
            <w:noProof/>
          </w:rPr>
          <w:t>Graph 45: Yearly returns of Rupali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89" w:history="1">
        <w:r w:rsidR="00FA7B26" w:rsidRPr="00FA7B26">
          <w:rPr>
            <w:rStyle w:val="Hyperlink"/>
            <w:rFonts w:ascii="Times New Roman" w:hAnsi="Times New Roman" w:cs="Times New Roman"/>
            <w:noProof/>
          </w:rPr>
          <w:t>Graph 46: Compound Monthly Growth rate of Rupali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_Toc61651489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0" w:history="1">
        <w:r w:rsidR="00FA7B26" w:rsidRPr="00FA7B26">
          <w:rPr>
            <w:rStyle w:val="Hyperlink"/>
            <w:rFonts w:ascii="Times New Roman" w:hAnsi="Times New Roman" w:cs="Times New Roman"/>
            <w:noProof/>
          </w:rPr>
          <w:t>Graph 47: Yearly returns of Shahjalal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1" w:history="1">
        <w:r w:rsidR="00FA7B26" w:rsidRPr="00FA7B26">
          <w:rPr>
            <w:rStyle w:val="Hyperlink"/>
            <w:rFonts w:ascii="Times New Roman" w:hAnsi="Times New Roman" w:cs="Times New Roman"/>
            <w:noProof/>
          </w:rPr>
          <w:t>Graph 48: Compound Monthly Growth rate of Shahjalal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2" w:history="1">
        <w:r w:rsidR="00FA7B26" w:rsidRPr="00FA7B26">
          <w:rPr>
            <w:rStyle w:val="Hyperlink"/>
            <w:rFonts w:ascii="Times New Roman" w:hAnsi="Times New Roman" w:cs="Times New Roman"/>
            <w:noProof/>
          </w:rPr>
          <w:t>Graph 49: Yearly returns of Social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3" w:history="1">
        <w:r w:rsidR="00FA7B26" w:rsidRPr="00FA7B26">
          <w:rPr>
            <w:rStyle w:val="Hyperlink"/>
            <w:rFonts w:ascii="Times New Roman" w:hAnsi="Times New Roman" w:cs="Times New Roman"/>
            <w:noProof/>
          </w:rPr>
          <w:t>Graph 50: Compound Monthly Growth rate of Social Islami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4" w:history="1">
        <w:r w:rsidR="00FA7B26" w:rsidRPr="00FA7B26">
          <w:rPr>
            <w:rStyle w:val="Hyperlink"/>
            <w:rFonts w:ascii="Times New Roman" w:hAnsi="Times New Roman" w:cs="Times New Roman"/>
            <w:noProof/>
          </w:rPr>
          <w:t>Graph 51: Yearly returns of Southeast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_Toc61651494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59</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5" w:history="1">
        <w:r w:rsidR="00FA7B26" w:rsidRPr="00FA7B26">
          <w:rPr>
            <w:rStyle w:val="Hyperlink"/>
            <w:rFonts w:ascii="Times New Roman" w:hAnsi="Times New Roman" w:cs="Times New Roman"/>
            <w:noProof/>
          </w:rPr>
          <w:t>Graph 52: Compound Monthly Growth rate of Southeast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_Toc61651495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60</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6" w:history="1">
        <w:r w:rsidR="00FA7B26" w:rsidRPr="00FA7B26">
          <w:rPr>
            <w:rStyle w:val="Hyperlink"/>
            <w:rFonts w:ascii="Times New Roman" w:hAnsi="Times New Roman" w:cs="Times New Roman"/>
            <w:noProof/>
          </w:rPr>
          <w:t>Graph 53: Yearly returns of Standard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_Toc61651496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61</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7" w:history="1">
        <w:r w:rsidR="00FA7B26" w:rsidRPr="00FA7B26">
          <w:rPr>
            <w:rStyle w:val="Hyperlink"/>
            <w:rFonts w:ascii="Times New Roman" w:hAnsi="Times New Roman" w:cs="Times New Roman"/>
            <w:noProof/>
          </w:rPr>
          <w:t>Graph 54: Compound Monthly Growth rate of Standard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62</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8" w:history="1">
        <w:r w:rsidR="00FA7B26" w:rsidRPr="00FA7B26">
          <w:rPr>
            <w:rStyle w:val="Hyperlink"/>
            <w:rFonts w:ascii="Times New Roman" w:hAnsi="Times New Roman" w:cs="Times New Roman"/>
            <w:noProof/>
          </w:rPr>
          <w:t>Graph 55: Yearly returns of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63</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499" w:history="1">
        <w:r w:rsidR="00FA7B26" w:rsidRPr="00FA7B26">
          <w:rPr>
            <w:rStyle w:val="Hyperlink"/>
            <w:rFonts w:ascii="Times New Roman" w:hAnsi="Times New Roman" w:cs="Times New Roman"/>
            <w:noProof/>
          </w:rPr>
          <w:t>Graph 56: Compound Monthly Growth rate of Trust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_Toc61651499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64</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500" w:history="1">
        <w:r w:rsidR="00FA7B26" w:rsidRPr="00FA7B26">
          <w:rPr>
            <w:rStyle w:val="Hyperlink"/>
            <w:rFonts w:ascii="Times New Roman" w:hAnsi="Times New Roman" w:cs="Times New Roman"/>
            <w:noProof/>
          </w:rPr>
          <w:t>Graph 57: Yearly returns of United Commercial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65</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501" w:history="1">
        <w:r w:rsidR="00FA7B26" w:rsidRPr="00FA7B26">
          <w:rPr>
            <w:rStyle w:val="Hyperlink"/>
            <w:rFonts w:ascii="Times New Roman" w:hAnsi="Times New Roman" w:cs="Times New Roman"/>
            <w:noProof/>
          </w:rPr>
          <w:t>Graph 58: Compound Monthly Growth rate of United Commercial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_Toc61651501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66</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502" w:history="1">
        <w:r w:rsidR="00FA7B26" w:rsidRPr="00FA7B26">
          <w:rPr>
            <w:rStyle w:val="Hyperlink"/>
            <w:rFonts w:ascii="Times New Roman" w:hAnsi="Times New Roman" w:cs="Times New Roman"/>
            <w:noProof/>
          </w:rPr>
          <w:t>Graph 59: Yearly returns of Uttara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_Toc61651502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67</w:t>
        </w:r>
        <w:r w:rsidR="00FA7B26" w:rsidRPr="00FA7B26">
          <w:rPr>
            <w:rFonts w:ascii="Times New Roman" w:hAnsi="Times New Roman" w:cs="Times New Roman"/>
            <w:noProof/>
            <w:webHidden/>
          </w:rPr>
          <w:fldChar w:fldCharType="end"/>
        </w:r>
      </w:hyperlink>
    </w:p>
    <w:p w:rsidR="00FA7B26" w:rsidRDefault="00810B41" w:rsidP="00FA7B26">
      <w:pPr>
        <w:pStyle w:val="TableofFigures"/>
        <w:tabs>
          <w:tab w:val="right" w:leader="dot" w:pos="9350"/>
        </w:tabs>
        <w:spacing w:line="360" w:lineRule="auto"/>
        <w:rPr>
          <w:rFonts w:eastAsiaTheme="minorEastAsia" w:cstheme="minorBidi"/>
          <w:caps w:val="0"/>
          <w:noProof/>
          <w:sz w:val="22"/>
          <w:szCs w:val="22"/>
        </w:rPr>
      </w:pPr>
      <w:hyperlink w:anchor="_Toc61651503" w:history="1">
        <w:r w:rsidR="00FA7B26" w:rsidRPr="00FA7B26">
          <w:rPr>
            <w:rStyle w:val="Hyperlink"/>
            <w:rFonts w:ascii="Times New Roman" w:hAnsi="Times New Roman" w:cs="Times New Roman"/>
            <w:noProof/>
          </w:rPr>
          <w:t>Graph 60: Compound Monthly Growth rate of Uttara Bank</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_Toc61651503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68</w:t>
        </w:r>
        <w:r w:rsidR="00FA7B26" w:rsidRPr="00FA7B26">
          <w:rPr>
            <w:rFonts w:ascii="Times New Roman" w:hAnsi="Times New Roman" w:cs="Times New Roman"/>
            <w:noProof/>
            <w:webHidden/>
          </w:rPr>
          <w:fldChar w:fldCharType="end"/>
        </w:r>
      </w:hyperlink>
    </w:p>
    <w:p w:rsidR="00793E39" w:rsidRPr="00DA55CC" w:rsidRDefault="00E01905" w:rsidP="00D87050">
      <w:pPr>
        <w:spacing w:line="360" w:lineRule="auto"/>
        <w:jc w:val="both"/>
        <w:rPr>
          <w:rFonts w:ascii="Times New Roman" w:hAnsi="Times New Roman" w:cs="Times New Roman"/>
          <w:sz w:val="32"/>
          <w:szCs w:val="32"/>
        </w:rPr>
      </w:pPr>
      <w:r w:rsidRPr="00E01905">
        <w:rPr>
          <w:rFonts w:ascii="Times New Roman" w:hAnsi="Times New Roman" w:cs="Times New Roman"/>
          <w:sz w:val="20"/>
          <w:szCs w:val="20"/>
        </w:rPr>
        <w:fldChar w:fldCharType="end"/>
      </w:r>
      <w:r w:rsidR="00793E39">
        <w:rPr>
          <w:rFonts w:ascii="Times New Roman" w:hAnsi="Times New Roman" w:cs="Times New Roman"/>
          <w:sz w:val="32"/>
          <w:szCs w:val="32"/>
        </w:rPr>
        <w:br w:type="page"/>
      </w:r>
    </w:p>
    <w:p w:rsidR="00793E39" w:rsidRDefault="00793E39" w:rsidP="00E01905">
      <w:pPr>
        <w:pStyle w:val="Heading1"/>
        <w:jc w:val="both"/>
        <w:rPr>
          <w:rFonts w:cs="Times New Roman"/>
          <w:szCs w:val="32"/>
        </w:rPr>
      </w:pPr>
      <w:bookmarkStart w:id="10" w:name="_Toc62037700"/>
      <w:r>
        <w:rPr>
          <w:rFonts w:cs="Times New Roman"/>
          <w:szCs w:val="32"/>
        </w:rPr>
        <w:lastRenderedPageBreak/>
        <w:t>List of Equation</w:t>
      </w:r>
      <w:bookmarkEnd w:id="10"/>
    </w:p>
    <w:p w:rsidR="00E01905" w:rsidRDefault="00E01905" w:rsidP="00D87050">
      <w:pPr>
        <w:spacing w:line="360" w:lineRule="auto"/>
      </w:pPr>
    </w:p>
    <w:p w:rsidR="00FA7B26" w:rsidRPr="00FA7B26" w:rsidRDefault="00E01905" w:rsidP="00FA7B26">
      <w:pPr>
        <w:pStyle w:val="TableofFigures"/>
        <w:tabs>
          <w:tab w:val="right" w:leader="dot" w:pos="9350"/>
        </w:tabs>
        <w:spacing w:line="360" w:lineRule="auto"/>
        <w:rPr>
          <w:rFonts w:ascii="Times New Roman" w:eastAsiaTheme="minorEastAsia" w:hAnsi="Times New Roman" w:cs="Times New Roman"/>
          <w:caps w:val="0"/>
          <w:noProof/>
        </w:rPr>
      </w:pPr>
      <w:r w:rsidRPr="00E01905">
        <w:rPr>
          <w:rFonts w:ascii="Times New Roman" w:hAnsi="Times New Roman" w:cs="Times New Roman"/>
          <w:sz w:val="22"/>
          <w:szCs w:val="22"/>
        </w:rPr>
        <w:fldChar w:fldCharType="begin"/>
      </w:r>
      <w:r w:rsidRPr="00E01905">
        <w:rPr>
          <w:rFonts w:ascii="Times New Roman" w:hAnsi="Times New Roman" w:cs="Times New Roman"/>
          <w:sz w:val="22"/>
          <w:szCs w:val="22"/>
        </w:rPr>
        <w:instrText xml:space="preserve"> TOC \h \z \c "Equation" </w:instrText>
      </w:r>
      <w:r w:rsidRPr="00E01905">
        <w:rPr>
          <w:rFonts w:ascii="Times New Roman" w:hAnsi="Times New Roman" w:cs="Times New Roman"/>
          <w:sz w:val="22"/>
          <w:szCs w:val="22"/>
        </w:rPr>
        <w:fldChar w:fldCharType="separate"/>
      </w:r>
      <w:hyperlink w:anchor="_Toc61651567" w:history="1">
        <w:r w:rsidR="00FA7B26" w:rsidRPr="00FA7B26">
          <w:rPr>
            <w:rStyle w:val="Hyperlink"/>
            <w:rFonts w:ascii="Times New Roman" w:hAnsi="Times New Roman" w:cs="Times New Roman"/>
            <w:noProof/>
          </w:rPr>
          <w:t>Equation 1: Rate of return</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_Toc61651567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7</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568" w:history="1">
        <w:r w:rsidR="00FA7B26" w:rsidRPr="00FA7B26">
          <w:rPr>
            <w:rStyle w:val="Hyperlink"/>
            <w:rFonts w:ascii="Times New Roman" w:hAnsi="Times New Roman" w:cs="Times New Roman"/>
            <w:noProof/>
          </w:rPr>
          <w:t>Equation 2: Holding period return</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_Toc61651568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569" w:history="1">
        <w:r w:rsidR="00FA7B26" w:rsidRPr="00FA7B26">
          <w:rPr>
            <w:rStyle w:val="Hyperlink"/>
            <w:rFonts w:ascii="Times New Roman" w:hAnsi="Times New Roman" w:cs="Times New Roman"/>
            <w:noProof/>
          </w:rPr>
          <w:t>Equation 3: Absolute return</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_Toc61651569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8</w:t>
        </w:r>
        <w:r w:rsidR="00FA7B26" w:rsidRPr="00FA7B26">
          <w:rPr>
            <w:rFonts w:ascii="Times New Roman" w:hAnsi="Times New Roman" w:cs="Times New Roman"/>
            <w:noProof/>
            <w:webHidden/>
          </w:rPr>
          <w:fldChar w:fldCharType="end"/>
        </w:r>
      </w:hyperlink>
    </w:p>
    <w:p w:rsidR="00FA7B26" w:rsidRPr="00FA7B26" w:rsidRDefault="00810B41" w:rsidP="00FA7B26">
      <w:pPr>
        <w:pStyle w:val="TableofFigures"/>
        <w:tabs>
          <w:tab w:val="right" w:leader="dot" w:pos="9350"/>
        </w:tabs>
        <w:spacing w:line="360" w:lineRule="auto"/>
        <w:rPr>
          <w:rFonts w:ascii="Times New Roman" w:eastAsiaTheme="minorEastAsia" w:hAnsi="Times New Roman" w:cs="Times New Roman"/>
          <w:caps w:val="0"/>
          <w:noProof/>
        </w:rPr>
      </w:pPr>
      <w:hyperlink w:anchor="_Toc61651570" w:history="1">
        <w:r w:rsidR="00FA7B26" w:rsidRPr="00FA7B26">
          <w:rPr>
            <w:rStyle w:val="Hyperlink"/>
            <w:rFonts w:ascii="Times New Roman" w:hAnsi="Times New Roman" w:cs="Times New Roman"/>
            <w:noProof/>
          </w:rPr>
          <w:t>Equation 4: Compound Monthly Growth Rate</w:t>
        </w:r>
        <w:r w:rsidR="00FA7B26" w:rsidRPr="00FA7B26">
          <w:rPr>
            <w:rFonts w:ascii="Times New Roman" w:hAnsi="Times New Roman" w:cs="Times New Roman"/>
            <w:noProof/>
            <w:webHidden/>
          </w:rPr>
          <w:tab/>
        </w:r>
        <w:r w:rsidR="00FA7B26" w:rsidRPr="00FA7B26">
          <w:rPr>
            <w:rFonts w:ascii="Times New Roman" w:hAnsi="Times New Roman" w:cs="Times New Roman"/>
            <w:noProof/>
            <w:webHidden/>
          </w:rPr>
          <w:fldChar w:fldCharType="begin"/>
        </w:r>
        <w:r w:rsidR="00FA7B26" w:rsidRPr="00FA7B26">
          <w:rPr>
            <w:rFonts w:ascii="Times New Roman" w:hAnsi="Times New Roman" w:cs="Times New Roman"/>
            <w:noProof/>
            <w:webHidden/>
          </w:rPr>
          <w:instrText xml:space="preserve"> PAGEREF _Toc61651570 \h </w:instrText>
        </w:r>
        <w:r w:rsidR="00FA7B26" w:rsidRPr="00FA7B26">
          <w:rPr>
            <w:rFonts w:ascii="Times New Roman" w:hAnsi="Times New Roman" w:cs="Times New Roman"/>
            <w:noProof/>
            <w:webHidden/>
          </w:rPr>
        </w:r>
        <w:r w:rsidR="00FA7B26" w:rsidRPr="00FA7B26">
          <w:rPr>
            <w:rFonts w:ascii="Times New Roman" w:hAnsi="Times New Roman" w:cs="Times New Roman"/>
            <w:noProof/>
            <w:webHidden/>
          </w:rPr>
          <w:fldChar w:fldCharType="separate"/>
        </w:r>
        <w:r w:rsidR="00FA7B26" w:rsidRPr="00FA7B26">
          <w:rPr>
            <w:rFonts w:ascii="Times New Roman" w:hAnsi="Times New Roman" w:cs="Times New Roman"/>
            <w:noProof/>
            <w:webHidden/>
          </w:rPr>
          <w:t>8</w:t>
        </w:r>
        <w:r w:rsidR="00FA7B26" w:rsidRPr="00FA7B26">
          <w:rPr>
            <w:rFonts w:ascii="Times New Roman" w:hAnsi="Times New Roman" w:cs="Times New Roman"/>
            <w:noProof/>
            <w:webHidden/>
          </w:rPr>
          <w:fldChar w:fldCharType="end"/>
        </w:r>
      </w:hyperlink>
    </w:p>
    <w:p w:rsidR="00E01905" w:rsidRPr="00E01905" w:rsidRDefault="00E01905" w:rsidP="00D87050">
      <w:pPr>
        <w:spacing w:line="360" w:lineRule="auto"/>
        <w:rPr>
          <w:rFonts w:ascii="Times New Roman" w:hAnsi="Times New Roman" w:cs="Times New Roman"/>
        </w:rPr>
      </w:pPr>
      <w:r w:rsidRPr="00E01905">
        <w:rPr>
          <w:rFonts w:ascii="Times New Roman" w:hAnsi="Times New Roman" w:cs="Times New Roman"/>
        </w:rPr>
        <w:fldChar w:fldCharType="end"/>
      </w:r>
    </w:p>
    <w:p w:rsidR="00DA55CC" w:rsidRDefault="00DA55CC">
      <w:r>
        <w:br w:type="page"/>
      </w:r>
    </w:p>
    <w:p w:rsidR="007505E1" w:rsidRDefault="007505E1" w:rsidP="00DA55CC">
      <w:pPr>
        <w:pStyle w:val="Heading1"/>
        <w:rPr>
          <w:rFonts w:cs="Times New Roman"/>
          <w:szCs w:val="32"/>
        </w:rPr>
        <w:sectPr w:rsidR="007505E1" w:rsidSect="007505E1">
          <w:footerReference w:type="default" r:id="rId15"/>
          <w:pgSz w:w="12240" w:h="15840"/>
          <w:pgMar w:top="1440" w:right="1440" w:bottom="1440" w:left="1440" w:header="720" w:footer="720" w:gutter="0"/>
          <w:pgNumType w:fmt="upperRoman" w:start="1"/>
          <w:cols w:space="720"/>
          <w:titlePg/>
          <w:docGrid w:linePitch="360"/>
        </w:sectPr>
      </w:pPr>
    </w:p>
    <w:p w:rsidR="00DA55CC" w:rsidRDefault="00DA55CC" w:rsidP="00DA55CC">
      <w:pPr>
        <w:pStyle w:val="Heading1"/>
        <w:rPr>
          <w:rFonts w:cs="Times New Roman"/>
          <w:szCs w:val="32"/>
        </w:rPr>
      </w:pPr>
      <w:bookmarkStart w:id="11" w:name="_Toc62037701"/>
      <w:r w:rsidRPr="00DA55CC">
        <w:rPr>
          <w:rFonts w:cs="Times New Roman"/>
          <w:szCs w:val="32"/>
        </w:rPr>
        <w:lastRenderedPageBreak/>
        <w:t>CHAPTER I: INTRODUCTION</w:t>
      </w:r>
      <w:bookmarkEnd w:id="11"/>
    </w:p>
    <w:p w:rsidR="00DA55CC" w:rsidRDefault="00DA55CC" w:rsidP="00DA55CC"/>
    <w:p w:rsidR="00DA55CC" w:rsidRDefault="00DA55CC" w:rsidP="00DA55CC">
      <w:pPr>
        <w:pStyle w:val="Heading2"/>
        <w:rPr>
          <w:rFonts w:cs="Times New Roman"/>
          <w:szCs w:val="28"/>
          <w:shd w:val="clear" w:color="auto" w:fill="FFFFFF"/>
        </w:rPr>
      </w:pPr>
      <w:bookmarkStart w:id="12" w:name="_Toc62037702"/>
      <w:r w:rsidRPr="00DA55CC">
        <w:rPr>
          <w:rFonts w:cs="Times New Roman"/>
          <w:szCs w:val="28"/>
          <w:shd w:val="clear" w:color="auto" w:fill="FFFFFF"/>
        </w:rPr>
        <w:t>Background of the Report</w:t>
      </w:r>
      <w:bookmarkEnd w:id="12"/>
      <w:r w:rsidRPr="00DA55CC">
        <w:rPr>
          <w:rFonts w:cs="Times New Roman"/>
          <w:szCs w:val="28"/>
          <w:shd w:val="clear" w:color="auto" w:fill="FFFFFF"/>
        </w:rPr>
        <w:t xml:space="preserve"> </w:t>
      </w:r>
    </w:p>
    <w:p w:rsidR="00DA55CC" w:rsidRPr="00DA55CC" w:rsidRDefault="00DA55CC" w:rsidP="00DA55CC"/>
    <w:p w:rsidR="00B543D7" w:rsidRPr="00E530FC" w:rsidRDefault="003D4546" w:rsidP="00DA55CC">
      <w:pPr>
        <w:spacing w:line="360" w:lineRule="auto"/>
        <w:jc w:val="both"/>
        <w:rPr>
          <w:rFonts w:ascii="Times New Roman" w:hAnsi="Times New Roman" w:cs="Times New Roman"/>
          <w:sz w:val="24"/>
          <w:szCs w:val="24"/>
        </w:rPr>
      </w:pPr>
      <w:bookmarkStart w:id="13" w:name="_Toc20301530"/>
      <w:r w:rsidRPr="00A56DCD">
        <w:rPr>
          <w:rFonts w:ascii="Times New Roman" w:hAnsi="Times New Roman" w:cs="Times New Roman"/>
          <w:color w:val="000000"/>
          <w:sz w:val="24"/>
          <w:szCs w:val="24"/>
        </w:rPr>
        <w:t xml:space="preserve">Studies of the behavior of stock return are important for several reasons. First, the nature of stock return behavior is major to the formulation of the concept of risk in different financial theories and models. Second, </w:t>
      </w:r>
      <w:r>
        <w:rPr>
          <w:rFonts w:ascii="Times New Roman" w:hAnsi="Times New Roman" w:cs="Times New Roman"/>
          <w:color w:val="000000"/>
          <w:sz w:val="24"/>
          <w:szCs w:val="24"/>
        </w:rPr>
        <w:t>“</w:t>
      </w:r>
      <w:r w:rsidRPr="00A56DCD">
        <w:rPr>
          <w:rFonts w:ascii="Times New Roman" w:hAnsi="Times New Roman" w:cs="Times New Roman"/>
          <w:color w:val="000000"/>
          <w:sz w:val="24"/>
          <w:szCs w:val="24"/>
        </w:rPr>
        <w:t xml:space="preserve">the estimation of risk depends </w:t>
      </w:r>
      <w:r>
        <w:rPr>
          <w:rFonts w:ascii="Times New Roman" w:hAnsi="Times New Roman" w:cs="Times New Roman"/>
          <w:color w:val="000000"/>
          <w:sz w:val="24"/>
          <w:szCs w:val="24"/>
        </w:rPr>
        <w:t xml:space="preserve">on </w:t>
      </w:r>
      <w:r w:rsidRPr="00A56DCD">
        <w:rPr>
          <w:rFonts w:ascii="Times New Roman" w:hAnsi="Times New Roman" w:cs="Times New Roman"/>
          <w:color w:val="000000"/>
          <w:sz w:val="24"/>
          <w:szCs w:val="24"/>
        </w:rPr>
        <w:t>heavily properties of stock return distributions</w:t>
      </w:r>
      <w:r>
        <w:rPr>
          <w:rFonts w:ascii="Times New Roman" w:hAnsi="Times New Roman" w:cs="Times New Roman"/>
          <w:color w:val="000000"/>
          <w:sz w:val="24"/>
          <w:szCs w:val="24"/>
        </w:rPr>
        <w:t>”</w:t>
      </w:r>
      <w:r w:rsidRPr="00A56DCD">
        <w:rPr>
          <w:rFonts w:ascii="Times New Roman" w:hAnsi="Times New Roman" w:cs="Times New Roman"/>
          <w:color w:val="000000"/>
          <w:sz w:val="24"/>
          <w:szCs w:val="24"/>
        </w:rPr>
        <w:t>. Third, various tests for the empirical legitimacy of financial models and the application of these models rely to an important extend on the steadiness over time of stock return distribution and the constancy of systematic risk. Fourth, several significant pricing models for stock options  convertible debentures and other similar financial instruments usually require clean clear estimates of stock return behavior the usefulness of such models depends largely on the accuracy and the stationary of the variance measurements. Lastly, after measurement all the returns find out the overall scenario of banking industry stock return</w:t>
      </w:r>
      <w:r w:rsidR="00DA55CC" w:rsidRPr="00E530FC">
        <w:rPr>
          <w:rFonts w:ascii="Times New Roman" w:hAnsi="Times New Roman" w:cs="Times New Roman"/>
          <w:sz w:val="24"/>
          <w:szCs w:val="24"/>
        </w:rPr>
        <w:t>.</w:t>
      </w:r>
    </w:p>
    <w:p w:rsidR="00DA55CC" w:rsidRDefault="00DA55CC" w:rsidP="00DA55CC">
      <w:pPr>
        <w:pStyle w:val="Heading2"/>
        <w:rPr>
          <w:rFonts w:cs="Times New Roman"/>
          <w:szCs w:val="28"/>
        </w:rPr>
      </w:pPr>
      <w:bookmarkStart w:id="14" w:name="_Toc62037703"/>
      <w:r w:rsidRPr="00DA55CC">
        <w:rPr>
          <w:rFonts w:cs="Times New Roman"/>
          <w:szCs w:val="28"/>
        </w:rPr>
        <w:t>Objectives of the Report</w:t>
      </w:r>
      <w:bookmarkEnd w:id="13"/>
      <w:bookmarkEnd w:id="14"/>
      <w:r w:rsidRPr="00DA55CC">
        <w:rPr>
          <w:rFonts w:cs="Times New Roman"/>
          <w:szCs w:val="28"/>
        </w:rPr>
        <w:t xml:space="preserve"> </w:t>
      </w:r>
    </w:p>
    <w:p w:rsidR="00DA55CC" w:rsidRPr="00DA55CC" w:rsidRDefault="00DA55CC" w:rsidP="00DA55CC"/>
    <w:p w:rsidR="00DA55CC" w:rsidRPr="00A07197" w:rsidRDefault="00DA55CC" w:rsidP="00DA55CC">
      <w:pPr>
        <w:spacing w:line="360" w:lineRule="auto"/>
        <w:jc w:val="both"/>
        <w:rPr>
          <w:rFonts w:ascii="Times New Roman" w:hAnsi="Times New Roman" w:cs="Times New Roman"/>
          <w:sz w:val="24"/>
          <w:szCs w:val="24"/>
        </w:rPr>
      </w:pPr>
      <w:r w:rsidRPr="00A07197">
        <w:rPr>
          <w:rFonts w:ascii="Times New Roman" w:hAnsi="Times New Roman" w:cs="Times New Roman"/>
          <w:sz w:val="24"/>
          <w:szCs w:val="24"/>
        </w:rPr>
        <w:t xml:space="preserve">The objective of this </w:t>
      </w:r>
      <w:r w:rsidR="00753C22">
        <w:rPr>
          <w:rFonts w:ascii="Times New Roman" w:hAnsi="Times New Roman" w:cs="Times New Roman"/>
          <w:sz w:val="24"/>
          <w:szCs w:val="24"/>
        </w:rPr>
        <w:t>report</w:t>
      </w:r>
      <w:r w:rsidRPr="00A07197">
        <w:rPr>
          <w:rFonts w:ascii="Times New Roman" w:hAnsi="Times New Roman" w:cs="Times New Roman"/>
          <w:sz w:val="24"/>
          <w:szCs w:val="24"/>
        </w:rPr>
        <w:t xml:space="preserve"> is </w:t>
      </w:r>
      <w:r w:rsidR="00ED3D30">
        <w:rPr>
          <w:rFonts w:ascii="Times New Roman" w:hAnsi="Times New Roman" w:cs="Times New Roman"/>
          <w:sz w:val="24"/>
          <w:szCs w:val="24"/>
        </w:rPr>
        <w:t xml:space="preserve">to understand about the </w:t>
      </w:r>
      <w:r w:rsidR="00E96E26">
        <w:rPr>
          <w:rFonts w:ascii="Times New Roman" w:hAnsi="Times New Roman" w:cs="Times New Roman"/>
          <w:sz w:val="24"/>
          <w:szCs w:val="24"/>
        </w:rPr>
        <w:t>return</w:t>
      </w:r>
      <w:r w:rsidR="00ED3D30">
        <w:rPr>
          <w:rFonts w:ascii="Times New Roman" w:hAnsi="Times New Roman" w:cs="Times New Roman"/>
          <w:sz w:val="24"/>
          <w:szCs w:val="24"/>
        </w:rPr>
        <w:t xml:space="preserve"> behavior of</w:t>
      </w:r>
      <w:r w:rsidRPr="00A07197">
        <w:rPr>
          <w:rFonts w:ascii="Times New Roman" w:hAnsi="Times New Roman" w:cs="Times New Roman"/>
          <w:sz w:val="24"/>
          <w:szCs w:val="24"/>
        </w:rPr>
        <w:t xml:space="preserve"> bank</w:t>
      </w:r>
      <w:r w:rsidR="00ED3D30">
        <w:rPr>
          <w:rFonts w:ascii="Times New Roman" w:hAnsi="Times New Roman" w:cs="Times New Roman"/>
          <w:sz w:val="24"/>
          <w:szCs w:val="24"/>
        </w:rPr>
        <w:t>ing sector</w:t>
      </w:r>
      <w:r>
        <w:rPr>
          <w:rFonts w:ascii="Times New Roman" w:hAnsi="Times New Roman" w:cs="Times New Roman"/>
          <w:sz w:val="24"/>
          <w:szCs w:val="24"/>
        </w:rPr>
        <w:t xml:space="preserve"> stocks</w:t>
      </w:r>
      <w:r w:rsidR="00753C22">
        <w:rPr>
          <w:rFonts w:ascii="Times New Roman" w:hAnsi="Times New Roman" w:cs="Times New Roman"/>
          <w:sz w:val="24"/>
          <w:szCs w:val="24"/>
        </w:rPr>
        <w:t xml:space="preserve"> </w:t>
      </w:r>
      <w:r w:rsidR="00ED3D30">
        <w:rPr>
          <w:rFonts w:ascii="Times New Roman" w:hAnsi="Times New Roman" w:cs="Times New Roman"/>
          <w:sz w:val="24"/>
          <w:szCs w:val="24"/>
        </w:rPr>
        <w:t>in Bangladesh</w:t>
      </w:r>
      <w:r w:rsidRPr="00A07197">
        <w:rPr>
          <w:rFonts w:ascii="Times New Roman" w:hAnsi="Times New Roman" w:cs="Times New Roman"/>
          <w:sz w:val="24"/>
          <w:szCs w:val="24"/>
        </w:rPr>
        <w:t>. To give the stock holder a clear</w:t>
      </w:r>
      <w:r w:rsidR="00C42E79">
        <w:rPr>
          <w:rFonts w:ascii="Times New Roman" w:hAnsi="Times New Roman" w:cs="Times New Roman"/>
          <w:sz w:val="24"/>
          <w:szCs w:val="24"/>
        </w:rPr>
        <w:t xml:space="preserve"> and specific</w:t>
      </w:r>
      <w:r w:rsidRPr="00A07197">
        <w:rPr>
          <w:rFonts w:ascii="Times New Roman" w:hAnsi="Times New Roman" w:cs="Times New Roman"/>
          <w:sz w:val="24"/>
          <w:szCs w:val="24"/>
        </w:rPr>
        <w:t xml:space="preserve"> view about the financial feasibility of </w:t>
      </w:r>
      <w:r>
        <w:rPr>
          <w:rFonts w:ascii="Times New Roman" w:hAnsi="Times New Roman" w:cs="Times New Roman"/>
          <w:sz w:val="24"/>
          <w:szCs w:val="24"/>
        </w:rPr>
        <w:t>banking industry</w:t>
      </w:r>
      <w:r w:rsidRPr="00A07197">
        <w:rPr>
          <w:rFonts w:ascii="Times New Roman" w:hAnsi="Times New Roman" w:cs="Times New Roman"/>
          <w:sz w:val="24"/>
          <w:szCs w:val="24"/>
        </w:rPr>
        <w:t xml:space="preserve"> so that they can take the </w:t>
      </w:r>
      <w:r w:rsidR="00753C22">
        <w:rPr>
          <w:rFonts w:ascii="Times New Roman" w:hAnsi="Times New Roman" w:cs="Times New Roman"/>
          <w:sz w:val="24"/>
          <w:szCs w:val="24"/>
        </w:rPr>
        <w:t>accurate</w:t>
      </w:r>
      <w:r w:rsidRPr="00A07197">
        <w:rPr>
          <w:rFonts w:ascii="Times New Roman" w:hAnsi="Times New Roman" w:cs="Times New Roman"/>
          <w:sz w:val="24"/>
          <w:szCs w:val="24"/>
        </w:rPr>
        <w:t xml:space="preserve"> decision. </w:t>
      </w:r>
      <w:r>
        <w:rPr>
          <w:rFonts w:ascii="Times New Roman" w:hAnsi="Times New Roman" w:cs="Times New Roman"/>
          <w:sz w:val="24"/>
          <w:szCs w:val="24"/>
        </w:rPr>
        <w:t>Other</w:t>
      </w:r>
      <w:r w:rsidRPr="00A07197">
        <w:rPr>
          <w:rFonts w:ascii="Times New Roman" w:hAnsi="Times New Roman" w:cs="Times New Roman"/>
          <w:sz w:val="24"/>
          <w:szCs w:val="24"/>
        </w:rPr>
        <w:t xml:space="preserve"> objectives</w:t>
      </w:r>
      <w:r>
        <w:rPr>
          <w:rFonts w:ascii="Times New Roman" w:hAnsi="Times New Roman" w:cs="Times New Roman"/>
          <w:sz w:val="24"/>
          <w:szCs w:val="24"/>
        </w:rPr>
        <w:t xml:space="preserve"> like</w:t>
      </w:r>
      <w:r w:rsidRPr="00A07197">
        <w:rPr>
          <w:rFonts w:ascii="Times New Roman" w:hAnsi="Times New Roman" w:cs="Times New Roman"/>
          <w:sz w:val="24"/>
          <w:szCs w:val="24"/>
        </w:rPr>
        <w:t xml:space="preserve">: </w:t>
      </w:r>
    </w:p>
    <w:p w:rsidR="00DA55CC" w:rsidRPr="00A07197" w:rsidRDefault="00DA55CC" w:rsidP="00DA55CC">
      <w:pPr>
        <w:pStyle w:val="ListParagraph"/>
        <w:numPr>
          <w:ilvl w:val="0"/>
          <w:numId w:val="1"/>
        </w:numPr>
        <w:spacing w:line="360" w:lineRule="auto"/>
        <w:jc w:val="both"/>
        <w:rPr>
          <w:rFonts w:ascii="Times New Roman" w:hAnsi="Times New Roman" w:cs="Times New Roman"/>
          <w:sz w:val="24"/>
          <w:szCs w:val="24"/>
        </w:rPr>
      </w:pPr>
      <w:r w:rsidRPr="00A07197">
        <w:rPr>
          <w:rFonts w:ascii="Times New Roman" w:hAnsi="Times New Roman" w:cs="Times New Roman"/>
          <w:sz w:val="24"/>
          <w:szCs w:val="24"/>
        </w:rPr>
        <w:t xml:space="preserve">To understand, analyze and interpret the basic concepts of </w:t>
      </w:r>
      <w:r>
        <w:rPr>
          <w:rFonts w:ascii="Times New Roman" w:hAnsi="Times New Roman" w:cs="Times New Roman"/>
          <w:sz w:val="24"/>
          <w:szCs w:val="24"/>
        </w:rPr>
        <w:t>stocks return behavior</w:t>
      </w:r>
    </w:p>
    <w:p w:rsidR="00DA55CC" w:rsidRPr="00A07197" w:rsidRDefault="00DA55CC" w:rsidP="00DA55CC">
      <w:pPr>
        <w:pStyle w:val="ListParagraph"/>
        <w:numPr>
          <w:ilvl w:val="0"/>
          <w:numId w:val="1"/>
        </w:numPr>
        <w:spacing w:line="360" w:lineRule="auto"/>
        <w:jc w:val="both"/>
        <w:rPr>
          <w:rFonts w:ascii="Times New Roman" w:hAnsi="Times New Roman" w:cs="Times New Roman"/>
          <w:sz w:val="24"/>
          <w:szCs w:val="24"/>
        </w:rPr>
      </w:pPr>
      <w:r w:rsidRPr="00A07197">
        <w:rPr>
          <w:rFonts w:ascii="Times New Roman" w:hAnsi="Times New Roman" w:cs="Times New Roman"/>
          <w:sz w:val="24"/>
          <w:szCs w:val="24"/>
        </w:rPr>
        <w:t xml:space="preserve">To know about </w:t>
      </w:r>
      <w:r>
        <w:rPr>
          <w:rFonts w:ascii="Times New Roman" w:hAnsi="Times New Roman" w:cs="Times New Roman"/>
          <w:sz w:val="24"/>
          <w:szCs w:val="24"/>
        </w:rPr>
        <w:t>rate of return on stocks</w:t>
      </w:r>
      <w:r w:rsidRPr="00A07197">
        <w:rPr>
          <w:rFonts w:ascii="Times New Roman" w:hAnsi="Times New Roman" w:cs="Times New Roman"/>
          <w:sz w:val="24"/>
          <w:szCs w:val="24"/>
        </w:rPr>
        <w:t xml:space="preserve"> </w:t>
      </w:r>
    </w:p>
    <w:p w:rsidR="00DA55CC" w:rsidRPr="00A07197" w:rsidRDefault="00DA55CC" w:rsidP="00DA55CC">
      <w:pPr>
        <w:pStyle w:val="ListParagraph"/>
        <w:numPr>
          <w:ilvl w:val="0"/>
          <w:numId w:val="1"/>
        </w:numPr>
        <w:spacing w:line="360" w:lineRule="auto"/>
        <w:jc w:val="both"/>
        <w:rPr>
          <w:rFonts w:ascii="Times New Roman" w:hAnsi="Times New Roman" w:cs="Times New Roman"/>
          <w:sz w:val="24"/>
          <w:szCs w:val="24"/>
        </w:rPr>
      </w:pPr>
      <w:r w:rsidRPr="00A07197">
        <w:rPr>
          <w:rFonts w:ascii="Times New Roman" w:hAnsi="Times New Roman" w:cs="Times New Roman"/>
          <w:sz w:val="24"/>
          <w:szCs w:val="24"/>
        </w:rPr>
        <w:t xml:space="preserve">To Know about </w:t>
      </w:r>
      <w:r>
        <w:rPr>
          <w:rFonts w:ascii="Times New Roman" w:hAnsi="Times New Roman" w:cs="Times New Roman"/>
          <w:sz w:val="24"/>
          <w:szCs w:val="24"/>
        </w:rPr>
        <w:t>absolute return on stocks</w:t>
      </w:r>
      <w:r w:rsidRPr="00A07197">
        <w:rPr>
          <w:rFonts w:ascii="Times New Roman" w:hAnsi="Times New Roman" w:cs="Times New Roman"/>
          <w:sz w:val="24"/>
          <w:szCs w:val="24"/>
        </w:rPr>
        <w:t xml:space="preserve"> </w:t>
      </w:r>
    </w:p>
    <w:p w:rsidR="00DA55CC" w:rsidRPr="00A07197" w:rsidRDefault="00DA55CC" w:rsidP="00DA55CC">
      <w:pPr>
        <w:pStyle w:val="ListParagraph"/>
        <w:numPr>
          <w:ilvl w:val="0"/>
          <w:numId w:val="1"/>
        </w:numPr>
        <w:spacing w:line="360" w:lineRule="auto"/>
        <w:jc w:val="both"/>
        <w:rPr>
          <w:rFonts w:ascii="Times New Roman" w:hAnsi="Times New Roman" w:cs="Times New Roman"/>
          <w:sz w:val="24"/>
          <w:szCs w:val="24"/>
        </w:rPr>
      </w:pPr>
      <w:r w:rsidRPr="00A07197">
        <w:rPr>
          <w:rFonts w:ascii="Times New Roman" w:hAnsi="Times New Roman" w:cs="Times New Roman"/>
          <w:sz w:val="24"/>
          <w:szCs w:val="24"/>
        </w:rPr>
        <w:t xml:space="preserve">To Know about </w:t>
      </w:r>
      <w:r>
        <w:rPr>
          <w:rFonts w:ascii="Times New Roman" w:hAnsi="Times New Roman" w:cs="Times New Roman"/>
          <w:sz w:val="24"/>
          <w:szCs w:val="24"/>
        </w:rPr>
        <w:t>holding period returns on stocks</w:t>
      </w:r>
      <w:r w:rsidRPr="00A07197">
        <w:rPr>
          <w:rFonts w:ascii="Times New Roman" w:hAnsi="Times New Roman" w:cs="Times New Roman"/>
          <w:sz w:val="24"/>
          <w:szCs w:val="24"/>
        </w:rPr>
        <w:t xml:space="preserve"> </w:t>
      </w:r>
    </w:p>
    <w:p w:rsidR="00DA55CC" w:rsidRPr="00A07197" w:rsidRDefault="00753C22" w:rsidP="00DA55C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know about over-all p</w:t>
      </w:r>
      <w:r w:rsidR="00DA55CC" w:rsidRPr="00A07197">
        <w:rPr>
          <w:rFonts w:ascii="Times New Roman" w:hAnsi="Times New Roman" w:cs="Times New Roman"/>
          <w:sz w:val="24"/>
          <w:szCs w:val="24"/>
        </w:rPr>
        <w:t xml:space="preserve">rofitability </w:t>
      </w:r>
    </w:p>
    <w:p w:rsidR="00DA55CC" w:rsidRDefault="00DA55CC" w:rsidP="00DA55CC">
      <w:pPr>
        <w:pStyle w:val="ListParagraph"/>
        <w:numPr>
          <w:ilvl w:val="0"/>
          <w:numId w:val="1"/>
        </w:numPr>
        <w:spacing w:line="360" w:lineRule="auto"/>
        <w:jc w:val="both"/>
        <w:rPr>
          <w:rFonts w:ascii="Times New Roman" w:hAnsi="Times New Roman" w:cs="Times New Roman"/>
          <w:sz w:val="24"/>
          <w:szCs w:val="24"/>
        </w:rPr>
      </w:pPr>
      <w:r w:rsidRPr="00A07197">
        <w:rPr>
          <w:rFonts w:ascii="Times New Roman" w:hAnsi="Times New Roman" w:cs="Times New Roman"/>
          <w:sz w:val="24"/>
          <w:szCs w:val="24"/>
        </w:rPr>
        <w:t xml:space="preserve">To Know About </w:t>
      </w:r>
      <w:r>
        <w:rPr>
          <w:rFonts w:ascii="Times New Roman" w:hAnsi="Times New Roman" w:cs="Times New Roman"/>
          <w:sz w:val="24"/>
          <w:szCs w:val="24"/>
        </w:rPr>
        <w:t>banking industry in Bangladesh</w:t>
      </w:r>
    </w:p>
    <w:p w:rsidR="00DA55CC" w:rsidRDefault="00DA55CC" w:rsidP="00DA55CC">
      <w:pPr>
        <w:rPr>
          <w:rFonts w:ascii="Times New Roman" w:hAnsi="Times New Roman" w:cs="Times New Roman"/>
          <w:b/>
        </w:rPr>
      </w:pPr>
    </w:p>
    <w:p w:rsidR="00ED3D30" w:rsidRPr="00E35642" w:rsidRDefault="00ED3D30" w:rsidP="00DA55CC">
      <w:pPr>
        <w:rPr>
          <w:rFonts w:ascii="Times New Roman" w:hAnsi="Times New Roman" w:cs="Times New Roman"/>
          <w:b/>
        </w:rPr>
      </w:pPr>
    </w:p>
    <w:p w:rsidR="00DA55CC" w:rsidRDefault="00DA55CC" w:rsidP="00DA55CC">
      <w:pPr>
        <w:pStyle w:val="Heading2"/>
        <w:rPr>
          <w:rFonts w:cs="Times New Roman"/>
          <w:szCs w:val="28"/>
        </w:rPr>
      </w:pPr>
      <w:bookmarkStart w:id="15" w:name="_Toc20301531"/>
      <w:bookmarkStart w:id="16" w:name="_Toc62037704"/>
      <w:r w:rsidRPr="00DA55CC">
        <w:rPr>
          <w:rFonts w:cs="Times New Roman"/>
          <w:szCs w:val="28"/>
        </w:rPr>
        <w:lastRenderedPageBreak/>
        <w:t>Motivation of the Report</w:t>
      </w:r>
      <w:bookmarkEnd w:id="15"/>
      <w:bookmarkEnd w:id="16"/>
      <w:r w:rsidRPr="00DA55CC">
        <w:rPr>
          <w:rFonts w:cs="Times New Roman"/>
          <w:szCs w:val="28"/>
        </w:rPr>
        <w:t xml:space="preserve"> </w:t>
      </w:r>
    </w:p>
    <w:p w:rsidR="00DA55CC" w:rsidRPr="00DA55CC" w:rsidRDefault="00DA55CC" w:rsidP="00DA55CC"/>
    <w:p w:rsidR="00C42E79" w:rsidRDefault="00DA55CC" w:rsidP="00B543D7">
      <w:pPr>
        <w:spacing w:line="360" w:lineRule="auto"/>
        <w:jc w:val="both"/>
        <w:rPr>
          <w:rFonts w:ascii="Times New Roman" w:hAnsi="Times New Roman" w:cs="Times New Roman"/>
          <w:sz w:val="24"/>
          <w:szCs w:val="24"/>
        </w:rPr>
      </w:pPr>
      <w:r w:rsidRPr="00D114C5">
        <w:rPr>
          <w:rFonts w:ascii="Times New Roman" w:hAnsi="Times New Roman" w:cs="Times New Roman"/>
          <w:sz w:val="24"/>
          <w:szCs w:val="24"/>
        </w:rPr>
        <w:t xml:space="preserve">After Complete </w:t>
      </w:r>
      <w:r w:rsidR="00C42E79">
        <w:rPr>
          <w:rFonts w:ascii="Times New Roman" w:hAnsi="Times New Roman" w:cs="Times New Roman"/>
          <w:sz w:val="24"/>
          <w:szCs w:val="24"/>
        </w:rPr>
        <w:t>the</w:t>
      </w:r>
      <w:r w:rsidRPr="00D114C5">
        <w:rPr>
          <w:rFonts w:ascii="Times New Roman" w:hAnsi="Times New Roman" w:cs="Times New Roman"/>
          <w:sz w:val="24"/>
          <w:szCs w:val="24"/>
        </w:rPr>
        <w:t xml:space="preserve"> report</w:t>
      </w:r>
      <w:r w:rsidR="0015418C">
        <w:rPr>
          <w:rFonts w:ascii="Times New Roman" w:hAnsi="Times New Roman" w:cs="Times New Roman"/>
          <w:sz w:val="24"/>
          <w:szCs w:val="24"/>
        </w:rPr>
        <w:t>,</w:t>
      </w:r>
      <w:r w:rsidRPr="00D114C5">
        <w:rPr>
          <w:rFonts w:ascii="Times New Roman" w:hAnsi="Times New Roman" w:cs="Times New Roman"/>
          <w:sz w:val="24"/>
          <w:szCs w:val="24"/>
        </w:rPr>
        <w:t xml:space="preserve"> I </w:t>
      </w:r>
      <w:r w:rsidR="00C42E79">
        <w:rPr>
          <w:rFonts w:ascii="Times New Roman" w:hAnsi="Times New Roman" w:cs="Times New Roman"/>
          <w:sz w:val="24"/>
          <w:szCs w:val="24"/>
        </w:rPr>
        <w:t xml:space="preserve">will </w:t>
      </w:r>
      <w:r w:rsidRPr="00D114C5">
        <w:rPr>
          <w:rFonts w:ascii="Times New Roman" w:hAnsi="Times New Roman" w:cs="Times New Roman"/>
          <w:sz w:val="24"/>
          <w:szCs w:val="24"/>
        </w:rPr>
        <w:t xml:space="preserve">observe a great practical knowledge of </w:t>
      </w:r>
      <w:r>
        <w:rPr>
          <w:rFonts w:ascii="Times New Roman" w:hAnsi="Times New Roman" w:cs="Times New Roman"/>
          <w:sz w:val="24"/>
          <w:szCs w:val="24"/>
        </w:rPr>
        <w:t>return behavior of banking industry stocks in Bangladesh</w:t>
      </w:r>
      <w:r w:rsidRPr="00D114C5">
        <w:rPr>
          <w:rFonts w:ascii="Times New Roman" w:hAnsi="Times New Roman" w:cs="Times New Roman"/>
          <w:sz w:val="24"/>
          <w:szCs w:val="24"/>
        </w:rPr>
        <w:t xml:space="preserve">. </w:t>
      </w:r>
      <w:r w:rsidR="00C42E79">
        <w:rPr>
          <w:rFonts w:ascii="Times New Roman" w:hAnsi="Times New Roman" w:cs="Times New Roman"/>
          <w:sz w:val="24"/>
          <w:szCs w:val="24"/>
        </w:rPr>
        <w:t xml:space="preserve">Other motivation will be: </w:t>
      </w:r>
    </w:p>
    <w:p w:rsidR="00C42E79" w:rsidRPr="00C42E79" w:rsidRDefault="0015418C" w:rsidP="00C42E79">
      <w:pPr>
        <w:pStyle w:val="ListParagraph"/>
        <w:numPr>
          <w:ilvl w:val="0"/>
          <w:numId w:val="43"/>
        </w:numPr>
        <w:spacing w:line="360" w:lineRule="auto"/>
        <w:jc w:val="both"/>
        <w:rPr>
          <w:rFonts w:ascii="Times New Roman" w:hAnsi="Times New Roman" w:cs="Times New Roman"/>
          <w:sz w:val="24"/>
          <w:szCs w:val="24"/>
        </w:rPr>
      </w:pPr>
      <w:r w:rsidRPr="00C42E79">
        <w:rPr>
          <w:rFonts w:ascii="Times New Roman" w:hAnsi="Times New Roman" w:cs="Times New Roman"/>
          <w:sz w:val="24"/>
          <w:szCs w:val="24"/>
        </w:rPr>
        <w:t>It</w:t>
      </w:r>
      <w:r w:rsidR="00DA55CC" w:rsidRPr="00C42E79">
        <w:rPr>
          <w:rFonts w:ascii="Times New Roman" w:hAnsi="Times New Roman" w:cs="Times New Roman"/>
          <w:sz w:val="24"/>
          <w:szCs w:val="24"/>
        </w:rPr>
        <w:t xml:space="preserve"> will be increasing my </w:t>
      </w:r>
      <w:r w:rsidRPr="00C42E79">
        <w:rPr>
          <w:rFonts w:ascii="Times New Roman" w:hAnsi="Times New Roman" w:cs="Times New Roman"/>
          <w:sz w:val="24"/>
          <w:szCs w:val="24"/>
        </w:rPr>
        <w:t>ground</w:t>
      </w:r>
      <w:r w:rsidR="00DA55CC" w:rsidRPr="00C42E79">
        <w:rPr>
          <w:rFonts w:ascii="Times New Roman" w:hAnsi="Times New Roman" w:cs="Times New Roman"/>
          <w:sz w:val="24"/>
          <w:szCs w:val="24"/>
        </w:rPr>
        <w:t xml:space="preserve"> knowledge of stocks</w:t>
      </w:r>
      <w:r w:rsidR="00C42E79" w:rsidRPr="00C42E79">
        <w:rPr>
          <w:rFonts w:ascii="Times New Roman" w:hAnsi="Times New Roman" w:cs="Times New Roman"/>
          <w:sz w:val="24"/>
          <w:szCs w:val="24"/>
        </w:rPr>
        <w:t xml:space="preserve"> risk management mechanisms.</w:t>
      </w:r>
    </w:p>
    <w:p w:rsidR="00C42E79" w:rsidRPr="00C42E79" w:rsidRDefault="00DA55CC" w:rsidP="00C42E79">
      <w:pPr>
        <w:pStyle w:val="ListParagraph"/>
        <w:numPr>
          <w:ilvl w:val="0"/>
          <w:numId w:val="43"/>
        </w:numPr>
        <w:spacing w:line="360" w:lineRule="auto"/>
        <w:jc w:val="both"/>
        <w:rPr>
          <w:rFonts w:ascii="Times New Roman" w:hAnsi="Times New Roman" w:cs="Times New Roman"/>
          <w:sz w:val="24"/>
          <w:szCs w:val="24"/>
        </w:rPr>
      </w:pPr>
      <w:r w:rsidRPr="00C42E79">
        <w:rPr>
          <w:rFonts w:ascii="Times New Roman" w:hAnsi="Times New Roman" w:cs="Times New Roman"/>
          <w:sz w:val="24"/>
          <w:szCs w:val="24"/>
        </w:rPr>
        <w:t xml:space="preserve">I have another motivation to complete this report that is when I will be able to complete this report and can able to successfully submit this report to my </w:t>
      </w:r>
      <w:r w:rsidR="0015418C" w:rsidRPr="00C42E79">
        <w:rPr>
          <w:rFonts w:ascii="Times New Roman" w:hAnsi="Times New Roman" w:cs="Times New Roman"/>
          <w:sz w:val="24"/>
          <w:szCs w:val="24"/>
        </w:rPr>
        <w:t>teacher,</w:t>
      </w:r>
      <w:r w:rsidRPr="00C42E79">
        <w:rPr>
          <w:rFonts w:ascii="Times New Roman" w:hAnsi="Times New Roman" w:cs="Times New Roman"/>
          <w:sz w:val="24"/>
          <w:szCs w:val="24"/>
        </w:rPr>
        <w:t xml:space="preserve"> and my </w:t>
      </w:r>
      <w:r w:rsidR="0015418C" w:rsidRPr="00C42E79">
        <w:rPr>
          <w:rFonts w:ascii="Times New Roman" w:hAnsi="Times New Roman" w:cs="Times New Roman"/>
          <w:sz w:val="24"/>
          <w:szCs w:val="24"/>
        </w:rPr>
        <w:t>teacher</w:t>
      </w:r>
      <w:r w:rsidRPr="00C42E79">
        <w:rPr>
          <w:rFonts w:ascii="Times New Roman" w:hAnsi="Times New Roman" w:cs="Times New Roman"/>
          <w:sz w:val="24"/>
          <w:szCs w:val="24"/>
        </w:rPr>
        <w:t xml:space="preserve"> accepts this report from me then I will be able to achieve a good result from my </w:t>
      </w:r>
      <w:r w:rsidR="0015418C" w:rsidRPr="00C42E79">
        <w:rPr>
          <w:rFonts w:ascii="Times New Roman" w:hAnsi="Times New Roman" w:cs="Times New Roman"/>
          <w:sz w:val="24"/>
          <w:szCs w:val="24"/>
        </w:rPr>
        <w:t>teacher</w:t>
      </w:r>
      <w:r w:rsidRPr="00C42E79">
        <w:rPr>
          <w:rFonts w:ascii="Times New Roman" w:hAnsi="Times New Roman" w:cs="Times New Roman"/>
          <w:sz w:val="24"/>
          <w:szCs w:val="24"/>
        </w:rPr>
        <w:t xml:space="preserve">. </w:t>
      </w:r>
    </w:p>
    <w:p w:rsidR="00DA55CC" w:rsidRPr="00C42E79" w:rsidRDefault="00DA55CC" w:rsidP="00C42E79">
      <w:pPr>
        <w:pStyle w:val="ListParagraph"/>
        <w:numPr>
          <w:ilvl w:val="0"/>
          <w:numId w:val="43"/>
        </w:numPr>
        <w:spacing w:line="360" w:lineRule="auto"/>
        <w:jc w:val="both"/>
        <w:rPr>
          <w:rFonts w:ascii="Times New Roman" w:hAnsi="Times New Roman" w:cs="Times New Roman"/>
          <w:sz w:val="24"/>
          <w:szCs w:val="24"/>
        </w:rPr>
      </w:pPr>
      <w:r w:rsidRPr="00C42E79">
        <w:rPr>
          <w:rFonts w:ascii="Times New Roman" w:hAnsi="Times New Roman" w:cs="Times New Roman"/>
          <w:sz w:val="24"/>
          <w:szCs w:val="24"/>
        </w:rPr>
        <w:t xml:space="preserve">Another big motivation is completing under graduation degree. All those things are my motivation to </w:t>
      </w:r>
      <w:r w:rsidR="0015418C" w:rsidRPr="00C42E79">
        <w:rPr>
          <w:rFonts w:ascii="Times New Roman" w:hAnsi="Times New Roman" w:cs="Times New Roman"/>
          <w:sz w:val="24"/>
          <w:szCs w:val="24"/>
        </w:rPr>
        <w:t>complete</w:t>
      </w:r>
      <w:r w:rsidRPr="00C42E79">
        <w:rPr>
          <w:rFonts w:ascii="Times New Roman" w:hAnsi="Times New Roman" w:cs="Times New Roman"/>
          <w:sz w:val="24"/>
          <w:szCs w:val="24"/>
        </w:rPr>
        <w:t xml:space="preserve"> this report.</w:t>
      </w:r>
    </w:p>
    <w:p w:rsidR="00DA55CC" w:rsidRDefault="00DA55CC" w:rsidP="00DA55CC">
      <w:pPr>
        <w:pStyle w:val="Heading2"/>
        <w:rPr>
          <w:rFonts w:cs="Times New Roman"/>
          <w:szCs w:val="28"/>
        </w:rPr>
      </w:pPr>
      <w:bookmarkStart w:id="17" w:name="_Toc20301532"/>
      <w:bookmarkStart w:id="18" w:name="_Toc62037705"/>
      <w:r w:rsidRPr="00DA55CC">
        <w:rPr>
          <w:rFonts w:cs="Times New Roman"/>
          <w:szCs w:val="28"/>
        </w:rPr>
        <w:t>Scope, Source and limitations of the Report</w:t>
      </w:r>
      <w:bookmarkEnd w:id="17"/>
      <w:bookmarkEnd w:id="18"/>
    </w:p>
    <w:p w:rsidR="00DA55CC" w:rsidRPr="00DA55CC" w:rsidRDefault="00DA55CC" w:rsidP="00DA55CC"/>
    <w:p w:rsidR="00DA55CC" w:rsidRPr="00A07197" w:rsidRDefault="00DA55CC" w:rsidP="00DA55CC">
      <w:pPr>
        <w:spacing w:line="360" w:lineRule="auto"/>
        <w:jc w:val="both"/>
        <w:rPr>
          <w:rFonts w:ascii="Times New Roman" w:hAnsi="Times New Roman" w:cs="Times New Roman"/>
          <w:sz w:val="24"/>
          <w:szCs w:val="24"/>
        </w:rPr>
      </w:pPr>
      <w:r w:rsidRPr="00A07197">
        <w:rPr>
          <w:rFonts w:ascii="Times New Roman" w:hAnsi="Times New Roman" w:cs="Times New Roman"/>
          <w:sz w:val="24"/>
          <w:szCs w:val="24"/>
        </w:rPr>
        <w:t>The study has suffered from some barriers:</w:t>
      </w:r>
    </w:p>
    <w:p w:rsidR="00DA55CC" w:rsidRDefault="00DA55CC" w:rsidP="00DA55C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Scope of the report is to present the </w:t>
      </w:r>
      <w:r w:rsidR="00D54168">
        <w:rPr>
          <w:rFonts w:ascii="Times New Roman" w:hAnsi="Times New Roman" w:cs="Times New Roman"/>
          <w:sz w:val="24"/>
          <w:szCs w:val="24"/>
        </w:rPr>
        <w:t>actual</w:t>
      </w:r>
      <w:r>
        <w:rPr>
          <w:rFonts w:ascii="Times New Roman" w:hAnsi="Times New Roman" w:cs="Times New Roman"/>
          <w:sz w:val="24"/>
          <w:szCs w:val="24"/>
        </w:rPr>
        <w:t xml:space="preserve"> scenario of returns performance of banks stock in Bangladesh.</w:t>
      </w:r>
    </w:p>
    <w:p w:rsidR="00DA55CC" w:rsidRPr="00A07197" w:rsidRDefault="00DA55CC" w:rsidP="00DA55C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Sources of data collection are very difficult for me. Most of the data collected through secondary sources.</w:t>
      </w:r>
    </w:p>
    <w:p w:rsidR="00DA55CC" w:rsidRPr="00A07197" w:rsidRDefault="00DA55CC" w:rsidP="00DA55C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Pandemic situation make my report difficult to understand because there is no face to face conversation with my course instructor.</w:t>
      </w:r>
    </w:p>
    <w:p w:rsidR="00DA55CC" w:rsidRPr="00A07197" w:rsidRDefault="00D54168" w:rsidP="00DA55C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Inefficiency</w:t>
      </w:r>
      <w:r w:rsidR="00DA55CC" w:rsidRPr="00A07197">
        <w:rPr>
          <w:rFonts w:ascii="Times New Roman" w:hAnsi="Times New Roman" w:cs="Times New Roman"/>
          <w:sz w:val="24"/>
          <w:szCs w:val="24"/>
        </w:rPr>
        <w:t xml:space="preserve"> to write a report</w:t>
      </w:r>
      <w:r>
        <w:rPr>
          <w:rFonts w:ascii="Times New Roman" w:hAnsi="Times New Roman" w:cs="Times New Roman"/>
          <w:sz w:val="24"/>
          <w:szCs w:val="24"/>
        </w:rPr>
        <w:t>.</w:t>
      </w:r>
    </w:p>
    <w:p w:rsidR="00C51982" w:rsidRDefault="00C51982" w:rsidP="00DA55CC">
      <w:r>
        <w:br/>
      </w:r>
    </w:p>
    <w:p w:rsidR="00C51982" w:rsidRDefault="00C51982">
      <w:r>
        <w:br w:type="page"/>
      </w:r>
    </w:p>
    <w:p w:rsidR="00DA55CC" w:rsidRDefault="00C51982" w:rsidP="00C51982">
      <w:pPr>
        <w:pStyle w:val="Heading1"/>
        <w:rPr>
          <w:rFonts w:cs="Times New Roman"/>
          <w:szCs w:val="32"/>
        </w:rPr>
      </w:pPr>
      <w:bookmarkStart w:id="19" w:name="_Toc62037706"/>
      <w:r w:rsidRPr="00C51982">
        <w:rPr>
          <w:rFonts w:cs="Times New Roman"/>
          <w:szCs w:val="32"/>
        </w:rPr>
        <w:lastRenderedPageBreak/>
        <w:t>CHAPTER II: INDUSTRY PREVIEW</w:t>
      </w:r>
      <w:bookmarkEnd w:id="19"/>
    </w:p>
    <w:p w:rsidR="00C51982" w:rsidRDefault="00C51982" w:rsidP="00C51982"/>
    <w:p w:rsidR="00C51982" w:rsidRDefault="00C51982" w:rsidP="00C51982">
      <w:pPr>
        <w:pStyle w:val="Heading2"/>
        <w:rPr>
          <w:rFonts w:cs="Times New Roman"/>
          <w:szCs w:val="28"/>
        </w:rPr>
      </w:pPr>
      <w:bookmarkStart w:id="20" w:name="_Toc62037707"/>
      <w:r w:rsidRPr="00C51982">
        <w:rPr>
          <w:rFonts w:cs="Times New Roman"/>
          <w:szCs w:val="28"/>
        </w:rPr>
        <w:t>Industry preview</w:t>
      </w:r>
      <w:bookmarkEnd w:id="20"/>
    </w:p>
    <w:p w:rsidR="00C51982" w:rsidRPr="00C51982" w:rsidRDefault="00C51982" w:rsidP="00C51982"/>
    <w:p w:rsidR="002A322A" w:rsidRPr="002A322A" w:rsidRDefault="002A322A" w:rsidP="002A322A">
      <w:pPr>
        <w:spacing w:line="360" w:lineRule="auto"/>
        <w:jc w:val="both"/>
        <w:rPr>
          <w:rFonts w:ascii="Times New Roman" w:hAnsi="Times New Roman" w:cs="Times New Roman"/>
          <w:sz w:val="24"/>
          <w:szCs w:val="24"/>
        </w:rPr>
      </w:pPr>
      <w:r w:rsidRPr="002A322A">
        <w:rPr>
          <w:rFonts w:ascii="Times New Roman" w:hAnsi="Times New Roman" w:cs="Times New Roman"/>
          <w:sz w:val="24"/>
          <w:szCs w:val="24"/>
        </w:rPr>
        <w:t>“After independent the government of Bangladesh declared that the Dhaka branch of the state bank of Pakistan is the central bank of Bangladesh and with the new name as Bangladesh Bank”. After that Bangladesh Bank has been operating entire banking system of Bangladesh. With the help of newly formed Bangladesh Bank the Bangladesh government initially nationalized the whole domestic banking system. They also passed to regroup and rename various Banks. Government was elected foreign owned commercial banks to continue doing business in Bangladesh. Managing credit and foreign exchange constructing reasonable proficient method was passed in the new banking system. Under Bangladesh bank control and supervision there are 6 nationalized commercial banks, 2 state owned specialized banks and 3 foreign owned commercial banks. In 1980's, banking industry acquire important progression with the help of private banks. In Bangladesh mainly there are two types of banks we see. These are: scheduled banks and non-scheduled banks. There are 56 scheduled banks in Bangladesh. The entire control and supervision of those banks are under the Bangladesh Bank. They operate their banking and stock market operation in Bangladesh. Under the act that is enacted for meeting of certain there are four non-scheduled banks are operating in Bangladesh. There are six state owned commercial banks which are wholly for fully owned by the government of Bangladesh. Specialized banks which founded for serving some specific objective like industrial or agricultural development are only two. The government of Bangladesh is entirely or majorly owned these banks. Private commercial banks which are mainly owned by the private entities are 39. Among 39 private commercial banks, there are nine foreign commercial banks.</w:t>
      </w:r>
    </w:p>
    <w:p w:rsidR="00C51982" w:rsidRDefault="00C51982" w:rsidP="00C51982">
      <w:pPr>
        <w:pStyle w:val="Heading2"/>
        <w:rPr>
          <w:rFonts w:cs="Times New Roman"/>
          <w:szCs w:val="28"/>
        </w:rPr>
      </w:pPr>
      <w:bookmarkStart w:id="21" w:name="_Toc62037708"/>
      <w:r w:rsidRPr="00C51982">
        <w:rPr>
          <w:rFonts w:cs="Times New Roman"/>
          <w:szCs w:val="28"/>
        </w:rPr>
        <w:t>Contribution of the Banking sector in National Economy</w:t>
      </w:r>
      <w:bookmarkEnd w:id="21"/>
    </w:p>
    <w:p w:rsidR="00C51982" w:rsidRPr="00C51982" w:rsidRDefault="00C51982" w:rsidP="00C51982"/>
    <w:p w:rsidR="00C51982" w:rsidRPr="002E2670" w:rsidRDefault="00C84DED" w:rsidP="00C51982">
      <w:pPr>
        <w:spacing w:line="360" w:lineRule="auto"/>
        <w:jc w:val="both"/>
        <w:rPr>
          <w:rFonts w:ascii="Times New Roman" w:hAnsi="Times New Roman" w:cs="Times New Roman"/>
          <w:sz w:val="24"/>
          <w:szCs w:val="24"/>
        </w:rPr>
      </w:pPr>
      <w:r>
        <w:rPr>
          <w:rFonts w:ascii="Times New Roman" w:hAnsi="Times New Roman" w:cs="Times New Roman"/>
          <w:sz w:val="24"/>
          <w:szCs w:val="24"/>
        </w:rPr>
        <w:t>Different</w:t>
      </w:r>
      <w:r w:rsidRPr="002E2670">
        <w:rPr>
          <w:rFonts w:ascii="Times New Roman" w:hAnsi="Times New Roman" w:cs="Times New Roman"/>
          <w:sz w:val="24"/>
          <w:szCs w:val="24"/>
        </w:rPr>
        <w:t xml:space="preserve"> economic sectors like finance</w:t>
      </w:r>
      <w:r>
        <w:rPr>
          <w:rFonts w:ascii="Times New Roman" w:hAnsi="Times New Roman" w:cs="Times New Roman"/>
          <w:sz w:val="24"/>
          <w:szCs w:val="24"/>
        </w:rPr>
        <w:t xml:space="preserve">, </w:t>
      </w:r>
      <w:r w:rsidRPr="002E2670">
        <w:rPr>
          <w:rFonts w:ascii="Times New Roman" w:hAnsi="Times New Roman" w:cs="Times New Roman"/>
          <w:sz w:val="24"/>
          <w:szCs w:val="24"/>
        </w:rPr>
        <w:t>agricultur</w:t>
      </w:r>
      <w:r>
        <w:rPr>
          <w:rFonts w:ascii="Times New Roman" w:hAnsi="Times New Roman" w:cs="Times New Roman"/>
          <w:sz w:val="24"/>
          <w:szCs w:val="24"/>
        </w:rPr>
        <w:t>al</w:t>
      </w:r>
      <w:r w:rsidRPr="002E2670">
        <w:rPr>
          <w:rFonts w:ascii="Times New Roman" w:hAnsi="Times New Roman" w:cs="Times New Roman"/>
          <w:sz w:val="24"/>
          <w:szCs w:val="24"/>
        </w:rPr>
        <w:t xml:space="preserve">, trade service, </w:t>
      </w:r>
      <w:r>
        <w:rPr>
          <w:rFonts w:ascii="Times New Roman" w:hAnsi="Times New Roman" w:cs="Times New Roman"/>
          <w:sz w:val="24"/>
          <w:szCs w:val="24"/>
        </w:rPr>
        <w:t>power</w:t>
      </w:r>
      <w:r w:rsidRPr="002E2670">
        <w:rPr>
          <w:rFonts w:ascii="Times New Roman" w:hAnsi="Times New Roman" w:cs="Times New Roman"/>
          <w:sz w:val="24"/>
          <w:szCs w:val="24"/>
        </w:rPr>
        <w:t>, transport and banking</w:t>
      </w:r>
      <w:r>
        <w:rPr>
          <w:rFonts w:ascii="Times New Roman" w:hAnsi="Times New Roman" w:cs="Times New Roman"/>
          <w:sz w:val="24"/>
          <w:szCs w:val="24"/>
        </w:rPr>
        <w:t xml:space="preserve"> industries</w:t>
      </w:r>
      <w:r w:rsidRPr="002E2670">
        <w:rPr>
          <w:rFonts w:ascii="Times New Roman" w:hAnsi="Times New Roman" w:cs="Times New Roman"/>
          <w:sz w:val="24"/>
          <w:szCs w:val="24"/>
        </w:rPr>
        <w:t xml:space="preserve"> etc.</w:t>
      </w:r>
      <w:r>
        <w:rPr>
          <w:rFonts w:ascii="Times New Roman" w:hAnsi="Times New Roman" w:cs="Times New Roman"/>
          <w:sz w:val="24"/>
          <w:szCs w:val="24"/>
        </w:rPr>
        <w:t xml:space="preserve"> are mainly</w:t>
      </w:r>
      <w:r w:rsidRPr="002E2670">
        <w:rPr>
          <w:rFonts w:ascii="Times New Roman" w:hAnsi="Times New Roman" w:cs="Times New Roman"/>
          <w:sz w:val="24"/>
          <w:szCs w:val="24"/>
        </w:rPr>
        <w:t xml:space="preserve"> dependent on </w:t>
      </w:r>
      <w:r>
        <w:rPr>
          <w:rFonts w:ascii="Times New Roman" w:hAnsi="Times New Roman" w:cs="Times New Roman"/>
          <w:sz w:val="24"/>
          <w:szCs w:val="24"/>
        </w:rPr>
        <w:t>its</w:t>
      </w:r>
      <w:r w:rsidRPr="002E2670">
        <w:rPr>
          <w:rFonts w:ascii="Times New Roman" w:hAnsi="Times New Roman" w:cs="Times New Roman"/>
          <w:sz w:val="24"/>
          <w:szCs w:val="24"/>
        </w:rPr>
        <w:t xml:space="preserve"> country’s economic </w:t>
      </w:r>
      <w:r>
        <w:rPr>
          <w:rFonts w:ascii="Times New Roman" w:hAnsi="Times New Roman" w:cs="Times New Roman"/>
          <w:sz w:val="24"/>
          <w:szCs w:val="24"/>
        </w:rPr>
        <w:t>progress</w:t>
      </w:r>
      <w:r w:rsidRPr="002E2670">
        <w:rPr>
          <w:rFonts w:ascii="Times New Roman" w:hAnsi="Times New Roman" w:cs="Times New Roman"/>
          <w:sz w:val="24"/>
          <w:szCs w:val="24"/>
        </w:rPr>
        <w:t xml:space="preserve">. </w:t>
      </w:r>
      <w:r>
        <w:rPr>
          <w:rFonts w:ascii="Times New Roman" w:hAnsi="Times New Roman" w:cs="Times New Roman"/>
          <w:sz w:val="24"/>
          <w:szCs w:val="24"/>
        </w:rPr>
        <w:t>Banking sector of Bangladesh played a vital role to develop and build the economy of Bangladesh</w:t>
      </w:r>
      <w:r w:rsidRPr="002E2670">
        <w:rPr>
          <w:rFonts w:ascii="Times New Roman" w:hAnsi="Times New Roman" w:cs="Times New Roman"/>
          <w:sz w:val="24"/>
          <w:szCs w:val="24"/>
        </w:rPr>
        <w:t>.</w:t>
      </w:r>
      <w:r>
        <w:rPr>
          <w:rFonts w:ascii="Times New Roman" w:hAnsi="Times New Roman" w:cs="Times New Roman"/>
          <w:sz w:val="24"/>
          <w:szCs w:val="24"/>
        </w:rPr>
        <w:t xml:space="preserve"> Bangladesh bank</w:t>
      </w:r>
      <w:r w:rsidRPr="002E2670">
        <w:rPr>
          <w:rFonts w:ascii="Times New Roman" w:hAnsi="Times New Roman" w:cs="Times New Roman"/>
          <w:sz w:val="24"/>
          <w:szCs w:val="24"/>
        </w:rPr>
        <w:t xml:space="preserve"> </w:t>
      </w:r>
      <w:r>
        <w:rPr>
          <w:rFonts w:ascii="Times New Roman" w:hAnsi="Times New Roman" w:cs="Times New Roman"/>
          <w:sz w:val="24"/>
          <w:szCs w:val="24"/>
        </w:rPr>
        <w:t>manages</w:t>
      </w:r>
      <w:r w:rsidRPr="002E2670">
        <w:rPr>
          <w:rFonts w:ascii="Times New Roman" w:hAnsi="Times New Roman" w:cs="Times New Roman"/>
          <w:sz w:val="24"/>
          <w:szCs w:val="24"/>
        </w:rPr>
        <w:t xml:space="preserve"> and controls the money market of the economy</w:t>
      </w:r>
      <w:r w:rsidRPr="0025275E">
        <w:rPr>
          <w:rFonts w:ascii="Times New Roman" w:hAnsi="Times New Roman" w:cs="Times New Roman"/>
          <w:sz w:val="24"/>
          <w:szCs w:val="24"/>
        </w:rPr>
        <w:t xml:space="preserve"> </w:t>
      </w:r>
      <w:r>
        <w:rPr>
          <w:rFonts w:ascii="Times New Roman" w:hAnsi="Times New Roman" w:cs="Times New Roman"/>
          <w:sz w:val="24"/>
          <w:szCs w:val="24"/>
        </w:rPr>
        <w:t>w</w:t>
      </w:r>
      <w:r w:rsidRPr="002E2670">
        <w:rPr>
          <w:rFonts w:ascii="Times New Roman" w:hAnsi="Times New Roman" w:cs="Times New Roman"/>
          <w:sz w:val="24"/>
          <w:szCs w:val="24"/>
        </w:rPr>
        <w:t xml:space="preserve">ith the </w:t>
      </w:r>
      <w:r>
        <w:rPr>
          <w:rFonts w:ascii="Times New Roman" w:hAnsi="Times New Roman" w:cs="Times New Roman"/>
          <w:sz w:val="24"/>
          <w:szCs w:val="24"/>
        </w:rPr>
        <w:t>help of commercial banks</w:t>
      </w:r>
      <w:r w:rsidRPr="002E2670">
        <w:rPr>
          <w:rFonts w:ascii="Times New Roman" w:hAnsi="Times New Roman" w:cs="Times New Roman"/>
          <w:sz w:val="24"/>
          <w:szCs w:val="24"/>
        </w:rPr>
        <w:t xml:space="preserve">. </w:t>
      </w:r>
      <w:r>
        <w:rPr>
          <w:rFonts w:ascii="Times New Roman" w:hAnsi="Times New Roman" w:cs="Times New Roman"/>
          <w:sz w:val="24"/>
          <w:szCs w:val="24"/>
        </w:rPr>
        <w:t>The improvement</w:t>
      </w:r>
      <w:r w:rsidRPr="002E2670">
        <w:rPr>
          <w:rFonts w:ascii="Times New Roman" w:hAnsi="Times New Roman" w:cs="Times New Roman"/>
          <w:sz w:val="24"/>
          <w:szCs w:val="24"/>
        </w:rPr>
        <w:t xml:space="preserve"> and growth of a specific sector of the economy</w:t>
      </w:r>
      <w:r w:rsidRPr="0066741B">
        <w:rPr>
          <w:rFonts w:ascii="Times New Roman" w:hAnsi="Times New Roman" w:cs="Times New Roman"/>
          <w:sz w:val="24"/>
          <w:szCs w:val="24"/>
        </w:rPr>
        <w:t xml:space="preserve"> </w:t>
      </w:r>
      <w:r w:rsidRPr="002E2670">
        <w:rPr>
          <w:rFonts w:ascii="Times New Roman" w:hAnsi="Times New Roman" w:cs="Times New Roman"/>
          <w:sz w:val="24"/>
          <w:szCs w:val="24"/>
        </w:rPr>
        <w:lastRenderedPageBreak/>
        <w:t>channelize</w:t>
      </w:r>
      <w:r>
        <w:rPr>
          <w:rFonts w:ascii="Times New Roman" w:hAnsi="Times New Roman" w:cs="Times New Roman"/>
          <w:sz w:val="24"/>
          <w:szCs w:val="24"/>
        </w:rPr>
        <w:t xml:space="preserve"> by </w:t>
      </w:r>
      <w:r w:rsidRPr="002E2670">
        <w:rPr>
          <w:rFonts w:ascii="Times New Roman" w:hAnsi="Times New Roman" w:cs="Times New Roman"/>
          <w:sz w:val="24"/>
          <w:szCs w:val="24"/>
        </w:rPr>
        <w:t xml:space="preserve">specialized banks fund. As a result, all sectors are ensured an </w:t>
      </w:r>
      <w:r>
        <w:rPr>
          <w:rFonts w:ascii="Times New Roman" w:hAnsi="Times New Roman" w:cs="Times New Roman"/>
          <w:sz w:val="24"/>
          <w:szCs w:val="24"/>
        </w:rPr>
        <w:t>equable economic development</w:t>
      </w:r>
      <w:r w:rsidRPr="002E2670">
        <w:rPr>
          <w:rFonts w:ascii="Times New Roman" w:hAnsi="Times New Roman" w:cs="Times New Roman"/>
          <w:sz w:val="24"/>
          <w:szCs w:val="24"/>
        </w:rPr>
        <w:t xml:space="preserve">. Bank has been playing a </w:t>
      </w:r>
      <w:r>
        <w:rPr>
          <w:rFonts w:ascii="Times New Roman" w:hAnsi="Times New Roman" w:cs="Times New Roman"/>
          <w:sz w:val="24"/>
          <w:szCs w:val="24"/>
        </w:rPr>
        <w:t>significant</w:t>
      </w:r>
      <w:r w:rsidRPr="002E2670">
        <w:rPr>
          <w:rFonts w:ascii="Times New Roman" w:hAnsi="Times New Roman" w:cs="Times New Roman"/>
          <w:sz w:val="24"/>
          <w:szCs w:val="24"/>
        </w:rPr>
        <w:t xml:space="preserve"> role in economy by providing credit for </w:t>
      </w:r>
      <w:r>
        <w:rPr>
          <w:rFonts w:ascii="Times New Roman" w:hAnsi="Times New Roman" w:cs="Times New Roman"/>
          <w:sz w:val="24"/>
          <w:szCs w:val="24"/>
        </w:rPr>
        <w:t>doing</w:t>
      </w:r>
      <w:r w:rsidRPr="002E2670">
        <w:rPr>
          <w:rFonts w:ascii="Times New Roman" w:hAnsi="Times New Roman" w:cs="Times New Roman"/>
          <w:sz w:val="24"/>
          <w:szCs w:val="24"/>
        </w:rPr>
        <w:t xml:space="preserve"> economic </w:t>
      </w:r>
      <w:r>
        <w:rPr>
          <w:rFonts w:ascii="Times New Roman" w:hAnsi="Times New Roman" w:cs="Times New Roman"/>
          <w:sz w:val="24"/>
          <w:szCs w:val="24"/>
        </w:rPr>
        <w:t xml:space="preserve">operations. </w:t>
      </w:r>
      <w:r w:rsidRPr="002E2670">
        <w:rPr>
          <w:rFonts w:ascii="Times New Roman" w:hAnsi="Times New Roman" w:cs="Times New Roman"/>
          <w:sz w:val="24"/>
          <w:szCs w:val="24"/>
        </w:rPr>
        <w:t xml:space="preserve">Sometime </w:t>
      </w:r>
      <w:r>
        <w:rPr>
          <w:rFonts w:ascii="Times New Roman" w:hAnsi="Times New Roman" w:cs="Times New Roman"/>
          <w:sz w:val="24"/>
          <w:szCs w:val="24"/>
        </w:rPr>
        <w:t>put together</w:t>
      </w:r>
      <w:r w:rsidRPr="002E2670">
        <w:rPr>
          <w:rFonts w:ascii="Times New Roman" w:hAnsi="Times New Roman" w:cs="Times New Roman"/>
          <w:sz w:val="24"/>
          <w:szCs w:val="24"/>
        </w:rPr>
        <w:t xml:space="preserve"> the surplus capital from general public through different types of depository </w:t>
      </w:r>
      <w:r>
        <w:rPr>
          <w:rFonts w:ascii="Times New Roman" w:hAnsi="Times New Roman" w:cs="Times New Roman"/>
          <w:sz w:val="24"/>
          <w:szCs w:val="24"/>
        </w:rPr>
        <w:t>benefits</w:t>
      </w:r>
      <w:r w:rsidRPr="002E2670">
        <w:rPr>
          <w:rFonts w:ascii="Times New Roman" w:hAnsi="Times New Roman" w:cs="Times New Roman"/>
          <w:sz w:val="24"/>
          <w:szCs w:val="24"/>
        </w:rPr>
        <w:t xml:space="preserve">. </w:t>
      </w:r>
      <w:r>
        <w:rPr>
          <w:rFonts w:ascii="Times New Roman" w:hAnsi="Times New Roman" w:cs="Times New Roman"/>
          <w:sz w:val="24"/>
          <w:szCs w:val="24"/>
        </w:rPr>
        <w:t>Now</w:t>
      </w:r>
      <w:r w:rsidRPr="002E2670">
        <w:rPr>
          <w:rFonts w:ascii="Times New Roman" w:hAnsi="Times New Roman" w:cs="Times New Roman"/>
          <w:sz w:val="24"/>
          <w:szCs w:val="24"/>
        </w:rPr>
        <w:t>, sectors</w:t>
      </w:r>
      <w:r>
        <w:rPr>
          <w:rFonts w:ascii="Times New Roman" w:hAnsi="Times New Roman" w:cs="Times New Roman"/>
          <w:sz w:val="24"/>
          <w:szCs w:val="24"/>
        </w:rPr>
        <w:t xml:space="preserve"> like f</w:t>
      </w:r>
      <w:r w:rsidRPr="002E2670">
        <w:rPr>
          <w:rFonts w:ascii="Times New Roman" w:hAnsi="Times New Roman" w:cs="Times New Roman"/>
          <w:sz w:val="24"/>
          <w:szCs w:val="24"/>
        </w:rPr>
        <w:t>orestry</w:t>
      </w:r>
      <w:r>
        <w:rPr>
          <w:rFonts w:ascii="Times New Roman" w:hAnsi="Times New Roman" w:cs="Times New Roman"/>
          <w:sz w:val="24"/>
          <w:szCs w:val="24"/>
        </w:rPr>
        <w:t>, f</w:t>
      </w:r>
      <w:r w:rsidRPr="002E2670">
        <w:rPr>
          <w:rFonts w:ascii="Times New Roman" w:hAnsi="Times New Roman" w:cs="Times New Roman"/>
          <w:sz w:val="24"/>
          <w:szCs w:val="24"/>
        </w:rPr>
        <w:t>isheries</w:t>
      </w:r>
      <w:r>
        <w:rPr>
          <w:rFonts w:ascii="Times New Roman" w:hAnsi="Times New Roman" w:cs="Times New Roman"/>
          <w:sz w:val="24"/>
          <w:szCs w:val="24"/>
        </w:rPr>
        <w:t xml:space="preserve"> and agriculture</w:t>
      </w:r>
      <w:r w:rsidRPr="002E2670">
        <w:rPr>
          <w:rFonts w:ascii="Times New Roman" w:hAnsi="Times New Roman" w:cs="Times New Roman"/>
          <w:sz w:val="24"/>
          <w:szCs w:val="24"/>
        </w:rPr>
        <w:t xml:space="preserve"> </w:t>
      </w:r>
      <w:r>
        <w:rPr>
          <w:rFonts w:ascii="Times New Roman" w:hAnsi="Times New Roman" w:cs="Times New Roman"/>
          <w:sz w:val="24"/>
          <w:szCs w:val="24"/>
        </w:rPr>
        <w:t>are paying less accentuation than banks</w:t>
      </w:r>
      <w:r w:rsidRPr="002E2670">
        <w:rPr>
          <w:rFonts w:ascii="Times New Roman" w:hAnsi="Times New Roman" w:cs="Times New Roman"/>
          <w:sz w:val="24"/>
          <w:szCs w:val="24"/>
        </w:rPr>
        <w:t xml:space="preserve">. </w:t>
      </w:r>
      <w:r>
        <w:rPr>
          <w:rFonts w:ascii="Times New Roman" w:hAnsi="Times New Roman" w:cs="Times New Roman"/>
          <w:sz w:val="24"/>
          <w:szCs w:val="24"/>
        </w:rPr>
        <w:t>Producing</w:t>
      </w:r>
      <w:r w:rsidRPr="002E2670">
        <w:rPr>
          <w:rFonts w:ascii="Times New Roman" w:hAnsi="Times New Roman" w:cs="Times New Roman"/>
          <w:sz w:val="24"/>
          <w:szCs w:val="24"/>
        </w:rPr>
        <w:t xml:space="preserve"> loan and advances</w:t>
      </w:r>
      <w:r>
        <w:rPr>
          <w:rFonts w:ascii="Times New Roman" w:hAnsi="Times New Roman" w:cs="Times New Roman"/>
          <w:sz w:val="24"/>
          <w:szCs w:val="24"/>
        </w:rPr>
        <w:t xml:space="preserve"> b</w:t>
      </w:r>
      <w:r w:rsidRPr="002E2670">
        <w:rPr>
          <w:rFonts w:ascii="Times New Roman" w:hAnsi="Times New Roman" w:cs="Times New Roman"/>
          <w:sz w:val="24"/>
          <w:szCs w:val="24"/>
        </w:rPr>
        <w:t xml:space="preserve">anks played </w:t>
      </w:r>
      <w:r>
        <w:rPr>
          <w:rFonts w:ascii="Times New Roman" w:hAnsi="Times New Roman" w:cs="Times New Roman"/>
          <w:sz w:val="24"/>
          <w:szCs w:val="24"/>
        </w:rPr>
        <w:t>leading</w:t>
      </w:r>
      <w:r w:rsidRPr="002E2670">
        <w:rPr>
          <w:rFonts w:ascii="Times New Roman" w:hAnsi="Times New Roman" w:cs="Times New Roman"/>
          <w:sz w:val="24"/>
          <w:szCs w:val="24"/>
        </w:rPr>
        <w:t xml:space="preserve"> role</w:t>
      </w:r>
      <w:r>
        <w:rPr>
          <w:rFonts w:ascii="Times New Roman" w:hAnsi="Times New Roman" w:cs="Times New Roman"/>
          <w:sz w:val="24"/>
          <w:szCs w:val="24"/>
        </w:rPr>
        <w:t>.</w:t>
      </w:r>
      <w:r w:rsidRPr="002E2670">
        <w:rPr>
          <w:rFonts w:ascii="Times New Roman" w:hAnsi="Times New Roman" w:cs="Times New Roman"/>
          <w:sz w:val="24"/>
          <w:szCs w:val="24"/>
        </w:rPr>
        <w:t xml:space="preserve"> </w:t>
      </w:r>
      <w:r>
        <w:rPr>
          <w:rFonts w:ascii="Times New Roman" w:hAnsi="Times New Roman" w:cs="Times New Roman"/>
          <w:sz w:val="24"/>
          <w:szCs w:val="24"/>
        </w:rPr>
        <w:t>The contribution of banks in</w:t>
      </w:r>
      <w:r w:rsidRPr="002E2670">
        <w:rPr>
          <w:rFonts w:ascii="Times New Roman" w:hAnsi="Times New Roman" w:cs="Times New Roman"/>
          <w:sz w:val="24"/>
          <w:szCs w:val="24"/>
        </w:rPr>
        <w:t xml:space="preserve"> </w:t>
      </w:r>
      <w:r>
        <w:rPr>
          <w:rFonts w:ascii="Times New Roman" w:hAnsi="Times New Roman" w:cs="Times New Roman"/>
          <w:sz w:val="24"/>
          <w:szCs w:val="24"/>
        </w:rPr>
        <w:t>real e</w:t>
      </w:r>
      <w:r w:rsidRPr="002E2670">
        <w:rPr>
          <w:rFonts w:ascii="Times New Roman" w:hAnsi="Times New Roman" w:cs="Times New Roman"/>
          <w:sz w:val="24"/>
          <w:szCs w:val="24"/>
        </w:rPr>
        <w:t xml:space="preserve">state 7.53%, business and commerce 33.14%, </w:t>
      </w:r>
      <w:r>
        <w:rPr>
          <w:rFonts w:ascii="Times New Roman" w:hAnsi="Times New Roman" w:cs="Times New Roman"/>
          <w:sz w:val="24"/>
          <w:szCs w:val="24"/>
        </w:rPr>
        <w:t>c</w:t>
      </w:r>
      <w:r w:rsidRPr="002E2670">
        <w:rPr>
          <w:rFonts w:ascii="Times New Roman" w:hAnsi="Times New Roman" w:cs="Times New Roman"/>
          <w:sz w:val="24"/>
          <w:szCs w:val="24"/>
        </w:rPr>
        <w:t>ommunications</w:t>
      </w:r>
      <w:r w:rsidRPr="004B4764">
        <w:rPr>
          <w:rFonts w:ascii="Times New Roman" w:hAnsi="Times New Roman" w:cs="Times New Roman"/>
          <w:sz w:val="24"/>
          <w:szCs w:val="24"/>
        </w:rPr>
        <w:t xml:space="preserve"> </w:t>
      </w:r>
      <w:r>
        <w:rPr>
          <w:rFonts w:ascii="Times New Roman" w:hAnsi="Times New Roman" w:cs="Times New Roman"/>
          <w:sz w:val="24"/>
          <w:szCs w:val="24"/>
        </w:rPr>
        <w:t>and</w:t>
      </w:r>
      <w:r w:rsidRPr="002E2670">
        <w:rPr>
          <w:rFonts w:ascii="Times New Roman" w:hAnsi="Times New Roman" w:cs="Times New Roman"/>
          <w:sz w:val="24"/>
          <w:szCs w:val="24"/>
        </w:rPr>
        <w:t xml:space="preserve"> </w:t>
      </w:r>
      <w:r>
        <w:rPr>
          <w:rFonts w:ascii="Times New Roman" w:hAnsi="Times New Roman" w:cs="Times New Roman"/>
          <w:sz w:val="24"/>
          <w:szCs w:val="24"/>
        </w:rPr>
        <w:t xml:space="preserve">transportation </w:t>
      </w:r>
      <w:r w:rsidRPr="002E2670">
        <w:rPr>
          <w:rFonts w:ascii="Times New Roman" w:hAnsi="Times New Roman" w:cs="Times New Roman"/>
          <w:sz w:val="24"/>
          <w:szCs w:val="24"/>
        </w:rPr>
        <w:t>1.84%,</w:t>
      </w:r>
      <w:r w:rsidRPr="004B4764">
        <w:rPr>
          <w:rFonts w:ascii="Times New Roman" w:hAnsi="Times New Roman" w:cs="Times New Roman"/>
          <w:sz w:val="24"/>
          <w:szCs w:val="24"/>
        </w:rPr>
        <w:t xml:space="preserve"> </w:t>
      </w:r>
      <w:r>
        <w:rPr>
          <w:rFonts w:ascii="Times New Roman" w:hAnsi="Times New Roman" w:cs="Times New Roman"/>
          <w:sz w:val="24"/>
          <w:szCs w:val="24"/>
        </w:rPr>
        <w:t>industries 19.73%,</w:t>
      </w:r>
      <w:r w:rsidRPr="007E4851">
        <w:rPr>
          <w:rFonts w:ascii="Times New Roman" w:hAnsi="Times New Roman" w:cs="Times New Roman"/>
          <w:sz w:val="24"/>
          <w:szCs w:val="24"/>
        </w:rPr>
        <w:t xml:space="preserve"> </w:t>
      </w:r>
      <w:r w:rsidRPr="002E2670">
        <w:rPr>
          <w:rFonts w:ascii="Times New Roman" w:hAnsi="Times New Roman" w:cs="Times New Roman"/>
          <w:sz w:val="24"/>
          <w:szCs w:val="24"/>
        </w:rPr>
        <w:t>working capital 22.32%</w:t>
      </w:r>
      <w:r>
        <w:rPr>
          <w:rFonts w:ascii="Times New Roman" w:hAnsi="Times New Roman" w:cs="Times New Roman"/>
          <w:sz w:val="24"/>
          <w:szCs w:val="24"/>
        </w:rPr>
        <w:t>, and electricity, w</w:t>
      </w:r>
      <w:r w:rsidRPr="002E2670">
        <w:rPr>
          <w:rFonts w:ascii="Times New Roman" w:hAnsi="Times New Roman" w:cs="Times New Roman"/>
          <w:sz w:val="24"/>
          <w:szCs w:val="24"/>
        </w:rPr>
        <w:t xml:space="preserve">ater </w:t>
      </w:r>
      <w:r>
        <w:rPr>
          <w:rFonts w:ascii="Times New Roman" w:hAnsi="Times New Roman" w:cs="Times New Roman"/>
          <w:sz w:val="24"/>
          <w:szCs w:val="24"/>
        </w:rPr>
        <w:t>and gas s</w:t>
      </w:r>
      <w:r w:rsidRPr="002E2670">
        <w:rPr>
          <w:rFonts w:ascii="Times New Roman" w:hAnsi="Times New Roman" w:cs="Times New Roman"/>
          <w:sz w:val="24"/>
          <w:szCs w:val="24"/>
        </w:rPr>
        <w:t xml:space="preserve">upply 1.64%. </w:t>
      </w:r>
      <w:r>
        <w:rPr>
          <w:rFonts w:ascii="Times New Roman" w:hAnsi="Times New Roman" w:cs="Times New Roman"/>
          <w:sz w:val="24"/>
          <w:szCs w:val="24"/>
        </w:rPr>
        <w:t>General</w:t>
      </w:r>
      <w:r w:rsidRPr="002E2670">
        <w:rPr>
          <w:rFonts w:ascii="Times New Roman" w:hAnsi="Times New Roman" w:cs="Times New Roman"/>
          <w:sz w:val="24"/>
          <w:szCs w:val="24"/>
        </w:rPr>
        <w:t xml:space="preserve"> banking services </w:t>
      </w:r>
      <w:r>
        <w:rPr>
          <w:rFonts w:ascii="Times New Roman" w:hAnsi="Times New Roman" w:cs="Times New Roman"/>
          <w:sz w:val="24"/>
          <w:szCs w:val="24"/>
        </w:rPr>
        <w:t>for</w:t>
      </w:r>
      <w:r w:rsidRPr="002E2670">
        <w:rPr>
          <w:rFonts w:ascii="Times New Roman" w:hAnsi="Times New Roman" w:cs="Times New Roman"/>
          <w:sz w:val="24"/>
          <w:szCs w:val="24"/>
        </w:rPr>
        <w:t xml:space="preserve"> less privileged people in </w:t>
      </w:r>
      <w:r>
        <w:rPr>
          <w:rFonts w:ascii="Times New Roman" w:hAnsi="Times New Roman" w:cs="Times New Roman"/>
          <w:sz w:val="24"/>
          <w:szCs w:val="24"/>
        </w:rPr>
        <w:t>town</w:t>
      </w:r>
      <w:r w:rsidRPr="002E2670">
        <w:rPr>
          <w:rFonts w:ascii="Times New Roman" w:hAnsi="Times New Roman" w:cs="Times New Roman"/>
          <w:sz w:val="24"/>
          <w:szCs w:val="24"/>
        </w:rPr>
        <w:t xml:space="preserve"> and </w:t>
      </w:r>
      <w:r>
        <w:rPr>
          <w:rFonts w:ascii="Times New Roman" w:hAnsi="Times New Roman" w:cs="Times New Roman"/>
          <w:sz w:val="24"/>
          <w:szCs w:val="24"/>
        </w:rPr>
        <w:t>village</w:t>
      </w:r>
      <w:r w:rsidRPr="002E2670">
        <w:rPr>
          <w:rFonts w:ascii="Times New Roman" w:hAnsi="Times New Roman" w:cs="Times New Roman"/>
          <w:sz w:val="24"/>
          <w:szCs w:val="24"/>
        </w:rPr>
        <w:t xml:space="preserve"> areas</w:t>
      </w:r>
      <w:r>
        <w:rPr>
          <w:rFonts w:ascii="Times New Roman" w:hAnsi="Times New Roman" w:cs="Times New Roman"/>
          <w:sz w:val="24"/>
          <w:szCs w:val="24"/>
        </w:rPr>
        <w:t xml:space="preserve"> </w:t>
      </w:r>
      <w:r w:rsidRPr="002E2670">
        <w:rPr>
          <w:rFonts w:ascii="Times New Roman" w:hAnsi="Times New Roman" w:cs="Times New Roman"/>
          <w:sz w:val="24"/>
          <w:szCs w:val="24"/>
        </w:rPr>
        <w:t xml:space="preserve">have </w:t>
      </w:r>
      <w:r>
        <w:rPr>
          <w:rFonts w:ascii="Times New Roman" w:hAnsi="Times New Roman" w:cs="Times New Roman"/>
          <w:sz w:val="24"/>
          <w:szCs w:val="24"/>
        </w:rPr>
        <w:t>been expanded</w:t>
      </w:r>
      <w:r w:rsidRPr="002E2670">
        <w:rPr>
          <w:rFonts w:ascii="Times New Roman" w:hAnsi="Times New Roman" w:cs="Times New Roman"/>
          <w:sz w:val="24"/>
          <w:szCs w:val="24"/>
        </w:rPr>
        <w:t xml:space="preserve">. </w:t>
      </w:r>
      <w:r>
        <w:rPr>
          <w:rFonts w:ascii="Times New Roman" w:hAnsi="Times New Roman" w:cs="Times New Roman"/>
          <w:sz w:val="24"/>
          <w:szCs w:val="24"/>
        </w:rPr>
        <w:t>People live in under the poverty line in Bangladesh</w:t>
      </w:r>
      <w:r w:rsidRPr="002E2670">
        <w:rPr>
          <w:rFonts w:ascii="Times New Roman" w:hAnsi="Times New Roman" w:cs="Times New Roman"/>
          <w:sz w:val="24"/>
          <w:szCs w:val="24"/>
        </w:rPr>
        <w:t xml:space="preserve"> Banks are </w:t>
      </w:r>
      <w:r>
        <w:rPr>
          <w:rFonts w:ascii="Times New Roman" w:hAnsi="Times New Roman" w:cs="Times New Roman"/>
          <w:sz w:val="24"/>
          <w:szCs w:val="24"/>
        </w:rPr>
        <w:t>offering</w:t>
      </w:r>
      <w:r w:rsidRPr="002E2670">
        <w:rPr>
          <w:rFonts w:ascii="Times New Roman" w:hAnsi="Times New Roman" w:cs="Times New Roman"/>
          <w:sz w:val="24"/>
          <w:szCs w:val="24"/>
        </w:rPr>
        <w:t xml:space="preserve"> No-Frill Accounts</w:t>
      </w:r>
      <w:r>
        <w:rPr>
          <w:rFonts w:ascii="Times New Roman" w:hAnsi="Times New Roman" w:cs="Times New Roman"/>
          <w:sz w:val="24"/>
          <w:szCs w:val="24"/>
        </w:rPr>
        <w:t xml:space="preserve"> for </w:t>
      </w:r>
      <w:r w:rsidRPr="002E2670">
        <w:rPr>
          <w:rFonts w:ascii="Times New Roman" w:hAnsi="Times New Roman" w:cs="Times New Roman"/>
          <w:sz w:val="24"/>
          <w:szCs w:val="24"/>
        </w:rPr>
        <w:t>hardcore poor,</w:t>
      </w:r>
      <w:r w:rsidRPr="00D80308">
        <w:rPr>
          <w:rFonts w:ascii="Times New Roman" w:hAnsi="Times New Roman" w:cs="Times New Roman"/>
          <w:sz w:val="24"/>
          <w:szCs w:val="24"/>
        </w:rPr>
        <w:t xml:space="preserve"> </w:t>
      </w:r>
      <w:r w:rsidRPr="002E2670">
        <w:rPr>
          <w:rFonts w:ascii="Times New Roman" w:hAnsi="Times New Roman" w:cs="Times New Roman"/>
          <w:sz w:val="24"/>
          <w:szCs w:val="24"/>
        </w:rPr>
        <w:t>farmers,</w:t>
      </w:r>
      <w:r w:rsidRPr="00D80308">
        <w:rPr>
          <w:rFonts w:ascii="Times New Roman" w:hAnsi="Times New Roman" w:cs="Times New Roman"/>
          <w:sz w:val="24"/>
          <w:szCs w:val="24"/>
        </w:rPr>
        <w:t xml:space="preserve"> </w:t>
      </w:r>
      <w:r w:rsidRPr="002E2670">
        <w:rPr>
          <w:rFonts w:ascii="Times New Roman" w:hAnsi="Times New Roman" w:cs="Times New Roman"/>
          <w:sz w:val="24"/>
          <w:szCs w:val="24"/>
        </w:rPr>
        <w:t>freedom fighters, beneficiary unde</w:t>
      </w:r>
      <w:r>
        <w:rPr>
          <w:rFonts w:ascii="Times New Roman" w:hAnsi="Times New Roman" w:cs="Times New Roman"/>
          <w:sz w:val="24"/>
          <w:szCs w:val="24"/>
        </w:rPr>
        <w:t xml:space="preserve">r the social security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w:t>
      </w:r>
      <w:r w:rsidRPr="00EB0FB8">
        <w:rPr>
          <w:rFonts w:ascii="Times New Roman" w:hAnsi="Times New Roman" w:cs="Times New Roman"/>
          <w:sz w:val="24"/>
          <w:szCs w:val="24"/>
        </w:rPr>
        <w:t xml:space="preserve"> </w:t>
      </w:r>
      <w:r>
        <w:rPr>
          <w:rFonts w:ascii="Times New Roman" w:hAnsi="Times New Roman" w:cs="Times New Roman"/>
          <w:sz w:val="24"/>
          <w:szCs w:val="24"/>
        </w:rPr>
        <w:t>They also includes  ready-made garment’s</w:t>
      </w:r>
      <w:r w:rsidRPr="002E2670">
        <w:rPr>
          <w:rFonts w:ascii="Times New Roman" w:hAnsi="Times New Roman" w:cs="Times New Roman"/>
          <w:sz w:val="24"/>
          <w:szCs w:val="24"/>
        </w:rPr>
        <w:t xml:space="preserve"> </w:t>
      </w:r>
      <w:r>
        <w:rPr>
          <w:rFonts w:ascii="Times New Roman" w:hAnsi="Times New Roman" w:cs="Times New Roman"/>
          <w:sz w:val="24"/>
          <w:szCs w:val="24"/>
        </w:rPr>
        <w:t>workers, n</w:t>
      </w:r>
      <w:r w:rsidRPr="00EB0FB8">
        <w:rPr>
          <w:rFonts w:ascii="Times New Roman" w:hAnsi="Times New Roman" w:cs="Times New Roman"/>
          <w:sz w:val="24"/>
          <w:szCs w:val="24"/>
        </w:rPr>
        <w:t>ational</w:t>
      </w:r>
      <w:r w:rsidRPr="002E2670">
        <w:rPr>
          <w:rFonts w:ascii="Times New Roman" w:hAnsi="Times New Roman" w:cs="Times New Roman"/>
          <w:sz w:val="24"/>
          <w:szCs w:val="24"/>
        </w:rPr>
        <w:t xml:space="preserve"> service </w:t>
      </w:r>
      <w:r>
        <w:rPr>
          <w:rFonts w:ascii="Times New Roman" w:hAnsi="Times New Roman" w:cs="Times New Roman"/>
          <w:sz w:val="24"/>
          <w:szCs w:val="24"/>
        </w:rPr>
        <w:t>people</w:t>
      </w:r>
      <w:r w:rsidRPr="002E2670">
        <w:rPr>
          <w:rFonts w:ascii="Times New Roman" w:hAnsi="Times New Roman" w:cs="Times New Roman"/>
          <w:sz w:val="24"/>
          <w:szCs w:val="24"/>
        </w:rPr>
        <w:t xml:space="preserve">, </w:t>
      </w:r>
      <w:r>
        <w:rPr>
          <w:rFonts w:ascii="Times New Roman" w:hAnsi="Times New Roman" w:cs="Times New Roman"/>
          <w:sz w:val="24"/>
          <w:szCs w:val="24"/>
        </w:rPr>
        <w:t xml:space="preserve">poor </w:t>
      </w:r>
      <w:r w:rsidRPr="002E2670">
        <w:rPr>
          <w:rFonts w:ascii="Times New Roman" w:hAnsi="Times New Roman" w:cs="Times New Roman"/>
          <w:sz w:val="24"/>
          <w:szCs w:val="24"/>
        </w:rPr>
        <w:t xml:space="preserve">life insurance policy holder, cleaning workers, food and livelihood security </w:t>
      </w:r>
      <w:proofErr w:type="spellStart"/>
      <w:r w:rsidRPr="002E2670">
        <w:rPr>
          <w:rFonts w:ascii="Times New Roman" w:hAnsi="Times New Roman" w:cs="Times New Roman"/>
          <w:sz w:val="24"/>
          <w:szCs w:val="24"/>
        </w:rPr>
        <w:t>programme</w:t>
      </w:r>
      <w:proofErr w:type="spellEnd"/>
      <w:r>
        <w:rPr>
          <w:rFonts w:ascii="Times New Roman" w:hAnsi="Times New Roman" w:cs="Times New Roman"/>
          <w:sz w:val="24"/>
          <w:szCs w:val="24"/>
        </w:rPr>
        <w:t xml:space="preserve"> organization</w:t>
      </w:r>
      <w:r w:rsidRPr="002E2670">
        <w:rPr>
          <w:rFonts w:ascii="Times New Roman" w:hAnsi="Times New Roman" w:cs="Times New Roman"/>
          <w:sz w:val="24"/>
          <w:szCs w:val="24"/>
        </w:rPr>
        <w:t xml:space="preserve">, physically challenged </w:t>
      </w:r>
      <w:r>
        <w:rPr>
          <w:rFonts w:ascii="Times New Roman" w:hAnsi="Times New Roman" w:cs="Times New Roman"/>
          <w:sz w:val="24"/>
          <w:szCs w:val="24"/>
        </w:rPr>
        <w:t>people</w:t>
      </w:r>
      <w:r w:rsidRPr="002E2670">
        <w:rPr>
          <w:rFonts w:ascii="Times New Roman" w:hAnsi="Times New Roman" w:cs="Times New Roman"/>
          <w:sz w:val="24"/>
          <w:szCs w:val="24"/>
        </w:rPr>
        <w:t>, distressed rehabilitation</w:t>
      </w:r>
      <w:r>
        <w:rPr>
          <w:rFonts w:ascii="Times New Roman" w:hAnsi="Times New Roman" w:cs="Times New Roman"/>
          <w:sz w:val="24"/>
          <w:szCs w:val="24"/>
        </w:rPr>
        <w:t xml:space="preserve"> center</w:t>
      </w:r>
      <w:r w:rsidRPr="002E2670">
        <w:rPr>
          <w:rFonts w:ascii="Times New Roman" w:hAnsi="Times New Roman" w:cs="Times New Roman"/>
          <w:sz w:val="24"/>
          <w:szCs w:val="24"/>
        </w:rPr>
        <w:t>, street working children and school</w:t>
      </w:r>
      <w:r>
        <w:rPr>
          <w:rFonts w:ascii="Times New Roman" w:hAnsi="Times New Roman" w:cs="Times New Roman"/>
          <w:sz w:val="24"/>
          <w:szCs w:val="24"/>
        </w:rPr>
        <w:t xml:space="preserve"> &amp; college</w:t>
      </w:r>
      <w:r w:rsidRPr="002E2670">
        <w:rPr>
          <w:rFonts w:ascii="Times New Roman" w:hAnsi="Times New Roman" w:cs="Times New Roman"/>
          <w:sz w:val="24"/>
          <w:szCs w:val="24"/>
        </w:rPr>
        <w:t xml:space="preserve"> students</w:t>
      </w:r>
      <w:r>
        <w:rPr>
          <w:rFonts w:ascii="Times New Roman" w:hAnsi="Times New Roman" w:cs="Times New Roman"/>
          <w:sz w:val="24"/>
          <w:szCs w:val="24"/>
        </w:rPr>
        <w:t>. Creating</w:t>
      </w:r>
      <w:r w:rsidRPr="002E2670">
        <w:rPr>
          <w:rFonts w:ascii="Times New Roman" w:hAnsi="Times New Roman" w:cs="Times New Roman"/>
          <w:sz w:val="24"/>
          <w:szCs w:val="24"/>
        </w:rPr>
        <w:t xml:space="preserve"> more an</w:t>
      </w:r>
      <w:r>
        <w:rPr>
          <w:rFonts w:ascii="Times New Roman" w:hAnsi="Times New Roman" w:cs="Times New Roman"/>
          <w:sz w:val="24"/>
          <w:szCs w:val="24"/>
        </w:rPr>
        <w:t>d more employment opportunities banking</w:t>
      </w:r>
      <w:r w:rsidRPr="002E2670">
        <w:rPr>
          <w:rFonts w:ascii="Times New Roman" w:hAnsi="Times New Roman" w:cs="Times New Roman"/>
          <w:sz w:val="24"/>
          <w:szCs w:val="24"/>
        </w:rPr>
        <w:t xml:space="preserve"> sector always has made a </w:t>
      </w:r>
      <w:r>
        <w:rPr>
          <w:rFonts w:ascii="Times New Roman" w:hAnsi="Times New Roman" w:cs="Times New Roman"/>
          <w:sz w:val="24"/>
          <w:szCs w:val="24"/>
        </w:rPr>
        <w:t>potential</w:t>
      </w:r>
      <w:r w:rsidRPr="002E2670">
        <w:rPr>
          <w:rFonts w:ascii="Times New Roman" w:hAnsi="Times New Roman" w:cs="Times New Roman"/>
          <w:sz w:val="24"/>
          <w:szCs w:val="24"/>
        </w:rPr>
        <w:t xml:space="preserve"> </w:t>
      </w:r>
      <w:r>
        <w:rPr>
          <w:rFonts w:ascii="Times New Roman" w:hAnsi="Times New Roman" w:cs="Times New Roman"/>
          <w:sz w:val="24"/>
          <w:szCs w:val="24"/>
        </w:rPr>
        <w:t>impact</w:t>
      </w:r>
      <w:r w:rsidRPr="002E2670">
        <w:rPr>
          <w:rFonts w:ascii="Times New Roman" w:hAnsi="Times New Roman" w:cs="Times New Roman"/>
          <w:sz w:val="24"/>
          <w:szCs w:val="24"/>
        </w:rPr>
        <w:t xml:space="preserve"> on the economic </w:t>
      </w:r>
      <w:r>
        <w:rPr>
          <w:rFonts w:ascii="Times New Roman" w:hAnsi="Times New Roman" w:cs="Times New Roman"/>
          <w:sz w:val="24"/>
          <w:szCs w:val="24"/>
        </w:rPr>
        <w:t>improvement</w:t>
      </w:r>
      <w:r w:rsidR="00EB0FB8">
        <w:rPr>
          <w:rFonts w:ascii="Times New Roman" w:hAnsi="Times New Roman" w:cs="Times New Roman"/>
          <w:sz w:val="24"/>
          <w:szCs w:val="24"/>
        </w:rPr>
        <w:t>.</w:t>
      </w:r>
    </w:p>
    <w:p w:rsidR="00C51982" w:rsidRDefault="00C51982" w:rsidP="00C51982">
      <w:pPr>
        <w:pStyle w:val="Heading2"/>
        <w:rPr>
          <w:rFonts w:cs="Times New Roman"/>
          <w:szCs w:val="28"/>
        </w:rPr>
      </w:pPr>
      <w:bookmarkStart w:id="22" w:name="_Toc62037709"/>
      <w:r w:rsidRPr="00C51982">
        <w:rPr>
          <w:rFonts w:cs="Times New Roman"/>
          <w:szCs w:val="28"/>
        </w:rPr>
        <w:t>Analysis of Banking Sector’s Performance in Capital Market</w:t>
      </w:r>
      <w:bookmarkEnd w:id="22"/>
    </w:p>
    <w:p w:rsidR="00C51982" w:rsidRPr="00C51982" w:rsidRDefault="00C51982" w:rsidP="00C51982"/>
    <w:p w:rsidR="00C51982" w:rsidRPr="002E2670" w:rsidRDefault="00C51982" w:rsidP="00C51982">
      <w:pPr>
        <w:spacing w:line="360" w:lineRule="auto"/>
        <w:jc w:val="both"/>
        <w:rPr>
          <w:rFonts w:ascii="Times New Roman" w:hAnsi="Times New Roman" w:cs="Times New Roman"/>
          <w:sz w:val="24"/>
          <w:szCs w:val="24"/>
        </w:rPr>
      </w:pPr>
      <w:r w:rsidRPr="002E2670">
        <w:rPr>
          <w:rFonts w:ascii="Times New Roman" w:hAnsi="Times New Roman" w:cs="Times New Roman"/>
          <w:sz w:val="24"/>
          <w:szCs w:val="24"/>
        </w:rPr>
        <w:t xml:space="preserve">This </w:t>
      </w:r>
      <w:r w:rsidR="00AD0912">
        <w:rPr>
          <w:rFonts w:ascii="Times New Roman" w:hAnsi="Times New Roman" w:cs="Times New Roman"/>
          <w:sz w:val="24"/>
          <w:szCs w:val="24"/>
        </w:rPr>
        <w:t>study</w:t>
      </w:r>
      <w:r w:rsidRPr="002E2670">
        <w:rPr>
          <w:rFonts w:ascii="Times New Roman" w:hAnsi="Times New Roman" w:cs="Times New Roman"/>
          <w:sz w:val="24"/>
          <w:szCs w:val="24"/>
        </w:rPr>
        <w:t xml:space="preserve"> is </w:t>
      </w:r>
      <w:r w:rsidR="00AD0912">
        <w:rPr>
          <w:rFonts w:ascii="Times New Roman" w:hAnsi="Times New Roman" w:cs="Times New Roman"/>
          <w:sz w:val="24"/>
          <w:szCs w:val="24"/>
        </w:rPr>
        <w:t>aimed</w:t>
      </w:r>
      <w:r w:rsidRPr="002E2670">
        <w:rPr>
          <w:rFonts w:ascii="Times New Roman" w:hAnsi="Times New Roman" w:cs="Times New Roman"/>
          <w:sz w:val="24"/>
          <w:szCs w:val="24"/>
        </w:rPr>
        <w:t xml:space="preserve"> to </w:t>
      </w:r>
      <w:r w:rsidR="00AD0912">
        <w:rPr>
          <w:rFonts w:ascii="Times New Roman" w:hAnsi="Times New Roman" w:cs="Times New Roman"/>
          <w:sz w:val="24"/>
          <w:szCs w:val="24"/>
        </w:rPr>
        <w:t>explore</w:t>
      </w:r>
      <w:r w:rsidRPr="002E2670">
        <w:rPr>
          <w:rFonts w:ascii="Times New Roman" w:hAnsi="Times New Roman" w:cs="Times New Roman"/>
          <w:sz w:val="24"/>
          <w:szCs w:val="24"/>
        </w:rPr>
        <w:t xml:space="preserve"> the performance of listed banks since 201</w:t>
      </w:r>
      <w:r w:rsidR="00AD0912">
        <w:rPr>
          <w:rFonts w:ascii="Times New Roman" w:hAnsi="Times New Roman" w:cs="Times New Roman"/>
          <w:sz w:val="24"/>
          <w:szCs w:val="24"/>
        </w:rPr>
        <w:t>8</w:t>
      </w:r>
      <w:r w:rsidRPr="002E2670">
        <w:rPr>
          <w:rFonts w:ascii="Times New Roman" w:hAnsi="Times New Roman" w:cs="Times New Roman"/>
          <w:sz w:val="24"/>
          <w:szCs w:val="24"/>
        </w:rPr>
        <w:t xml:space="preserve">. The report is mainly split into three parts. Firstly, </w:t>
      </w:r>
      <w:r w:rsidR="00FB0421">
        <w:rPr>
          <w:rFonts w:ascii="Times New Roman" w:hAnsi="Times New Roman" w:cs="Times New Roman"/>
          <w:sz w:val="24"/>
          <w:szCs w:val="24"/>
        </w:rPr>
        <w:t>“</w:t>
      </w:r>
      <w:r w:rsidR="006C27C0">
        <w:rPr>
          <w:rFonts w:ascii="Times New Roman" w:hAnsi="Times New Roman" w:cs="Times New Roman"/>
          <w:sz w:val="24"/>
          <w:szCs w:val="24"/>
        </w:rPr>
        <w:t>shortly</w:t>
      </w:r>
      <w:r w:rsidRPr="002E2670">
        <w:rPr>
          <w:rFonts w:ascii="Times New Roman" w:hAnsi="Times New Roman" w:cs="Times New Roman"/>
          <w:sz w:val="24"/>
          <w:szCs w:val="24"/>
        </w:rPr>
        <w:t xml:space="preserve"> </w:t>
      </w:r>
      <w:r w:rsidR="006C27C0">
        <w:rPr>
          <w:rFonts w:ascii="Times New Roman" w:hAnsi="Times New Roman" w:cs="Times New Roman"/>
          <w:sz w:val="24"/>
          <w:szCs w:val="24"/>
        </w:rPr>
        <w:t>explore</w:t>
      </w:r>
      <w:r w:rsidRPr="002E2670">
        <w:rPr>
          <w:rFonts w:ascii="Times New Roman" w:hAnsi="Times New Roman" w:cs="Times New Roman"/>
          <w:sz w:val="24"/>
          <w:szCs w:val="24"/>
        </w:rPr>
        <w:t xml:space="preserve"> of key financial results </w:t>
      </w:r>
      <w:r w:rsidR="0066185D">
        <w:rPr>
          <w:rFonts w:ascii="Times New Roman" w:hAnsi="Times New Roman" w:cs="Times New Roman"/>
          <w:sz w:val="24"/>
          <w:szCs w:val="24"/>
        </w:rPr>
        <w:t>by</w:t>
      </w:r>
      <w:r w:rsidRPr="002E2670">
        <w:rPr>
          <w:rFonts w:ascii="Times New Roman" w:hAnsi="Times New Roman" w:cs="Times New Roman"/>
          <w:sz w:val="24"/>
          <w:szCs w:val="24"/>
        </w:rPr>
        <w:t xml:space="preserve"> considering revenue growth and returns and earnings</w:t>
      </w:r>
      <w:r w:rsidR="0066185D">
        <w:rPr>
          <w:rFonts w:ascii="Times New Roman" w:hAnsi="Times New Roman" w:cs="Times New Roman"/>
          <w:sz w:val="24"/>
          <w:szCs w:val="24"/>
        </w:rPr>
        <w:t xml:space="preserve"> of </w:t>
      </w:r>
      <w:r w:rsidR="0066185D" w:rsidRPr="002E2670">
        <w:rPr>
          <w:rFonts w:ascii="Times New Roman" w:hAnsi="Times New Roman" w:cs="Times New Roman"/>
          <w:sz w:val="24"/>
          <w:szCs w:val="24"/>
        </w:rPr>
        <w:t>all banks</w:t>
      </w:r>
      <w:r w:rsidR="00FB0421">
        <w:rPr>
          <w:rFonts w:ascii="Times New Roman" w:hAnsi="Times New Roman" w:cs="Times New Roman"/>
          <w:sz w:val="24"/>
          <w:szCs w:val="24"/>
        </w:rPr>
        <w:t>”</w:t>
      </w:r>
      <w:r w:rsidRPr="002E2670">
        <w:rPr>
          <w:rFonts w:ascii="Times New Roman" w:hAnsi="Times New Roman" w:cs="Times New Roman"/>
          <w:sz w:val="24"/>
          <w:szCs w:val="24"/>
        </w:rPr>
        <w:t xml:space="preserve">. Secondly, </w:t>
      </w:r>
      <w:r w:rsidR="00FB0421">
        <w:rPr>
          <w:rFonts w:ascii="Times New Roman" w:hAnsi="Times New Roman" w:cs="Times New Roman"/>
          <w:sz w:val="24"/>
          <w:szCs w:val="24"/>
        </w:rPr>
        <w:t>“</w:t>
      </w:r>
      <w:r w:rsidRPr="002E2670">
        <w:rPr>
          <w:rFonts w:ascii="Times New Roman" w:hAnsi="Times New Roman" w:cs="Times New Roman"/>
          <w:sz w:val="24"/>
          <w:szCs w:val="24"/>
        </w:rPr>
        <w:t xml:space="preserve">banking sector’s stability </w:t>
      </w:r>
      <w:r w:rsidR="006A6AE9">
        <w:rPr>
          <w:rFonts w:ascii="Times New Roman" w:hAnsi="Times New Roman" w:cs="Times New Roman"/>
          <w:sz w:val="24"/>
          <w:szCs w:val="24"/>
        </w:rPr>
        <w:t>appraisal</w:t>
      </w:r>
      <w:r w:rsidRPr="002E2670">
        <w:rPr>
          <w:rFonts w:ascii="Times New Roman" w:hAnsi="Times New Roman" w:cs="Times New Roman"/>
          <w:sz w:val="24"/>
          <w:szCs w:val="24"/>
        </w:rPr>
        <w:t xml:space="preserve"> based on last three years</w:t>
      </w:r>
      <w:r w:rsidR="001D6242">
        <w:rPr>
          <w:rFonts w:ascii="Times New Roman" w:hAnsi="Times New Roman" w:cs="Times New Roman"/>
          <w:sz w:val="24"/>
          <w:szCs w:val="24"/>
        </w:rPr>
        <w:t xml:space="preserve"> and </w:t>
      </w:r>
      <w:r w:rsidRPr="002E2670">
        <w:rPr>
          <w:rFonts w:ascii="Times New Roman" w:hAnsi="Times New Roman" w:cs="Times New Roman"/>
          <w:sz w:val="24"/>
          <w:szCs w:val="24"/>
        </w:rPr>
        <w:t xml:space="preserve">return distribution </w:t>
      </w:r>
      <w:r w:rsidR="001D6242">
        <w:rPr>
          <w:rFonts w:ascii="Times New Roman" w:hAnsi="Times New Roman" w:cs="Times New Roman"/>
          <w:sz w:val="24"/>
          <w:szCs w:val="24"/>
        </w:rPr>
        <w:t>based on</w:t>
      </w:r>
      <w:r w:rsidRPr="002E2670">
        <w:rPr>
          <w:rFonts w:ascii="Times New Roman" w:hAnsi="Times New Roman" w:cs="Times New Roman"/>
          <w:sz w:val="24"/>
          <w:szCs w:val="24"/>
        </w:rPr>
        <w:t xml:space="preserve"> </w:t>
      </w:r>
      <w:r w:rsidR="00AD0912">
        <w:rPr>
          <w:rFonts w:ascii="Times New Roman" w:hAnsi="Times New Roman" w:cs="Times New Roman"/>
          <w:sz w:val="24"/>
          <w:szCs w:val="24"/>
        </w:rPr>
        <w:t>Dhaka Stock Exchange</w:t>
      </w:r>
      <w:r w:rsidRPr="002E2670">
        <w:rPr>
          <w:rFonts w:ascii="Times New Roman" w:hAnsi="Times New Roman" w:cs="Times New Roman"/>
          <w:sz w:val="24"/>
          <w:szCs w:val="24"/>
        </w:rPr>
        <w:t xml:space="preserve"> Index and Bank Sector’s Index</w:t>
      </w:r>
      <w:r w:rsidR="00FB0421">
        <w:rPr>
          <w:rFonts w:ascii="Times New Roman" w:hAnsi="Times New Roman" w:cs="Times New Roman"/>
          <w:sz w:val="24"/>
          <w:szCs w:val="24"/>
        </w:rPr>
        <w:t>”.</w:t>
      </w:r>
      <w:r w:rsidRPr="002E2670">
        <w:rPr>
          <w:rFonts w:ascii="Times New Roman" w:hAnsi="Times New Roman" w:cs="Times New Roman"/>
          <w:sz w:val="24"/>
          <w:szCs w:val="24"/>
        </w:rPr>
        <w:t xml:space="preserve"> Third</w:t>
      </w:r>
      <w:r w:rsidR="00FB0421">
        <w:rPr>
          <w:rFonts w:ascii="Times New Roman" w:hAnsi="Times New Roman" w:cs="Times New Roman"/>
          <w:sz w:val="24"/>
          <w:szCs w:val="24"/>
        </w:rPr>
        <w:t>ly</w:t>
      </w:r>
      <w:r w:rsidRPr="002E2670">
        <w:rPr>
          <w:rFonts w:ascii="Times New Roman" w:hAnsi="Times New Roman" w:cs="Times New Roman"/>
          <w:sz w:val="24"/>
          <w:szCs w:val="24"/>
        </w:rPr>
        <w:t xml:space="preserve">, </w:t>
      </w:r>
      <w:r w:rsidR="00FB0421">
        <w:rPr>
          <w:rFonts w:ascii="Times New Roman" w:hAnsi="Times New Roman" w:cs="Times New Roman"/>
          <w:sz w:val="24"/>
          <w:szCs w:val="24"/>
        </w:rPr>
        <w:t>“</w:t>
      </w:r>
      <w:r w:rsidR="006A6AE9">
        <w:rPr>
          <w:rFonts w:ascii="Times New Roman" w:hAnsi="Times New Roman" w:cs="Times New Roman"/>
          <w:sz w:val="24"/>
          <w:szCs w:val="24"/>
        </w:rPr>
        <w:t>after calculating returns try to find out</w:t>
      </w:r>
      <w:r w:rsidRPr="002E2670">
        <w:rPr>
          <w:rFonts w:ascii="Times New Roman" w:hAnsi="Times New Roman" w:cs="Times New Roman"/>
          <w:sz w:val="24"/>
          <w:szCs w:val="24"/>
        </w:rPr>
        <w:t xml:space="preserve"> how banks performed last three</w:t>
      </w:r>
      <w:r w:rsidR="00FB0421">
        <w:rPr>
          <w:rFonts w:ascii="Times New Roman" w:hAnsi="Times New Roman" w:cs="Times New Roman"/>
          <w:sz w:val="24"/>
          <w:szCs w:val="24"/>
        </w:rPr>
        <w:t>”</w:t>
      </w:r>
      <w:r w:rsidRPr="002E2670">
        <w:rPr>
          <w:rFonts w:ascii="Times New Roman" w:hAnsi="Times New Roman" w:cs="Times New Roman"/>
          <w:sz w:val="24"/>
          <w:szCs w:val="24"/>
        </w:rPr>
        <w:t>.</w:t>
      </w:r>
    </w:p>
    <w:p w:rsidR="00C51982" w:rsidRDefault="00C51982" w:rsidP="00C51982">
      <w:pPr>
        <w:pStyle w:val="Heading2"/>
        <w:rPr>
          <w:rFonts w:cs="Times New Roman"/>
          <w:szCs w:val="28"/>
        </w:rPr>
      </w:pPr>
      <w:bookmarkStart w:id="23" w:name="_Toc62037710"/>
      <w:r w:rsidRPr="00C51982">
        <w:rPr>
          <w:rFonts w:cs="Times New Roman"/>
          <w:szCs w:val="28"/>
        </w:rPr>
        <w:t>Banks’ Participation in Capital Market</w:t>
      </w:r>
      <w:bookmarkEnd w:id="23"/>
    </w:p>
    <w:p w:rsidR="00C51982" w:rsidRPr="00C51982" w:rsidRDefault="00C51982" w:rsidP="00C51982"/>
    <w:p w:rsidR="002448B5" w:rsidRPr="002E2670" w:rsidRDefault="00747765" w:rsidP="00C519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w:t>
      </w:r>
      <w:r w:rsidRPr="009A6F6D">
        <w:rPr>
          <w:rFonts w:ascii="Times New Roman" w:hAnsi="Times New Roman" w:cs="Times New Roman"/>
          <w:sz w:val="24"/>
          <w:szCs w:val="24"/>
        </w:rPr>
        <w:t>30 banks are listed with Bangladesh stock market.</w:t>
      </w:r>
      <w:r>
        <w:rPr>
          <w:rFonts w:ascii="Times New Roman" w:hAnsi="Times New Roman" w:cs="Times New Roman"/>
          <w:sz w:val="24"/>
          <w:szCs w:val="24"/>
        </w:rPr>
        <w:t xml:space="preserve"> T</w:t>
      </w:r>
      <w:r w:rsidRPr="009A6F6D">
        <w:rPr>
          <w:rFonts w:ascii="Times New Roman" w:hAnsi="Times New Roman" w:cs="Times New Roman"/>
          <w:sz w:val="24"/>
          <w:szCs w:val="24"/>
        </w:rPr>
        <w:t xml:space="preserve">he only </w:t>
      </w:r>
      <w:r>
        <w:rPr>
          <w:rFonts w:ascii="Times New Roman" w:hAnsi="Times New Roman" w:cs="Times New Roman"/>
          <w:sz w:val="24"/>
          <w:szCs w:val="24"/>
        </w:rPr>
        <w:t>s</w:t>
      </w:r>
      <w:r w:rsidRPr="009A6F6D">
        <w:rPr>
          <w:rFonts w:ascii="Times New Roman" w:hAnsi="Times New Roman" w:cs="Times New Roman"/>
          <w:sz w:val="24"/>
          <w:szCs w:val="24"/>
        </w:rPr>
        <w:t xml:space="preserve">tate </w:t>
      </w:r>
      <w:r>
        <w:rPr>
          <w:rFonts w:ascii="Times New Roman" w:hAnsi="Times New Roman" w:cs="Times New Roman"/>
          <w:sz w:val="24"/>
          <w:szCs w:val="24"/>
        </w:rPr>
        <w:t>o</w:t>
      </w:r>
      <w:r w:rsidRPr="009A6F6D">
        <w:rPr>
          <w:rFonts w:ascii="Times New Roman" w:hAnsi="Times New Roman" w:cs="Times New Roman"/>
          <w:sz w:val="24"/>
          <w:szCs w:val="24"/>
        </w:rPr>
        <w:t xml:space="preserve">wned </w:t>
      </w:r>
      <w:r>
        <w:rPr>
          <w:rFonts w:ascii="Times New Roman" w:hAnsi="Times New Roman" w:cs="Times New Roman"/>
          <w:sz w:val="24"/>
          <w:szCs w:val="24"/>
        </w:rPr>
        <w:t>c</w:t>
      </w:r>
      <w:r w:rsidRPr="009A6F6D">
        <w:rPr>
          <w:rFonts w:ascii="Times New Roman" w:hAnsi="Times New Roman" w:cs="Times New Roman"/>
          <w:sz w:val="24"/>
          <w:szCs w:val="24"/>
        </w:rPr>
        <w:t xml:space="preserve">ommercial </w:t>
      </w:r>
      <w:r>
        <w:rPr>
          <w:rFonts w:ascii="Times New Roman" w:hAnsi="Times New Roman" w:cs="Times New Roman"/>
          <w:sz w:val="24"/>
          <w:szCs w:val="24"/>
        </w:rPr>
        <w:t>b</w:t>
      </w:r>
      <w:r w:rsidRPr="009A6F6D">
        <w:rPr>
          <w:rFonts w:ascii="Times New Roman" w:hAnsi="Times New Roman" w:cs="Times New Roman"/>
          <w:sz w:val="24"/>
          <w:szCs w:val="24"/>
        </w:rPr>
        <w:t xml:space="preserve">anks listed with the </w:t>
      </w:r>
      <w:r>
        <w:rPr>
          <w:rFonts w:ascii="Times New Roman" w:hAnsi="Times New Roman" w:cs="Times New Roman"/>
          <w:sz w:val="24"/>
          <w:szCs w:val="24"/>
        </w:rPr>
        <w:t xml:space="preserve">stock </w:t>
      </w:r>
      <w:r w:rsidRPr="009A6F6D">
        <w:rPr>
          <w:rFonts w:ascii="Times New Roman" w:hAnsi="Times New Roman" w:cs="Times New Roman"/>
          <w:sz w:val="24"/>
          <w:szCs w:val="24"/>
        </w:rPr>
        <w:t>exchange</w:t>
      </w:r>
      <w:r>
        <w:rPr>
          <w:rFonts w:ascii="Times New Roman" w:hAnsi="Times New Roman" w:cs="Times New Roman"/>
          <w:sz w:val="24"/>
          <w:szCs w:val="24"/>
        </w:rPr>
        <w:t xml:space="preserve"> market are </w:t>
      </w:r>
      <w:proofErr w:type="spellStart"/>
      <w:r w:rsidRPr="009A6F6D">
        <w:rPr>
          <w:rFonts w:ascii="Times New Roman" w:hAnsi="Times New Roman" w:cs="Times New Roman"/>
          <w:sz w:val="24"/>
          <w:szCs w:val="24"/>
        </w:rPr>
        <w:t>Rupali</w:t>
      </w:r>
      <w:proofErr w:type="spellEnd"/>
      <w:r w:rsidRPr="009A6F6D">
        <w:rPr>
          <w:rFonts w:ascii="Times New Roman" w:hAnsi="Times New Roman" w:cs="Times New Roman"/>
          <w:sz w:val="24"/>
          <w:szCs w:val="24"/>
        </w:rPr>
        <w:t xml:space="preserve"> bank l</w:t>
      </w:r>
      <w:r>
        <w:rPr>
          <w:rFonts w:ascii="Times New Roman" w:hAnsi="Times New Roman" w:cs="Times New Roman"/>
          <w:sz w:val="24"/>
          <w:szCs w:val="24"/>
        </w:rPr>
        <w:t>t</w:t>
      </w:r>
      <w:r w:rsidRPr="009A6F6D">
        <w:rPr>
          <w:rFonts w:ascii="Times New Roman" w:hAnsi="Times New Roman" w:cs="Times New Roman"/>
          <w:sz w:val="24"/>
          <w:szCs w:val="24"/>
        </w:rPr>
        <w:t>d</w:t>
      </w:r>
      <w:r>
        <w:rPr>
          <w:rFonts w:ascii="Times New Roman" w:hAnsi="Times New Roman" w:cs="Times New Roman"/>
          <w:sz w:val="24"/>
          <w:szCs w:val="24"/>
        </w:rPr>
        <w:t>.</w:t>
      </w:r>
      <w:r w:rsidRPr="009A6F6D">
        <w:rPr>
          <w:rFonts w:ascii="Times New Roman" w:hAnsi="Times New Roman" w:cs="Times New Roman"/>
          <w:sz w:val="24"/>
          <w:szCs w:val="24"/>
        </w:rPr>
        <w:t xml:space="preserve">, </w:t>
      </w:r>
      <w:r>
        <w:rPr>
          <w:rFonts w:ascii="Times New Roman" w:hAnsi="Times New Roman" w:cs="Times New Roman"/>
          <w:sz w:val="24"/>
          <w:szCs w:val="24"/>
        </w:rPr>
        <w:t>others</w:t>
      </w:r>
      <w:r w:rsidRPr="009A6F6D">
        <w:rPr>
          <w:rFonts w:ascii="Times New Roman" w:hAnsi="Times New Roman" w:cs="Times New Roman"/>
          <w:sz w:val="24"/>
          <w:szCs w:val="24"/>
        </w:rPr>
        <w:t xml:space="preserve"> are </w:t>
      </w:r>
      <w:proofErr w:type="spellStart"/>
      <w:proofErr w:type="gramStart"/>
      <w:r>
        <w:rPr>
          <w:rFonts w:ascii="Times New Roman" w:hAnsi="Times New Roman" w:cs="Times New Roman"/>
          <w:sz w:val="24"/>
          <w:szCs w:val="24"/>
        </w:rPr>
        <w:t>i</w:t>
      </w:r>
      <w:r w:rsidRPr="009A6F6D">
        <w:rPr>
          <w:rFonts w:ascii="Times New Roman" w:hAnsi="Times New Roman" w:cs="Times New Roman"/>
          <w:sz w:val="24"/>
          <w:szCs w:val="24"/>
        </w:rPr>
        <w:t>slamic</w:t>
      </w:r>
      <w:proofErr w:type="spellEnd"/>
      <w:proofErr w:type="gramEnd"/>
      <w:r w:rsidRPr="009A6F6D">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9A6F6D">
        <w:rPr>
          <w:rFonts w:ascii="Times New Roman" w:hAnsi="Times New Roman" w:cs="Times New Roman"/>
          <w:sz w:val="24"/>
          <w:szCs w:val="24"/>
        </w:rPr>
        <w:t>hariah</w:t>
      </w:r>
      <w:proofErr w:type="spellEnd"/>
      <w:r>
        <w:rPr>
          <w:rFonts w:ascii="Times New Roman" w:hAnsi="Times New Roman" w:cs="Times New Roman"/>
          <w:sz w:val="24"/>
          <w:szCs w:val="24"/>
        </w:rPr>
        <w:t xml:space="preserve"> </w:t>
      </w:r>
      <w:r w:rsidRPr="009A6F6D">
        <w:rPr>
          <w:rFonts w:ascii="Times New Roman" w:hAnsi="Times New Roman" w:cs="Times New Roman"/>
          <w:sz w:val="24"/>
          <w:szCs w:val="24"/>
        </w:rPr>
        <w:t xml:space="preserve">and </w:t>
      </w:r>
      <w:r>
        <w:rPr>
          <w:rFonts w:ascii="Times New Roman" w:hAnsi="Times New Roman" w:cs="Times New Roman"/>
          <w:sz w:val="24"/>
          <w:szCs w:val="24"/>
        </w:rPr>
        <w:t>traditional</w:t>
      </w:r>
      <w:r w:rsidRPr="009A6F6D">
        <w:rPr>
          <w:rFonts w:ascii="Times New Roman" w:hAnsi="Times New Roman" w:cs="Times New Roman"/>
          <w:sz w:val="24"/>
          <w:szCs w:val="24"/>
        </w:rPr>
        <w:t xml:space="preserve"> based </w:t>
      </w:r>
      <w:r>
        <w:rPr>
          <w:rFonts w:ascii="Times New Roman" w:hAnsi="Times New Roman" w:cs="Times New Roman"/>
          <w:sz w:val="24"/>
          <w:szCs w:val="24"/>
        </w:rPr>
        <w:t>p</w:t>
      </w:r>
      <w:r w:rsidRPr="009A6F6D">
        <w:rPr>
          <w:rFonts w:ascii="Times New Roman" w:hAnsi="Times New Roman" w:cs="Times New Roman"/>
          <w:sz w:val="24"/>
          <w:szCs w:val="24"/>
        </w:rPr>
        <w:t xml:space="preserve">rivate </w:t>
      </w:r>
      <w:r>
        <w:rPr>
          <w:rFonts w:ascii="Times New Roman" w:hAnsi="Times New Roman" w:cs="Times New Roman"/>
          <w:sz w:val="24"/>
          <w:szCs w:val="24"/>
        </w:rPr>
        <w:t>c</w:t>
      </w:r>
      <w:r w:rsidRPr="009A6F6D">
        <w:rPr>
          <w:rFonts w:ascii="Times New Roman" w:hAnsi="Times New Roman" w:cs="Times New Roman"/>
          <w:sz w:val="24"/>
          <w:szCs w:val="24"/>
        </w:rPr>
        <w:t xml:space="preserve">ommercial </w:t>
      </w:r>
      <w:r>
        <w:rPr>
          <w:rFonts w:ascii="Times New Roman" w:hAnsi="Times New Roman" w:cs="Times New Roman"/>
          <w:sz w:val="24"/>
          <w:szCs w:val="24"/>
        </w:rPr>
        <w:t>b</w:t>
      </w:r>
      <w:r w:rsidRPr="009A6F6D">
        <w:rPr>
          <w:rFonts w:ascii="Times New Roman" w:hAnsi="Times New Roman" w:cs="Times New Roman"/>
          <w:sz w:val="24"/>
          <w:szCs w:val="24"/>
        </w:rPr>
        <w:t xml:space="preserve">anks. </w:t>
      </w:r>
      <w:r w:rsidRPr="00D91778">
        <w:rPr>
          <w:rFonts w:ascii="Times New Roman" w:hAnsi="Times New Roman" w:cs="Times New Roman"/>
          <w:sz w:val="24"/>
          <w:szCs w:val="24"/>
        </w:rPr>
        <w:t>Arab Bangladesh Bank Ltd</w:t>
      </w:r>
      <w:r>
        <w:rPr>
          <w:rFonts w:ascii="Times New Roman" w:hAnsi="Times New Roman" w:cs="Times New Roman"/>
          <w:sz w:val="24"/>
          <w:szCs w:val="24"/>
        </w:rPr>
        <w:t xml:space="preserve"> was the</w:t>
      </w:r>
      <w:r w:rsidRPr="00D91778">
        <w:rPr>
          <w:rFonts w:ascii="Times New Roman" w:hAnsi="Times New Roman" w:cs="Times New Roman"/>
          <w:sz w:val="24"/>
          <w:szCs w:val="24"/>
        </w:rPr>
        <w:t xml:space="preserve"> first bank who started </w:t>
      </w:r>
      <w:r>
        <w:rPr>
          <w:rFonts w:ascii="Times New Roman" w:hAnsi="Times New Roman" w:cs="Times New Roman"/>
          <w:sz w:val="24"/>
          <w:szCs w:val="24"/>
        </w:rPr>
        <w:t xml:space="preserve">the stock market journey in </w:t>
      </w:r>
      <w:r w:rsidR="007B08E6">
        <w:rPr>
          <w:rFonts w:ascii="Times New Roman" w:hAnsi="Times New Roman" w:cs="Times New Roman"/>
          <w:sz w:val="24"/>
          <w:szCs w:val="24"/>
        </w:rPr>
        <w:t>Bangladesh</w:t>
      </w:r>
      <w:r>
        <w:rPr>
          <w:rFonts w:ascii="Times New Roman" w:hAnsi="Times New Roman" w:cs="Times New Roman"/>
          <w:sz w:val="24"/>
          <w:szCs w:val="24"/>
        </w:rPr>
        <w:t>.</w:t>
      </w:r>
      <w:r w:rsidRPr="009A6F6D">
        <w:rPr>
          <w:rFonts w:ascii="Times New Roman" w:hAnsi="Times New Roman" w:cs="Times New Roman"/>
          <w:sz w:val="24"/>
          <w:szCs w:val="24"/>
        </w:rPr>
        <w:t xml:space="preserve"> </w:t>
      </w:r>
      <w:r>
        <w:rPr>
          <w:rFonts w:ascii="Times New Roman" w:hAnsi="Times New Roman" w:cs="Times New Roman"/>
          <w:sz w:val="24"/>
          <w:szCs w:val="24"/>
        </w:rPr>
        <w:t>T</w:t>
      </w:r>
      <w:r w:rsidRPr="009A6F6D">
        <w:rPr>
          <w:rFonts w:ascii="Times New Roman" w:hAnsi="Times New Roman" w:cs="Times New Roman"/>
          <w:sz w:val="24"/>
          <w:szCs w:val="24"/>
        </w:rPr>
        <w:t xml:space="preserve">he first PCB and first generation bank listed with the </w:t>
      </w:r>
      <w:r>
        <w:rPr>
          <w:rFonts w:ascii="Times New Roman" w:hAnsi="Times New Roman" w:cs="Times New Roman"/>
          <w:sz w:val="24"/>
          <w:szCs w:val="24"/>
        </w:rPr>
        <w:t xml:space="preserve">stock </w:t>
      </w:r>
      <w:r w:rsidRPr="009A6F6D">
        <w:rPr>
          <w:rFonts w:ascii="Times New Roman" w:hAnsi="Times New Roman" w:cs="Times New Roman"/>
          <w:sz w:val="24"/>
          <w:szCs w:val="24"/>
        </w:rPr>
        <w:t xml:space="preserve">exchange on Monday, December 12, 1983. </w:t>
      </w:r>
      <w:r>
        <w:rPr>
          <w:rFonts w:ascii="Times New Roman" w:hAnsi="Times New Roman" w:cs="Times New Roman"/>
          <w:sz w:val="24"/>
          <w:szCs w:val="24"/>
        </w:rPr>
        <w:t>Dhaka Stock Exchange</w:t>
      </w:r>
      <w:r w:rsidRPr="009A6F6D">
        <w:rPr>
          <w:rFonts w:ascii="Times New Roman" w:hAnsi="Times New Roman" w:cs="Times New Roman"/>
          <w:sz w:val="24"/>
          <w:szCs w:val="24"/>
        </w:rPr>
        <w:t xml:space="preserve"> listed with highest number of banks </w:t>
      </w:r>
      <w:r>
        <w:rPr>
          <w:rFonts w:ascii="Times New Roman" w:hAnsi="Times New Roman" w:cs="Times New Roman"/>
          <w:sz w:val="24"/>
          <w:szCs w:val="24"/>
        </w:rPr>
        <w:t>d</w:t>
      </w:r>
      <w:r w:rsidRPr="009A6F6D">
        <w:rPr>
          <w:rFonts w:ascii="Times New Roman" w:hAnsi="Times New Roman" w:cs="Times New Roman"/>
          <w:sz w:val="24"/>
          <w:szCs w:val="24"/>
        </w:rPr>
        <w:t>uring the year 2000</w:t>
      </w:r>
      <w:r>
        <w:rPr>
          <w:rFonts w:ascii="Times New Roman" w:hAnsi="Times New Roman" w:cs="Times New Roman"/>
          <w:sz w:val="24"/>
          <w:szCs w:val="24"/>
        </w:rPr>
        <w:t xml:space="preserve"> </w:t>
      </w:r>
      <w:r w:rsidRPr="009A6F6D">
        <w:rPr>
          <w:rFonts w:ascii="Times New Roman" w:hAnsi="Times New Roman" w:cs="Times New Roman"/>
          <w:sz w:val="24"/>
          <w:szCs w:val="24"/>
        </w:rPr>
        <w:t xml:space="preserve">the </w:t>
      </w:r>
      <w:r w:rsidRPr="009A6F6D">
        <w:rPr>
          <w:rFonts w:ascii="Times New Roman" w:hAnsi="Times New Roman" w:cs="Times New Roman"/>
          <w:bCs/>
          <w:sz w:val="24"/>
          <w:szCs w:val="24"/>
          <w:shd w:val="clear" w:color="auto" w:fill="FFFFFF"/>
        </w:rPr>
        <w:t xml:space="preserve">pursued by </w:t>
      </w:r>
      <w:r w:rsidRPr="009A6F6D">
        <w:rPr>
          <w:rFonts w:ascii="Times New Roman" w:hAnsi="Times New Roman" w:cs="Times New Roman"/>
          <w:bCs/>
          <w:sz w:val="24"/>
          <w:szCs w:val="24"/>
          <w:shd w:val="clear" w:color="auto" w:fill="FFFFFF"/>
        </w:rPr>
        <w:lastRenderedPageBreak/>
        <w:t>third generation banks</w:t>
      </w:r>
      <w:r>
        <w:rPr>
          <w:rFonts w:ascii="Times New Roman" w:hAnsi="Times New Roman" w:cs="Times New Roman"/>
          <w:bCs/>
          <w:sz w:val="24"/>
          <w:szCs w:val="24"/>
          <w:shd w:val="clear" w:color="auto" w:fill="FFFFFF"/>
        </w:rPr>
        <w:t>. F</w:t>
      </w:r>
      <w:r w:rsidRPr="009A6F6D">
        <w:rPr>
          <w:rFonts w:ascii="Times New Roman" w:hAnsi="Times New Roman" w:cs="Times New Roman"/>
          <w:bCs/>
          <w:sz w:val="24"/>
          <w:szCs w:val="24"/>
          <w:shd w:val="clear" w:color="auto" w:fill="FFFFFF"/>
        </w:rPr>
        <w:t xml:space="preserve">rom the </w:t>
      </w:r>
      <w:r>
        <w:rPr>
          <w:rFonts w:ascii="Times New Roman" w:hAnsi="Times New Roman" w:cs="Times New Roman"/>
          <w:bCs/>
          <w:sz w:val="24"/>
          <w:szCs w:val="24"/>
          <w:shd w:val="clear" w:color="auto" w:fill="FFFFFF"/>
        </w:rPr>
        <w:t>start of 2007,</w:t>
      </w:r>
      <w:r w:rsidRPr="009A6F6D">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 xml:space="preserve">Stock market was ruled by banking sector of Bangladesh. The key aspects ruled by banks are </w:t>
      </w:r>
      <w:r w:rsidRPr="009A6F6D">
        <w:rPr>
          <w:rFonts w:ascii="Times New Roman" w:hAnsi="Times New Roman" w:cs="Times New Roman"/>
          <w:bCs/>
          <w:sz w:val="24"/>
          <w:szCs w:val="24"/>
          <w:shd w:val="clear" w:color="auto" w:fill="FFFFFF"/>
        </w:rPr>
        <w:t>market</w:t>
      </w:r>
      <w:r>
        <w:rPr>
          <w:rFonts w:ascii="Times New Roman" w:hAnsi="Times New Roman" w:cs="Times New Roman"/>
          <w:bCs/>
          <w:sz w:val="24"/>
          <w:szCs w:val="24"/>
          <w:shd w:val="clear" w:color="auto" w:fill="FFFFFF"/>
        </w:rPr>
        <w:t xml:space="preserve"> capitalization, </w:t>
      </w:r>
      <w:r w:rsidRPr="009A6F6D">
        <w:rPr>
          <w:rFonts w:ascii="Times New Roman" w:hAnsi="Times New Roman" w:cs="Times New Roman"/>
          <w:bCs/>
          <w:sz w:val="24"/>
          <w:szCs w:val="24"/>
          <w:shd w:val="clear" w:color="auto" w:fill="FFFFFF"/>
        </w:rPr>
        <w:t>turnover volume</w:t>
      </w:r>
      <w:r>
        <w:rPr>
          <w:rFonts w:ascii="Times New Roman" w:hAnsi="Times New Roman" w:cs="Times New Roman"/>
          <w:bCs/>
          <w:sz w:val="24"/>
          <w:szCs w:val="24"/>
          <w:shd w:val="clear" w:color="auto" w:fill="FFFFFF"/>
        </w:rPr>
        <w:t>, number</w:t>
      </w:r>
      <w:r w:rsidRPr="009A6F6D">
        <w:rPr>
          <w:rFonts w:ascii="Times New Roman" w:hAnsi="Times New Roman" w:cs="Times New Roman"/>
          <w:bCs/>
          <w:sz w:val="24"/>
          <w:szCs w:val="24"/>
          <w:shd w:val="clear" w:color="auto" w:fill="FFFFFF"/>
        </w:rPr>
        <w:t xml:space="preserve"> of trades and other market indicators etc. </w:t>
      </w:r>
      <w:r>
        <w:rPr>
          <w:rFonts w:ascii="Times New Roman" w:hAnsi="Times New Roman" w:cs="Times New Roman"/>
          <w:bCs/>
          <w:sz w:val="24"/>
          <w:szCs w:val="24"/>
          <w:shd w:val="clear" w:color="auto" w:fill="FFFFFF"/>
        </w:rPr>
        <w:t>In l</w:t>
      </w:r>
      <w:r w:rsidRPr="009A6F6D">
        <w:rPr>
          <w:rFonts w:ascii="Times New Roman" w:hAnsi="Times New Roman" w:cs="Times New Roman"/>
          <w:bCs/>
          <w:sz w:val="24"/>
          <w:szCs w:val="24"/>
          <w:shd w:val="clear" w:color="auto" w:fill="FFFFFF"/>
        </w:rPr>
        <w:t>ast few years, they are not matching up good</w:t>
      </w:r>
      <w:r w:rsidRPr="009A6F6D">
        <w:rPr>
          <w:rFonts w:ascii="Times New Roman" w:hAnsi="Times New Roman" w:cs="Times New Roman"/>
          <w:sz w:val="24"/>
          <w:szCs w:val="24"/>
        </w:rPr>
        <w:t xml:space="preserve"> competition with other fastest growing sectors like Pharmaceuticals</w:t>
      </w:r>
      <w:r>
        <w:rPr>
          <w:rFonts w:ascii="Times New Roman" w:hAnsi="Times New Roman" w:cs="Times New Roman"/>
          <w:sz w:val="24"/>
          <w:szCs w:val="24"/>
        </w:rPr>
        <w:t>,</w:t>
      </w:r>
      <w:r w:rsidRPr="009A6F6D">
        <w:rPr>
          <w:rFonts w:ascii="Times New Roman" w:hAnsi="Times New Roman" w:cs="Times New Roman"/>
          <w:sz w:val="24"/>
          <w:szCs w:val="24"/>
        </w:rPr>
        <w:t xml:space="preserve"> Chemicals</w:t>
      </w:r>
      <w:r>
        <w:rPr>
          <w:rFonts w:ascii="Times New Roman" w:hAnsi="Times New Roman" w:cs="Times New Roman"/>
          <w:sz w:val="24"/>
          <w:szCs w:val="24"/>
        </w:rPr>
        <w:t>,</w:t>
      </w:r>
      <w:r w:rsidRPr="009A6F6D">
        <w:rPr>
          <w:rFonts w:ascii="Times New Roman" w:hAnsi="Times New Roman" w:cs="Times New Roman"/>
          <w:sz w:val="24"/>
          <w:szCs w:val="24"/>
        </w:rPr>
        <w:t xml:space="preserve"> Fuel and Powers in various market indicators.</w:t>
      </w:r>
    </w:p>
    <w:tbl>
      <w:tblPr>
        <w:tblStyle w:val="TableGrid"/>
        <w:tblW w:w="9928" w:type="dxa"/>
        <w:tblLook w:val="04A0" w:firstRow="1" w:lastRow="0" w:firstColumn="1" w:lastColumn="0" w:noHBand="0" w:noVBand="1"/>
      </w:tblPr>
      <w:tblGrid>
        <w:gridCol w:w="651"/>
        <w:gridCol w:w="2985"/>
        <w:gridCol w:w="2171"/>
        <w:gridCol w:w="2081"/>
        <w:gridCol w:w="2040"/>
      </w:tblGrid>
      <w:tr w:rsidR="00C51982" w:rsidRPr="00556804" w:rsidTr="008A307A">
        <w:trPr>
          <w:trHeight w:val="413"/>
        </w:trPr>
        <w:tc>
          <w:tcPr>
            <w:tcW w:w="9928" w:type="dxa"/>
            <w:gridSpan w:val="5"/>
            <w:tcBorders>
              <w:top w:val="nil"/>
              <w:left w:val="nil"/>
              <w:bottom w:val="nil"/>
              <w:right w:val="nil"/>
            </w:tcBorders>
            <w:shd w:val="clear" w:color="auto" w:fill="365F91" w:themeFill="accent1" w:themeFillShade="BF"/>
            <w:vAlign w:val="center"/>
          </w:tcPr>
          <w:p w:rsidR="00C51982" w:rsidRPr="00077F0C" w:rsidRDefault="00C51982" w:rsidP="008A307A">
            <w:pPr>
              <w:spacing w:line="276" w:lineRule="auto"/>
              <w:jc w:val="center"/>
              <w:rPr>
                <w:rFonts w:ascii="Times New Roman" w:hAnsi="Times New Roman" w:cs="Times New Roman"/>
                <w:b/>
              </w:rPr>
            </w:pPr>
            <w:r w:rsidRPr="00BB2C36">
              <w:rPr>
                <w:rFonts w:ascii="Times New Roman" w:hAnsi="Times New Roman" w:cs="Times New Roman"/>
                <w:b/>
                <w:color w:val="FFFFFF" w:themeColor="background1"/>
              </w:rPr>
              <w:t>1st Generation Private Commercial Banks Listed with the Exchange (1982 – 1988)</w:t>
            </w:r>
          </w:p>
        </w:tc>
      </w:tr>
      <w:tr w:rsidR="00C51982" w:rsidRPr="00077F0C" w:rsidTr="008A307A">
        <w:trPr>
          <w:trHeight w:val="569"/>
        </w:trPr>
        <w:tc>
          <w:tcPr>
            <w:tcW w:w="651" w:type="dxa"/>
            <w:tcBorders>
              <w:top w:val="nil"/>
              <w:left w:val="nil"/>
              <w:bottom w:val="single" w:sz="12" w:space="0" w:color="548DD4" w:themeColor="text2" w:themeTint="99"/>
              <w:right w:val="single" w:sz="18" w:space="0" w:color="17365D" w:themeColor="text2" w:themeShade="BF"/>
            </w:tcBorders>
            <w:vAlign w:val="center"/>
          </w:tcPr>
          <w:p w:rsidR="00C51982" w:rsidRPr="00077F0C" w:rsidRDefault="00C51982" w:rsidP="008A307A">
            <w:pPr>
              <w:spacing w:line="276" w:lineRule="auto"/>
              <w:jc w:val="center"/>
              <w:rPr>
                <w:rFonts w:ascii="Times New Roman" w:hAnsi="Times New Roman" w:cs="Times New Roman"/>
                <w:b/>
              </w:rPr>
            </w:pPr>
            <w:r w:rsidRPr="00077F0C">
              <w:rPr>
                <w:rFonts w:ascii="Times New Roman" w:hAnsi="Times New Roman" w:cs="Times New Roman"/>
                <w:b/>
              </w:rPr>
              <w:t>Sl. No.</w:t>
            </w:r>
          </w:p>
        </w:tc>
        <w:tc>
          <w:tcPr>
            <w:tcW w:w="2985"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077F0C" w:rsidRDefault="00C51982" w:rsidP="008A307A">
            <w:pPr>
              <w:spacing w:line="276" w:lineRule="auto"/>
              <w:jc w:val="center"/>
              <w:rPr>
                <w:rFonts w:ascii="Times New Roman" w:hAnsi="Times New Roman" w:cs="Times New Roman"/>
                <w:b/>
              </w:rPr>
            </w:pPr>
            <w:r w:rsidRPr="00077F0C">
              <w:rPr>
                <w:rFonts w:ascii="Times New Roman" w:hAnsi="Times New Roman" w:cs="Times New Roman"/>
                <w:b/>
              </w:rPr>
              <w:t>Name of the Banks</w:t>
            </w:r>
          </w:p>
        </w:tc>
        <w:tc>
          <w:tcPr>
            <w:tcW w:w="2171"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077F0C" w:rsidRDefault="00C51982" w:rsidP="008A307A">
            <w:pPr>
              <w:spacing w:line="276" w:lineRule="auto"/>
              <w:jc w:val="center"/>
              <w:rPr>
                <w:rFonts w:ascii="Times New Roman" w:hAnsi="Times New Roman" w:cs="Times New Roman"/>
                <w:b/>
              </w:rPr>
            </w:pPr>
            <w:r w:rsidRPr="00077F0C">
              <w:rPr>
                <w:rFonts w:ascii="Times New Roman" w:hAnsi="Times New Roman" w:cs="Times New Roman"/>
                <w:b/>
              </w:rPr>
              <w:t>Year of Incorporation</w:t>
            </w:r>
          </w:p>
        </w:tc>
        <w:tc>
          <w:tcPr>
            <w:tcW w:w="2081"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077F0C" w:rsidRDefault="00C51982" w:rsidP="008A307A">
            <w:pPr>
              <w:spacing w:line="276" w:lineRule="auto"/>
              <w:jc w:val="center"/>
              <w:rPr>
                <w:rFonts w:ascii="Times New Roman" w:hAnsi="Times New Roman" w:cs="Times New Roman"/>
                <w:b/>
              </w:rPr>
            </w:pPr>
            <w:r w:rsidRPr="00077F0C">
              <w:rPr>
                <w:rFonts w:ascii="Times New Roman" w:hAnsi="Times New Roman" w:cs="Times New Roman"/>
                <w:b/>
              </w:rPr>
              <w:t>Date/Year of Listing</w:t>
            </w:r>
          </w:p>
        </w:tc>
        <w:tc>
          <w:tcPr>
            <w:tcW w:w="2040" w:type="dxa"/>
            <w:tcBorders>
              <w:top w:val="nil"/>
              <w:left w:val="single" w:sz="18" w:space="0" w:color="17365D" w:themeColor="text2" w:themeShade="BF"/>
              <w:bottom w:val="single" w:sz="12" w:space="0" w:color="548DD4" w:themeColor="text2" w:themeTint="99"/>
              <w:right w:val="nil"/>
            </w:tcBorders>
            <w:vAlign w:val="center"/>
          </w:tcPr>
          <w:p w:rsidR="00C51982" w:rsidRPr="00077F0C" w:rsidRDefault="00C51982" w:rsidP="008A307A">
            <w:pPr>
              <w:spacing w:line="276" w:lineRule="auto"/>
              <w:jc w:val="center"/>
              <w:rPr>
                <w:rFonts w:ascii="Times New Roman" w:hAnsi="Times New Roman" w:cs="Times New Roman"/>
                <w:b/>
              </w:rPr>
            </w:pPr>
            <w:r w:rsidRPr="00077F0C">
              <w:rPr>
                <w:rFonts w:ascii="Times New Roman" w:hAnsi="Times New Roman" w:cs="Times New Roman"/>
                <w:b/>
              </w:rPr>
              <w:t>Debut Trading Date</w:t>
            </w:r>
          </w:p>
        </w:tc>
      </w:tr>
      <w:tr w:rsidR="00C51982" w:rsidRPr="00556804" w:rsidTr="008A307A">
        <w:trPr>
          <w:trHeight w:val="293"/>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AB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1982</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12-Dec-83</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31-Oct-84</w:t>
            </w:r>
          </w:p>
        </w:tc>
      </w:tr>
      <w:tr w:rsidR="00C51982" w:rsidRPr="00556804" w:rsidTr="008A307A">
        <w:trPr>
          <w:trHeight w:val="293"/>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The City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1983</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18-Feb-86</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15-Jul-87</w:t>
            </w:r>
          </w:p>
        </w:tc>
      </w:tr>
      <w:tr w:rsidR="00C51982" w:rsidRPr="00556804" w:rsidTr="008A307A">
        <w:trPr>
          <w:trHeight w:val="275"/>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3</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IFIC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1983</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1986</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22-Jun-86</w:t>
            </w:r>
          </w:p>
        </w:tc>
      </w:tr>
      <w:tr w:rsidR="00C51982" w:rsidRPr="00556804" w:rsidTr="008A307A">
        <w:trPr>
          <w:trHeight w:val="293"/>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proofErr w:type="spellStart"/>
            <w:r w:rsidRPr="00556804">
              <w:rPr>
                <w:rFonts w:ascii="Times New Roman" w:hAnsi="Times New Roman" w:cs="Times New Roman"/>
              </w:rPr>
              <w:t>Islami</w:t>
            </w:r>
            <w:proofErr w:type="spellEnd"/>
            <w:r w:rsidRPr="00556804">
              <w:rPr>
                <w:rFonts w:ascii="Times New Roman" w:hAnsi="Times New Roman" w:cs="Times New Roman"/>
              </w:rPr>
              <w:t xml:space="preserve"> Bank Bangladesh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1983</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7-Feb-85</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24-Sep-85</w:t>
            </w:r>
          </w:p>
        </w:tc>
      </w:tr>
      <w:tr w:rsidR="00C51982" w:rsidRPr="00556804" w:rsidTr="008A307A">
        <w:trPr>
          <w:trHeight w:val="275"/>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5</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National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1983</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20-Dec-84</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21-Apr-85</w:t>
            </w:r>
          </w:p>
        </w:tc>
      </w:tr>
      <w:tr w:rsidR="00C51982" w:rsidRPr="00556804" w:rsidTr="008A307A">
        <w:trPr>
          <w:trHeight w:val="293"/>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6</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proofErr w:type="spellStart"/>
            <w:r w:rsidRPr="00556804">
              <w:rPr>
                <w:rFonts w:ascii="Times New Roman" w:hAnsi="Times New Roman" w:cs="Times New Roman"/>
              </w:rPr>
              <w:t>Pubali</w:t>
            </w:r>
            <w:proofErr w:type="spellEnd"/>
            <w:r w:rsidRPr="00556804">
              <w:rPr>
                <w:rFonts w:ascii="Times New Roman" w:hAnsi="Times New Roman" w:cs="Times New Roman"/>
              </w:rPr>
              <w:t xml:space="preserve">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1984</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25-Aug-84</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1-Dec-85</w:t>
            </w:r>
          </w:p>
        </w:tc>
      </w:tr>
      <w:tr w:rsidR="00C51982" w:rsidRPr="00556804" w:rsidTr="008A307A">
        <w:trPr>
          <w:trHeight w:val="293"/>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7</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proofErr w:type="spellStart"/>
            <w:r w:rsidRPr="00556804">
              <w:rPr>
                <w:rFonts w:ascii="Times New Roman" w:hAnsi="Times New Roman" w:cs="Times New Roman"/>
              </w:rPr>
              <w:t>Rupali</w:t>
            </w:r>
            <w:proofErr w:type="spellEnd"/>
            <w:r w:rsidRPr="00556804">
              <w:rPr>
                <w:rFonts w:ascii="Times New Roman" w:hAnsi="Times New Roman" w:cs="Times New Roman"/>
              </w:rPr>
              <w:t xml:space="preserve">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1986</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23-Dec-86</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19-Aug-87</w:t>
            </w:r>
          </w:p>
        </w:tc>
      </w:tr>
      <w:tr w:rsidR="00C51982" w:rsidRPr="00556804" w:rsidTr="008A307A">
        <w:trPr>
          <w:trHeight w:val="275"/>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8</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United Commercial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1983</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30-Nov-86</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1986</w:t>
            </w:r>
          </w:p>
        </w:tc>
      </w:tr>
      <w:tr w:rsidR="00C51982" w:rsidRPr="00556804" w:rsidTr="008A307A">
        <w:trPr>
          <w:trHeight w:val="293"/>
        </w:trPr>
        <w:tc>
          <w:tcPr>
            <w:tcW w:w="65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9</w:t>
            </w:r>
          </w:p>
        </w:tc>
        <w:tc>
          <w:tcPr>
            <w:tcW w:w="29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Uttara Bank Ltd.</w:t>
            </w:r>
          </w:p>
        </w:tc>
        <w:tc>
          <w:tcPr>
            <w:tcW w:w="217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1983</w:t>
            </w:r>
          </w:p>
        </w:tc>
        <w:tc>
          <w:tcPr>
            <w:tcW w:w="208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4-May-84</w:t>
            </w:r>
          </w:p>
        </w:tc>
        <w:tc>
          <w:tcPr>
            <w:tcW w:w="2040"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7-Oct-84</w:t>
            </w:r>
          </w:p>
        </w:tc>
      </w:tr>
      <w:tr w:rsidR="00C51982" w:rsidRPr="00556804" w:rsidTr="008A307A">
        <w:trPr>
          <w:trHeight w:val="293"/>
        </w:trPr>
        <w:tc>
          <w:tcPr>
            <w:tcW w:w="651" w:type="dxa"/>
            <w:tcBorders>
              <w:top w:val="single" w:sz="12" w:space="0" w:color="548DD4" w:themeColor="text2" w:themeTint="99"/>
              <w:left w:val="nil"/>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10</w:t>
            </w:r>
          </w:p>
        </w:tc>
        <w:tc>
          <w:tcPr>
            <w:tcW w:w="2985"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ICB Islamic Bank Ltd.</w:t>
            </w:r>
          </w:p>
        </w:tc>
        <w:tc>
          <w:tcPr>
            <w:tcW w:w="2171"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1987</w:t>
            </w:r>
          </w:p>
        </w:tc>
        <w:tc>
          <w:tcPr>
            <w:tcW w:w="2081"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19-Feb-90</w:t>
            </w:r>
          </w:p>
        </w:tc>
        <w:tc>
          <w:tcPr>
            <w:tcW w:w="2040" w:type="dxa"/>
            <w:tcBorders>
              <w:top w:val="single" w:sz="12" w:space="0" w:color="548DD4" w:themeColor="text2" w:themeTint="99"/>
              <w:left w:val="single" w:sz="18" w:space="0" w:color="17365D" w:themeColor="text2" w:themeShade="BF"/>
              <w:bottom w:val="nil"/>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20-Feb-90</w:t>
            </w:r>
          </w:p>
        </w:tc>
      </w:tr>
    </w:tbl>
    <w:p w:rsidR="00C51982" w:rsidRDefault="00C51982" w:rsidP="00C51982">
      <w:pPr>
        <w:jc w:val="both"/>
        <w:rPr>
          <w:rFonts w:ascii="Times New Roman" w:hAnsi="Times New Roman" w:cs="Times New Roman"/>
        </w:rPr>
      </w:pPr>
    </w:p>
    <w:p w:rsidR="002448B5" w:rsidRDefault="002F58A6" w:rsidP="001B4D37">
      <w:pPr>
        <w:pStyle w:val="Caption"/>
        <w:jc w:val="center"/>
        <w:rPr>
          <w:rFonts w:ascii="Times New Roman" w:hAnsi="Times New Roman" w:cs="Times New Roman"/>
          <w:color w:val="auto"/>
          <w:sz w:val="22"/>
          <w:szCs w:val="22"/>
        </w:rPr>
      </w:pPr>
      <w:bookmarkStart w:id="24" w:name="_Toc57290040"/>
      <w:bookmarkStart w:id="25" w:name="_Toc57290361"/>
      <w:bookmarkStart w:id="26" w:name="_Toc61651504"/>
      <w:r w:rsidRPr="002F58A6">
        <w:rPr>
          <w:rFonts w:ascii="Times New Roman" w:hAnsi="Times New Roman" w:cs="Times New Roman"/>
          <w:color w:val="auto"/>
          <w:sz w:val="22"/>
          <w:szCs w:val="22"/>
        </w:rPr>
        <w:t xml:space="preserve">Table </w:t>
      </w:r>
      <w:r w:rsidRPr="002F58A6">
        <w:rPr>
          <w:rFonts w:ascii="Times New Roman" w:hAnsi="Times New Roman" w:cs="Times New Roman"/>
          <w:color w:val="auto"/>
          <w:sz w:val="22"/>
          <w:szCs w:val="22"/>
        </w:rPr>
        <w:fldChar w:fldCharType="begin"/>
      </w:r>
      <w:r w:rsidRPr="002F58A6">
        <w:rPr>
          <w:rFonts w:ascii="Times New Roman" w:hAnsi="Times New Roman" w:cs="Times New Roman"/>
          <w:color w:val="auto"/>
          <w:sz w:val="22"/>
          <w:szCs w:val="22"/>
        </w:rPr>
        <w:instrText xml:space="preserve"> SEQ Table \* ARABIC </w:instrText>
      </w:r>
      <w:r w:rsidRPr="002F58A6">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w:t>
      </w:r>
      <w:r w:rsidRPr="002F58A6">
        <w:rPr>
          <w:rFonts w:ascii="Times New Roman" w:hAnsi="Times New Roman" w:cs="Times New Roman"/>
          <w:color w:val="auto"/>
          <w:sz w:val="22"/>
          <w:szCs w:val="22"/>
        </w:rPr>
        <w:fldChar w:fldCharType="end"/>
      </w:r>
      <w:r w:rsidRPr="002F58A6">
        <w:rPr>
          <w:rFonts w:ascii="Times New Roman" w:hAnsi="Times New Roman" w:cs="Times New Roman"/>
          <w:color w:val="auto"/>
          <w:sz w:val="22"/>
          <w:szCs w:val="22"/>
        </w:rPr>
        <w:t>: 1st generation commercial banks listed with the exchanges (1982-1988)</w:t>
      </w:r>
      <w:bookmarkEnd w:id="24"/>
      <w:bookmarkEnd w:id="25"/>
      <w:bookmarkEnd w:id="26"/>
    </w:p>
    <w:p w:rsidR="009A6F6D" w:rsidRPr="009A6F6D" w:rsidRDefault="009A6F6D" w:rsidP="009A6F6D"/>
    <w:tbl>
      <w:tblPr>
        <w:tblStyle w:val="TableGrid"/>
        <w:tblW w:w="9946" w:type="dxa"/>
        <w:tblLook w:val="04A0" w:firstRow="1" w:lastRow="0" w:firstColumn="1" w:lastColumn="0" w:noHBand="0" w:noVBand="1"/>
      </w:tblPr>
      <w:tblGrid>
        <w:gridCol w:w="834"/>
        <w:gridCol w:w="2718"/>
        <w:gridCol w:w="2175"/>
        <w:gridCol w:w="2175"/>
        <w:gridCol w:w="2044"/>
      </w:tblGrid>
      <w:tr w:rsidR="00C51982" w:rsidRPr="00556804" w:rsidTr="008A307A">
        <w:trPr>
          <w:trHeight w:val="423"/>
        </w:trPr>
        <w:tc>
          <w:tcPr>
            <w:tcW w:w="9946" w:type="dxa"/>
            <w:gridSpan w:val="5"/>
            <w:tcBorders>
              <w:top w:val="nil"/>
              <w:left w:val="nil"/>
              <w:bottom w:val="nil"/>
              <w:right w:val="nil"/>
            </w:tcBorders>
            <w:shd w:val="clear" w:color="auto" w:fill="365F91" w:themeFill="accent1" w:themeFillShade="BF"/>
            <w:vAlign w:val="center"/>
          </w:tcPr>
          <w:p w:rsidR="00C51982" w:rsidRPr="00BB2C36" w:rsidRDefault="00C51982" w:rsidP="008A307A">
            <w:pPr>
              <w:spacing w:line="276" w:lineRule="auto"/>
              <w:jc w:val="center"/>
              <w:rPr>
                <w:rFonts w:ascii="Times New Roman" w:hAnsi="Times New Roman" w:cs="Times New Roman"/>
                <w:b/>
                <w:color w:val="FFFFFF" w:themeColor="background1"/>
              </w:rPr>
            </w:pPr>
            <w:r w:rsidRPr="00BB2C36">
              <w:rPr>
                <w:rFonts w:ascii="Times New Roman" w:hAnsi="Times New Roman" w:cs="Times New Roman"/>
                <w:b/>
                <w:color w:val="FFFFFF" w:themeColor="background1"/>
              </w:rPr>
              <w:t>2nd Generation Private Banks Listed with the Exchange (1992 – 1996)</w:t>
            </w:r>
          </w:p>
        </w:tc>
      </w:tr>
      <w:tr w:rsidR="00C51982" w:rsidRPr="003F69AA" w:rsidTr="008A307A">
        <w:trPr>
          <w:trHeight w:val="583"/>
        </w:trPr>
        <w:tc>
          <w:tcPr>
            <w:tcW w:w="834" w:type="dxa"/>
            <w:tcBorders>
              <w:top w:val="nil"/>
              <w:left w:val="nil"/>
              <w:bottom w:val="single" w:sz="12" w:space="0" w:color="548DD4" w:themeColor="text2" w:themeTint="99"/>
              <w:right w:val="single" w:sz="18" w:space="0" w:color="17365D" w:themeColor="text2" w:themeShade="BF"/>
            </w:tcBorders>
            <w:vAlign w:val="center"/>
          </w:tcPr>
          <w:p w:rsidR="00C51982" w:rsidRPr="003F69AA" w:rsidRDefault="00C51982" w:rsidP="008A307A">
            <w:pPr>
              <w:spacing w:line="276" w:lineRule="auto"/>
              <w:jc w:val="center"/>
              <w:rPr>
                <w:rFonts w:ascii="Times New Roman" w:hAnsi="Times New Roman" w:cs="Times New Roman"/>
                <w:b/>
              </w:rPr>
            </w:pPr>
            <w:r w:rsidRPr="003F69AA">
              <w:rPr>
                <w:rFonts w:ascii="Times New Roman" w:hAnsi="Times New Roman" w:cs="Times New Roman"/>
                <w:b/>
              </w:rPr>
              <w:t>Sl. No.</w:t>
            </w:r>
          </w:p>
        </w:tc>
        <w:tc>
          <w:tcPr>
            <w:tcW w:w="2718"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3F69AA" w:rsidRDefault="00C51982" w:rsidP="008A307A">
            <w:pPr>
              <w:spacing w:line="276" w:lineRule="auto"/>
              <w:jc w:val="center"/>
              <w:rPr>
                <w:rFonts w:ascii="Times New Roman" w:hAnsi="Times New Roman" w:cs="Times New Roman"/>
                <w:b/>
              </w:rPr>
            </w:pPr>
            <w:r w:rsidRPr="003F69AA">
              <w:rPr>
                <w:rFonts w:ascii="Times New Roman" w:hAnsi="Times New Roman" w:cs="Times New Roman"/>
                <w:b/>
              </w:rPr>
              <w:t>Name of the Banks</w:t>
            </w:r>
          </w:p>
        </w:tc>
        <w:tc>
          <w:tcPr>
            <w:tcW w:w="2175"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3F69AA" w:rsidRDefault="00C51982" w:rsidP="008A307A">
            <w:pPr>
              <w:spacing w:line="276" w:lineRule="auto"/>
              <w:jc w:val="center"/>
              <w:rPr>
                <w:rFonts w:ascii="Times New Roman" w:hAnsi="Times New Roman" w:cs="Times New Roman"/>
                <w:b/>
              </w:rPr>
            </w:pPr>
            <w:r w:rsidRPr="003F69AA">
              <w:rPr>
                <w:rFonts w:ascii="Times New Roman" w:hAnsi="Times New Roman" w:cs="Times New Roman"/>
                <w:b/>
              </w:rPr>
              <w:t>Year of Incorporation</w:t>
            </w:r>
          </w:p>
        </w:tc>
        <w:tc>
          <w:tcPr>
            <w:tcW w:w="2175"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3F69AA" w:rsidRDefault="00C51982" w:rsidP="008A307A">
            <w:pPr>
              <w:spacing w:line="276" w:lineRule="auto"/>
              <w:jc w:val="center"/>
              <w:rPr>
                <w:rFonts w:ascii="Times New Roman" w:hAnsi="Times New Roman" w:cs="Times New Roman"/>
                <w:b/>
              </w:rPr>
            </w:pPr>
            <w:r w:rsidRPr="003F69AA">
              <w:rPr>
                <w:rFonts w:ascii="Times New Roman" w:hAnsi="Times New Roman" w:cs="Times New Roman"/>
                <w:b/>
              </w:rPr>
              <w:t>Date/Year of Listing</w:t>
            </w:r>
          </w:p>
        </w:tc>
        <w:tc>
          <w:tcPr>
            <w:tcW w:w="2044" w:type="dxa"/>
            <w:tcBorders>
              <w:top w:val="nil"/>
              <w:left w:val="single" w:sz="18" w:space="0" w:color="17365D" w:themeColor="text2" w:themeShade="BF"/>
              <w:bottom w:val="single" w:sz="12" w:space="0" w:color="548DD4" w:themeColor="text2" w:themeTint="99"/>
              <w:right w:val="nil"/>
            </w:tcBorders>
            <w:vAlign w:val="center"/>
          </w:tcPr>
          <w:p w:rsidR="00C51982" w:rsidRPr="003F69AA" w:rsidRDefault="00C51982" w:rsidP="008A307A">
            <w:pPr>
              <w:spacing w:line="276" w:lineRule="auto"/>
              <w:jc w:val="center"/>
              <w:rPr>
                <w:rFonts w:ascii="Times New Roman" w:hAnsi="Times New Roman" w:cs="Times New Roman"/>
                <w:b/>
              </w:rPr>
            </w:pPr>
            <w:r w:rsidRPr="003F69AA">
              <w:rPr>
                <w:rFonts w:ascii="Times New Roman" w:hAnsi="Times New Roman" w:cs="Times New Roman"/>
                <w:b/>
              </w:rPr>
              <w:t>Debut Trading Date</w:t>
            </w:r>
          </w:p>
        </w:tc>
      </w:tr>
      <w:tr w:rsidR="00C51982" w:rsidRPr="00556804" w:rsidTr="008A307A">
        <w:trPr>
          <w:trHeight w:val="301"/>
        </w:trPr>
        <w:tc>
          <w:tcPr>
            <w:tcW w:w="834"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w:t>
            </w:r>
          </w:p>
        </w:tc>
        <w:tc>
          <w:tcPr>
            <w:tcW w:w="2718"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Eastern Bank Ltd.</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1992</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20-Mar-93</w:t>
            </w:r>
          </w:p>
        </w:tc>
        <w:tc>
          <w:tcPr>
            <w:tcW w:w="2044"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17-Jun-93</w:t>
            </w:r>
          </w:p>
        </w:tc>
      </w:tr>
      <w:tr w:rsidR="00C51982" w:rsidRPr="00556804" w:rsidTr="008A307A">
        <w:trPr>
          <w:trHeight w:val="301"/>
        </w:trPr>
        <w:tc>
          <w:tcPr>
            <w:tcW w:w="834"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w:t>
            </w:r>
          </w:p>
        </w:tc>
        <w:tc>
          <w:tcPr>
            <w:tcW w:w="2718"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Al-</w:t>
            </w:r>
            <w:proofErr w:type="spellStart"/>
            <w:r w:rsidRPr="00556804">
              <w:rPr>
                <w:rFonts w:ascii="Times New Roman" w:hAnsi="Times New Roman" w:cs="Times New Roman"/>
              </w:rPr>
              <w:t>Arafa</w:t>
            </w:r>
            <w:proofErr w:type="spellEnd"/>
            <w:r w:rsidRPr="00556804">
              <w:rPr>
                <w:rFonts w:ascii="Times New Roman" w:hAnsi="Times New Roman" w:cs="Times New Roman"/>
              </w:rPr>
              <w:t xml:space="preserve"> </w:t>
            </w:r>
            <w:proofErr w:type="spellStart"/>
            <w:r w:rsidRPr="00556804">
              <w:rPr>
                <w:rFonts w:ascii="Times New Roman" w:hAnsi="Times New Roman" w:cs="Times New Roman"/>
              </w:rPr>
              <w:t>Islami</w:t>
            </w:r>
            <w:proofErr w:type="spellEnd"/>
            <w:r w:rsidRPr="00556804">
              <w:rPr>
                <w:rFonts w:ascii="Times New Roman" w:hAnsi="Times New Roman" w:cs="Times New Roman"/>
              </w:rPr>
              <w:t xml:space="preserve"> Bank Ltd.</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1995</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15-Sep-98</w:t>
            </w:r>
          </w:p>
        </w:tc>
        <w:tc>
          <w:tcPr>
            <w:tcW w:w="2044"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17-Sep-98</w:t>
            </w:r>
          </w:p>
        </w:tc>
      </w:tr>
      <w:tr w:rsidR="00C51982" w:rsidRPr="00556804" w:rsidTr="008A307A">
        <w:trPr>
          <w:trHeight w:val="282"/>
        </w:trPr>
        <w:tc>
          <w:tcPr>
            <w:tcW w:w="834"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3</w:t>
            </w:r>
          </w:p>
        </w:tc>
        <w:tc>
          <w:tcPr>
            <w:tcW w:w="2718"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Prime Bank Ltd.</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1995</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29-Mar-00</w:t>
            </w:r>
          </w:p>
        </w:tc>
        <w:tc>
          <w:tcPr>
            <w:tcW w:w="2044"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29-Mar-00</w:t>
            </w:r>
          </w:p>
        </w:tc>
      </w:tr>
      <w:tr w:rsidR="00C51982" w:rsidRPr="00556804" w:rsidTr="008A307A">
        <w:trPr>
          <w:trHeight w:val="301"/>
        </w:trPr>
        <w:tc>
          <w:tcPr>
            <w:tcW w:w="834"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w:t>
            </w:r>
          </w:p>
        </w:tc>
        <w:tc>
          <w:tcPr>
            <w:tcW w:w="2718"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Southeast Bank Ltd.</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1995</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4-Oct-00</w:t>
            </w:r>
          </w:p>
        </w:tc>
        <w:tc>
          <w:tcPr>
            <w:tcW w:w="2044"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17-Apr-00</w:t>
            </w:r>
          </w:p>
        </w:tc>
      </w:tr>
      <w:tr w:rsidR="00C51982" w:rsidRPr="00556804" w:rsidTr="008A307A">
        <w:trPr>
          <w:trHeight w:val="282"/>
        </w:trPr>
        <w:tc>
          <w:tcPr>
            <w:tcW w:w="834"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5</w:t>
            </w:r>
          </w:p>
        </w:tc>
        <w:tc>
          <w:tcPr>
            <w:tcW w:w="2718"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Dhaka Bank Ltd.</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1995</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4-Oct-00</w:t>
            </w:r>
          </w:p>
        </w:tc>
        <w:tc>
          <w:tcPr>
            <w:tcW w:w="2044"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4-Dec-00</w:t>
            </w:r>
          </w:p>
        </w:tc>
      </w:tr>
      <w:tr w:rsidR="00C51982" w:rsidRPr="00556804" w:rsidTr="008A307A">
        <w:trPr>
          <w:trHeight w:val="301"/>
        </w:trPr>
        <w:tc>
          <w:tcPr>
            <w:tcW w:w="834"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6</w:t>
            </w:r>
          </w:p>
        </w:tc>
        <w:tc>
          <w:tcPr>
            <w:tcW w:w="2718"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NCC Bank Ltd.</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1993</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25-May-00</w:t>
            </w:r>
          </w:p>
        </w:tc>
        <w:tc>
          <w:tcPr>
            <w:tcW w:w="2044"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28-May-00</w:t>
            </w:r>
          </w:p>
        </w:tc>
      </w:tr>
      <w:tr w:rsidR="00C51982" w:rsidRPr="00556804" w:rsidTr="008A307A">
        <w:trPr>
          <w:trHeight w:val="301"/>
        </w:trPr>
        <w:tc>
          <w:tcPr>
            <w:tcW w:w="834"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7</w:t>
            </w:r>
          </w:p>
        </w:tc>
        <w:tc>
          <w:tcPr>
            <w:tcW w:w="2718"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 xml:space="preserve">Social </w:t>
            </w:r>
            <w:proofErr w:type="spellStart"/>
            <w:r w:rsidRPr="00556804">
              <w:rPr>
                <w:rFonts w:ascii="Times New Roman" w:hAnsi="Times New Roman" w:cs="Times New Roman"/>
              </w:rPr>
              <w:t>Islami</w:t>
            </w:r>
            <w:proofErr w:type="spellEnd"/>
            <w:r w:rsidRPr="00556804">
              <w:rPr>
                <w:rFonts w:ascii="Times New Roman" w:hAnsi="Times New Roman" w:cs="Times New Roman"/>
              </w:rPr>
              <w:t xml:space="preserve"> Bank Ltd.</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1995</w:t>
            </w:r>
          </w:p>
        </w:tc>
        <w:tc>
          <w:tcPr>
            <w:tcW w:w="217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18-Nov-00</w:t>
            </w:r>
          </w:p>
        </w:tc>
        <w:tc>
          <w:tcPr>
            <w:tcW w:w="2044"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20-Nov-00</w:t>
            </w:r>
          </w:p>
        </w:tc>
      </w:tr>
      <w:tr w:rsidR="00C51982" w:rsidRPr="00556804" w:rsidTr="008A307A">
        <w:trPr>
          <w:trHeight w:val="282"/>
        </w:trPr>
        <w:tc>
          <w:tcPr>
            <w:tcW w:w="834" w:type="dxa"/>
            <w:tcBorders>
              <w:top w:val="single" w:sz="12" w:space="0" w:color="548DD4" w:themeColor="text2" w:themeTint="99"/>
              <w:left w:val="nil"/>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8</w:t>
            </w:r>
          </w:p>
        </w:tc>
        <w:tc>
          <w:tcPr>
            <w:tcW w:w="2718"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Dutch-Bangla Bank Ltd.</w:t>
            </w:r>
          </w:p>
        </w:tc>
        <w:tc>
          <w:tcPr>
            <w:tcW w:w="2175"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1996</w:t>
            </w:r>
          </w:p>
        </w:tc>
        <w:tc>
          <w:tcPr>
            <w:tcW w:w="2175"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18-Mar-01</w:t>
            </w:r>
          </w:p>
        </w:tc>
        <w:tc>
          <w:tcPr>
            <w:tcW w:w="2044" w:type="dxa"/>
            <w:tcBorders>
              <w:top w:val="single" w:sz="12" w:space="0" w:color="548DD4" w:themeColor="text2" w:themeTint="99"/>
              <w:left w:val="single" w:sz="18" w:space="0" w:color="17365D" w:themeColor="text2" w:themeShade="BF"/>
              <w:bottom w:val="nil"/>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21-Mar-01</w:t>
            </w:r>
          </w:p>
        </w:tc>
      </w:tr>
    </w:tbl>
    <w:p w:rsidR="00C51982" w:rsidRDefault="00C51982" w:rsidP="00C51982">
      <w:pPr>
        <w:jc w:val="both"/>
        <w:rPr>
          <w:rFonts w:ascii="Times New Roman" w:hAnsi="Times New Roman" w:cs="Times New Roman"/>
        </w:rPr>
      </w:pPr>
    </w:p>
    <w:p w:rsidR="002448B5" w:rsidRPr="002F58A6" w:rsidRDefault="002F58A6" w:rsidP="001B4D37">
      <w:pPr>
        <w:pStyle w:val="Caption"/>
        <w:jc w:val="center"/>
        <w:rPr>
          <w:rFonts w:ascii="Times New Roman" w:hAnsi="Times New Roman" w:cs="Times New Roman"/>
          <w:color w:val="auto"/>
          <w:sz w:val="22"/>
          <w:szCs w:val="22"/>
        </w:rPr>
      </w:pPr>
      <w:bookmarkStart w:id="27" w:name="_Toc57290041"/>
      <w:bookmarkStart w:id="28" w:name="_Toc57290362"/>
      <w:bookmarkStart w:id="29" w:name="_Toc61651505"/>
      <w:r w:rsidRPr="002F58A6">
        <w:rPr>
          <w:rFonts w:ascii="Times New Roman" w:hAnsi="Times New Roman" w:cs="Times New Roman"/>
          <w:color w:val="auto"/>
          <w:sz w:val="22"/>
          <w:szCs w:val="22"/>
        </w:rPr>
        <w:t xml:space="preserve">Table </w:t>
      </w:r>
      <w:r w:rsidRPr="002F58A6">
        <w:rPr>
          <w:rFonts w:ascii="Times New Roman" w:hAnsi="Times New Roman" w:cs="Times New Roman"/>
          <w:color w:val="auto"/>
          <w:sz w:val="22"/>
          <w:szCs w:val="22"/>
        </w:rPr>
        <w:fldChar w:fldCharType="begin"/>
      </w:r>
      <w:r w:rsidRPr="002F58A6">
        <w:rPr>
          <w:rFonts w:ascii="Times New Roman" w:hAnsi="Times New Roman" w:cs="Times New Roman"/>
          <w:color w:val="auto"/>
          <w:sz w:val="22"/>
          <w:szCs w:val="22"/>
        </w:rPr>
        <w:instrText xml:space="preserve"> SEQ Table \* ARABIC </w:instrText>
      </w:r>
      <w:r w:rsidRPr="002F58A6">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w:t>
      </w:r>
      <w:r w:rsidRPr="002F58A6">
        <w:rPr>
          <w:rFonts w:ascii="Times New Roman" w:hAnsi="Times New Roman" w:cs="Times New Roman"/>
          <w:color w:val="auto"/>
          <w:sz w:val="22"/>
          <w:szCs w:val="22"/>
        </w:rPr>
        <w:fldChar w:fldCharType="end"/>
      </w:r>
      <w:r w:rsidRPr="002F58A6">
        <w:rPr>
          <w:rFonts w:ascii="Times New Roman" w:hAnsi="Times New Roman" w:cs="Times New Roman"/>
          <w:color w:val="auto"/>
          <w:sz w:val="22"/>
          <w:szCs w:val="22"/>
        </w:rPr>
        <w:t>: 2nd generation commercial banks listed with the exchanges (1992-1996)</w:t>
      </w:r>
      <w:bookmarkEnd w:id="27"/>
      <w:bookmarkEnd w:id="28"/>
      <w:bookmarkEnd w:id="29"/>
    </w:p>
    <w:p w:rsidR="002F58A6" w:rsidRDefault="002F58A6" w:rsidP="002F58A6"/>
    <w:p w:rsidR="009A6F6D" w:rsidRDefault="009A6F6D" w:rsidP="002F58A6"/>
    <w:p w:rsidR="003C0F47" w:rsidRDefault="003C0F47" w:rsidP="002F58A6"/>
    <w:p w:rsidR="009A6F6D" w:rsidRDefault="009A6F6D" w:rsidP="002F58A6"/>
    <w:p w:rsidR="009A6F6D" w:rsidRPr="002F58A6" w:rsidRDefault="009A6F6D" w:rsidP="002F58A6"/>
    <w:tbl>
      <w:tblPr>
        <w:tblStyle w:val="TableGrid"/>
        <w:tblW w:w="10030" w:type="dxa"/>
        <w:tblLook w:val="04A0" w:firstRow="1" w:lastRow="0" w:firstColumn="1" w:lastColumn="0" w:noHBand="0" w:noVBand="1"/>
      </w:tblPr>
      <w:tblGrid>
        <w:gridCol w:w="841"/>
        <w:gridCol w:w="2741"/>
        <w:gridCol w:w="2285"/>
        <w:gridCol w:w="2102"/>
        <w:gridCol w:w="2061"/>
      </w:tblGrid>
      <w:tr w:rsidR="00C51982" w:rsidRPr="00556804" w:rsidTr="008A307A">
        <w:trPr>
          <w:trHeight w:val="406"/>
        </w:trPr>
        <w:tc>
          <w:tcPr>
            <w:tcW w:w="10029" w:type="dxa"/>
            <w:gridSpan w:val="5"/>
            <w:tcBorders>
              <w:top w:val="nil"/>
              <w:left w:val="nil"/>
              <w:bottom w:val="nil"/>
              <w:right w:val="nil"/>
            </w:tcBorders>
            <w:shd w:val="clear" w:color="auto" w:fill="365F91" w:themeFill="accent1" w:themeFillShade="BF"/>
            <w:vAlign w:val="center"/>
          </w:tcPr>
          <w:p w:rsidR="00C51982" w:rsidRPr="00BB2C36" w:rsidRDefault="00C51982" w:rsidP="008A307A">
            <w:pPr>
              <w:spacing w:line="276" w:lineRule="auto"/>
              <w:jc w:val="center"/>
              <w:rPr>
                <w:rFonts w:ascii="Times New Roman" w:hAnsi="Times New Roman" w:cs="Times New Roman"/>
                <w:b/>
                <w:color w:val="FFFFFF" w:themeColor="background1"/>
              </w:rPr>
            </w:pPr>
            <w:r w:rsidRPr="00BB2C36">
              <w:rPr>
                <w:rFonts w:ascii="Times New Roman" w:hAnsi="Times New Roman" w:cs="Times New Roman"/>
                <w:b/>
                <w:color w:val="FFFFFF" w:themeColor="background1"/>
              </w:rPr>
              <w:t>3rd Generation Private Banks Listed with the Exchange (1998 – Present)</w:t>
            </w:r>
          </w:p>
        </w:tc>
      </w:tr>
      <w:tr w:rsidR="00C51982" w:rsidRPr="001476FB" w:rsidTr="008A307A">
        <w:trPr>
          <w:trHeight w:val="560"/>
        </w:trPr>
        <w:tc>
          <w:tcPr>
            <w:tcW w:w="841" w:type="dxa"/>
            <w:tcBorders>
              <w:top w:val="nil"/>
              <w:left w:val="nil"/>
              <w:bottom w:val="single" w:sz="12" w:space="0" w:color="548DD4" w:themeColor="text2" w:themeTint="99"/>
              <w:right w:val="single" w:sz="18" w:space="0" w:color="17365D" w:themeColor="text2" w:themeShade="BF"/>
            </w:tcBorders>
            <w:vAlign w:val="center"/>
          </w:tcPr>
          <w:p w:rsidR="00C51982" w:rsidRPr="001476FB" w:rsidRDefault="00C51982" w:rsidP="008A307A">
            <w:pPr>
              <w:spacing w:line="276" w:lineRule="auto"/>
              <w:jc w:val="center"/>
              <w:rPr>
                <w:rFonts w:ascii="Times New Roman" w:hAnsi="Times New Roman" w:cs="Times New Roman"/>
                <w:b/>
              </w:rPr>
            </w:pPr>
            <w:r w:rsidRPr="001476FB">
              <w:rPr>
                <w:rFonts w:ascii="Times New Roman" w:hAnsi="Times New Roman" w:cs="Times New Roman"/>
                <w:b/>
              </w:rPr>
              <w:t>Sl. No.</w:t>
            </w:r>
          </w:p>
        </w:tc>
        <w:tc>
          <w:tcPr>
            <w:tcW w:w="2741"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1476FB" w:rsidRDefault="00C51982" w:rsidP="008A307A">
            <w:pPr>
              <w:spacing w:line="276" w:lineRule="auto"/>
              <w:jc w:val="center"/>
              <w:rPr>
                <w:rFonts w:ascii="Times New Roman" w:hAnsi="Times New Roman" w:cs="Times New Roman"/>
                <w:b/>
              </w:rPr>
            </w:pPr>
            <w:r w:rsidRPr="001476FB">
              <w:rPr>
                <w:rFonts w:ascii="Times New Roman" w:hAnsi="Times New Roman" w:cs="Times New Roman"/>
                <w:b/>
              </w:rPr>
              <w:t>Name of the Banks</w:t>
            </w:r>
          </w:p>
        </w:tc>
        <w:tc>
          <w:tcPr>
            <w:tcW w:w="2285"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1476FB" w:rsidRDefault="00C51982" w:rsidP="008A307A">
            <w:pPr>
              <w:spacing w:line="276" w:lineRule="auto"/>
              <w:jc w:val="center"/>
              <w:rPr>
                <w:rFonts w:ascii="Times New Roman" w:hAnsi="Times New Roman" w:cs="Times New Roman"/>
                <w:b/>
              </w:rPr>
            </w:pPr>
            <w:r w:rsidRPr="001476FB">
              <w:rPr>
                <w:rFonts w:ascii="Times New Roman" w:hAnsi="Times New Roman" w:cs="Times New Roman"/>
                <w:b/>
              </w:rPr>
              <w:t>Year of Incorporation</w:t>
            </w:r>
          </w:p>
        </w:tc>
        <w:tc>
          <w:tcPr>
            <w:tcW w:w="2102" w:type="dxa"/>
            <w:tcBorders>
              <w:top w:val="nil"/>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1476FB" w:rsidRDefault="00C51982" w:rsidP="008A307A">
            <w:pPr>
              <w:spacing w:line="276" w:lineRule="auto"/>
              <w:jc w:val="center"/>
              <w:rPr>
                <w:rFonts w:ascii="Times New Roman" w:hAnsi="Times New Roman" w:cs="Times New Roman"/>
                <w:b/>
              </w:rPr>
            </w:pPr>
            <w:r w:rsidRPr="001476FB">
              <w:rPr>
                <w:rFonts w:ascii="Times New Roman" w:hAnsi="Times New Roman" w:cs="Times New Roman"/>
                <w:b/>
              </w:rPr>
              <w:t>Date/Year of Listing</w:t>
            </w:r>
          </w:p>
        </w:tc>
        <w:tc>
          <w:tcPr>
            <w:tcW w:w="2061" w:type="dxa"/>
            <w:tcBorders>
              <w:top w:val="nil"/>
              <w:left w:val="single" w:sz="18" w:space="0" w:color="17365D" w:themeColor="text2" w:themeShade="BF"/>
              <w:bottom w:val="single" w:sz="12" w:space="0" w:color="548DD4" w:themeColor="text2" w:themeTint="99"/>
              <w:right w:val="nil"/>
            </w:tcBorders>
            <w:vAlign w:val="center"/>
          </w:tcPr>
          <w:p w:rsidR="00C51982" w:rsidRPr="001476FB" w:rsidRDefault="00C51982" w:rsidP="008A307A">
            <w:pPr>
              <w:spacing w:line="276" w:lineRule="auto"/>
              <w:jc w:val="center"/>
              <w:rPr>
                <w:rFonts w:ascii="Times New Roman" w:hAnsi="Times New Roman" w:cs="Times New Roman"/>
                <w:b/>
              </w:rPr>
            </w:pPr>
            <w:r w:rsidRPr="001476FB">
              <w:rPr>
                <w:rFonts w:ascii="Times New Roman" w:hAnsi="Times New Roman" w:cs="Times New Roman"/>
                <w:b/>
              </w:rPr>
              <w:t>Debut Trading Date</w:t>
            </w:r>
          </w:p>
        </w:tc>
      </w:tr>
      <w:tr w:rsidR="00C51982" w:rsidRPr="00556804" w:rsidTr="008A307A">
        <w:trPr>
          <w:trHeight w:val="288"/>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Mutual Trust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7-Oct-03</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7-Dec-03</w:t>
            </w:r>
          </w:p>
        </w:tc>
      </w:tr>
      <w:tr w:rsidR="00C51982" w:rsidRPr="00556804" w:rsidTr="008A307A">
        <w:trPr>
          <w:trHeight w:val="288"/>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Standard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15-Nov-03</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17-Nov-03</w:t>
            </w:r>
          </w:p>
        </w:tc>
      </w:tr>
      <w:tr w:rsidR="00C51982" w:rsidRPr="00556804" w:rsidTr="008A307A">
        <w:trPr>
          <w:trHeight w:val="270"/>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3</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One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12-Mar-03</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12-Jun-03</w:t>
            </w:r>
          </w:p>
        </w:tc>
      </w:tr>
      <w:tr w:rsidR="00C51982" w:rsidRPr="00556804" w:rsidTr="008A307A">
        <w:trPr>
          <w:trHeight w:val="288"/>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Bank Asia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1-Jun-04</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1-Aug-04</w:t>
            </w:r>
          </w:p>
        </w:tc>
      </w:tr>
      <w:tr w:rsidR="00C51982" w:rsidRPr="00556804" w:rsidTr="008A307A">
        <w:trPr>
          <w:trHeight w:val="270"/>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5</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Mercantile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2-Nov-04</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17-Feb-04</w:t>
            </w:r>
          </w:p>
        </w:tc>
      </w:tr>
      <w:tr w:rsidR="00C51982" w:rsidRPr="00556804" w:rsidTr="008A307A">
        <w:trPr>
          <w:trHeight w:val="288"/>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6</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Exim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14-Oct-04</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16-Oct-04</w:t>
            </w:r>
          </w:p>
        </w:tc>
      </w:tr>
      <w:tr w:rsidR="00C51982" w:rsidRPr="00556804" w:rsidTr="008A307A">
        <w:trPr>
          <w:trHeight w:val="288"/>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7</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proofErr w:type="spellStart"/>
            <w:r w:rsidRPr="00556804">
              <w:rPr>
                <w:rFonts w:ascii="Times New Roman" w:hAnsi="Times New Roman" w:cs="Times New Roman"/>
              </w:rPr>
              <w:t>Jamuna</w:t>
            </w:r>
            <w:proofErr w:type="spellEnd"/>
            <w:r w:rsidRPr="00556804">
              <w:rPr>
                <w:rFonts w:ascii="Times New Roman" w:hAnsi="Times New Roman" w:cs="Times New Roman"/>
              </w:rPr>
              <w:t xml:space="preserve">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2001</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4-Dec-06</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17-Apr-06</w:t>
            </w:r>
          </w:p>
        </w:tc>
      </w:tr>
      <w:tr w:rsidR="00C51982" w:rsidRPr="00556804" w:rsidTr="008A307A">
        <w:trPr>
          <w:trHeight w:val="270"/>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8</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BRAC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2001</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23-Jan-07</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31-Jan-07</w:t>
            </w:r>
          </w:p>
        </w:tc>
      </w:tr>
      <w:tr w:rsidR="00C51982" w:rsidRPr="00556804" w:rsidTr="008A307A">
        <w:trPr>
          <w:trHeight w:val="270"/>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9</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proofErr w:type="spellStart"/>
            <w:r w:rsidRPr="00556804">
              <w:rPr>
                <w:rFonts w:ascii="Times New Roman" w:hAnsi="Times New Roman" w:cs="Times New Roman"/>
              </w:rPr>
              <w:t>Shahjalal</w:t>
            </w:r>
            <w:proofErr w:type="spellEnd"/>
            <w:r w:rsidRPr="00556804">
              <w:rPr>
                <w:rFonts w:ascii="Times New Roman" w:hAnsi="Times New Roman" w:cs="Times New Roman"/>
              </w:rPr>
              <w:t xml:space="preserve">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2001</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21-Mar-07</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28-Mar-07</w:t>
            </w:r>
          </w:p>
        </w:tc>
      </w:tr>
      <w:tr w:rsidR="00C51982" w:rsidRPr="00556804" w:rsidTr="008A307A">
        <w:trPr>
          <w:trHeight w:val="270"/>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10</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Premier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23-Mar-07</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27-May-07</w:t>
            </w:r>
          </w:p>
        </w:tc>
      </w:tr>
      <w:tr w:rsidR="00C51982" w:rsidRPr="00556804" w:rsidTr="008A307A">
        <w:trPr>
          <w:trHeight w:val="270"/>
        </w:trPr>
        <w:tc>
          <w:tcPr>
            <w:tcW w:w="841" w:type="dxa"/>
            <w:tcBorders>
              <w:top w:val="single" w:sz="12" w:space="0" w:color="548DD4" w:themeColor="text2" w:themeTint="99"/>
              <w:left w:val="nil"/>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11</w:t>
            </w:r>
          </w:p>
        </w:tc>
        <w:tc>
          <w:tcPr>
            <w:tcW w:w="2741"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Trust Bank Ltd.</w:t>
            </w:r>
          </w:p>
        </w:tc>
        <w:tc>
          <w:tcPr>
            <w:tcW w:w="2285"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single" w:sz="12" w:space="0" w:color="548DD4" w:themeColor="text2" w:themeTint="99"/>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25-Sep-07</w:t>
            </w:r>
          </w:p>
        </w:tc>
        <w:tc>
          <w:tcPr>
            <w:tcW w:w="2061" w:type="dxa"/>
            <w:tcBorders>
              <w:top w:val="single" w:sz="12" w:space="0" w:color="548DD4" w:themeColor="text2" w:themeTint="99"/>
              <w:left w:val="single" w:sz="18" w:space="0" w:color="17365D" w:themeColor="text2" w:themeShade="BF"/>
              <w:bottom w:val="single" w:sz="12" w:space="0" w:color="548DD4" w:themeColor="text2" w:themeTint="99"/>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10-Jan-07</w:t>
            </w:r>
          </w:p>
        </w:tc>
      </w:tr>
      <w:tr w:rsidR="00C51982" w:rsidRPr="00556804" w:rsidTr="008A307A">
        <w:trPr>
          <w:trHeight w:val="270"/>
        </w:trPr>
        <w:tc>
          <w:tcPr>
            <w:tcW w:w="841" w:type="dxa"/>
            <w:tcBorders>
              <w:top w:val="single" w:sz="12" w:space="0" w:color="548DD4" w:themeColor="text2" w:themeTint="99"/>
              <w:left w:val="nil"/>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12</w:t>
            </w:r>
          </w:p>
        </w:tc>
        <w:tc>
          <w:tcPr>
            <w:tcW w:w="2741"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rPr>
                <w:rFonts w:ascii="Times New Roman" w:hAnsi="Times New Roman" w:cs="Times New Roman"/>
              </w:rPr>
            </w:pPr>
            <w:r w:rsidRPr="00556804">
              <w:rPr>
                <w:rFonts w:ascii="Times New Roman" w:hAnsi="Times New Roman" w:cs="Times New Roman"/>
              </w:rPr>
              <w:t>First Security Bank Ltd.</w:t>
            </w:r>
          </w:p>
        </w:tc>
        <w:tc>
          <w:tcPr>
            <w:tcW w:w="2285"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1999</w:t>
            </w:r>
          </w:p>
        </w:tc>
        <w:tc>
          <w:tcPr>
            <w:tcW w:w="2102" w:type="dxa"/>
            <w:tcBorders>
              <w:top w:val="single" w:sz="12" w:space="0" w:color="548DD4" w:themeColor="text2" w:themeTint="99"/>
              <w:left w:val="single" w:sz="18" w:space="0" w:color="17365D" w:themeColor="text2" w:themeShade="BF"/>
              <w:bottom w:val="nil"/>
              <w:right w:val="single" w:sz="18" w:space="0" w:color="17365D" w:themeColor="text2" w:themeShade="BF"/>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18-Sep-08</w:t>
            </w:r>
          </w:p>
        </w:tc>
        <w:tc>
          <w:tcPr>
            <w:tcW w:w="2061" w:type="dxa"/>
            <w:tcBorders>
              <w:top w:val="single" w:sz="12" w:space="0" w:color="548DD4" w:themeColor="text2" w:themeTint="99"/>
              <w:left w:val="single" w:sz="18" w:space="0" w:color="17365D" w:themeColor="text2" w:themeShade="BF"/>
              <w:bottom w:val="nil"/>
              <w:right w:val="nil"/>
            </w:tcBorders>
            <w:vAlign w:val="center"/>
          </w:tcPr>
          <w:p w:rsidR="00C51982" w:rsidRPr="00556804" w:rsidRDefault="00C51982" w:rsidP="008A307A">
            <w:pPr>
              <w:spacing w:line="276" w:lineRule="auto"/>
              <w:jc w:val="center"/>
              <w:rPr>
                <w:rFonts w:ascii="Times New Roman" w:hAnsi="Times New Roman" w:cs="Times New Roman"/>
              </w:rPr>
            </w:pPr>
            <w:r w:rsidRPr="00556804">
              <w:rPr>
                <w:rFonts w:ascii="Times New Roman" w:hAnsi="Times New Roman" w:cs="Times New Roman"/>
              </w:rPr>
              <w:t>22-Sep-08</w:t>
            </w:r>
          </w:p>
        </w:tc>
      </w:tr>
    </w:tbl>
    <w:p w:rsidR="008A307A" w:rsidRDefault="008A307A" w:rsidP="00C51982"/>
    <w:p w:rsidR="008A307A" w:rsidRPr="002F58A6" w:rsidRDefault="002F58A6" w:rsidP="001B4D37">
      <w:pPr>
        <w:pStyle w:val="Caption"/>
        <w:jc w:val="center"/>
        <w:rPr>
          <w:rFonts w:ascii="Times New Roman" w:hAnsi="Times New Roman" w:cs="Times New Roman"/>
          <w:sz w:val="22"/>
          <w:szCs w:val="22"/>
        </w:rPr>
      </w:pPr>
      <w:bookmarkStart w:id="30" w:name="_Toc57290042"/>
      <w:bookmarkStart w:id="31" w:name="_Toc57290363"/>
      <w:bookmarkStart w:id="32" w:name="_Toc61651506"/>
      <w:r w:rsidRPr="002F58A6">
        <w:rPr>
          <w:rFonts w:ascii="Times New Roman" w:hAnsi="Times New Roman" w:cs="Times New Roman"/>
          <w:color w:val="auto"/>
          <w:sz w:val="22"/>
          <w:szCs w:val="22"/>
        </w:rPr>
        <w:t xml:space="preserve">Table </w:t>
      </w:r>
      <w:r w:rsidRPr="002F58A6">
        <w:rPr>
          <w:rFonts w:ascii="Times New Roman" w:hAnsi="Times New Roman" w:cs="Times New Roman"/>
          <w:color w:val="auto"/>
          <w:sz w:val="22"/>
          <w:szCs w:val="22"/>
        </w:rPr>
        <w:fldChar w:fldCharType="begin"/>
      </w:r>
      <w:r w:rsidRPr="002F58A6">
        <w:rPr>
          <w:rFonts w:ascii="Times New Roman" w:hAnsi="Times New Roman" w:cs="Times New Roman"/>
          <w:color w:val="auto"/>
          <w:sz w:val="22"/>
          <w:szCs w:val="22"/>
        </w:rPr>
        <w:instrText xml:space="preserve"> SEQ Table \* ARABIC </w:instrText>
      </w:r>
      <w:r w:rsidRPr="002F58A6">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w:t>
      </w:r>
      <w:r w:rsidRPr="002F58A6">
        <w:rPr>
          <w:rFonts w:ascii="Times New Roman" w:hAnsi="Times New Roman" w:cs="Times New Roman"/>
          <w:color w:val="auto"/>
          <w:sz w:val="22"/>
          <w:szCs w:val="22"/>
        </w:rPr>
        <w:fldChar w:fldCharType="end"/>
      </w:r>
      <w:r w:rsidRPr="002F58A6">
        <w:rPr>
          <w:rFonts w:ascii="Times New Roman" w:hAnsi="Times New Roman" w:cs="Times New Roman"/>
          <w:color w:val="auto"/>
          <w:sz w:val="22"/>
          <w:szCs w:val="22"/>
        </w:rPr>
        <w:t>: 3rd generation commercial banks listed with the exchanges (1998- Present)</w:t>
      </w:r>
      <w:bookmarkEnd w:id="30"/>
      <w:bookmarkEnd w:id="31"/>
      <w:bookmarkEnd w:id="32"/>
      <w:r w:rsidR="008A307A" w:rsidRPr="002F58A6">
        <w:rPr>
          <w:rFonts w:ascii="Times New Roman" w:hAnsi="Times New Roman" w:cs="Times New Roman"/>
          <w:sz w:val="22"/>
          <w:szCs w:val="22"/>
        </w:rPr>
        <w:br w:type="page"/>
      </w:r>
    </w:p>
    <w:p w:rsidR="00C51982" w:rsidRDefault="008A307A" w:rsidP="008A307A">
      <w:pPr>
        <w:pStyle w:val="Heading1"/>
        <w:jc w:val="both"/>
        <w:rPr>
          <w:rFonts w:cs="Times New Roman"/>
          <w:szCs w:val="32"/>
        </w:rPr>
      </w:pPr>
      <w:bookmarkStart w:id="33" w:name="_Toc62037711"/>
      <w:r w:rsidRPr="008A307A">
        <w:rPr>
          <w:rFonts w:cs="Times New Roman"/>
          <w:szCs w:val="32"/>
        </w:rPr>
        <w:lastRenderedPageBreak/>
        <w:t xml:space="preserve">CHAPTER IV: </w:t>
      </w:r>
      <w:r w:rsidR="007A7557">
        <w:rPr>
          <w:rFonts w:cs="Times New Roman"/>
          <w:szCs w:val="32"/>
        </w:rPr>
        <w:t xml:space="preserve">BANKS </w:t>
      </w:r>
      <w:r w:rsidRPr="008A307A">
        <w:rPr>
          <w:rFonts w:cs="Times New Roman"/>
          <w:szCs w:val="32"/>
        </w:rPr>
        <w:t xml:space="preserve">STOCKS </w:t>
      </w:r>
      <w:r w:rsidR="00D84723">
        <w:rPr>
          <w:rFonts w:cs="Times New Roman"/>
          <w:szCs w:val="32"/>
        </w:rPr>
        <w:t>RETURN</w:t>
      </w:r>
      <w:r w:rsidRPr="008A307A">
        <w:rPr>
          <w:rFonts w:cs="Times New Roman"/>
          <w:szCs w:val="32"/>
        </w:rPr>
        <w:t xml:space="preserve"> BEHAVIOR</w:t>
      </w:r>
      <w:bookmarkEnd w:id="33"/>
    </w:p>
    <w:p w:rsidR="008A307A" w:rsidRDefault="008A307A" w:rsidP="008A307A"/>
    <w:p w:rsidR="008A307A" w:rsidRDefault="00D812BB" w:rsidP="001C57FC">
      <w:pPr>
        <w:pStyle w:val="Heading2"/>
        <w:rPr>
          <w:rFonts w:cs="Times New Roman"/>
          <w:szCs w:val="28"/>
        </w:rPr>
      </w:pPr>
      <w:bookmarkStart w:id="34" w:name="_Toc62037712"/>
      <w:r>
        <w:rPr>
          <w:rFonts w:cs="Times New Roman"/>
          <w:szCs w:val="28"/>
        </w:rPr>
        <w:t xml:space="preserve">Stock </w:t>
      </w:r>
      <w:r w:rsidR="008A307A" w:rsidRPr="008A307A">
        <w:rPr>
          <w:rFonts w:cs="Times New Roman"/>
          <w:szCs w:val="28"/>
        </w:rPr>
        <w:t>Return behavior tools</w:t>
      </w:r>
      <w:bookmarkEnd w:id="34"/>
    </w:p>
    <w:p w:rsidR="001C57FC" w:rsidRPr="001C57FC" w:rsidRDefault="001C57FC" w:rsidP="001C57FC"/>
    <w:p w:rsidR="00B3216C" w:rsidRDefault="00AE611A" w:rsidP="005733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There are several reasons why the stock return behavior studies are so important</w:t>
      </w:r>
      <w:r w:rsidR="00B3216C" w:rsidRPr="00EE53AF">
        <w:rPr>
          <w:rFonts w:ascii="Times New Roman" w:hAnsi="Times New Roman" w:cs="Times New Roman"/>
          <w:sz w:val="24"/>
          <w:szCs w:val="24"/>
        </w:rPr>
        <w:t xml:space="preserve">. </w:t>
      </w:r>
      <w:r w:rsidRPr="00EE53AF">
        <w:rPr>
          <w:rFonts w:ascii="Times New Roman" w:hAnsi="Times New Roman" w:cs="Times New Roman"/>
          <w:sz w:val="24"/>
          <w:szCs w:val="24"/>
        </w:rPr>
        <w:t>The concept of risk in various financial theories and models</w:t>
      </w:r>
      <w:r>
        <w:rPr>
          <w:rFonts w:ascii="Times New Roman" w:hAnsi="Times New Roman" w:cs="Times New Roman"/>
          <w:sz w:val="24"/>
          <w:szCs w:val="24"/>
        </w:rPr>
        <w:t xml:space="preserve"> are the primary source to identify the</w:t>
      </w:r>
      <w:r w:rsidR="00B3216C" w:rsidRPr="00EE53AF">
        <w:rPr>
          <w:rFonts w:ascii="Times New Roman" w:hAnsi="Times New Roman" w:cs="Times New Roman"/>
          <w:sz w:val="24"/>
          <w:szCs w:val="24"/>
        </w:rPr>
        <w:t xml:space="preserve"> nature of stock returns behavior</w:t>
      </w:r>
      <w:r w:rsidR="00B3216C">
        <w:rPr>
          <w:rFonts w:ascii="Times New Roman" w:hAnsi="Times New Roman" w:cs="Times New Roman"/>
          <w:sz w:val="24"/>
          <w:szCs w:val="24"/>
        </w:rPr>
        <w:t xml:space="preserve">. </w:t>
      </w:r>
      <w:r>
        <w:rPr>
          <w:rFonts w:ascii="Times New Roman" w:hAnsi="Times New Roman" w:cs="Times New Roman"/>
          <w:sz w:val="24"/>
          <w:szCs w:val="24"/>
        </w:rPr>
        <w:t xml:space="preserve">Stock returns distributions </w:t>
      </w:r>
      <w:r w:rsidRPr="00EE53AF">
        <w:rPr>
          <w:rFonts w:ascii="Times New Roman" w:hAnsi="Times New Roman" w:cs="Times New Roman"/>
          <w:sz w:val="24"/>
          <w:szCs w:val="24"/>
        </w:rPr>
        <w:t>heavily</w:t>
      </w:r>
      <w:r>
        <w:rPr>
          <w:rFonts w:ascii="Times New Roman" w:hAnsi="Times New Roman" w:cs="Times New Roman"/>
          <w:sz w:val="24"/>
          <w:szCs w:val="24"/>
        </w:rPr>
        <w:t xml:space="preserve"> </w:t>
      </w:r>
      <w:r w:rsidRPr="00EE53AF">
        <w:rPr>
          <w:rFonts w:ascii="Times New Roman" w:hAnsi="Times New Roman" w:cs="Times New Roman"/>
          <w:sz w:val="24"/>
          <w:szCs w:val="24"/>
        </w:rPr>
        <w:t xml:space="preserve">depends on </w:t>
      </w:r>
      <w:r>
        <w:rPr>
          <w:rFonts w:ascii="Times New Roman" w:hAnsi="Times New Roman" w:cs="Times New Roman"/>
          <w:sz w:val="24"/>
          <w:szCs w:val="24"/>
        </w:rPr>
        <w:t>the</w:t>
      </w:r>
      <w:r w:rsidR="00B3216C" w:rsidRPr="00EE53AF">
        <w:rPr>
          <w:rFonts w:ascii="Times New Roman" w:hAnsi="Times New Roman" w:cs="Times New Roman"/>
          <w:sz w:val="24"/>
          <w:szCs w:val="24"/>
        </w:rPr>
        <w:t xml:space="preserve"> </w:t>
      </w:r>
      <w:r w:rsidR="00B765D2">
        <w:rPr>
          <w:rFonts w:ascii="Times New Roman" w:hAnsi="Times New Roman" w:cs="Times New Roman"/>
          <w:sz w:val="24"/>
          <w:szCs w:val="24"/>
        </w:rPr>
        <w:t>assessment</w:t>
      </w:r>
      <w:r w:rsidR="00B3216C" w:rsidRPr="00EE53AF">
        <w:rPr>
          <w:rFonts w:ascii="Times New Roman" w:hAnsi="Times New Roman" w:cs="Times New Roman"/>
          <w:sz w:val="24"/>
          <w:szCs w:val="24"/>
        </w:rPr>
        <w:t xml:space="preserve"> of risk on </w:t>
      </w:r>
      <w:r w:rsidR="00D71026">
        <w:rPr>
          <w:rFonts w:ascii="Times New Roman" w:hAnsi="Times New Roman" w:cs="Times New Roman"/>
          <w:sz w:val="24"/>
          <w:szCs w:val="24"/>
        </w:rPr>
        <w:t>progression</w:t>
      </w:r>
      <w:r w:rsidR="00B3216C">
        <w:rPr>
          <w:rFonts w:ascii="Times New Roman" w:hAnsi="Times New Roman" w:cs="Times New Roman"/>
          <w:sz w:val="24"/>
          <w:szCs w:val="24"/>
        </w:rPr>
        <w:t>.</w:t>
      </w:r>
      <w:r w:rsidR="00B3216C" w:rsidRPr="00EE53AF">
        <w:rPr>
          <w:rFonts w:ascii="Times New Roman" w:hAnsi="Times New Roman" w:cs="Times New Roman"/>
          <w:sz w:val="24"/>
          <w:szCs w:val="24"/>
        </w:rPr>
        <w:t xml:space="preserve"> </w:t>
      </w:r>
      <w:r w:rsidR="00B3216C" w:rsidRPr="008A307A">
        <w:rPr>
          <w:rFonts w:ascii="Times New Roman" w:hAnsi="Times New Roman" w:cs="Times New Roman"/>
          <w:sz w:val="24"/>
          <w:szCs w:val="24"/>
        </w:rPr>
        <w:t>There are many return behaviors to calculate stock performance</w:t>
      </w:r>
      <w:r w:rsidR="00B3216C">
        <w:rPr>
          <w:rFonts w:ascii="Times New Roman" w:hAnsi="Times New Roman" w:cs="Times New Roman"/>
          <w:sz w:val="24"/>
          <w:szCs w:val="24"/>
        </w:rPr>
        <w:t xml:space="preserve">. </w:t>
      </w:r>
      <w:r w:rsidR="00B3216C" w:rsidRPr="00447897">
        <w:rPr>
          <w:rFonts w:ascii="Times New Roman" w:hAnsi="Times New Roman" w:cs="Times New Roman"/>
          <w:sz w:val="24"/>
          <w:szCs w:val="24"/>
        </w:rPr>
        <w:t>Types of return behavior:</w:t>
      </w:r>
    </w:p>
    <w:p w:rsidR="00B3216C" w:rsidRPr="00447897" w:rsidRDefault="00B3216C" w:rsidP="00B3216C">
      <w:pPr>
        <w:spacing w:after="0" w:line="288" w:lineRule="auto"/>
        <w:ind w:left="360"/>
        <w:jc w:val="both"/>
        <w:rPr>
          <w:rFonts w:ascii="Times New Roman" w:hAnsi="Times New Roman" w:cs="Times New Roman"/>
          <w:sz w:val="24"/>
          <w:szCs w:val="24"/>
        </w:rPr>
      </w:pPr>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16" w:tooltip="Absolute investment performance" w:history="1">
        <w:r w:rsidR="00B3216C" w:rsidRPr="00B3216C">
          <w:rPr>
            <w:rFonts w:ascii="Times New Roman" w:hAnsi="Times New Roman" w:cs="Times New Roman"/>
            <w:sz w:val="24"/>
            <w:szCs w:val="24"/>
          </w:rPr>
          <w:t>Absolute investment performance</w:t>
        </w:r>
      </w:hyperlink>
      <w:r w:rsidR="00B3216C" w:rsidRPr="00B3216C">
        <w:rPr>
          <w:rFonts w:ascii="Times New Roman" w:hAnsi="Times New Roman" w:cs="Times New Roman"/>
          <w:sz w:val="24"/>
          <w:szCs w:val="24"/>
        </w:rPr>
        <w:t>/</w:t>
      </w:r>
      <w:hyperlink r:id="rId17" w:tooltip="Absolute return" w:history="1">
        <w:r w:rsidR="00B3216C" w:rsidRPr="00B3216C">
          <w:rPr>
            <w:rFonts w:ascii="Times New Roman" w:hAnsi="Times New Roman" w:cs="Times New Roman"/>
            <w:sz w:val="24"/>
            <w:szCs w:val="24"/>
          </w:rPr>
          <w:t>Absolute return</w:t>
        </w:r>
      </w:hyperlink>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18" w:tooltip="Holding period return" w:history="1">
        <w:r w:rsidR="00B3216C" w:rsidRPr="00B3216C">
          <w:rPr>
            <w:rFonts w:ascii="Times New Roman" w:hAnsi="Times New Roman" w:cs="Times New Roman"/>
            <w:sz w:val="24"/>
            <w:szCs w:val="24"/>
          </w:rPr>
          <w:t>Holding period return</w:t>
        </w:r>
      </w:hyperlink>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19" w:tooltip="Modified Dietz Method" w:history="1">
        <w:r w:rsidR="00B3216C" w:rsidRPr="00B3216C">
          <w:rPr>
            <w:rFonts w:ascii="Times New Roman" w:hAnsi="Times New Roman" w:cs="Times New Roman"/>
            <w:sz w:val="24"/>
            <w:szCs w:val="24"/>
          </w:rPr>
          <w:t>Modified Dietz Method</w:t>
        </w:r>
      </w:hyperlink>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20" w:tooltip="Internal Rate of Return" w:history="1">
        <w:r w:rsidR="00B3216C" w:rsidRPr="00B3216C">
          <w:rPr>
            <w:rFonts w:ascii="Times New Roman" w:hAnsi="Times New Roman" w:cs="Times New Roman"/>
            <w:sz w:val="24"/>
            <w:szCs w:val="24"/>
          </w:rPr>
          <w:t>Internal Rate of Return</w:t>
        </w:r>
      </w:hyperlink>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21" w:tooltip="Rate of return" w:history="1">
        <w:r w:rsidR="00B3216C" w:rsidRPr="00B3216C">
          <w:rPr>
            <w:rFonts w:ascii="Times New Roman" w:hAnsi="Times New Roman" w:cs="Times New Roman"/>
            <w:sz w:val="24"/>
            <w:szCs w:val="24"/>
          </w:rPr>
          <w:t>Rate of return</w:t>
        </w:r>
      </w:hyperlink>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22" w:tooltip="Relative return" w:history="1">
        <w:r w:rsidR="00B3216C" w:rsidRPr="00B3216C">
          <w:rPr>
            <w:rFonts w:ascii="Times New Roman" w:hAnsi="Times New Roman" w:cs="Times New Roman"/>
            <w:sz w:val="24"/>
            <w:szCs w:val="24"/>
          </w:rPr>
          <w:t>Relative return</w:t>
        </w:r>
      </w:hyperlink>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23" w:tooltip="Simple Dietz Method" w:history="1">
        <w:r w:rsidR="00B3216C" w:rsidRPr="00B3216C">
          <w:rPr>
            <w:rFonts w:ascii="Times New Roman" w:hAnsi="Times New Roman" w:cs="Times New Roman"/>
            <w:sz w:val="24"/>
            <w:szCs w:val="24"/>
          </w:rPr>
          <w:t>Simple Dietz Method</w:t>
        </w:r>
      </w:hyperlink>
    </w:p>
    <w:p w:rsidR="00B3216C" w:rsidRPr="00B3216C" w:rsidRDefault="00810B41" w:rsidP="00B3216C">
      <w:pPr>
        <w:pStyle w:val="ListParagraph"/>
        <w:numPr>
          <w:ilvl w:val="0"/>
          <w:numId w:val="42"/>
        </w:numPr>
        <w:spacing w:after="0" w:line="360" w:lineRule="auto"/>
        <w:jc w:val="both"/>
        <w:rPr>
          <w:rFonts w:ascii="Times New Roman" w:hAnsi="Times New Roman" w:cs="Times New Roman"/>
          <w:sz w:val="24"/>
          <w:szCs w:val="24"/>
        </w:rPr>
      </w:pPr>
      <w:hyperlink r:id="rId24" w:tooltip="Time-weighted return" w:history="1">
        <w:r w:rsidR="00B3216C" w:rsidRPr="00B3216C">
          <w:rPr>
            <w:rFonts w:ascii="Times New Roman" w:hAnsi="Times New Roman" w:cs="Times New Roman"/>
            <w:sz w:val="24"/>
            <w:szCs w:val="24"/>
          </w:rPr>
          <w:t>Time-weighted return</w:t>
        </w:r>
      </w:hyperlink>
    </w:p>
    <w:p w:rsidR="00B3216C" w:rsidRDefault="00B3216C" w:rsidP="008A307A">
      <w:pPr>
        <w:pStyle w:val="NoSpacing"/>
        <w:jc w:val="both"/>
        <w:rPr>
          <w:rFonts w:ascii="Times New Roman" w:hAnsi="Times New Roman" w:cs="Times New Roman"/>
          <w:sz w:val="24"/>
          <w:szCs w:val="24"/>
        </w:rPr>
      </w:pPr>
    </w:p>
    <w:p w:rsidR="008A307A" w:rsidRPr="008A307A" w:rsidRDefault="00EE53AF" w:rsidP="0057334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For this report,</w:t>
      </w:r>
      <w:r w:rsidR="008A307A" w:rsidRPr="008A307A">
        <w:rPr>
          <w:rFonts w:ascii="Times New Roman" w:hAnsi="Times New Roman" w:cs="Times New Roman"/>
          <w:sz w:val="24"/>
          <w:szCs w:val="24"/>
        </w:rPr>
        <w:t xml:space="preserve"> I choose three most using return</w:t>
      </w:r>
      <w:r w:rsidR="00D71026">
        <w:rPr>
          <w:rFonts w:ascii="Times New Roman" w:hAnsi="Times New Roman" w:cs="Times New Roman"/>
          <w:sz w:val="24"/>
          <w:szCs w:val="24"/>
        </w:rPr>
        <w:t xml:space="preserve"> behavior</w:t>
      </w:r>
      <w:r w:rsidR="008A307A" w:rsidRPr="008A307A">
        <w:rPr>
          <w:rFonts w:ascii="Times New Roman" w:hAnsi="Times New Roman" w:cs="Times New Roman"/>
          <w:sz w:val="24"/>
          <w:szCs w:val="24"/>
        </w:rPr>
        <w:t xml:space="preserve"> techniques to evaluate Bangladesh banking </w:t>
      </w:r>
      <w:r w:rsidR="00D71026">
        <w:rPr>
          <w:rFonts w:ascii="Times New Roman" w:hAnsi="Times New Roman" w:cs="Times New Roman"/>
          <w:sz w:val="24"/>
          <w:szCs w:val="24"/>
        </w:rPr>
        <w:t>sectors</w:t>
      </w:r>
      <w:r w:rsidR="008A307A" w:rsidRPr="008A307A">
        <w:rPr>
          <w:rFonts w:ascii="Times New Roman" w:hAnsi="Times New Roman" w:cs="Times New Roman"/>
          <w:sz w:val="24"/>
          <w:szCs w:val="24"/>
        </w:rPr>
        <w:t xml:space="preserve"> stock. Formula and explanation are given:</w:t>
      </w:r>
    </w:p>
    <w:p w:rsidR="008A307A" w:rsidRPr="008A307A" w:rsidRDefault="008A307A" w:rsidP="008A307A">
      <w:pPr>
        <w:jc w:val="both"/>
        <w:rPr>
          <w:rFonts w:ascii="Times New Roman" w:hAnsi="Times New Roman" w:cs="Times New Roman"/>
          <w:sz w:val="24"/>
          <w:szCs w:val="24"/>
        </w:rPr>
      </w:pPr>
    </w:p>
    <w:p w:rsidR="008A307A" w:rsidRPr="008A307A" w:rsidRDefault="00810B41" w:rsidP="00B765D2">
      <w:pPr>
        <w:pStyle w:val="ListParagraph"/>
        <w:numPr>
          <w:ilvl w:val="0"/>
          <w:numId w:val="35"/>
        </w:numPr>
        <w:spacing w:line="360" w:lineRule="auto"/>
        <w:jc w:val="both"/>
        <w:rPr>
          <w:rFonts w:ascii="Times New Roman" w:hAnsi="Times New Roman" w:cs="Times New Roman"/>
          <w:sz w:val="24"/>
          <w:szCs w:val="24"/>
        </w:rPr>
      </w:pPr>
      <w:hyperlink r:id="rId25" w:tooltip="Rate of return" w:history="1">
        <w:r w:rsidR="008A307A" w:rsidRPr="008A307A">
          <w:rPr>
            <w:rFonts w:ascii="Times New Roman" w:hAnsi="Times New Roman" w:cs="Times New Roman"/>
            <w:b/>
            <w:sz w:val="24"/>
            <w:szCs w:val="24"/>
          </w:rPr>
          <w:t>Rate of return</w:t>
        </w:r>
      </w:hyperlink>
      <w:r w:rsidR="00D71026">
        <w:rPr>
          <w:rFonts w:ascii="Times New Roman" w:hAnsi="Times New Roman" w:cs="Times New Roman"/>
          <w:b/>
          <w:sz w:val="24"/>
          <w:szCs w:val="24"/>
        </w:rPr>
        <w:t xml:space="preserve">: </w:t>
      </w:r>
      <w:r w:rsidR="00200BDE">
        <w:rPr>
          <w:rFonts w:ascii="Times New Roman" w:hAnsi="Times New Roman" w:cs="Times New Roman"/>
          <w:sz w:val="24"/>
          <w:szCs w:val="24"/>
        </w:rPr>
        <w:t>An investment over a certain period of time give gain or loss is called Rate of Return of an investment.  The rate of return is finding out by compared gain or loss to the cost of an initial investment. Rate of return expressed in percentage form. If the return on revenue is positive, it is considered as a gain and when the return on revenue is negative, then it is considered as a loss.</w:t>
      </w:r>
    </w:p>
    <w:p w:rsidR="008A307A" w:rsidRDefault="008A307A" w:rsidP="008A307A">
      <w:pPr>
        <w:jc w:val="both"/>
        <w:rPr>
          <w:rFonts w:ascii="Times New Roman" w:hAnsi="Times New Roman" w:cs="Times New Roman"/>
        </w:rPr>
      </w:pPr>
      <w:r>
        <w:rPr>
          <w:noProof/>
        </w:rPr>
        <w:drawing>
          <wp:inline distT="0" distB="0" distL="0" distR="0" wp14:anchorId="58402F60" wp14:editId="31664BF8">
            <wp:extent cx="5929840" cy="1244009"/>
            <wp:effectExtent l="0" t="0" r="0" b="0"/>
            <wp:docPr id="8" name="Picture 8" descr="Rate of Return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ate of Return Formu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246896"/>
                    </a:xfrm>
                    <a:prstGeom prst="rect">
                      <a:avLst/>
                    </a:prstGeom>
                    <a:noFill/>
                    <a:ln>
                      <a:noFill/>
                    </a:ln>
                  </pic:spPr>
                </pic:pic>
              </a:graphicData>
            </a:graphic>
          </wp:inline>
        </w:drawing>
      </w:r>
    </w:p>
    <w:p w:rsidR="00C473BA" w:rsidRPr="00B765D2" w:rsidRDefault="00C473BA" w:rsidP="00B765D2">
      <w:pPr>
        <w:pStyle w:val="Caption"/>
        <w:spacing w:line="360" w:lineRule="auto"/>
        <w:jc w:val="center"/>
        <w:rPr>
          <w:rFonts w:ascii="Times New Roman" w:hAnsi="Times New Roman" w:cs="Times New Roman"/>
          <w:color w:val="auto"/>
          <w:sz w:val="24"/>
          <w:szCs w:val="24"/>
        </w:rPr>
      </w:pPr>
      <w:bookmarkStart w:id="35" w:name="_Toc57290238"/>
      <w:bookmarkStart w:id="36" w:name="_Toc61651567"/>
      <w:r w:rsidRPr="00B765D2">
        <w:rPr>
          <w:rFonts w:ascii="Times New Roman" w:hAnsi="Times New Roman" w:cs="Times New Roman"/>
          <w:color w:val="auto"/>
          <w:sz w:val="24"/>
          <w:szCs w:val="24"/>
        </w:rPr>
        <w:lastRenderedPageBreak/>
        <w:t xml:space="preserve">Equation </w:t>
      </w:r>
      <w:r w:rsidRPr="00B765D2">
        <w:rPr>
          <w:rFonts w:ascii="Times New Roman" w:hAnsi="Times New Roman" w:cs="Times New Roman"/>
          <w:color w:val="auto"/>
          <w:sz w:val="24"/>
          <w:szCs w:val="24"/>
        </w:rPr>
        <w:fldChar w:fldCharType="begin"/>
      </w:r>
      <w:r w:rsidRPr="00B765D2">
        <w:rPr>
          <w:rFonts w:ascii="Times New Roman" w:hAnsi="Times New Roman" w:cs="Times New Roman"/>
          <w:color w:val="auto"/>
          <w:sz w:val="24"/>
          <w:szCs w:val="24"/>
        </w:rPr>
        <w:instrText xml:space="preserve"> SEQ Equation \* ARABIC </w:instrText>
      </w:r>
      <w:r w:rsidRPr="00B765D2">
        <w:rPr>
          <w:rFonts w:ascii="Times New Roman" w:hAnsi="Times New Roman" w:cs="Times New Roman"/>
          <w:color w:val="auto"/>
          <w:sz w:val="24"/>
          <w:szCs w:val="24"/>
        </w:rPr>
        <w:fldChar w:fldCharType="separate"/>
      </w:r>
      <w:r w:rsidR="007B3E34">
        <w:rPr>
          <w:rFonts w:ascii="Times New Roman" w:hAnsi="Times New Roman" w:cs="Times New Roman"/>
          <w:noProof/>
          <w:color w:val="auto"/>
          <w:sz w:val="24"/>
          <w:szCs w:val="24"/>
        </w:rPr>
        <w:t>1</w:t>
      </w:r>
      <w:r w:rsidRPr="00B765D2">
        <w:rPr>
          <w:rFonts w:ascii="Times New Roman" w:hAnsi="Times New Roman" w:cs="Times New Roman"/>
          <w:color w:val="auto"/>
          <w:sz w:val="24"/>
          <w:szCs w:val="24"/>
        </w:rPr>
        <w:fldChar w:fldCharType="end"/>
      </w:r>
      <w:r w:rsidRPr="00B765D2">
        <w:rPr>
          <w:rFonts w:ascii="Times New Roman" w:hAnsi="Times New Roman" w:cs="Times New Roman"/>
          <w:color w:val="auto"/>
          <w:sz w:val="24"/>
          <w:szCs w:val="24"/>
        </w:rPr>
        <w:t>: Rate of return</w:t>
      </w:r>
      <w:bookmarkEnd w:id="35"/>
      <w:bookmarkEnd w:id="36"/>
    </w:p>
    <w:p w:rsidR="008A307A" w:rsidRPr="008A307A" w:rsidRDefault="00810B41" w:rsidP="00B765D2">
      <w:pPr>
        <w:pStyle w:val="ListParagraph"/>
        <w:numPr>
          <w:ilvl w:val="0"/>
          <w:numId w:val="35"/>
        </w:numPr>
        <w:spacing w:line="360" w:lineRule="auto"/>
        <w:jc w:val="both"/>
        <w:rPr>
          <w:rFonts w:ascii="Times New Roman" w:hAnsi="Times New Roman" w:cs="Times New Roman"/>
          <w:sz w:val="24"/>
          <w:szCs w:val="24"/>
        </w:rPr>
      </w:pPr>
      <w:hyperlink r:id="rId27" w:tooltip="Holding period return" w:history="1">
        <w:r w:rsidR="008A307A" w:rsidRPr="008A307A">
          <w:rPr>
            <w:rFonts w:ascii="Times New Roman" w:hAnsi="Times New Roman" w:cs="Times New Roman"/>
            <w:b/>
            <w:sz w:val="24"/>
            <w:szCs w:val="24"/>
          </w:rPr>
          <w:t>Holding period return</w:t>
        </w:r>
      </w:hyperlink>
      <w:r w:rsidR="008A307A" w:rsidRPr="008A307A">
        <w:rPr>
          <w:rFonts w:ascii="Times New Roman" w:hAnsi="Times New Roman" w:cs="Times New Roman"/>
          <w:b/>
          <w:sz w:val="24"/>
          <w:szCs w:val="24"/>
        </w:rPr>
        <w:t xml:space="preserve">: </w:t>
      </w:r>
      <w:r w:rsidR="009700FB">
        <w:rPr>
          <w:rFonts w:ascii="Times New Roman" w:hAnsi="Times New Roman" w:cs="Times New Roman"/>
          <w:sz w:val="24"/>
          <w:szCs w:val="24"/>
        </w:rPr>
        <w:t>After made initial investment then we calculate Holding Period Return. It is the total return on an asset or investment portfolio over the period of time for which the asset or portfolio has been held. The holding period return can be understood if the asset or portfolio has been held, or expected if an investor only anticipates the purchase of the asset. It is expressed in percentage form.</w:t>
      </w:r>
    </w:p>
    <w:p w:rsidR="008A307A" w:rsidRDefault="008A307A" w:rsidP="008A307A">
      <w:pPr>
        <w:jc w:val="both"/>
        <w:rPr>
          <w:rFonts w:ascii="Times New Roman" w:hAnsi="Times New Roman" w:cs="Times New Roman"/>
        </w:rPr>
      </w:pPr>
      <w:r>
        <w:rPr>
          <w:noProof/>
        </w:rPr>
        <w:drawing>
          <wp:anchor distT="0" distB="0" distL="114300" distR="114300" simplePos="0" relativeHeight="251756544" behindDoc="0" locked="0" layoutInCell="1" allowOverlap="1" wp14:anchorId="3C7D379F" wp14:editId="2ACB9007">
            <wp:simplePos x="0" y="0"/>
            <wp:positionH relativeFrom="column">
              <wp:posOffset>605790</wp:posOffset>
            </wp:positionH>
            <wp:positionV relativeFrom="paragraph">
              <wp:posOffset>53975</wp:posOffset>
            </wp:positionV>
            <wp:extent cx="4752340" cy="1020445"/>
            <wp:effectExtent l="0" t="0" r="0" b="8255"/>
            <wp:wrapSquare wrapText="bothSides"/>
            <wp:docPr id="4" name="Picture 4" descr="Holding Period Return -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lding Period Return - Formul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52340" cy="1020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307A" w:rsidRDefault="008A307A" w:rsidP="008A307A">
      <w:pPr>
        <w:jc w:val="both"/>
        <w:rPr>
          <w:rFonts w:ascii="Times New Roman" w:hAnsi="Times New Roman" w:cs="Times New Roman"/>
        </w:rPr>
      </w:pPr>
    </w:p>
    <w:p w:rsidR="008A307A" w:rsidRDefault="008A307A" w:rsidP="008A307A">
      <w:pPr>
        <w:jc w:val="both"/>
        <w:rPr>
          <w:rFonts w:ascii="Times New Roman" w:hAnsi="Times New Roman" w:cs="Times New Roman"/>
        </w:rPr>
      </w:pPr>
    </w:p>
    <w:p w:rsidR="008A307A" w:rsidRPr="001B4D37" w:rsidRDefault="00C473BA" w:rsidP="001B4D37">
      <w:pPr>
        <w:pStyle w:val="Caption"/>
        <w:jc w:val="center"/>
        <w:rPr>
          <w:rFonts w:ascii="Times New Roman" w:hAnsi="Times New Roman" w:cs="Times New Roman"/>
          <w:color w:val="auto"/>
          <w:sz w:val="22"/>
          <w:szCs w:val="22"/>
        </w:rPr>
      </w:pPr>
      <w:bookmarkStart w:id="37" w:name="_Toc57290239"/>
      <w:bookmarkStart w:id="38" w:name="_Toc61651568"/>
      <w:r w:rsidRPr="001B4D37">
        <w:rPr>
          <w:rFonts w:ascii="Times New Roman" w:hAnsi="Times New Roman" w:cs="Times New Roman"/>
          <w:color w:val="auto"/>
          <w:sz w:val="22"/>
          <w:szCs w:val="22"/>
        </w:rPr>
        <w:t xml:space="preserve">Equation </w:t>
      </w:r>
      <w:r w:rsidRPr="001B4D37">
        <w:rPr>
          <w:rFonts w:ascii="Times New Roman" w:hAnsi="Times New Roman" w:cs="Times New Roman"/>
          <w:color w:val="auto"/>
          <w:sz w:val="22"/>
          <w:szCs w:val="22"/>
        </w:rPr>
        <w:fldChar w:fldCharType="begin"/>
      </w:r>
      <w:r w:rsidRPr="001B4D37">
        <w:rPr>
          <w:rFonts w:ascii="Times New Roman" w:hAnsi="Times New Roman" w:cs="Times New Roman"/>
          <w:color w:val="auto"/>
          <w:sz w:val="22"/>
          <w:szCs w:val="22"/>
        </w:rPr>
        <w:instrText xml:space="preserve"> SEQ Equation \* ARABIC </w:instrText>
      </w:r>
      <w:r w:rsidRPr="001B4D37">
        <w:rPr>
          <w:rFonts w:ascii="Times New Roman" w:hAnsi="Times New Roman" w:cs="Times New Roman"/>
          <w:color w:val="auto"/>
          <w:sz w:val="22"/>
          <w:szCs w:val="22"/>
        </w:rPr>
        <w:fldChar w:fldCharType="separate"/>
      </w:r>
      <w:r w:rsidR="007B3E34">
        <w:rPr>
          <w:rFonts w:ascii="Times New Roman" w:hAnsi="Times New Roman" w:cs="Times New Roman"/>
          <w:noProof/>
          <w:color w:val="auto"/>
          <w:sz w:val="22"/>
          <w:szCs w:val="22"/>
        </w:rPr>
        <w:t>2</w:t>
      </w:r>
      <w:r w:rsidRPr="001B4D37">
        <w:rPr>
          <w:rFonts w:ascii="Times New Roman" w:hAnsi="Times New Roman" w:cs="Times New Roman"/>
          <w:color w:val="auto"/>
          <w:sz w:val="22"/>
          <w:szCs w:val="22"/>
        </w:rPr>
        <w:fldChar w:fldCharType="end"/>
      </w:r>
      <w:r w:rsidRPr="001B4D37">
        <w:rPr>
          <w:rFonts w:ascii="Times New Roman" w:hAnsi="Times New Roman" w:cs="Times New Roman"/>
          <w:color w:val="auto"/>
          <w:sz w:val="22"/>
          <w:szCs w:val="22"/>
        </w:rPr>
        <w:t>: Holding period return</w:t>
      </w:r>
      <w:bookmarkEnd w:id="37"/>
      <w:bookmarkEnd w:id="38"/>
    </w:p>
    <w:p w:rsidR="008A307A" w:rsidRPr="005B6886" w:rsidRDefault="00B3216C" w:rsidP="00B765D2">
      <w:pPr>
        <w:pStyle w:val="ListParagraph"/>
        <w:numPr>
          <w:ilvl w:val="0"/>
          <w:numId w:val="35"/>
        </w:numPr>
        <w:spacing w:line="360" w:lineRule="auto"/>
        <w:jc w:val="both"/>
        <w:rPr>
          <w:rFonts w:ascii="Times New Roman" w:hAnsi="Times New Roman" w:cs="Times New Roman"/>
          <w:sz w:val="24"/>
          <w:szCs w:val="24"/>
        </w:rPr>
      </w:pPr>
      <w:r w:rsidRPr="001C57FC">
        <w:rPr>
          <w:rFonts w:ascii="Times New Roman" w:hAnsi="Times New Roman" w:cs="Times New Roman"/>
          <w:noProof/>
        </w:rPr>
        <w:drawing>
          <wp:anchor distT="0" distB="0" distL="114300" distR="114300" simplePos="0" relativeHeight="251757568" behindDoc="0" locked="0" layoutInCell="1" allowOverlap="1" wp14:anchorId="5E611809" wp14:editId="4DE3F3A6">
            <wp:simplePos x="0" y="0"/>
            <wp:positionH relativeFrom="column">
              <wp:posOffset>328295</wp:posOffset>
            </wp:positionH>
            <wp:positionV relativeFrom="paragraph">
              <wp:posOffset>1186180</wp:posOffset>
            </wp:positionV>
            <wp:extent cx="5698490" cy="935355"/>
            <wp:effectExtent l="0" t="0" r="0" b="0"/>
            <wp:wrapSquare wrapText="bothSides"/>
            <wp:docPr id="5" name="Picture 5" descr="Absolute Re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solute Retur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98490" cy="93535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0" w:tooltip="Absolute return" w:history="1">
        <w:r w:rsidR="008A307A" w:rsidRPr="008A307A">
          <w:rPr>
            <w:rFonts w:ascii="Times New Roman" w:hAnsi="Times New Roman" w:cs="Times New Roman"/>
            <w:b/>
            <w:sz w:val="24"/>
            <w:szCs w:val="24"/>
          </w:rPr>
          <w:t>Absolute return</w:t>
        </w:r>
      </w:hyperlink>
      <w:r w:rsidR="008A307A" w:rsidRPr="008A307A">
        <w:rPr>
          <w:rFonts w:ascii="Times New Roman" w:hAnsi="Times New Roman" w:cs="Times New Roman"/>
          <w:b/>
          <w:sz w:val="24"/>
          <w:szCs w:val="24"/>
        </w:rPr>
        <w:t>:</w:t>
      </w:r>
      <w:r w:rsidR="008A307A" w:rsidRPr="00817B41">
        <w:rPr>
          <w:rFonts w:ascii="Times New Roman" w:hAnsi="Times New Roman" w:cs="Times New Roman"/>
        </w:rPr>
        <w:t xml:space="preserve"> </w:t>
      </w:r>
      <w:r w:rsidR="009700FB">
        <w:rPr>
          <w:rFonts w:ascii="Times New Roman" w:hAnsi="Times New Roman" w:cs="Times New Roman"/>
          <w:sz w:val="24"/>
          <w:szCs w:val="24"/>
        </w:rPr>
        <w:t>The absolute return is a measure of the gain or loss on an assets and investment portfolio. It is expressed in percentages. The only drawback of this method is it does not mention the period of the investment made.</w:t>
      </w:r>
    </w:p>
    <w:p w:rsidR="00B3216C" w:rsidRDefault="00B3216C" w:rsidP="00B3216C">
      <w:pPr>
        <w:pStyle w:val="Caption"/>
        <w:jc w:val="center"/>
        <w:rPr>
          <w:rFonts w:ascii="Times New Roman" w:hAnsi="Times New Roman" w:cs="Times New Roman"/>
          <w:color w:val="auto"/>
          <w:sz w:val="22"/>
          <w:szCs w:val="22"/>
        </w:rPr>
      </w:pPr>
      <w:bookmarkStart w:id="39" w:name="_Toc57290240"/>
    </w:p>
    <w:p w:rsidR="008A307A" w:rsidRPr="00B3216C" w:rsidRDefault="001C57FC" w:rsidP="00B3216C">
      <w:pPr>
        <w:pStyle w:val="Caption"/>
        <w:jc w:val="center"/>
        <w:rPr>
          <w:rFonts w:ascii="Times New Roman" w:hAnsi="Times New Roman" w:cs="Times New Roman"/>
          <w:color w:val="auto"/>
          <w:sz w:val="22"/>
          <w:szCs w:val="22"/>
        </w:rPr>
      </w:pPr>
      <w:bookmarkStart w:id="40" w:name="_Toc61651569"/>
      <w:r w:rsidRPr="001C57FC">
        <w:rPr>
          <w:rFonts w:ascii="Times New Roman" w:hAnsi="Times New Roman" w:cs="Times New Roman"/>
          <w:color w:val="auto"/>
          <w:sz w:val="22"/>
          <w:szCs w:val="22"/>
        </w:rPr>
        <w:t xml:space="preserve">Equation </w:t>
      </w:r>
      <w:r w:rsidRPr="001C57FC">
        <w:rPr>
          <w:rFonts w:ascii="Times New Roman" w:hAnsi="Times New Roman" w:cs="Times New Roman"/>
          <w:color w:val="auto"/>
          <w:sz w:val="22"/>
          <w:szCs w:val="22"/>
        </w:rPr>
        <w:fldChar w:fldCharType="begin"/>
      </w:r>
      <w:r w:rsidRPr="001C57FC">
        <w:rPr>
          <w:rFonts w:ascii="Times New Roman" w:hAnsi="Times New Roman" w:cs="Times New Roman"/>
          <w:color w:val="auto"/>
          <w:sz w:val="22"/>
          <w:szCs w:val="22"/>
        </w:rPr>
        <w:instrText xml:space="preserve"> SEQ Equation \* ARABIC </w:instrText>
      </w:r>
      <w:r w:rsidRPr="001C57FC">
        <w:rPr>
          <w:rFonts w:ascii="Times New Roman" w:hAnsi="Times New Roman" w:cs="Times New Roman"/>
          <w:color w:val="auto"/>
          <w:sz w:val="22"/>
          <w:szCs w:val="22"/>
        </w:rPr>
        <w:fldChar w:fldCharType="separate"/>
      </w:r>
      <w:r w:rsidR="007B3E34">
        <w:rPr>
          <w:rFonts w:ascii="Times New Roman" w:hAnsi="Times New Roman" w:cs="Times New Roman"/>
          <w:noProof/>
          <w:color w:val="auto"/>
          <w:sz w:val="22"/>
          <w:szCs w:val="22"/>
        </w:rPr>
        <w:t>3</w:t>
      </w:r>
      <w:r w:rsidRPr="001C57FC">
        <w:rPr>
          <w:rFonts w:ascii="Times New Roman" w:hAnsi="Times New Roman" w:cs="Times New Roman"/>
          <w:color w:val="auto"/>
          <w:sz w:val="22"/>
          <w:szCs w:val="22"/>
        </w:rPr>
        <w:fldChar w:fldCharType="end"/>
      </w:r>
      <w:r w:rsidRPr="001C57FC">
        <w:rPr>
          <w:rFonts w:ascii="Times New Roman" w:hAnsi="Times New Roman" w:cs="Times New Roman"/>
          <w:color w:val="auto"/>
          <w:sz w:val="22"/>
          <w:szCs w:val="22"/>
        </w:rPr>
        <w:t>: Absolute return</w:t>
      </w:r>
      <w:bookmarkEnd w:id="39"/>
      <w:bookmarkEnd w:id="40"/>
    </w:p>
    <w:p w:rsidR="00F01097" w:rsidRDefault="00F01097">
      <w:pPr>
        <w:rPr>
          <w:rFonts w:eastAsia="Times New Roman" w:cs="Times New Roman"/>
          <w:szCs w:val="28"/>
        </w:rPr>
      </w:pPr>
    </w:p>
    <w:p w:rsidR="00EE53AF" w:rsidRDefault="00482960" w:rsidP="00482960">
      <w:pPr>
        <w:spacing w:line="360" w:lineRule="auto"/>
        <w:jc w:val="both"/>
        <w:rPr>
          <w:rFonts w:ascii="Times New Roman" w:hAnsi="Times New Roman" w:cs="Times New Roman"/>
          <w:sz w:val="24"/>
        </w:rPr>
      </w:pPr>
      <w:r w:rsidRPr="00482960">
        <w:rPr>
          <w:rFonts w:ascii="Times New Roman" w:hAnsi="Times New Roman" w:cs="Times New Roman"/>
          <w:sz w:val="24"/>
        </w:rPr>
        <w:t>From above methods we are not get the clear picture about periodic return. So, we take recent year absolute return and compare with Compound monthly growth rate to get the best view about stocks return in Bangladesh.</w:t>
      </w:r>
    </w:p>
    <w:p w:rsidR="00482960" w:rsidRPr="00EF4AAA" w:rsidRDefault="00482960" w:rsidP="00482960">
      <w:pPr>
        <w:pStyle w:val="ListParagraph"/>
        <w:numPr>
          <w:ilvl w:val="0"/>
          <w:numId w:val="44"/>
        </w:numPr>
        <w:spacing w:line="360" w:lineRule="auto"/>
        <w:jc w:val="both"/>
        <w:rPr>
          <w:rFonts w:ascii="Times New Roman" w:hAnsi="Times New Roman" w:cs="Times New Roman"/>
          <w:b/>
          <w:sz w:val="24"/>
        </w:rPr>
      </w:pPr>
      <w:r w:rsidRPr="00482960">
        <w:rPr>
          <w:rFonts w:ascii="Times New Roman" w:hAnsi="Times New Roman" w:cs="Times New Roman"/>
          <w:b/>
          <w:sz w:val="24"/>
        </w:rPr>
        <w:t>C</w:t>
      </w:r>
      <w:r>
        <w:rPr>
          <w:rFonts w:ascii="Times New Roman" w:hAnsi="Times New Roman" w:cs="Times New Roman"/>
          <w:b/>
          <w:sz w:val="24"/>
        </w:rPr>
        <w:t>ompound monthly growth rate</w:t>
      </w:r>
      <w:r w:rsidRPr="00482960">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sz w:val="24"/>
        </w:rPr>
        <w:t>The value of investment grows based on both original investment and the return the investment generate. It also compares the period also. So we get a clear view point of stock return growth rate.</w:t>
      </w:r>
      <w:r w:rsidR="009700FB">
        <w:rPr>
          <w:rFonts w:ascii="Times New Roman" w:hAnsi="Times New Roman" w:cs="Times New Roman"/>
          <w:sz w:val="24"/>
        </w:rPr>
        <w:t xml:space="preserve"> It is expressed in percentage form.</w:t>
      </w:r>
    </w:p>
    <w:p w:rsidR="007B3E34" w:rsidRDefault="00F46867" w:rsidP="00EE53AF">
      <w:pPr>
        <w:jc w:val="both"/>
        <w:rPr>
          <w:rFonts w:asciiTheme="majorHAnsi" w:eastAsia="Times New Roman" w:hAnsiTheme="majorHAnsi" w:cstheme="minorHAnsi"/>
          <w:b/>
          <w:color w:val="0F243E" w:themeColor="text2" w:themeShade="80"/>
          <w:sz w:val="28"/>
          <w:szCs w:val="28"/>
        </w:rPr>
      </w:pPr>
      <w:r>
        <w:rPr>
          <w:rFonts w:asciiTheme="majorHAnsi" w:eastAsia="Times New Roman" w:hAnsiTheme="majorHAnsi" w:cstheme="minorHAnsi"/>
          <w:b/>
          <w:color w:val="0F243E" w:themeColor="text2" w:themeShade="80"/>
          <w:sz w:val="24"/>
          <w:szCs w:val="24"/>
        </w:rPr>
        <w:t>C</w:t>
      </w:r>
      <w:r w:rsidRPr="005A7CB7">
        <w:rPr>
          <w:rFonts w:asciiTheme="majorHAnsi" w:eastAsia="Times New Roman" w:hAnsiTheme="majorHAnsi" w:cstheme="minorHAnsi"/>
          <w:b/>
          <w:color w:val="0F243E" w:themeColor="text2" w:themeShade="80"/>
          <w:sz w:val="24"/>
          <w:szCs w:val="24"/>
        </w:rPr>
        <w:t xml:space="preserve">ompound Monthly Growth Rate </w:t>
      </w:r>
      <w:r w:rsidRPr="00F46867">
        <w:rPr>
          <w:rFonts w:asciiTheme="majorHAnsi" w:eastAsia="Times New Roman" w:hAnsiTheme="majorHAnsi" w:cstheme="minorHAnsi"/>
          <w:b/>
          <w:color w:val="0F243E" w:themeColor="text2" w:themeShade="80"/>
          <w:sz w:val="28"/>
          <w:szCs w:val="28"/>
        </w:rPr>
        <w:t>=</w:t>
      </w:r>
      <m:oMath>
        <m:r>
          <m:rPr>
            <m:sty m:val="bi"/>
          </m:rPr>
          <w:rPr>
            <w:rFonts w:ascii="Cambria Math" w:eastAsia="Times New Roman" w:hAnsi="Cambria Math" w:cstheme="minorHAnsi"/>
            <w:color w:val="0F243E" w:themeColor="text2" w:themeShade="80"/>
            <w:sz w:val="28"/>
            <w:szCs w:val="28"/>
          </w:rPr>
          <m:t>(</m:t>
        </m:r>
        <m:sSup>
          <m:sSupPr>
            <m:ctrlPr>
              <w:rPr>
                <w:rFonts w:ascii="Cambria Math" w:eastAsia="Times New Roman" w:hAnsi="Cambria Math" w:cstheme="minorHAnsi"/>
                <w:b/>
                <w:color w:val="0F243E" w:themeColor="text2" w:themeShade="80"/>
                <w:sz w:val="28"/>
                <w:szCs w:val="28"/>
              </w:rPr>
            </m:ctrlPr>
          </m:sSupPr>
          <m:e>
            <m:f>
              <m:fPr>
                <m:ctrlPr>
                  <w:rPr>
                    <w:rFonts w:ascii="Cambria Math" w:eastAsia="Times New Roman" w:hAnsi="Cambria Math" w:cstheme="minorHAnsi"/>
                    <w:b/>
                    <w:i/>
                    <w:color w:val="0F243E" w:themeColor="text2" w:themeShade="80"/>
                    <w:sz w:val="28"/>
                    <w:szCs w:val="28"/>
                  </w:rPr>
                </m:ctrlPr>
              </m:fPr>
              <m:num>
                <m:r>
                  <m:rPr>
                    <m:sty m:val="bi"/>
                  </m:rPr>
                  <w:rPr>
                    <w:rFonts w:ascii="Cambria Math" w:eastAsia="Times New Roman" w:hAnsi="Cambria Math" w:cstheme="minorHAnsi"/>
                    <w:color w:val="0F243E" w:themeColor="text2" w:themeShade="80"/>
                    <w:sz w:val="28"/>
                    <w:szCs w:val="28"/>
                  </w:rPr>
                  <m:t>Ending Investment Amount</m:t>
                </m:r>
              </m:num>
              <m:den>
                <m:r>
                  <m:rPr>
                    <m:sty m:val="bi"/>
                  </m:rPr>
                  <w:rPr>
                    <w:rFonts w:ascii="Cambria Math" w:eastAsia="Times New Roman" w:hAnsi="Cambria Math" w:cstheme="minorHAnsi"/>
                    <w:color w:val="0F243E" w:themeColor="text2" w:themeShade="80"/>
                    <w:sz w:val="28"/>
                    <w:szCs w:val="28"/>
                  </w:rPr>
                  <m:t>Start Amount</m:t>
                </m:r>
              </m:den>
            </m:f>
            <m:r>
              <m:rPr>
                <m:sty m:val="bi"/>
              </m:rPr>
              <w:rPr>
                <w:rFonts w:ascii="Cambria Math" w:eastAsia="Times New Roman" w:hAnsi="Cambria Math" w:cstheme="minorHAnsi"/>
                <w:color w:val="0F243E" w:themeColor="text2" w:themeShade="80"/>
                <w:sz w:val="28"/>
                <w:szCs w:val="28"/>
              </w:rPr>
              <m:t>)</m:t>
            </m:r>
          </m:e>
          <m:sup>
            <m:f>
              <m:fPr>
                <m:ctrlPr>
                  <w:rPr>
                    <w:rFonts w:ascii="Cambria Math" w:eastAsia="Times New Roman" w:hAnsi="Cambria Math" w:cstheme="minorHAnsi"/>
                    <w:b/>
                    <w:i/>
                    <w:color w:val="0F243E" w:themeColor="text2" w:themeShade="80"/>
                    <w:sz w:val="28"/>
                    <w:szCs w:val="28"/>
                  </w:rPr>
                </m:ctrlPr>
              </m:fPr>
              <m:num>
                <m:r>
                  <m:rPr>
                    <m:sty m:val="bi"/>
                  </m:rPr>
                  <w:rPr>
                    <w:rFonts w:ascii="Cambria Math" w:eastAsia="Times New Roman" w:hAnsi="Cambria Math" w:cstheme="minorHAnsi"/>
                    <w:color w:val="0F243E" w:themeColor="text2" w:themeShade="80"/>
                    <w:sz w:val="28"/>
                    <w:szCs w:val="28"/>
                  </w:rPr>
                  <m:t>1</m:t>
                </m:r>
              </m:num>
              <m:den>
                <m:r>
                  <m:rPr>
                    <m:sty m:val="bi"/>
                  </m:rPr>
                  <w:rPr>
                    <w:rFonts w:ascii="Cambria Math" w:eastAsia="Times New Roman" w:hAnsi="Cambria Math" w:cstheme="minorHAnsi"/>
                    <w:color w:val="0F243E" w:themeColor="text2" w:themeShade="80"/>
                    <w:sz w:val="28"/>
                    <w:szCs w:val="28"/>
                  </w:rPr>
                  <m:t>Numbers of Months</m:t>
                </m:r>
              </m:den>
            </m:f>
          </m:sup>
        </m:sSup>
        <m:r>
          <m:rPr>
            <m:sty m:val="bi"/>
          </m:rPr>
          <w:rPr>
            <w:rFonts w:ascii="Cambria Math" w:eastAsia="Times New Roman" w:hAnsi="Cambria Math" w:cstheme="minorHAnsi"/>
            <w:color w:val="0F243E" w:themeColor="text2" w:themeShade="80"/>
            <w:sz w:val="28"/>
            <w:szCs w:val="28"/>
          </w:rPr>
          <m:t>-</m:t>
        </m:r>
        <m:r>
          <m:rPr>
            <m:sty m:val="b"/>
          </m:rPr>
          <w:rPr>
            <w:rFonts w:ascii="Cambria Math" w:eastAsia="Times New Roman" w:hAnsi="Cambria Math" w:cstheme="minorHAnsi"/>
            <w:color w:val="0F243E" w:themeColor="text2" w:themeShade="80"/>
            <w:sz w:val="28"/>
            <w:szCs w:val="28"/>
          </w:rPr>
          <m:t>1</m:t>
        </m:r>
      </m:oMath>
    </w:p>
    <w:p w:rsidR="001C57FC" w:rsidRPr="00CC4F3C" w:rsidRDefault="007B3E34" w:rsidP="007B3E34">
      <w:pPr>
        <w:pStyle w:val="Caption"/>
        <w:jc w:val="center"/>
        <w:rPr>
          <w:rFonts w:eastAsia="Times New Roman" w:cstheme="minorHAnsi"/>
          <w:b w:val="0"/>
          <w:bCs w:val="0"/>
          <w:sz w:val="32"/>
          <w:szCs w:val="32"/>
        </w:rPr>
      </w:pPr>
      <w:bookmarkStart w:id="41" w:name="_Toc61651570"/>
      <w:r w:rsidRPr="007B3E34">
        <w:rPr>
          <w:rFonts w:ascii="Times New Roman" w:hAnsi="Times New Roman" w:cs="Times New Roman"/>
          <w:color w:val="auto"/>
          <w:sz w:val="22"/>
          <w:szCs w:val="22"/>
        </w:rPr>
        <w:lastRenderedPageBreak/>
        <w:t xml:space="preserve">Equation </w:t>
      </w:r>
      <w:r w:rsidRPr="007B3E34">
        <w:rPr>
          <w:rFonts w:ascii="Times New Roman" w:hAnsi="Times New Roman" w:cs="Times New Roman"/>
          <w:color w:val="auto"/>
          <w:sz w:val="22"/>
          <w:szCs w:val="22"/>
        </w:rPr>
        <w:fldChar w:fldCharType="begin"/>
      </w:r>
      <w:r w:rsidRPr="007B3E34">
        <w:rPr>
          <w:rFonts w:ascii="Times New Roman" w:hAnsi="Times New Roman" w:cs="Times New Roman"/>
          <w:color w:val="auto"/>
          <w:sz w:val="22"/>
          <w:szCs w:val="22"/>
        </w:rPr>
        <w:instrText xml:space="preserve"> SEQ Equation \* ARABIC </w:instrText>
      </w:r>
      <w:r w:rsidRPr="007B3E34">
        <w:rPr>
          <w:rFonts w:ascii="Times New Roman" w:hAnsi="Times New Roman" w:cs="Times New Roman"/>
          <w:color w:val="auto"/>
          <w:sz w:val="22"/>
          <w:szCs w:val="22"/>
        </w:rPr>
        <w:fldChar w:fldCharType="separate"/>
      </w:r>
      <w:r w:rsidRPr="007B3E34">
        <w:rPr>
          <w:rFonts w:ascii="Times New Roman" w:hAnsi="Times New Roman" w:cs="Times New Roman"/>
          <w:color w:val="auto"/>
          <w:sz w:val="22"/>
          <w:szCs w:val="22"/>
        </w:rPr>
        <w:t>4</w:t>
      </w:r>
      <w:r w:rsidRPr="007B3E34">
        <w:rPr>
          <w:rFonts w:ascii="Times New Roman" w:hAnsi="Times New Roman" w:cs="Times New Roman"/>
          <w:color w:val="auto"/>
          <w:sz w:val="22"/>
          <w:szCs w:val="22"/>
        </w:rPr>
        <w:fldChar w:fldCharType="end"/>
      </w:r>
      <w:r w:rsidRPr="007B3E34">
        <w:rPr>
          <w:rFonts w:ascii="Times New Roman" w:hAnsi="Times New Roman" w:cs="Times New Roman"/>
          <w:color w:val="auto"/>
          <w:sz w:val="22"/>
          <w:szCs w:val="22"/>
        </w:rPr>
        <w:t>: Compound Monthly Growth Rate</w:t>
      </w:r>
      <w:bookmarkEnd w:id="41"/>
      <w:r w:rsidR="001C57FC" w:rsidRPr="00CC4F3C">
        <w:rPr>
          <w:rFonts w:eastAsia="Times New Roman" w:cstheme="minorHAnsi"/>
          <w:b w:val="0"/>
          <w:sz w:val="32"/>
          <w:szCs w:val="32"/>
        </w:rPr>
        <w:br w:type="page"/>
      </w:r>
    </w:p>
    <w:p w:rsidR="008A307A" w:rsidRPr="008A307A" w:rsidRDefault="008A307A" w:rsidP="008A307A">
      <w:pPr>
        <w:pStyle w:val="Heading2"/>
        <w:rPr>
          <w:rFonts w:eastAsia="Times New Roman" w:cs="Times New Roman"/>
          <w:szCs w:val="28"/>
        </w:rPr>
      </w:pPr>
      <w:bookmarkStart w:id="42" w:name="_Toc62037713"/>
      <w:r w:rsidRPr="008A307A">
        <w:rPr>
          <w:rFonts w:eastAsia="Times New Roman" w:cs="Times New Roman"/>
          <w:szCs w:val="28"/>
        </w:rPr>
        <w:lastRenderedPageBreak/>
        <w:t>Arab Bangladesh Bank:</w:t>
      </w:r>
      <w:bookmarkEnd w:id="42"/>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B10DE5" w:rsidRDefault="008A307A" w:rsidP="00B765D2">
      <w:pPr>
        <w:spacing w:after="0" w:line="360" w:lineRule="auto"/>
        <w:ind w:left="360"/>
        <w:jc w:val="both"/>
        <w:rPr>
          <w:rFonts w:ascii="Times New Roman" w:hAnsi="Times New Roman" w:cs="Times New Roman"/>
          <w:sz w:val="24"/>
          <w:szCs w:val="24"/>
        </w:rPr>
      </w:pPr>
      <w:r w:rsidRPr="00B10DE5">
        <w:rPr>
          <w:rFonts w:ascii="Times New Roman" w:hAnsi="Times New Roman" w:cs="Times New Roman"/>
          <w:sz w:val="24"/>
          <w:szCs w:val="24"/>
        </w:rPr>
        <w:t xml:space="preserve">Both the table and graph of rate of return and absolute return show the same value. For Arab Bangladesh Bank the value for 2017 is 6.74, 2018 is -37.16 and 2019 is -36.81. It means return for 2017 is positive and both year 2018 and 2019 is negative.  On the other hand the holding period return show the return parentage for 2017 is 0.07, 2018 and 2019 is -0.37. That indicates positive return on 2017 and negative for both the year 2018 and 2019. </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RPr="00714EB7"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bottom w:val="single" w:sz="4" w:space="0" w:color="FFFFFF" w:themeColor="background1"/>
              <w:right w:val="single" w:sz="4" w:space="0" w:color="FFFFFF" w:themeColor="background1"/>
            </w:tcBorders>
            <w:shd w:val="clear" w:color="auto" w:fill="943634" w:themeFill="accent2" w:themeFillShade="BF"/>
            <w:vAlign w:val="center"/>
          </w:tcPr>
          <w:p w:rsidR="008A307A" w:rsidRPr="00714EB7" w:rsidRDefault="008A307A" w:rsidP="008A307A">
            <w:pPr>
              <w:spacing w:line="288" w:lineRule="auto"/>
              <w:jc w:val="center"/>
              <w:rPr>
                <w:rFonts w:ascii="Times New Roman" w:hAnsi="Times New Roman" w:cs="Times New Roman"/>
                <w:color w:val="FFFFFF" w:themeColor="background1"/>
                <w:sz w:val="24"/>
                <w:szCs w:val="24"/>
              </w:rPr>
            </w:pPr>
            <w:r w:rsidRPr="00714EB7">
              <w:rPr>
                <w:rFonts w:ascii="Times New Roman" w:hAnsi="Times New Roman" w:cs="Times New Roman"/>
                <w:bCs w:val="0"/>
                <w:color w:val="FFFFFF" w:themeColor="background1"/>
                <w:sz w:val="24"/>
                <w:szCs w:val="24"/>
              </w:rPr>
              <w:t>Rate of Return</w:t>
            </w:r>
          </w:p>
        </w:tc>
        <w:tc>
          <w:tcPr>
            <w:tcW w:w="3682" w:type="dxa"/>
            <w:gridSpan w:val="3"/>
            <w:tcBorders>
              <w:top w:val="none" w:sz="0" w:space="0" w:color="auto"/>
              <w:left w:val="single" w:sz="4" w:space="0" w:color="FFFFFF" w:themeColor="background1"/>
              <w:bottom w:val="single" w:sz="4" w:space="0" w:color="FFFFFF" w:themeColor="background1"/>
              <w:right w:val="single" w:sz="4" w:space="0" w:color="FFFFFF" w:themeColor="background1"/>
            </w:tcBorders>
            <w:shd w:val="clear" w:color="auto" w:fill="5F497A" w:themeFill="accent4" w:themeFillShade="BF"/>
            <w:vAlign w:val="center"/>
          </w:tcPr>
          <w:p w:rsidR="008A307A" w:rsidRPr="00714EB7"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714EB7">
              <w:rPr>
                <w:rFonts w:ascii="Times New Roman" w:hAnsi="Times New Roman" w:cs="Times New Roman"/>
                <w:bCs w:val="0"/>
                <w:color w:val="FFFFFF" w:themeColor="background1"/>
                <w:sz w:val="24"/>
                <w:szCs w:val="24"/>
              </w:rPr>
              <w:t>Holding Period Return</w:t>
            </w:r>
          </w:p>
        </w:tc>
        <w:tc>
          <w:tcPr>
            <w:tcW w:w="3373" w:type="dxa"/>
            <w:gridSpan w:val="3"/>
            <w:tcBorders>
              <w:top w:val="none" w:sz="0" w:space="0" w:color="auto"/>
              <w:left w:val="single" w:sz="4" w:space="0" w:color="FFFFFF" w:themeColor="background1"/>
              <w:bottom w:val="single" w:sz="4" w:space="0" w:color="FFFFFF" w:themeColor="background1"/>
            </w:tcBorders>
            <w:vAlign w:val="center"/>
          </w:tcPr>
          <w:p w:rsidR="008A307A" w:rsidRPr="00714EB7"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714EB7">
              <w:rPr>
                <w:rFonts w:ascii="Times New Roman" w:hAnsi="Times New Roman" w:cs="Times New Roman"/>
                <w:bCs w:val="0"/>
                <w:color w:val="FFFFFF" w:themeColor="background1"/>
                <w:sz w:val="24"/>
                <w:szCs w:val="24"/>
              </w:rPr>
              <w:t>Absolute Return</w:t>
            </w:r>
          </w:p>
        </w:tc>
      </w:tr>
      <w:tr w:rsidR="008A307A" w:rsidRPr="00714EB7" w:rsidTr="00B10DE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4" w:space="0" w:color="FFFFFF" w:themeColor="background1"/>
              <w:bottom w:val="single" w:sz="6" w:space="0" w:color="FFFFFF" w:themeColor="background1"/>
            </w:tcBorders>
            <w:shd w:val="clear" w:color="auto" w:fill="943634" w:themeFill="accent2" w:themeFillShade="BF"/>
            <w:vAlign w:val="center"/>
          </w:tcPr>
          <w:p w:rsidR="008A307A" w:rsidRPr="00714EB7" w:rsidRDefault="008A307A" w:rsidP="008A307A">
            <w:pPr>
              <w:spacing w:line="288" w:lineRule="auto"/>
              <w:jc w:val="center"/>
              <w:rPr>
                <w:rFonts w:ascii="Times New Roman" w:hAnsi="Times New Roman" w:cs="Times New Roman"/>
                <w:color w:val="FFFFFF" w:themeColor="background1"/>
              </w:rPr>
            </w:pPr>
            <w:r w:rsidRPr="00714EB7">
              <w:rPr>
                <w:rFonts w:ascii="Times New Roman" w:hAnsi="Times New Roman" w:cs="Times New Roman"/>
                <w:bCs w:val="0"/>
                <w:color w:val="FFFFFF" w:themeColor="background1"/>
              </w:rPr>
              <w:t>2017</w:t>
            </w:r>
          </w:p>
        </w:tc>
        <w:tc>
          <w:tcPr>
            <w:tcW w:w="1226" w:type="dxa"/>
            <w:tcBorders>
              <w:top w:val="single" w:sz="4" w:space="0" w:color="FFFFFF" w:themeColor="background1"/>
              <w:bottom w:val="single" w:sz="6" w:space="0" w:color="FFFFFF" w:themeColor="background1"/>
            </w:tcBorders>
            <w:shd w:val="clear" w:color="auto" w:fill="943634" w:themeFill="accent2" w:themeFillShade="BF"/>
            <w:vAlign w:val="center"/>
          </w:tcPr>
          <w:p w:rsidR="008A307A" w:rsidRPr="00714EB7"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rPr>
            </w:pPr>
            <w:r w:rsidRPr="00714EB7">
              <w:rPr>
                <w:rFonts w:ascii="Times New Roman" w:hAnsi="Times New Roman" w:cs="Times New Roman"/>
                <w:b/>
                <w:bCs/>
                <w:color w:val="FFFFFF" w:themeColor="background1"/>
              </w:rPr>
              <w:t>2018</w:t>
            </w:r>
          </w:p>
        </w:tc>
        <w:tc>
          <w:tcPr>
            <w:tcW w:w="1230" w:type="dxa"/>
            <w:tcBorders>
              <w:top w:val="single" w:sz="4"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714EB7"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rPr>
            </w:pPr>
            <w:r w:rsidRPr="00714EB7">
              <w:rPr>
                <w:rFonts w:ascii="Times New Roman" w:hAnsi="Times New Roman" w:cs="Times New Roman"/>
                <w:b/>
                <w:bCs/>
                <w:color w:val="FFFFFF" w:themeColor="background1"/>
              </w:rPr>
              <w:t>2019</w:t>
            </w:r>
          </w:p>
        </w:tc>
        <w:tc>
          <w:tcPr>
            <w:tcW w:w="1226" w:type="dxa"/>
            <w:tcBorders>
              <w:top w:val="single" w:sz="4"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714EB7"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rPr>
            </w:pPr>
            <w:r w:rsidRPr="00714EB7">
              <w:rPr>
                <w:rFonts w:ascii="Times New Roman" w:hAnsi="Times New Roman" w:cs="Times New Roman"/>
                <w:b/>
                <w:bCs/>
                <w:color w:val="FFFFFF" w:themeColor="background1"/>
              </w:rPr>
              <w:t>2017</w:t>
            </w:r>
          </w:p>
        </w:tc>
        <w:tc>
          <w:tcPr>
            <w:tcW w:w="1226" w:type="dxa"/>
            <w:tcBorders>
              <w:top w:val="single" w:sz="4" w:space="0" w:color="FFFFFF" w:themeColor="background1"/>
              <w:bottom w:val="single" w:sz="6" w:space="0" w:color="FFFFFF" w:themeColor="background1"/>
            </w:tcBorders>
            <w:shd w:val="clear" w:color="auto" w:fill="5F497A" w:themeFill="accent4" w:themeFillShade="BF"/>
            <w:vAlign w:val="center"/>
          </w:tcPr>
          <w:p w:rsidR="008A307A" w:rsidRPr="00714EB7"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rPr>
            </w:pPr>
            <w:r w:rsidRPr="00714EB7">
              <w:rPr>
                <w:rFonts w:ascii="Times New Roman" w:hAnsi="Times New Roman" w:cs="Times New Roman"/>
                <w:b/>
                <w:bCs/>
                <w:color w:val="FFFFFF" w:themeColor="background1"/>
              </w:rPr>
              <w:t>2018</w:t>
            </w:r>
          </w:p>
        </w:tc>
        <w:tc>
          <w:tcPr>
            <w:tcW w:w="1230" w:type="dxa"/>
            <w:tcBorders>
              <w:top w:val="single" w:sz="4"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714EB7"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rPr>
            </w:pPr>
            <w:r w:rsidRPr="00714EB7">
              <w:rPr>
                <w:rFonts w:ascii="Times New Roman" w:hAnsi="Times New Roman" w:cs="Times New Roman"/>
                <w:b/>
                <w:bCs/>
                <w:color w:val="FFFFFF" w:themeColor="background1"/>
              </w:rPr>
              <w:t>2019</w:t>
            </w:r>
          </w:p>
        </w:tc>
        <w:tc>
          <w:tcPr>
            <w:tcW w:w="1226" w:type="dxa"/>
            <w:tcBorders>
              <w:top w:val="single" w:sz="4"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B10DE5"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B10DE5">
              <w:rPr>
                <w:rFonts w:ascii="Times New Roman" w:hAnsi="Times New Roman" w:cs="Times New Roman"/>
                <w:b/>
                <w:color w:val="FFFFFF" w:themeColor="background1"/>
                <w:sz w:val="24"/>
                <w:szCs w:val="24"/>
              </w:rPr>
              <w:t>2017</w:t>
            </w:r>
          </w:p>
        </w:tc>
        <w:tc>
          <w:tcPr>
            <w:tcW w:w="1226" w:type="dxa"/>
            <w:tcBorders>
              <w:top w:val="single" w:sz="4" w:space="0" w:color="FFFFFF" w:themeColor="background1"/>
              <w:bottom w:val="single" w:sz="6" w:space="0" w:color="FFFFFF" w:themeColor="background1"/>
            </w:tcBorders>
            <w:shd w:val="clear" w:color="auto" w:fill="31849B" w:themeFill="accent5" w:themeFillShade="BF"/>
            <w:vAlign w:val="center"/>
          </w:tcPr>
          <w:p w:rsidR="008A307A" w:rsidRPr="00B10DE5"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B10DE5">
              <w:rPr>
                <w:rFonts w:ascii="Times New Roman" w:hAnsi="Times New Roman" w:cs="Times New Roman"/>
                <w:b/>
                <w:color w:val="FFFFFF" w:themeColor="background1"/>
                <w:sz w:val="24"/>
                <w:szCs w:val="24"/>
              </w:rPr>
              <w:t>2018</w:t>
            </w:r>
          </w:p>
        </w:tc>
        <w:tc>
          <w:tcPr>
            <w:tcW w:w="921" w:type="dxa"/>
            <w:tcBorders>
              <w:top w:val="single" w:sz="4" w:space="0" w:color="FFFFFF" w:themeColor="background1"/>
              <w:bottom w:val="single" w:sz="6" w:space="0" w:color="FFFFFF" w:themeColor="background1"/>
            </w:tcBorders>
            <w:shd w:val="clear" w:color="auto" w:fill="31849B" w:themeFill="accent5" w:themeFillShade="BF"/>
            <w:vAlign w:val="center"/>
          </w:tcPr>
          <w:p w:rsidR="008A307A" w:rsidRPr="00B10DE5"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B10DE5">
              <w:rPr>
                <w:rFonts w:ascii="Times New Roman" w:hAnsi="Times New Roman" w:cs="Times New Roman"/>
                <w:b/>
                <w:color w:val="FFFFFF" w:themeColor="background1"/>
                <w:sz w:val="24"/>
                <w:szCs w:val="24"/>
              </w:rPr>
              <w:t>2019</w:t>
            </w:r>
          </w:p>
        </w:tc>
      </w:tr>
      <w:tr w:rsidR="008A307A" w:rsidRPr="00714EB7"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932236" w:rsidRDefault="008A307A" w:rsidP="008A307A">
            <w:pPr>
              <w:spacing w:line="288" w:lineRule="auto"/>
              <w:jc w:val="center"/>
              <w:rPr>
                <w:rFonts w:ascii="Times New Roman" w:hAnsi="Times New Roman" w:cs="Times New Roman"/>
                <w:color w:val="FFFFFF" w:themeColor="background1"/>
              </w:rPr>
            </w:pPr>
            <w:r w:rsidRPr="00932236">
              <w:rPr>
                <w:rFonts w:ascii="Times New Roman" w:hAnsi="Times New Roman" w:cs="Times New Roman"/>
                <w:color w:val="FFFFFF" w:themeColor="background1"/>
              </w:rPr>
              <w:t>6.74</w:t>
            </w:r>
          </w:p>
        </w:tc>
        <w:tc>
          <w:tcPr>
            <w:tcW w:w="1226" w:type="dxa"/>
            <w:tcBorders>
              <w:top w:val="single" w:sz="6" w:space="0" w:color="FFFFFF" w:themeColor="background1"/>
            </w:tcBorders>
            <w:shd w:val="clear" w:color="auto" w:fill="943634" w:themeFill="accent2" w:themeFillShade="BF"/>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-37.16</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-36.81</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0.07</w:t>
            </w:r>
          </w:p>
        </w:tc>
        <w:tc>
          <w:tcPr>
            <w:tcW w:w="1226" w:type="dxa"/>
            <w:tcBorders>
              <w:top w:val="single" w:sz="6" w:space="0" w:color="FFFFFF" w:themeColor="background1"/>
            </w:tcBorders>
            <w:shd w:val="clear" w:color="auto" w:fill="5F497A" w:themeFill="accent4" w:themeFillShade="BF"/>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-0.37</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-0.37</w:t>
            </w:r>
          </w:p>
        </w:tc>
        <w:tc>
          <w:tcPr>
            <w:tcW w:w="1226" w:type="dxa"/>
            <w:tcBorders>
              <w:top w:val="single" w:sz="6" w:space="0" w:color="FFFFFF" w:themeColor="background1"/>
              <w:left w:val="single" w:sz="6" w:space="0" w:color="FFFFFF" w:themeColor="background1"/>
            </w:tcBorders>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6.74</w:t>
            </w:r>
          </w:p>
        </w:tc>
        <w:tc>
          <w:tcPr>
            <w:tcW w:w="1226" w:type="dxa"/>
            <w:tcBorders>
              <w:top w:val="single" w:sz="6" w:space="0" w:color="FFFFFF" w:themeColor="background1"/>
            </w:tcBorders>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-37.16</w:t>
            </w:r>
          </w:p>
        </w:tc>
        <w:tc>
          <w:tcPr>
            <w:tcW w:w="921" w:type="dxa"/>
            <w:tcBorders>
              <w:top w:val="single" w:sz="6" w:space="0" w:color="FFFFFF" w:themeColor="background1"/>
            </w:tcBorders>
            <w:vAlign w:val="center"/>
          </w:tcPr>
          <w:p w:rsidR="008A307A" w:rsidRPr="00932236"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32236">
              <w:rPr>
                <w:rFonts w:ascii="Times New Roman" w:hAnsi="Times New Roman" w:cs="Times New Roman"/>
                <w:b/>
                <w:color w:val="FFFFFF" w:themeColor="background1"/>
              </w:rPr>
              <w:t>-36.81</w:t>
            </w:r>
          </w:p>
        </w:tc>
      </w:tr>
    </w:tbl>
    <w:p w:rsidR="008A307A" w:rsidRDefault="008A307A" w:rsidP="008A307A">
      <w:pPr>
        <w:spacing w:after="0" w:line="288" w:lineRule="auto"/>
        <w:rPr>
          <w:rFonts w:ascii="Times New Roman" w:eastAsia="Times New Roman" w:hAnsi="Times New Roman" w:cs="Times New Roman"/>
          <w:b/>
          <w:color w:val="000000"/>
        </w:rPr>
      </w:pPr>
    </w:p>
    <w:p w:rsidR="00DB1948" w:rsidRPr="00DB1948" w:rsidRDefault="00DB1948" w:rsidP="00DB1948">
      <w:pPr>
        <w:pStyle w:val="Caption"/>
        <w:jc w:val="center"/>
        <w:rPr>
          <w:rFonts w:ascii="Times New Roman" w:eastAsia="Times New Roman" w:hAnsi="Times New Roman" w:cs="Times New Roman"/>
          <w:b w:val="0"/>
          <w:color w:val="auto"/>
          <w:sz w:val="22"/>
          <w:szCs w:val="22"/>
        </w:rPr>
      </w:pPr>
      <w:bookmarkStart w:id="43" w:name="_Toc57290043"/>
      <w:bookmarkStart w:id="44" w:name="_Toc57290364"/>
      <w:bookmarkStart w:id="45" w:name="_Toc61651507"/>
      <w:r w:rsidRPr="00DB1948">
        <w:rPr>
          <w:rFonts w:ascii="Times New Roman" w:hAnsi="Times New Roman" w:cs="Times New Roman"/>
          <w:color w:val="auto"/>
          <w:sz w:val="22"/>
          <w:szCs w:val="22"/>
        </w:rPr>
        <w:t xml:space="preserve">Table </w:t>
      </w:r>
      <w:r w:rsidRPr="00DB1948">
        <w:rPr>
          <w:rFonts w:ascii="Times New Roman" w:hAnsi="Times New Roman" w:cs="Times New Roman"/>
          <w:color w:val="auto"/>
          <w:sz w:val="22"/>
          <w:szCs w:val="22"/>
        </w:rPr>
        <w:fldChar w:fldCharType="begin"/>
      </w:r>
      <w:r w:rsidRPr="00DB1948">
        <w:rPr>
          <w:rFonts w:ascii="Times New Roman" w:hAnsi="Times New Roman" w:cs="Times New Roman"/>
          <w:color w:val="auto"/>
          <w:sz w:val="22"/>
          <w:szCs w:val="22"/>
        </w:rPr>
        <w:instrText xml:space="preserve"> SEQ Table \* ARABIC </w:instrText>
      </w:r>
      <w:r w:rsidRPr="00DB1948">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w:t>
      </w:r>
      <w:r w:rsidRPr="00DB1948">
        <w:rPr>
          <w:rFonts w:ascii="Times New Roman" w:hAnsi="Times New Roman" w:cs="Times New Roman"/>
          <w:color w:val="auto"/>
          <w:sz w:val="22"/>
          <w:szCs w:val="22"/>
        </w:rPr>
        <w:fldChar w:fldCharType="end"/>
      </w:r>
      <w:r w:rsidRPr="00DB1948">
        <w:rPr>
          <w:rFonts w:ascii="Times New Roman" w:hAnsi="Times New Roman" w:cs="Times New Roman"/>
          <w:color w:val="auto"/>
          <w:sz w:val="22"/>
          <w:szCs w:val="22"/>
        </w:rPr>
        <w:t>: Yearly returns of Arab Bangladesh Bank</w:t>
      </w:r>
      <w:bookmarkEnd w:id="43"/>
      <w:bookmarkEnd w:id="44"/>
      <w:bookmarkEnd w:id="45"/>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65408" behindDoc="0" locked="0" layoutInCell="1" allowOverlap="1" wp14:anchorId="3D07141A" wp14:editId="539AF965">
            <wp:simplePos x="0" y="0"/>
            <wp:positionH relativeFrom="column">
              <wp:posOffset>1876425</wp:posOffset>
            </wp:positionH>
            <wp:positionV relativeFrom="paragraph">
              <wp:posOffset>167005</wp:posOffset>
            </wp:positionV>
            <wp:extent cx="2286000" cy="1828800"/>
            <wp:effectExtent l="0" t="0" r="19050" b="1905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4384" behindDoc="0" locked="0" layoutInCell="1" allowOverlap="1" wp14:anchorId="7B5E6A42" wp14:editId="701F6C9F">
            <wp:simplePos x="0" y="0"/>
            <wp:positionH relativeFrom="column">
              <wp:posOffset>-409575</wp:posOffset>
            </wp:positionH>
            <wp:positionV relativeFrom="paragraph">
              <wp:posOffset>162560</wp:posOffset>
            </wp:positionV>
            <wp:extent cx="2286000" cy="1828800"/>
            <wp:effectExtent l="0" t="0" r="19050" b="1905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6432" behindDoc="0" locked="0" layoutInCell="1" allowOverlap="1" wp14:anchorId="0096F957" wp14:editId="3AE82F89">
            <wp:simplePos x="0" y="0"/>
            <wp:positionH relativeFrom="column">
              <wp:posOffset>4114800</wp:posOffset>
            </wp:positionH>
            <wp:positionV relativeFrom="paragraph">
              <wp:posOffset>162560</wp:posOffset>
            </wp:positionV>
            <wp:extent cx="2286000" cy="1828800"/>
            <wp:effectExtent l="0" t="0" r="19050" b="19050"/>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rsidR="004217CE" w:rsidRDefault="00DB1948" w:rsidP="00DB1948">
      <w:pPr>
        <w:pStyle w:val="Caption"/>
        <w:jc w:val="center"/>
        <w:rPr>
          <w:rFonts w:ascii="Times New Roman" w:hAnsi="Times New Roman" w:cs="Times New Roman"/>
          <w:color w:val="auto"/>
          <w:sz w:val="22"/>
          <w:szCs w:val="22"/>
        </w:rPr>
      </w:pPr>
      <w:bookmarkStart w:id="46" w:name="_Toc57290073"/>
      <w:bookmarkStart w:id="47" w:name="_Toc57290208"/>
      <w:bookmarkStart w:id="48" w:name="_Toc61651444"/>
      <w:r w:rsidRPr="00DB1948">
        <w:rPr>
          <w:rFonts w:ascii="Times New Roman" w:hAnsi="Times New Roman" w:cs="Times New Roman"/>
          <w:color w:val="auto"/>
          <w:sz w:val="22"/>
          <w:szCs w:val="22"/>
        </w:rPr>
        <w:t xml:space="preserve">Graph </w:t>
      </w:r>
      <w:r w:rsidRPr="00DB1948">
        <w:rPr>
          <w:rFonts w:ascii="Times New Roman" w:hAnsi="Times New Roman" w:cs="Times New Roman"/>
          <w:color w:val="auto"/>
          <w:sz w:val="22"/>
          <w:szCs w:val="22"/>
        </w:rPr>
        <w:fldChar w:fldCharType="begin"/>
      </w:r>
      <w:r w:rsidRPr="00DB1948">
        <w:rPr>
          <w:rFonts w:ascii="Times New Roman" w:hAnsi="Times New Roman" w:cs="Times New Roman"/>
          <w:color w:val="auto"/>
          <w:sz w:val="22"/>
          <w:szCs w:val="22"/>
        </w:rPr>
        <w:instrText xml:space="preserve"> SEQ Graph \* ARABIC </w:instrText>
      </w:r>
      <w:r w:rsidRPr="00DB1948">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w:t>
      </w:r>
      <w:r w:rsidRPr="00DB1948">
        <w:rPr>
          <w:rFonts w:ascii="Times New Roman" w:hAnsi="Times New Roman" w:cs="Times New Roman"/>
          <w:color w:val="auto"/>
          <w:sz w:val="22"/>
          <w:szCs w:val="22"/>
        </w:rPr>
        <w:fldChar w:fldCharType="end"/>
      </w:r>
      <w:r w:rsidRPr="00DB1948">
        <w:rPr>
          <w:rFonts w:ascii="Times New Roman" w:hAnsi="Times New Roman" w:cs="Times New Roman"/>
          <w:color w:val="auto"/>
          <w:sz w:val="22"/>
          <w:szCs w:val="22"/>
        </w:rPr>
        <w:t>: Yearly returns of Arab Bangladesh Bank</w:t>
      </w:r>
      <w:bookmarkEnd w:id="46"/>
      <w:bookmarkEnd w:id="47"/>
      <w:bookmarkEnd w:id="48"/>
    </w:p>
    <w:p w:rsidR="00035EF2" w:rsidRDefault="00035EF2">
      <w:pPr>
        <w:rPr>
          <w:rFonts w:ascii="Times New Roman" w:hAnsi="Times New Roman" w:cs="Times New Roman"/>
        </w:rPr>
      </w:pPr>
    </w:p>
    <w:p w:rsidR="004217CE" w:rsidRPr="00035EF2" w:rsidRDefault="00035EF2" w:rsidP="00035EF2">
      <w:pPr>
        <w:spacing w:line="360" w:lineRule="auto"/>
        <w:jc w:val="both"/>
        <w:rPr>
          <w:rFonts w:ascii="Times New Roman" w:hAnsi="Times New Roman" w:cs="Times New Roman"/>
          <w:b/>
          <w:bCs/>
          <w:sz w:val="24"/>
          <w:szCs w:val="24"/>
        </w:rPr>
      </w:pPr>
      <w:r w:rsidRPr="00035EF2">
        <w:rPr>
          <w:rFonts w:ascii="Times New Roman" w:hAnsi="Times New Roman" w:cs="Times New Roman"/>
          <w:sz w:val="24"/>
          <w:szCs w:val="24"/>
        </w:rPr>
        <w:t xml:space="preserve">After getting the last three years holding period returns, absolute returns and rate of returns </w:t>
      </w:r>
      <w:r w:rsidR="001E042B">
        <w:rPr>
          <w:rFonts w:ascii="Times New Roman" w:hAnsi="Times New Roman" w:cs="Times New Roman"/>
          <w:sz w:val="24"/>
          <w:szCs w:val="24"/>
        </w:rPr>
        <w:t xml:space="preserve">I </w:t>
      </w:r>
      <w:r w:rsidR="001E042B" w:rsidRPr="00035EF2">
        <w:rPr>
          <w:rFonts w:ascii="Times New Roman" w:hAnsi="Times New Roman" w:cs="Times New Roman"/>
          <w:sz w:val="24"/>
          <w:szCs w:val="24"/>
        </w:rPr>
        <w:t>find</w:t>
      </w:r>
      <w:r w:rsidRPr="00035EF2">
        <w:rPr>
          <w:rFonts w:ascii="Times New Roman" w:hAnsi="Times New Roman" w:cs="Times New Roman"/>
          <w:sz w:val="24"/>
          <w:szCs w:val="24"/>
        </w:rPr>
        <w:t xml:space="preserve">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w:t>
      </w:r>
      <w:r w:rsidR="00E51B8B">
        <w:rPr>
          <w:rFonts w:ascii="Times New Roman" w:hAnsi="Times New Roman" w:cs="Times New Roman"/>
          <w:sz w:val="24"/>
          <w:szCs w:val="24"/>
        </w:rPr>
        <w:t>the</w:t>
      </w:r>
      <w:r>
        <w:rPr>
          <w:rFonts w:ascii="Times New Roman" w:hAnsi="Times New Roman" w:cs="Times New Roman"/>
          <w:sz w:val="24"/>
          <w:szCs w:val="24"/>
        </w:rPr>
        <w:t xml:space="preserve"> results of Compound monthly growth rate age given: </w:t>
      </w:r>
      <w:r w:rsidR="004217CE" w:rsidRPr="00035EF2">
        <w:rPr>
          <w:rFonts w:ascii="Times New Roman" w:hAnsi="Times New Roman" w:cs="Times New Roman"/>
          <w:sz w:val="24"/>
          <w:szCs w:val="24"/>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top w:val="single" w:sz="24" w:space="0" w:color="76923C" w:themeColor="accent3" w:themeShade="BF"/>
              <w:left w:val="single" w:sz="24" w:space="0" w:color="76923C" w:themeColor="accent3" w:themeShade="BF"/>
              <w:bottom w:val="single" w:sz="18"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18"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0.61%</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-0.41%</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-0.21%</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-0.59%</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0.33%</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-0.16%</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-0.88%</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-0.09%</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-0.40%</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-0.31%</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0.00%</w:t>
            </w:r>
          </w:p>
        </w:tc>
      </w:tr>
      <w:tr w:rsidR="004217CE" w:rsidTr="004217CE">
        <w:trPr>
          <w:trHeight w:val="323"/>
          <w:jc w:val="center"/>
        </w:trPr>
        <w:tc>
          <w:tcPr>
            <w:tcW w:w="1363" w:type="dxa"/>
            <w:tcBorders>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0.00%</w:t>
            </w:r>
          </w:p>
        </w:tc>
      </w:tr>
    </w:tbl>
    <w:p w:rsidR="004217CE" w:rsidRPr="003F10CA" w:rsidRDefault="003F10CA" w:rsidP="003F10CA">
      <w:pPr>
        <w:pStyle w:val="Caption"/>
        <w:jc w:val="center"/>
        <w:rPr>
          <w:rFonts w:ascii="Times New Roman" w:hAnsi="Times New Roman" w:cs="Times New Roman"/>
          <w:color w:val="auto"/>
          <w:sz w:val="22"/>
          <w:szCs w:val="22"/>
        </w:rPr>
      </w:pPr>
      <w:bookmarkStart w:id="49" w:name="_Toc61651508"/>
      <w:r w:rsidRPr="003F10CA">
        <w:rPr>
          <w:rFonts w:ascii="Times New Roman" w:hAnsi="Times New Roman" w:cs="Times New Roman"/>
          <w:color w:val="auto"/>
          <w:sz w:val="22"/>
          <w:szCs w:val="22"/>
        </w:rPr>
        <w:t xml:space="preserve">Table </w:t>
      </w:r>
      <w:r w:rsidRPr="003F10CA">
        <w:rPr>
          <w:rFonts w:ascii="Times New Roman" w:hAnsi="Times New Roman" w:cs="Times New Roman"/>
          <w:color w:val="auto"/>
          <w:sz w:val="22"/>
          <w:szCs w:val="22"/>
        </w:rPr>
        <w:fldChar w:fldCharType="begin"/>
      </w:r>
      <w:r w:rsidRPr="003F10CA">
        <w:rPr>
          <w:rFonts w:ascii="Times New Roman" w:hAnsi="Times New Roman" w:cs="Times New Roman"/>
          <w:color w:val="auto"/>
          <w:sz w:val="22"/>
          <w:szCs w:val="22"/>
        </w:rPr>
        <w:instrText xml:space="preserve"> SEQ Table \* ARABIC </w:instrText>
      </w:r>
      <w:r w:rsidRPr="003F10CA">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w:t>
      </w:r>
      <w:r w:rsidRPr="003F10CA">
        <w:rPr>
          <w:rFonts w:ascii="Times New Roman" w:hAnsi="Times New Roman" w:cs="Times New Roman"/>
          <w:color w:val="auto"/>
          <w:sz w:val="22"/>
          <w:szCs w:val="22"/>
        </w:rPr>
        <w:fldChar w:fldCharType="end"/>
      </w:r>
      <w:r w:rsidRPr="003F10CA">
        <w:rPr>
          <w:rFonts w:ascii="Times New Roman" w:hAnsi="Times New Roman" w:cs="Times New Roman"/>
          <w:color w:val="auto"/>
          <w:sz w:val="22"/>
          <w:szCs w:val="22"/>
        </w:rPr>
        <w:t>: Compound Monthly Growth rate of Arab Bangladesh Bank</w:t>
      </w:r>
      <w:bookmarkEnd w:id="49"/>
    </w:p>
    <w:p w:rsidR="003F10CA" w:rsidRDefault="004217CE" w:rsidP="004217CE">
      <w:pPr>
        <w:pStyle w:val="Caption"/>
        <w:jc w:val="center"/>
        <w:rPr>
          <w:b w:val="0"/>
        </w:rPr>
      </w:pPr>
      <w:r>
        <w:rPr>
          <w:noProof/>
        </w:rPr>
        <w:drawing>
          <wp:inline distT="0" distB="0" distL="0" distR="0" wp14:anchorId="787465B2" wp14:editId="246E5B8C">
            <wp:extent cx="5486400" cy="3200400"/>
            <wp:effectExtent l="0" t="0" r="19050" b="190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35EF2" w:rsidRDefault="003F10CA" w:rsidP="003F10CA">
      <w:pPr>
        <w:pStyle w:val="Caption"/>
        <w:jc w:val="center"/>
        <w:rPr>
          <w:rFonts w:ascii="Times New Roman" w:hAnsi="Times New Roman" w:cs="Times New Roman"/>
          <w:color w:val="auto"/>
          <w:sz w:val="22"/>
          <w:szCs w:val="22"/>
        </w:rPr>
      </w:pPr>
      <w:bookmarkStart w:id="50" w:name="_Toc61651445"/>
      <w:r w:rsidRPr="003F10CA">
        <w:rPr>
          <w:rFonts w:ascii="Times New Roman" w:hAnsi="Times New Roman" w:cs="Times New Roman"/>
          <w:color w:val="auto"/>
          <w:sz w:val="22"/>
          <w:szCs w:val="22"/>
        </w:rPr>
        <w:t xml:space="preserve">Graph </w:t>
      </w:r>
      <w:r w:rsidRPr="003F10CA">
        <w:rPr>
          <w:rFonts w:ascii="Times New Roman" w:hAnsi="Times New Roman" w:cs="Times New Roman"/>
          <w:color w:val="auto"/>
          <w:sz w:val="22"/>
          <w:szCs w:val="22"/>
        </w:rPr>
        <w:fldChar w:fldCharType="begin"/>
      </w:r>
      <w:r w:rsidRPr="003F10CA">
        <w:rPr>
          <w:rFonts w:ascii="Times New Roman" w:hAnsi="Times New Roman" w:cs="Times New Roman"/>
          <w:color w:val="auto"/>
          <w:sz w:val="22"/>
          <w:szCs w:val="22"/>
        </w:rPr>
        <w:instrText xml:space="preserve"> SEQ Graph \* ARABIC </w:instrText>
      </w:r>
      <w:r w:rsidRPr="003F10CA">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w:t>
      </w:r>
      <w:r w:rsidRPr="003F10CA">
        <w:rPr>
          <w:rFonts w:ascii="Times New Roman" w:hAnsi="Times New Roman" w:cs="Times New Roman"/>
          <w:color w:val="auto"/>
          <w:sz w:val="22"/>
          <w:szCs w:val="22"/>
        </w:rPr>
        <w:fldChar w:fldCharType="end"/>
      </w:r>
      <w:r w:rsidRPr="003F10CA">
        <w:rPr>
          <w:rFonts w:ascii="Times New Roman" w:hAnsi="Times New Roman" w:cs="Times New Roman"/>
          <w:color w:val="auto"/>
          <w:sz w:val="22"/>
          <w:szCs w:val="22"/>
        </w:rPr>
        <w:t>: Compound Monthly Growth rate of Arab Bangladesh Bank</w:t>
      </w:r>
      <w:bookmarkEnd w:id="50"/>
    </w:p>
    <w:p w:rsidR="00035EF2" w:rsidRDefault="00035EF2" w:rsidP="003F10CA">
      <w:pPr>
        <w:pStyle w:val="Caption"/>
        <w:jc w:val="center"/>
        <w:rPr>
          <w:rFonts w:ascii="Times New Roman" w:hAnsi="Times New Roman" w:cs="Times New Roman"/>
          <w:color w:val="auto"/>
          <w:sz w:val="22"/>
          <w:szCs w:val="22"/>
        </w:rPr>
      </w:pPr>
    </w:p>
    <w:p w:rsidR="008A307A" w:rsidRPr="003C476A" w:rsidRDefault="003C476A" w:rsidP="003C476A">
      <w:pPr>
        <w:pStyle w:val="Caption"/>
        <w:spacing w:line="360" w:lineRule="auto"/>
        <w:jc w:val="both"/>
        <w:rPr>
          <w:b w:val="0"/>
          <w:sz w:val="24"/>
          <w:szCs w:val="24"/>
        </w:rPr>
      </w:pPr>
      <w:r w:rsidRPr="003C476A">
        <w:rPr>
          <w:rFonts w:ascii="Times New Roman" w:hAnsi="Times New Roman" w:cs="Times New Roman"/>
          <w:b w:val="0"/>
          <w:color w:val="auto"/>
          <w:sz w:val="24"/>
          <w:szCs w:val="24"/>
        </w:rPr>
        <w:t xml:space="preserve">After </w:t>
      </w:r>
      <w:r w:rsidR="001E042B">
        <w:rPr>
          <w:rFonts w:ascii="Times New Roman" w:hAnsi="Times New Roman" w:cs="Times New Roman"/>
          <w:b w:val="0"/>
          <w:color w:val="auto"/>
          <w:sz w:val="24"/>
          <w:szCs w:val="24"/>
        </w:rPr>
        <w:t>calculate the return I find</w:t>
      </w:r>
      <w:r>
        <w:rPr>
          <w:rFonts w:ascii="Times New Roman" w:hAnsi="Times New Roman" w:cs="Times New Roman"/>
          <w:b w:val="0"/>
          <w:color w:val="auto"/>
          <w:sz w:val="24"/>
          <w:szCs w:val="24"/>
        </w:rPr>
        <w:t xml:space="preserve"> that, beginning of 2019 the compound growths rate is positive but over the period the compound growth rate were negative. </w:t>
      </w:r>
      <w:r w:rsidR="00D87050">
        <w:rPr>
          <w:rFonts w:ascii="Times New Roman" w:hAnsi="Times New Roman" w:cs="Times New Roman"/>
          <w:b w:val="0"/>
          <w:color w:val="auto"/>
          <w:sz w:val="24"/>
          <w:szCs w:val="24"/>
        </w:rPr>
        <w:t xml:space="preserve">The negative return was more than the positive return. </w:t>
      </w:r>
      <w:r>
        <w:rPr>
          <w:rFonts w:ascii="Times New Roman" w:hAnsi="Times New Roman" w:cs="Times New Roman"/>
          <w:b w:val="0"/>
          <w:color w:val="auto"/>
          <w:sz w:val="24"/>
          <w:szCs w:val="24"/>
        </w:rPr>
        <w:t xml:space="preserve">So, </w:t>
      </w:r>
      <w:r w:rsidR="001E042B">
        <w:rPr>
          <w:rFonts w:ascii="Times New Roman" w:hAnsi="Times New Roman" w:cs="Times New Roman"/>
          <w:b w:val="0"/>
          <w:color w:val="auto"/>
          <w:sz w:val="24"/>
          <w:szCs w:val="24"/>
        </w:rPr>
        <w:t>I</w:t>
      </w:r>
      <w:r>
        <w:rPr>
          <w:rFonts w:ascii="Times New Roman" w:hAnsi="Times New Roman" w:cs="Times New Roman"/>
          <w:b w:val="0"/>
          <w:color w:val="auto"/>
          <w:sz w:val="24"/>
          <w:szCs w:val="24"/>
        </w:rPr>
        <w:t xml:space="preserve"> can say the return growth rate from this investment was negative.</w:t>
      </w:r>
      <w:r w:rsidR="00E84DE3">
        <w:rPr>
          <w:rFonts w:ascii="Times New Roman" w:hAnsi="Times New Roman" w:cs="Times New Roman"/>
          <w:b w:val="0"/>
          <w:color w:val="auto"/>
          <w:sz w:val="24"/>
          <w:szCs w:val="24"/>
        </w:rPr>
        <w:t xml:space="preserve"> For More accurate results I calculate daily absolute returns which you found in calculation part also show the same results. The reason behind this scenario was decreasing stock value over the time. </w:t>
      </w:r>
      <w:r w:rsidR="008A307A" w:rsidRPr="003C476A">
        <w:rPr>
          <w:b w:val="0"/>
          <w:sz w:val="24"/>
          <w:szCs w:val="24"/>
        </w:rPr>
        <w:br w:type="page"/>
      </w:r>
    </w:p>
    <w:p w:rsidR="008A307A" w:rsidRPr="00B10DE5" w:rsidRDefault="008A307A" w:rsidP="00B10DE5">
      <w:pPr>
        <w:pStyle w:val="Heading2"/>
        <w:rPr>
          <w:rFonts w:eastAsia="Times New Roman" w:cs="Times New Roman"/>
          <w:szCs w:val="28"/>
        </w:rPr>
      </w:pPr>
      <w:bookmarkStart w:id="51" w:name="_Toc62037714"/>
      <w:r w:rsidRPr="00B10DE5">
        <w:rPr>
          <w:rFonts w:eastAsia="Times New Roman" w:cs="Times New Roman"/>
          <w:szCs w:val="28"/>
        </w:rPr>
        <w:lastRenderedPageBreak/>
        <w:t>Al-</w:t>
      </w:r>
      <w:proofErr w:type="spellStart"/>
      <w:r w:rsidRPr="00B10DE5">
        <w:rPr>
          <w:rFonts w:eastAsia="Times New Roman" w:cs="Times New Roman"/>
          <w:szCs w:val="28"/>
        </w:rPr>
        <w:t>Arafah</w:t>
      </w:r>
      <w:proofErr w:type="spellEnd"/>
      <w:r w:rsidRPr="00B10DE5">
        <w:rPr>
          <w:rFonts w:eastAsia="Times New Roman" w:cs="Times New Roman"/>
          <w:szCs w:val="28"/>
        </w:rPr>
        <w:t xml:space="preserve"> </w:t>
      </w:r>
      <w:proofErr w:type="spellStart"/>
      <w:r w:rsidRPr="00B10DE5">
        <w:rPr>
          <w:rFonts w:eastAsia="Times New Roman" w:cs="Times New Roman"/>
          <w:szCs w:val="28"/>
        </w:rPr>
        <w:t>Islami</w:t>
      </w:r>
      <w:proofErr w:type="spellEnd"/>
      <w:r w:rsidRPr="00B10DE5">
        <w:rPr>
          <w:rFonts w:eastAsia="Times New Roman" w:cs="Times New Roman"/>
          <w:szCs w:val="28"/>
        </w:rPr>
        <w:t xml:space="preserve"> Bank:</w:t>
      </w:r>
      <w:bookmarkEnd w:id="51"/>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B10DE5" w:rsidRDefault="008A307A" w:rsidP="00DB7269">
      <w:pPr>
        <w:spacing w:after="0" w:line="360" w:lineRule="auto"/>
        <w:ind w:left="360"/>
        <w:jc w:val="both"/>
        <w:rPr>
          <w:rFonts w:ascii="Times New Roman" w:hAnsi="Times New Roman" w:cs="Times New Roman"/>
          <w:sz w:val="24"/>
          <w:szCs w:val="24"/>
        </w:rPr>
      </w:pPr>
      <w:r w:rsidRPr="00B10DE5">
        <w:rPr>
          <w:rFonts w:ascii="Times New Roman" w:hAnsi="Times New Roman" w:cs="Times New Roman"/>
          <w:sz w:val="24"/>
          <w:szCs w:val="24"/>
        </w:rPr>
        <w:t>Both the table and graph of rate of return and absolute return show the same value. For Al-</w:t>
      </w:r>
      <w:proofErr w:type="spellStart"/>
      <w:r w:rsidRPr="00B10DE5">
        <w:rPr>
          <w:rFonts w:ascii="Times New Roman" w:hAnsi="Times New Roman" w:cs="Times New Roman"/>
          <w:sz w:val="24"/>
          <w:szCs w:val="24"/>
        </w:rPr>
        <w:t>Arafah</w:t>
      </w:r>
      <w:proofErr w:type="spellEnd"/>
      <w:r w:rsidRPr="00B10DE5">
        <w:rPr>
          <w:rFonts w:ascii="Times New Roman" w:hAnsi="Times New Roman" w:cs="Times New Roman"/>
          <w:sz w:val="24"/>
          <w:szCs w:val="24"/>
        </w:rPr>
        <w:t xml:space="preserve"> </w:t>
      </w:r>
      <w:proofErr w:type="spellStart"/>
      <w:r w:rsidRPr="00B10DE5">
        <w:rPr>
          <w:rFonts w:ascii="Times New Roman" w:hAnsi="Times New Roman" w:cs="Times New Roman"/>
          <w:sz w:val="24"/>
          <w:szCs w:val="24"/>
        </w:rPr>
        <w:t>Islami</w:t>
      </w:r>
      <w:proofErr w:type="spellEnd"/>
      <w:r w:rsidRPr="00B10DE5">
        <w:rPr>
          <w:rFonts w:ascii="Times New Roman" w:hAnsi="Times New Roman" w:cs="Times New Roman"/>
          <w:sz w:val="24"/>
          <w:szCs w:val="24"/>
        </w:rPr>
        <w:t xml:space="preserve"> Bank the value for 2017 is 24.86, 2018 is -11.48 and 2019 is -22.70. It means return for 2017 is positive and both year 2018 and 2019 is negative.  On the other hand the holding period return show the return parentage for 2017 is 2.25, 2018 is 1.32 and 2019 is 1.24. That indicates positive return for the year 2017, 2018 and 2019. </w:t>
      </w:r>
    </w:p>
    <w:p w:rsidR="008A307A" w:rsidRPr="00B91DFC"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B10DE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714EB7" w:rsidRDefault="008A307A" w:rsidP="008A307A">
            <w:pPr>
              <w:spacing w:line="288" w:lineRule="auto"/>
              <w:jc w:val="center"/>
              <w:rPr>
                <w:rFonts w:ascii="Times New Roman" w:hAnsi="Times New Roman" w:cs="Times New Roman"/>
                <w:color w:val="FFFFFF" w:themeColor="background1"/>
              </w:rPr>
            </w:pPr>
            <w:r w:rsidRPr="00714EB7">
              <w:rPr>
                <w:rFonts w:ascii="Times New Roman" w:hAnsi="Times New Roman" w:cs="Times New Roman"/>
                <w:color w:val="FFFFFF" w:themeColor="background1"/>
              </w:rPr>
              <w:t>24.86</w:t>
            </w:r>
          </w:p>
        </w:tc>
        <w:tc>
          <w:tcPr>
            <w:tcW w:w="1226" w:type="dxa"/>
            <w:tcBorders>
              <w:top w:val="single" w:sz="6" w:space="0" w:color="FFFFFF" w:themeColor="background1"/>
            </w:tcBorders>
            <w:shd w:val="clear" w:color="auto" w:fill="943634" w:themeFill="accent2" w:themeFillShade="BF"/>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-11.48</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-22.70</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2.25</w:t>
            </w:r>
          </w:p>
        </w:tc>
        <w:tc>
          <w:tcPr>
            <w:tcW w:w="1226" w:type="dxa"/>
            <w:tcBorders>
              <w:top w:val="single" w:sz="6" w:space="0" w:color="FFFFFF" w:themeColor="background1"/>
            </w:tcBorders>
            <w:shd w:val="clear" w:color="auto" w:fill="5F497A" w:themeFill="accent4" w:themeFillShade="BF"/>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1.32</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1.24</w:t>
            </w:r>
          </w:p>
        </w:tc>
        <w:tc>
          <w:tcPr>
            <w:tcW w:w="1226" w:type="dxa"/>
            <w:tcBorders>
              <w:top w:val="single" w:sz="6" w:space="0" w:color="FFFFFF" w:themeColor="background1"/>
              <w:left w:val="single" w:sz="6" w:space="0" w:color="FFFFFF" w:themeColor="background1"/>
            </w:tcBorders>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24.86</w:t>
            </w:r>
          </w:p>
        </w:tc>
        <w:tc>
          <w:tcPr>
            <w:tcW w:w="1226" w:type="dxa"/>
            <w:tcBorders>
              <w:top w:val="single" w:sz="6" w:space="0" w:color="FFFFFF" w:themeColor="background1"/>
            </w:tcBorders>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-11.48</w:t>
            </w:r>
          </w:p>
        </w:tc>
        <w:tc>
          <w:tcPr>
            <w:tcW w:w="921" w:type="dxa"/>
            <w:tcBorders>
              <w:top w:val="single" w:sz="6" w:space="0" w:color="FFFFFF" w:themeColor="background1"/>
            </w:tcBorders>
            <w:vAlign w:val="center"/>
          </w:tcPr>
          <w:p w:rsidR="008A307A" w:rsidRPr="00714EB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14EB7">
              <w:rPr>
                <w:rFonts w:ascii="Times New Roman" w:hAnsi="Times New Roman" w:cs="Times New Roman"/>
                <w:b/>
                <w:color w:val="FFFFFF" w:themeColor="background1"/>
              </w:rPr>
              <w:t>-22.7</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E6694D" w:rsidP="00400BEC">
      <w:pPr>
        <w:pStyle w:val="Caption"/>
        <w:jc w:val="center"/>
        <w:rPr>
          <w:rFonts w:ascii="Times New Roman" w:hAnsi="Times New Roman" w:cs="Times New Roman"/>
          <w:color w:val="auto"/>
          <w:sz w:val="22"/>
          <w:szCs w:val="22"/>
        </w:rPr>
      </w:pPr>
      <w:bookmarkStart w:id="52" w:name="_Toc57290044"/>
      <w:bookmarkStart w:id="53" w:name="_Toc57290365"/>
      <w:bookmarkStart w:id="54" w:name="_Toc61651509"/>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6</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Al-</w:t>
      </w:r>
      <w:proofErr w:type="spellStart"/>
      <w:r w:rsidRPr="00400BEC">
        <w:rPr>
          <w:rFonts w:ascii="Times New Roman" w:hAnsi="Times New Roman" w:cs="Times New Roman"/>
          <w:color w:val="auto"/>
          <w:sz w:val="22"/>
          <w:szCs w:val="22"/>
        </w:rPr>
        <w:t>Arafah</w:t>
      </w:r>
      <w:proofErr w:type="spellEnd"/>
      <w:r w:rsidRPr="00400BEC">
        <w:rPr>
          <w:rFonts w:ascii="Times New Roman" w:hAnsi="Times New Roman" w:cs="Times New Roman"/>
          <w:color w:val="auto"/>
          <w:sz w:val="22"/>
          <w:szCs w:val="22"/>
        </w:rPr>
        <w:t xml:space="preserve"> </w:t>
      </w:r>
      <w:proofErr w:type="spellStart"/>
      <w:r w:rsidRPr="00400BEC">
        <w:rPr>
          <w:rFonts w:ascii="Times New Roman" w:hAnsi="Times New Roman" w:cs="Times New Roman"/>
          <w:color w:val="auto"/>
          <w:sz w:val="22"/>
          <w:szCs w:val="22"/>
        </w:rPr>
        <w:t>Islami</w:t>
      </w:r>
      <w:proofErr w:type="spellEnd"/>
      <w:r w:rsidRPr="00400BEC">
        <w:rPr>
          <w:rFonts w:ascii="Times New Roman" w:hAnsi="Times New Roman" w:cs="Times New Roman"/>
          <w:color w:val="auto"/>
          <w:sz w:val="22"/>
          <w:szCs w:val="22"/>
        </w:rPr>
        <w:t xml:space="preserve"> Bank</w:t>
      </w:r>
      <w:bookmarkEnd w:id="52"/>
      <w:bookmarkEnd w:id="53"/>
      <w:bookmarkEnd w:id="54"/>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68480" behindDoc="0" locked="0" layoutInCell="1" allowOverlap="1" wp14:anchorId="38BAC355" wp14:editId="6FE45391">
            <wp:simplePos x="0" y="0"/>
            <wp:positionH relativeFrom="column">
              <wp:posOffset>1876425</wp:posOffset>
            </wp:positionH>
            <wp:positionV relativeFrom="paragraph">
              <wp:posOffset>167005</wp:posOffset>
            </wp:positionV>
            <wp:extent cx="2286000" cy="1828800"/>
            <wp:effectExtent l="0" t="0" r="19050" b="19050"/>
            <wp:wrapSquare wrapText="bothSides"/>
            <wp:docPr id="117" name="Chart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7456" behindDoc="0" locked="0" layoutInCell="1" allowOverlap="1" wp14:anchorId="2566CAA7" wp14:editId="73792E93">
            <wp:simplePos x="0" y="0"/>
            <wp:positionH relativeFrom="column">
              <wp:posOffset>-409575</wp:posOffset>
            </wp:positionH>
            <wp:positionV relativeFrom="paragraph">
              <wp:posOffset>162560</wp:posOffset>
            </wp:positionV>
            <wp:extent cx="2286000" cy="1828800"/>
            <wp:effectExtent l="0" t="0" r="19050" b="19050"/>
            <wp:wrapSquare wrapText="bothSides"/>
            <wp:docPr id="118" name="Chart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9504" behindDoc="0" locked="0" layoutInCell="1" allowOverlap="1" wp14:anchorId="0AFCA94D" wp14:editId="19F7B808">
            <wp:simplePos x="0" y="0"/>
            <wp:positionH relativeFrom="column">
              <wp:posOffset>4114800</wp:posOffset>
            </wp:positionH>
            <wp:positionV relativeFrom="paragraph">
              <wp:posOffset>162560</wp:posOffset>
            </wp:positionV>
            <wp:extent cx="2286000" cy="1828800"/>
            <wp:effectExtent l="0" t="0" r="19050" b="19050"/>
            <wp:wrapSquare wrapText="bothSides"/>
            <wp:docPr id="119" name="Chart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rsidR="004217CE" w:rsidRDefault="00E6694D" w:rsidP="00400BEC">
      <w:pPr>
        <w:pStyle w:val="Caption"/>
        <w:jc w:val="center"/>
        <w:rPr>
          <w:rFonts w:ascii="Times New Roman" w:hAnsi="Times New Roman" w:cs="Times New Roman"/>
          <w:color w:val="auto"/>
          <w:sz w:val="22"/>
          <w:szCs w:val="22"/>
        </w:rPr>
      </w:pPr>
      <w:bookmarkStart w:id="55" w:name="_Toc57290074"/>
      <w:bookmarkStart w:id="56" w:name="_Toc57290209"/>
      <w:bookmarkStart w:id="57" w:name="_Toc61651446"/>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Al-</w:t>
      </w:r>
      <w:proofErr w:type="spellStart"/>
      <w:r w:rsidRPr="00400BEC">
        <w:rPr>
          <w:rFonts w:ascii="Times New Roman" w:hAnsi="Times New Roman" w:cs="Times New Roman"/>
          <w:color w:val="auto"/>
          <w:sz w:val="22"/>
          <w:szCs w:val="22"/>
        </w:rPr>
        <w:t>Arafah</w:t>
      </w:r>
      <w:proofErr w:type="spellEnd"/>
      <w:r w:rsidRPr="00400BEC">
        <w:rPr>
          <w:rFonts w:ascii="Times New Roman" w:hAnsi="Times New Roman" w:cs="Times New Roman"/>
          <w:color w:val="auto"/>
          <w:sz w:val="22"/>
          <w:szCs w:val="22"/>
        </w:rPr>
        <w:t xml:space="preserve"> </w:t>
      </w:r>
      <w:proofErr w:type="spellStart"/>
      <w:r w:rsidRPr="00400BEC">
        <w:rPr>
          <w:rFonts w:ascii="Times New Roman" w:hAnsi="Times New Roman" w:cs="Times New Roman"/>
          <w:color w:val="auto"/>
          <w:sz w:val="22"/>
          <w:szCs w:val="22"/>
        </w:rPr>
        <w:t>Islami</w:t>
      </w:r>
      <w:proofErr w:type="spellEnd"/>
      <w:r w:rsidRPr="00400BEC">
        <w:rPr>
          <w:rFonts w:ascii="Times New Roman" w:hAnsi="Times New Roman" w:cs="Times New Roman"/>
          <w:color w:val="auto"/>
          <w:sz w:val="22"/>
          <w:szCs w:val="22"/>
        </w:rPr>
        <w:t xml:space="preserve"> Bank</w:t>
      </w:r>
      <w:bookmarkEnd w:id="55"/>
      <w:bookmarkEnd w:id="56"/>
      <w:bookmarkEnd w:id="57"/>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6" w:space="0" w:color="76923C" w:themeColor="accent3" w:themeShade="BF"/>
          <w:left w:val="single" w:sz="6" w:space="0" w:color="76923C" w:themeColor="accent3" w:themeShade="BF"/>
          <w:bottom w:val="single" w:sz="6" w:space="0" w:color="76923C" w:themeColor="accent3" w:themeShade="BF"/>
          <w:right w:val="single" w:sz="6" w:space="0" w:color="76923C" w:themeColor="accent3" w:themeShade="BF"/>
          <w:insideH w:val="single" w:sz="6" w:space="0" w:color="76923C" w:themeColor="accent3" w:themeShade="BF"/>
          <w:insideV w:val="single" w:sz="6" w:space="0" w:color="76923C" w:themeColor="accent3" w:themeShade="BF"/>
        </w:tblBorders>
        <w:tblLook w:val="04A0" w:firstRow="1" w:lastRow="0" w:firstColumn="1" w:lastColumn="0" w:noHBand="0" w:noVBand="1"/>
      </w:tblPr>
      <w:tblGrid>
        <w:gridCol w:w="1363"/>
        <w:gridCol w:w="4510"/>
      </w:tblGrid>
      <w:tr w:rsidR="004217CE" w:rsidTr="004217CE">
        <w:trPr>
          <w:trHeight w:val="323"/>
          <w:jc w:val="center"/>
        </w:trPr>
        <w:tc>
          <w:tcPr>
            <w:tcW w:w="1363"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0.93%</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-0.38%</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-0.48%</w:t>
            </w:r>
          </w:p>
        </w:tc>
      </w:tr>
      <w:tr w:rsidR="004217CE" w:rsidTr="004217CE">
        <w:trPr>
          <w:trHeight w:val="302"/>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0.16%</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-0.67%</w:t>
            </w:r>
          </w:p>
        </w:tc>
      </w:tr>
      <w:tr w:rsidR="004217CE" w:rsidTr="004217CE">
        <w:trPr>
          <w:trHeight w:val="302"/>
          <w:jc w:val="center"/>
        </w:trPr>
        <w:tc>
          <w:tcPr>
            <w:tcW w:w="1363" w:type="dxa"/>
            <w:tcBorders>
              <w:top w:val="nil"/>
              <w:left w:val="single" w:sz="24" w:space="0" w:color="76923C" w:themeColor="accent3" w:themeShade="BF"/>
              <w:bottom w:val="nil"/>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0.04%</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0.13%</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0.05%</w:t>
            </w:r>
          </w:p>
        </w:tc>
      </w:tr>
      <w:tr w:rsidR="004217CE" w:rsidTr="004217CE">
        <w:trPr>
          <w:trHeight w:val="302"/>
          <w:jc w:val="center"/>
        </w:trPr>
        <w:tc>
          <w:tcPr>
            <w:tcW w:w="1363" w:type="dxa"/>
            <w:tcBorders>
              <w:top w:val="nil"/>
              <w:left w:val="single" w:sz="24" w:space="0" w:color="76923C" w:themeColor="accent3" w:themeShade="BF"/>
              <w:bottom w:val="nil"/>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0.31%</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-0.50%</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-0.34%</w:t>
            </w:r>
          </w:p>
        </w:tc>
      </w:tr>
      <w:tr w:rsidR="004217CE" w:rsidTr="004217CE">
        <w:trPr>
          <w:trHeight w:val="323"/>
          <w:jc w:val="center"/>
        </w:trPr>
        <w:tc>
          <w:tcPr>
            <w:tcW w:w="1363" w:type="dxa"/>
            <w:tcBorders>
              <w:top w:val="nil"/>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top w:val="nil"/>
              <w:left w:val="single" w:sz="24" w:space="0" w:color="76923C" w:themeColor="accent3" w:themeShade="BF"/>
              <w:bottom w:val="single" w:sz="24" w:space="0" w:color="76923C" w:themeColor="accent3" w:themeShade="BF"/>
              <w:right w:val="single" w:sz="24" w:space="0" w:color="76923C" w:themeColor="accent3" w:themeShade="BF"/>
            </w:tcBorders>
            <w:vAlign w:val="bottom"/>
          </w:tcPr>
          <w:p w:rsidR="004217CE" w:rsidRPr="00B6194B" w:rsidRDefault="004217CE" w:rsidP="004217CE">
            <w:pPr>
              <w:jc w:val="center"/>
              <w:rPr>
                <w:rFonts w:ascii="Times New Roman" w:hAnsi="Times New Roman" w:cs="Times New Roman"/>
                <w:color w:val="000000"/>
                <w:sz w:val="24"/>
                <w:szCs w:val="24"/>
              </w:rPr>
            </w:pPr>
            <w:r w:rsidRPr="00B6194B">
              <w:rPr>
                <w:rFonts w:ascii="Times New Roman" w:hAnsi="Times New Roman" w:cs="Times New Roman"/>
                <w:color w:val="000000"/>
                <w:sz w:val="24"/>
                <w:szCs w:val="24"/>
              </w:rPr>
              <w:t>0.15%</w:t>
            </w:r>
          </w:p>
        </w:tc>
      </w:tr>
    </w:tbl>
    <w:p w:rsidR="004217CE" w:rsidRPr="00934C26" w:rsidRDefault="003F10CA" w:rsidP="00934C26">
      <w:pPr>
        <w:pStyle w:val="Caption"/>
        <w:jc w:val="center"/>
        <w:rPr>
          <w:rFonts w:ascii="Times New Roman" w:hAnsi="Times New Roman" w:cs="Times New Roman"/>
          <w:color w:val="auto"/>
          <w:sz w:val="22"/>
          <w:szCs w:val="22"/>
        </w:rPr>
      </w:pPr>
      <w:bookmarkStart w:id="58" w:name="_Toc61651510"/>
      <w:r w:rsidRPr="00934C26">
        <w:rPr>
          <w:rFonts w:ascii="Times New Roman" w:hAnsi="Times New Roman" w:cs="Times New Roman"/>
          <w:color w:val="auto"/>
          <w:sz w:val="22"/>
          <w:szCs w:val="22"/>
        </w:rPr>
        <w:t xml:space="preserve">Table </w:t>
      </w:r>
      <w:r w:rsidRPr="00934C26">
        <w:rPr>
          <w:rFonts w:ascii="Times New Roman" w:hAnsi="Times New Roman" w:cs="Times New Roman"/>
          <w:color w:val="auto"/>
          <w:sz w:val="22"/>
          <w:szCs w:val="22"/>
        </w:rPr>
        <w:fldChar w:fldCharType="begin"/>
      </w:r>
      <w:r w:rsidRPr="00934C26">
        <w:rPr>
          <w:rFonts w:ascii="Times New Roman" w:hAnsi="Times New Roman" w:cs="Times New Roman"/>
          <w:color w:val="auto"/>
          <w:sz w:val="22"/>
          <w:szCs w:val="22"/>
        </w:rPr>
        <w:instrText xml:space="preserve"> SEQ Table \* ARABIC </w:instrText>
      </w:r>
      <w:r w:rsidRPr="00934C26">
        <w:rPr>
          <w:rFonts w:ascii="Times New Roman" w:hAnsi="Times New Roman" w:cs="Times New Roman"/>
          <w:color w:val="auto"/>
          <w:sz w:val="22"/>
          <w:szCs w:val="22"/>
        </w:rPr>
        <w:fldChar w:fldCharType="separate"/>
      </w:r>
      <w:r w:rsidR="001D7ED7" w:rsidRPr="00934C26">
        <w:rPr>
          <w:rFonts w:ascii="Times New Roman" w:hAnsi="Times New Roman" w:cs="Times New Roman"/>
          <w:color w:val="auto"/>
          <w:sz w:val="22"/>
          <w:szCs w:val="22"/>
        </w:rPr>
        <w:t>7</w:t>
      </w:r>
      <w:r w:rsidRPr="00934C26">
        <w:rPr>
          <w:rFonts w:ascii="Times New Roman" w:hAnsi="Times New Roman" w:cs="Times New Roman"/>
          <w:color w:val="auto"/>
          <w:sz w:val="22"/>
          <w:szCs w:val="22"/>
        </w:rPr>
        <w:fldChar w:fldCharType="end"/>
      </w:r>
      <w:r w:rsidRPr="00934C26">
        <w:rPr>
          <w:rFonts w:ascii="Times New Roman" w:hAnsi="Times New Roman" w:cs="Times New Roman"/>
          <w:color w:val="auto"/>
          <w:sz w:val="22"/>
          <w:szCs w:val="22"/>
        </w:rPr>
        <w:t xml:space="preserve">: Compound Monthly Growth rate </w:t>
      </w:r>
      <w:r w:rsidR="00934C26" w:rsidRPr="00934C26">
        <w:rPr>
          <w:rFonts w:ascii="Times New Roman" w:hAnsi="Times New Roman" w:cs="Times New Roman"/>
          <w:color w:val="auto"/>
          <w:sz w:val="22"/>
          <w:szCs w:val="22"/>
        </w:rPr>
        <w:t>of Al-</w:t>
      </w:r>
      <w:proofErr w:type="spellStart"/>
      <w:r w:rsidR="00934C26" w:rsidRPr="00934C26">
        <w:rPr>
          <w:rFonts w:ascii="Times New Roman" w:hAnsi="Times New Roman" w:cs="Times New Roman"/>
          <w:color w:val="auto"/>
          <w:sz w:val="22"/>
          <w:szCs w:val="22"/>
        </w:rPr>
        <w:t>Arafah</w:t>
      </w:r>
      <w:proofErr w:type="spellEnd"/>
      <w:r w:rsidR="00934C26" w:rsidRPr="00934C26">
        <w:rPr>
          <w:rFonts w:ascii="Times New Roman" w:hAnsi="Times New Roman" w:cs="Times New Roman"/>
          <w:color w:val="auto"/>
          <w:sz w:val="22"/>
          <w:szCs w:val="22"/>
        </w:rPr>
        <w:t xml:space="preserve"> </w:t>
      </w:r>
      <w:proofErr w:type="spellStart"/>
      <w:r w:rsidR="00934C26" w:rsidRPr="00934C26">
        <w:rPr>
          <w:rFonts w:ascii="Times New Roman" w:hAnsi="Times New Roman" w:cs="Times New Roman"/>
          <w:color w:val="auto"/>
          <w:sz w:val="22"/>
          <w:szCs w:val="22"/>
        </w:rPr>
        <w:t>Islami</w:t>
      </w:r>
      <w:proofErr w:type="spellEnd"/>
      <w:r w:rsidR="00934C26" w:rsidRPr="00934C26">
        <w:rPr>
          <w:rFonts w:ascii="Times New Roman" w:hAnsi="Times New Roman" w:cs="Times New Roman"/>
          <w:color w:val="auto"/>
          <w:sz w:val="22"/>
          <w:szCs w:val="22"/>
        </w:rPr>
        <w:t xml:space="preserve"> Bank</w:t>
      </w:r>
      <w:bookmarkEnd w:id="58"/>
    </w:p>
    <w:p w:rsidR="003F10CA" w:rsidRDefault="004217CE" w:rsidP="004217CE">
      <w:pPr>
        <w:pStyle w:val="Caption"/>
        <w:jc w:val="center"/>
        <w:rPr>
          <w:rFonts w:ascii="Times New Roman" w:hAnsi="Times New Roman" w:cs="Times New Roman"/>
          <w:color w:val="auto"/>
          <w:sz w:val="22"/>
          <w:szCs w:val="22"/>
        </w:rPr>
      </w:pPr>
      <w:r>
        <w:rPr>
          <w:noProof/>
        </w:rPr>
        <w:drawing>
          <wp:inline distT="0" distB="0" distL="0" distR="0" wp14:anchorId="4F5BC234" wp14:editId="0E3620AE">
            <wp:extent cx="5486400" cy="32004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A0E39" w:rsidRDefault="003F10CA" w:rsidP="00934C26">
      <w:pPr>
        <w:pStyle w:val="Caption"/>
        <w:jc w:val="center"/>
      </w:pPr>
      <w:bookmarkStart w:id="59" w:name="_Toc61651447"/>
      <w:r w:rsidRPr="00934C26">
        <w:rPr>
          <w:rFonts w:ascii="Times New Roman" w:hAnsi="Times New Roman" w:cs="Times New Roman"/>
          <w:color w:val="auto"/>
          <w:sz w:val="22"/>
          <w:szCs w:val="22"/>
        </w:rPr>
        <w:t xml:space="preserve">Graph </w:t>
      </w:r>
      <w:r w:rsidRPr="00934C26">
        <w:rPr>
          <w:rFonts w:ascii="Times New Roman" w:hAnsi="Times New Roman" w:cs="Times New Roman"/>
          <w:color w:val="auto"/>
          <w:sz w:val="22"/>
          <w:szCs w:val="22"/>
        </w:rPr>
        <w:fldChar w:fldCharType="begin"/>
      </w:r>
      <w:r w:rsidRPr="00934C26">
        <w:rPr>
          <w:rFonts w:ascii="Times New Roman" w:hAnsi="Times New Roman" w:cs="Times New Roman"/>
          <w:color w:val="auto"/>
          <w:sz w:val="22"/>
          <w:szCs w:val="22"/>
        </w:rPr>
        <w:instrText xml:space="preserve"> SEQ Graph \* ARABIC </w:instrText>
      </w:r>
      <w:r w:rsidRPr="00934C26">
        <w:rPr>
          <w:rFonts w:ascii="Times New Roman" w:hAnsi="Times New Roman" w:cs="Times New Roman"/>
          <w:color w:val="auto"/>
          <w:sz w:val="22"/>
          <w:szCs w:val="22"/>
        </w:rPr>
        <w:fldChar w:fldCharType="separate"/>
      </w:r>
      <w:r w:rsidR="001D7ED7" w:rsidRPr="00934C26">
        <w:rPr>
          <w:rFonts w:ascii="Times New Roman" w:hAnsi="Times New Roman" w:cs="Times New Roman"/>
          <w:color w:val="auto"/>
          <w:sz w:val="22"/>
          <w:szCs w:val="22"/>
        </w:rPr>
        <w:t>4</w:t>
      </w:r>
      <w:r w:rsidRPr="00934C26">
        <w:rPr>
          <w:rFonts w:ascii="Times New Roman" w:hAnsi="Times New Roman" w:cs="Times New Roman"/>
          <w:color w:val="auto"/>
          <w:sz w:val="22"/>
          <w:szCs w:val="22"/>
        </w:rPr>
        <w:fldChar w:fldCharType="end"/>
      </w:r>
      <w:r w:rsidRPr="00934C26">
        <w:rPr>
          <w:rFonts w:ascii="Times New Roman" w:hAnsi="Times New Roman" w:cs="Times New Roman"/>
          <w:color w:val="auto"/>
          <w:sz w:val="22"/>
          <w:szCs w:val="22"/>
        </w:rPr>
        <w:t>: Compound Monthly Growth rate of</w:t>
      </w:r>
      <w:r w:rsidR="00934C26" w:rsidRPr="00934C26">
        <w:rPr>
          <w:rFonts w:ascii="Times New Roman" w:hAnsi="Times New Roman" w:cs="Times New Roman"/>
          <w:color w:val="auto"/>
          <w:sz w:val="22"/>
          <w:szCs w:val="22"/>
        </w:rPr>
        <w:t xml:space="preserve"> Al-</w:t>
      </w:r>
      <w:proofErr w:type="spellStart"/>
      <w:r w:rsidR="00934C26" w:rsidRPr="00934C26">
        <w:rPr>
          <w:rFonts w:ascii="Times New Roman" w:hAnsi="Times New Roman" w:cs="Times New Roman"/>
          <w:color w:val="auto"/>
          <w:sz w:val="22"/>
          <w:szCs w:val="22"/>
        </w:rPr>
        <w:t>Arafah</w:t>
      </w:r>
      <w:proofErr w:type="spellEnd"/>
      <w:r w:rsidR="00934C26" w:rsidRPr="00934C26">
        <w:rPr>
          <w:rFonts w:ascii="Times New Roman" w:hAnsi="Times New Roman" w:cs="Times New Roman"/>
          <w:color w:val="auto"/>
          <w:sz w:val="22"/>
          <w:szCs w:val="22"/>
        </w:rPr>
        <w:t xml:space="preserve"> </w:t>
      </w:r>
      <w:proofErr w:type="spellStart"/>
      <w:r w:rsidR="00934C26" w:rsidRPr="00934C26">
        <w:rPr>
          <w:rFonts w:ascii="Times New Roman" w:hAnsi="Times New Roman" w:cs="Times New Roman"/>
          <w:color w:val="auto"/>
          <w:sz w:val="22"/>
          <w:szCs w:val="22"/>
        </w:rPr>
        <w:t>Islami</w:t>
      </w:r>
      <w:proofErr w:type="spellEnd"/>
      <w:r w:rsidR="00934C26" w:rsidRPr="00934C26">
        <w:rPr>
          <w:rFonts w:ascii="Times New Roman" w:hAnsi="Times New Roman" w:cs="Times New Roman"/>
          <w:color w:val="auto"/>
          <w:sz w:val="22"/>
          <w:szCs w:val="22"/>
        </w:rPr>
        <w:t xml:space="preserve"> Bank</w:t>
      </w:r>
      <w:bookmarkEnd w:id="59"/>
      <w:r w:rsidR="00934C26" w:rsidRPr="00934C26">
        <w:t xml:space="preserve"> </w:t>
      </w:r>
    </w:p>
    <w:p w:rsidR="00BA0E39" w:rsidRDefault="00BA0E39" w:rsidP="00BA0E39">
      <w:pPr>
        <w:pStyle w:val="Caption"/>
        <w:jc w:val="both"/>
        <w:rPr>
          <w:b w:val="0"/>
        </w:rPr>
      </w:pPr>
    </w:p>
    <w:p w:rsidR="008A307A" w:rsidRPr="00400BEC" w:rsidRDefault="00BA0E39" w:rsidP="00BA0E39">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negative and positive pattern. </w:t>
      </w:r>
      <w:r w:rsidR="001427BC">
        <w:rPr>
          <w:rFonts w:ascii="Times New Roman" w:hAnsi="Times New Roman" w:cs="Times New Roman"/>
          <w:b w:val="0"/>
          <w:color w:val="auto"/>
          <w:sz w:val="24"/>
          <w:szCs w:val="24"/>
        </w:rPr>
        <w:t xml:space="preserve">The negative return was more than the positive return. </w:t>
      </w:r>
      <w:r>
        <w:rPr>
          <w:rFonts w:ascii="Times New Roman" w:hAnsi="Times New Roman" w:cs="Times New Roman"/>
          <w:b w:val="0"/>
          <w:color w:val="auto"/>
          <w:sz w:val="24"/>
          <w:szCs w:val="24"/>
        </w:rPr>
        <w:t xml:space="preserve">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sidRPr="00400BEC">
        <w:rPr>
          <w:rFonts w:ascii="Times New Roman" w:hAnsi="Times New Roman" w:cs="Times New Roman"/>
          <w:color w:val="auto"/>
          <w:sz w:val="22"/>
          <w:szCs w:val="22"/>
        </w:rPr>
        <w:br w:type="page"/>
      </w:r>
    </w:p>
    <w:p w:rsidR="008A307A" w:rsidRPr="00B10DE5" w:rsidRDefault="008A307A" w:rsidP="00B10DE5">
      <w:pPr>
        <w:pStyle w:val="Heading2"/>
        <w:rPr>
          <w:rFonts w:eastAsia="Times New Roman" w:cs="Times New Roman"/>
          <w:sz w:val="24"/>
          <w:szCs w:val="24"/>
        </w:rPr>
      </w:pPr>
      <w:bookmarkStart w:id="60" w:name="_Toc62037715"/>
      <w:r w:rsidRPr="00B10DE5">
        <w:rPr>
          <w:rFonts w:eastAsia="Times New Roman" w:cs="Times New Roman"/>
          <w:sz w:val="24"/>
          <w:szCs w:val="24"/>
        </w:rPr>
        <w:lastRenderedPageBreak/>
        <w:t>Bank Asia:</w:t>
      </w:r>
      <w:bookmarkEnd w:id="60"/>
      <w:r w:rsidRPr="00B10DE5">
        <w:rPr>
          <w:rFonts w:eastAsia="Times New Roman" w:cs="Times New Roman"/>
          <w:sz w:val="24"/>
          <w:szCs w:val="24"/>
        </w:rPr>
        <w:t xml:space="preserve"> </w:t>
      </w:r>
    </w:p>
    <w:p w:rsidR="008A307A" w:rsidRDefault="008A307A" w:rsidP="008A307A">
      <w:pPr>
        <w:spacing w:after="0" w:line="288" w:lineRule="auto"/>
        <w:rPr>
          <w:rFonts w:ascii="Times New Roman" w:eastAsia="Times New Roman" w:hAnsi="Times New Roman" w:cs="Times New Roman"/>
          <w:b/>
          <w:color w:val="000000"/>
        </w:rPr>
      </w:pPr>
    </w:p>
    <w:p w:rsidR="008A307A" w:rsidRPr="00B10DE5" w:rsidRDefault="008A307A" w:rsidP="00DB7269">
      <w:pPr>
        <w:spacing w:after="0" w:line="360" w:lineRule="auto"/>
        <w:ind w:left="360"/>
        <w:jc w:val="both"/>
        <w:rPr>
          <w:rFonts w:ascii="Times New Roman" w:hAnsi="Times New Roman" w:cs="Times New Roman"/>
          <w:sz w:val="24"/>
          <w:szCs w:val="24"/>
        </w:rPr>
      </w:pPr>
      <w:r w:rsidRPr="00B10DE5">
        <w:rPr>
          <w:rFonts w:ascii="Times New Roman" w:hAnsi="Times New Roman" w:cs="Times New Roman"/>
          <w:sz w:val="24"/>
          <w:szCs w:val="24"/>
        </w:rPr>
        <w:t>Both the table and graph of rate of return and absolute return show the same value. For Bank Asia the value for 2017 is 32.70, 2018 is -6.95 and 2019 is 2.19. It means return for 2017 is positive and year 2018 is negative. But in 2019 is show positive return. On the other hand the holding period return show the return parentage for 2017 is 0.33, 2018 is -0.07 and 2019 is 0.02. That indicates positive return for the year 2017 and 2019. But in 2018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B10DE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AE7DF2" w:rsidRDefault="008A307A" w:rsidP="008A307A">
            <w:pPr>
              <w:spacing w:line="288" w:lineRule="auto"/>
              <w:jc w:val="center"/>
              <w:rPr>
                <w:rFonts w:ascii="Times New Roman" w:hAnsi="Times New Roman" w:cs="Times New Roman"/>
                <w:color w:val="FFFFFF" w:themeColor="background1"/>
              </w:rPr>
            </w:pPr>
            <w:r w:rsidRPr="00AE7DF2">
              <w:rPr>
                <w:rFonts w:ascii="Times New Roman" w:hAnsi="Times New Roman" w:cs="Times New Roman"/>
                <w:color w:val="FFFFFF" w:themeColor="background1"/>
              </w:rPr>
              <w:t>32.70</w:t>
            </w:r>
          </w:p>
        </w:tc>
        <w:tc>
          <w:tcPr>
            <w:tcW w:w="1226" w:type="dxa"/>
            <w:tcBorders>
              <w:top w:val="single" w:sz="6" w:space="0" w:color="FFFFFF" w:themeColor="background1"/>
            </w:tcBorders>
            <w:shd w:val="clear" w:color="auto" w:fill="943634" w:themeFill="accent2" w:themeFillShade="BF"/>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-6.95</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2.19</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0.33</w:t>
            </w:r>
          </w:p>
        </w:tc>
        <w:tc>
          <w:tcPr>
            <w:tcW w:w="1226" w:type="dxa"/>
            <w:tcBorders>
              <w:top w:val="single" w:sz="6" w:space="0" w:color="FFFFFF" w:themeColor="background1"/>
            </w:tcBorders>
            <w:shd w:val="clear" w:color="auto" w:fill="5F497A" w:themeFill="accent4" w:themeFillShade="BF"/>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-0.07</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0.02</w:t>
            </w:r>
          </w:p>
        </w:tc>
        <w:tc>
          <w:tcPr>
            <w:tcW w:w="1226" w:type="dxa"/>
            <w:tcBorders>
              <w:top w:val="single" w:sz="6" w:space="0" w:color="FFFFFF" w:themeColor="background1"/>
              <w:left w:val="single" w:sz="6" w:space="0" w:color="FFFFFF" w:themeColor="background1"/>
            </w:tcBorders>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32.70</w:t>
            </w:r>
          </w:p>
        </w:tc>
        <w:tc>
          <w:tcPr>
            <w:tcW w:w="1226" w:type="dxa"/>
            <w:tcBorders>
              <w:top w:val="single" w:sz="6" w:space="0" w:color="FFFFFF" w:themeColor="background1"/>
            </w:tcBorders>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-6.95</w:t>
            </w:r>
          </w:p>
        </w:tc>
        <w:tc>
          <w:tcPr>
            <w:tcW w:w="921" w:type="dxa"/>
            <w:tcBorders>
              <w:top w:val="single" w:sz="6" w:space="0" w:color="FFFFFF" w:themeColor="background1"/>
            </w:tcBorders>
            <w:vAlign w:val="center"/>
          </w:tcPr>
          <w:p w:rsidR="008A307A" w:rsidRPr="00AE7D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AE7DF2">
              <w:rPr>
                <w:rFonts w:ascii="Times New Roman" w:hAnsi="Times New Roman" w:cs="Times New Roman"/>
                <w:b/>
                <w:color w:val="FFFFFF" w:themeColor="background1"/>
              </w:rPr>
              <w:t>2.19</w:t>
            </w:r>
          </w:p>
        </w:tc>
      </w:tr>
    </w:tbl>
    <w:p w:rsidR="008A307A" w:rsidRDefault="008A307A" w:rsidP="001E042B">
      <w:pPr>
        <w:spacing w:after="0" w:line="288" w:lineRule="auto"/>
        <w:jc w:val="both"/>
        <w:rPr>
          <w:rFonts w:ascii="Times New Roman" w:eastAsia="Times New Roman" w:hAnsi="Times New Roman" w:cs="Times New Roman"/>
          <w:b/>
          <w:color w:val="000000"/>
        </w:rPr>
      </w:pPr>
    </w:p>
    <w:p w:rsidR="008A307A" w:rsidRPr="00400BEC" w:rsidRDefault="00AE459F" w:rsidP="00400BEC">
      <w:pPr>
        <w:pStyle w:val="Caption"/>
        <w:jc w:val="center"/>
        <w:rPr>
          <w:rFonts w:ascii="Times New Roman" w:hAnsi="Times New Roman" w:cs="Times New Roman"/>
          <w:color w:val="auto"/>
          <w:sz w:val="22"/>
          <w:szCs w:val="22"/>
        </w:rPr>
      </w:pPr>
      <w:bookmarkStart w:id="61" w:name="_Toc57290045"/>
      <w:bookmarkStart w:id="62" w:name="_Toc57290366"/>
      <w:bookmarkStart w:id="63" w:name="_Toc61651511"/>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8</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Bank Asia</w:t>
      </w:r>
      <w:bookmarkEnd w:id="61"/>
      <w:bookmarkEnd w:id="62"/>
      <w:bookmarkEnd w:id="63"/>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71552" behindDoc="0" locked="0" layoutInCell="1" allowOverlap="1" wp14:anchorId="4D907A3E" wp14:editId="3AAE7DDB">
            <wp:simplePos x="0" y="0"/>
            <wp:positionH relativeFrom="column">
              <wp:posOffset>1876425</wp:posOffset>
            </wp:positionH>
            <wp:positionV relativeFrom="paragraph">
              <wp:posOffset>167005</wp:posOffset>
            </wp:positionV>
            <wp:extent cx="2286000" cy="1828800"/>
            <wp:effectExtent l="0" t="0" r="19050" b="19050"/>
            <wp:wrapSquare wrapText="bothSides"/>
            <wp:docPr id="120" name="Chart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0528" behindDoc="0" locked="0" layoutInCell="1" allowOverlap="1" wp14:anchorId="531F1286" wp14:editId="6A1681F5">
            <wp:simplePos x="0" y="0"/>
            <wp:positionH relativeFrom="column">
              <wp:posOffset>-409575</wp:posOffset>
            </wp:positionH>
            <wp:positionV relativeFrom="paragraph">
              <wp:posOffset>162560</wp:posOffset>
            </wp:positionV>
            <wp:extent cx="2286000" cy="1828800"/>
            <wp:effectExtent l="0" t="0" r="19050" b="19050"/>
            <wp:wrapSquare wrapText="bothSides"/>
            <wp:docPr id="121" name="Chart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2576" behindDoc="0" locked="0" layoutInCell="1" allowOverlap="1" wp14:anchorId="7C8487B1" wp14:editId="03567C87">
            <wp:simplePos x="0" y="0"/>
            <wp:positionH relativeFrom="column">
              <wp:posOffset>4114800</wp:posOffset>
            </wp:positionH>
            <wp:positionV relativeFrom="paragraph">
              <wp:posOffset>162560</wp:posOffset>
            </wp:positionV>
            <wp:extent cx="2286000" cy="1828800"/>
            <wp:effectExtent l="0" t="0" r="19050" b="19050"/>
            <wp:wrapSquare wrapText="bothSides"/>
            <wp:docPr id="122" name="Chart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rsidR="004217CE" w:rsidRDefault="00AE459F" w:rsidP="00400BEC">
      <w:pPr>
        <w:pStyle w:val="Caption"/>
        <w:jc w:val="center"/>
        <w:rPr>
          <w:rFonts w:ascii="Times New Roman" w:hAnsi="Times New Roman" w:cs="Times New Roman"/>
          <w:color w:val="auto"/>
          <w:sz w:val="22"/>
          <w:szCs w:val="22"/>
        </w:rPr>
      </w:pPr>
      <w:bookmarkStart w:id="64" w:name="_Toc57290075"/>
      <w:bookmarkStart w:id="65" w:name="_Toc57290210"/>
      <w:bookmarkStart w:id="66" w:name="_Toc61651448"/>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Bank Asia</w:t>
      </w:r>
      <w:bookmarkEnd w:id="64"/>
      <w:bookmarkEnd w:id="65"/>
      <w:bookmarkEnd w:id="66"/>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Look w:val="04A0" w:firstRow="1" w:lastRow="0" w:firstColumn="1" w:lastColumn="0" w:noHBand="0" w:noVBand="1"/>
      </w:tblPr>
      <w:tblGrid>
        <w:gridCol w:w="1363"/>
        <w:gridCol w:w="4510"/>
      </w:tblGrid>
      <w:tr w:rsidR="004217CE" w:rsidTr="004217CE">
        <w:trPr>
          <w:trHeight w:val="323"/>
          <w:jc w:val="center"/>
        </w:trPr>
        <w:tc>
          <w:tcPr>
            <w:tcW w:w="1363"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0.36%</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-0.27%</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0.04%</w:t>
            </w:r>
          </w:p>
        </w:tc>
      </w:tr>
      <w:tr w:rsidR="004217CE" w:rsidTr="004217CE">
        <w:trPr>
          <w:trHeight w:val="302"/>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0.41%</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1.02%</w:t>
            </w:r>
          </w:p>
        </w:tc>
      </w:tr>
      <w:tr w:rsidR="004217CE" w:rsidTr="004217CE">
        <w:trPr>
          <w:trHeight w:val="302"/>
          <w:jc w:val="center"/>
        </w:trPr>
        <w:tc>
          <w:tcPr>
            <w:tcW w:w="1363" w:type="dxa"/>
            <w:tcBorders>
              <w:top w:val="nil"/>
              <w:left w:val="single" w:sz="24" w:space="0" w:color="76923C" w:themeColor="accent3" w:themeShade="BF"/>
              <w:bottom w:val="nil"/>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-1.01%</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0.33%</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0.00%</w:t>
            </w:r>
          </w:p>
        </w:tc>
      </w:tr>
      <w:tr w:rsidR="004217CE" w:rsidTr="004217CE">
        <w:trPr>
          <w:trHeight w:val="302"/>
          <w:jc w:val="center"/>
        </w:trPr>
        <w:tc>
          <w:tcPr>
            <w:tcW w:w="1363" w:type="dxa"/>
            <w:tcBorders>
              <w:top w:val="nil"/>
              <w:left w:val="single" w:sz="24" w:space="0" w:color="76923C" w:themeColor="accent3" w:themeShade="BF"/>
              <w:bottom w:val="nil"/>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0.63%</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0.26%</w:t>
            </w:r>
          </w:p>
        </w:tc>
      </w:tr>
      <w:tr w:rsidR="004217CE" w:rsidTr="004217CE">
        <w:trPr>
          <w:trHeight w:val="323"/>
          <w:jc w:val="center"/>
        </w:trPr>
        <w:tc>
          <w:tcPr>
            <w:tcW w:w="1363" w:type="dxa"/>
            <w:tcBorders>
              <w:top w:val="nil"/>
              <w:left w:val="single" w:sz="24" w:space="0" w:color="76923C" w:themeColor="accent3" w:themeShade="BF"/>
              <w:bottom w:val="nil"/>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top w:val="nil"/>
              <w:left w:val="single" w:sz="24" w:space="0" w:color="76923C" w:themeColor="accent3" w:themeShade="BF"/>
              <w:bottom w:val="nil"/>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0.00%</w:t>
            </w:r>
          </w:p>
        </w:tc>
      </w:tr>
      <w:tr w:rsidR="004217CE" w:rsidTr="004217CE">
        <w:trPr>
          <w:trHeight w:val="323"/>
          <w:jc w:val="center"/>
        </w:trPr>
        <w:tc>
          <w:tcPr>
            <w:tcW w:w="1363" w:type="dxa"/>
            <w:tcBorders>
              <w:top w:val="nil"/>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top w:val="nil"/>
              <w:left w:val="single" w:sz="24" w:space="0" w:color="76923C" w:themeColor="accent3" w:themeShade="BF"/>
              <w:bottom w:val="single" w:sz="24" w:space="0" w:color="76923C" w:themeColor="accent3" w:themeShade="BF"/>
              <w:right w:val="single" w:sz="24" w:space="0" w:color="76923C" w:themeColor="accent3" w:themeShade="BF"/>
            </w:tcBorders>
            <w:vAlign w:val="bottom"/>
          </w:tcPr>
          <w:p w:rsidR="004217CE" w:rsidRPr="004727F7" w:rsidRDefault="004217CE" w:rsidP="004217CE">
            <w:pPr>
              <w:jc w:val="center"/>
              <w:rPr>
                <w:rFonts w:ascii="Times New Roman" w:hAnsi="Times New Roman" w:cs="Times New Roman"/>
                <w:color w:val="000000"/>
                <w:sz w:val="24"/>
                <w:szCs w:val="24"/>
              </w:rPr>
            </w:pPr>
            <w:r w:rsidRPr="004727F7">
              <w:rPr>
                <w:rFonts w:ascii="Times New Roman" w:hAnsi="Times New Roman" w:cs="Times New Roman"/>
                <w:color w:val="000000"/>
                <w:sz w:val="24"/>
                <w:szCs w:val="24"/>
              </w:rPr>
              <w:t>-0.66%</w:t>
            </w:r>
          </w:p>
        </w:tc>
      </w:tr>
    </w:tbl>
    <w:p w:rsidR="004217CE" w:rsidRPr="00EC3F7B" w:rsidRDefault="003F10CA" w:rsidP="00EC3F7B">
      <w:pPr>
        <w:pStyle w:val="Caption"/>
        <w:jc w:val="center"/>
        <w:rPr>
          <w:rFonts w:ascii="Times New Roman" w:hAnsi="Times New Roman" w:cs="Times New Roman"/>
          <w:color w:val="auto"/>
          <w:sz w:val="22"/>
          <w:szCs w:val="22"/>
        </w:rPr>
      </w:pPr>
      <w:bookmarkStart w:id="67" w:name="_Toc61651512"/>
      <w:r w:rsidRPr="00EC3F7B">
        <w:rPr>
          <w:rFonts w:ascii="Times New Roman" w:hAnsi="Times New Roman" w:cs="Times New Roman"/>
          <w:color w:val="auto"/>
          <w:sz w:val="22"/>
          <w:szCs w:val="22"/>
        </w:rPr>
        <w:t xml:space="preserve">Table </w:t>
      </w:r>
      <w:r w:rsidRPr="00EC3F7B">
        <w:rPr>
          <w:rFonts w:ascii="Times New Roman" w:hAnsi="Times New Roman" w:cs="Times New Roman"/>
          <w:color w:val="auto"/>
          <w:sz w:val="22"/>
          <w:szCs w:val="22"/>
        </w:rPr>
        <w:fldChar w:fldCharType="begin"/>
      </w:r>
      <w:r w:rsidRPr="00EC3F7B">
        <w:rPr>
          <w:rFonts w:ascii="Times New Roman" w:hAnsi="Times New Roman" w:cs="Times New Roman"/>
          <w:color w:val="auto"/>
          <w:sz w:val="22"/>
          <w:szCs w:val="22"/>
        </w:rPr>
        <w:instrText xml:space="preserve"> SEQ Table \* ARABIC </w:instrText>
      </w:r>
      <w:r w:rsidRPr="00EC3F7B">
        <w:rPr>
          <w:rFonts w:ascii="Times New Roman" w:hAnsi="Times New Roman" w:cs="Times New Roman"/>
          <w:color w:val="auto"/>
          <w:sz w:val="22"/>
          <w:szCs w:val="22"/>
        </w:rPr>
        <w:fldChar w:fldCharType="separate"/>
      </w:r>
      <w:r w:rsidR="001D7ED7" w:rsidRPr="00EC3F7B">
        <w:rPr>
          <w:rFonts w:ascii="Times New Roman" w:hAnsi="Times New Roman" w:cs="Times New Roman"/>
          <w:color w:val="auto"/>
          <w:sz w:val="22"/>
          <w:szCs w:val="22"/>
        </w:rPr>
        <w:t>9</w:t>
      </w:r>
      <w:r w:rsidRPr="00EC3F7B">
        <w:rPr>
          <w:rFonts w:ascii="Times New Roman" w:hAnsi="Times New Roman" w:cs="Times New Roman"/>
          <w:color w:val="auto"/>
          <w:sz w:val="22"/>
          <w:szCs w:val="22"/>
        </w:rPr>
        <w:fldChar w:fldCharType="end"/>
      </w:r>
      <w:r w:rsidRPr="00EC3F7B">
        <w:rPr>
          <w:rFonts w:ascii="Times New Roman" w:hAnsi="Times New Roman" w:cs="Times New Roman"/>
          <w:color w:val="auto"/>
          <w:sz w:val="22"/>
          <w:szCs w:val="22"/>
        </w:rPr>
        <w:t>: Compound Monthly Growth rate of</w:t>
      </w:r>
      <w:r w:rsidR="00EC3F7B" w:rsidRPr="00EC3F7B">
        <w:rPr>
          <w:rFonts w:ascii="Times New Roman" w:hAnsi="Times New Roman" w:cs="Times New Roman"/>
          <w:color w:val="auto"/>
          <w:sz w:val="22"/>
          <w:szCs w:val="22"/>
        </w:rPr>
        <w:t xml:space="preserve"> </w:t>
      </w:r>
      <w:r w:rsidR="00EC3F7B" w:rsidRPr="00400BEC">
        <w:rPr>
          <w:rFonts w:ascii="Times New Roman" w:hAnsi="Times New Roman" w:cs="Times New Roman"/>
          <w:color w:val="auto"/>
          <w:sz w:val="22"/>
          <w:szCs w:val="22"/>
        </w:rPr>
        <w:t>Bank Asia</w:t>
      </w:r>
      <w:bookmarkEnd w:id="67"/>
    </w:p>
    <w:p w:rsidR="003F10CA" w:rsidRDefault="004217CE" w:rsidP="004217CE">
      <w:pPr>
        <w:pStyle w:val="Caption"/>
        <w:jc w:val="center"/>
        <w:rPr>
          <w:b w:val="0"/>
        </w:rPr>
      </w:pPr>
      <w:r>
        <w:rPr>
          <w:noProof/>
        </w:rPr>
        <w:drawing>
          <wp:inline distT="0" distB="0" distL="0" distR="0" wp14:anchorId="27F3F7D3" wp14:editId="557716A5">
            <wp:extent cx="5486400" cy="32004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07F3D" w:rsidRDefault="003F10CA" w:rsidP="00EC3F7B">
      <w:pPr>
        <w:pStyle w:val="Caption"/>
        <w:jc w:val="center"/>
        <w:rPr>
          <w:rFonts w:ascii="Times New Roman" w:hAnsi="Times New Roman" w:cs="Times New Roman"/>
          <w:color w:val="auto"/>
          <w:sz w:val="22"/>
          <w:szCs w:val="22"/>
        </w:rPr>
      </w:pPr>
      <w:bookmarkStart w:id="68" w:name="_Toc61651449"/>
      <w:r w:rsidRPr="00EC3F7B">
        <w:rPr>
          <w:rFonts w:ascii="Times New Roman" w:hAnsi="Times New Roman" w:cs="Times New Roman"/>
          <w:color w:val="auto"/>
          <w:sz w:val="22"/>
          <w:szCs w:val="22"/>
        </w:rPr>
        <w:t xml:space="preserve">Graph </w:t>
      </w:r>
      <w:r w:rsidRPr="00EC3F7B">
        <w:rPr>
          <w:rFonts w:ascii="Times New Roman" w:hAnsi="Times New Roman" w:cs="Times New Roman"/>
          <w:color w:val="auto"/>
          <w:sz w:val="22"/>
          <w:szCs w:val="22"/>
        </w:rPr>
        <w:fldChar w:fldCharType="begin"/>
      </w:r>
      <w:r w:rsidRPr="00EC3F7B">
        <w:rPr>
          <w:rFonts w:ascii="Times New Roman" w:hAnsi="Times New Roman" w:cs="Times New Roman"/>
          <w:color w:val="auto"/>
          <w:sz w:val="22"/>
          <w:szCs w:val="22"/>
        </w:rPr>
        <w:instrText xml:space="preserve"> SEQ Graph \* ARABIC </w:instrText>
      </w:r>
      <w:r w:rsidRPr="00EC3F7B">
        <w:rPr>
          <w:rFonts w:ascii="Times New Roman" w:hAnsi="Times New Roman" w:cs="Times New Roman"/>
          <w:color w:val="auto"/>
          <w:sz w:val="22"/>
          <w:szCs w:val="22"/>
        </w:rPr>
        <w:fldChar w:fldCharType="separate"/>
      </w:r>
      <w:r w:rsidR="001D7ED7" w:rsidRPr="00EC3F7B">
        <w:rPr>
          <w:rFonts w:ascii="Times New Roman" w:hAnsi="Times New Roman" w:cs="Times New Roman"/>
          <w:color w:val="auto"/>
          <w:sz w:val="22"/>
          <w:szCs w:val="22"/>
        </w:rPr>
        <w:t>6</w:t>
      </w:r>
      <w:r w:rsidRPr="00EC3F7B">
        <w:rPr>
          <w:rFonts w:ascii="Times New Roman" w:hAnsi="Times New Roman" w:cs="Times New Roman"/>
          <w:color w:val="auto"/>
          <w:sz w:val="22"/>
          <w:szCs w:val="22"/>
        </w:rPr>
        <w:fldChar w:fldCharType="end"/>
      </w:r>
      <w:r w:rsidRPr="00EC3F7B">
        <w:rPr>
          <w:rFonts w:ascii="Times New Roman" w:hAnsi="Times New Roman" w:cs="Times New Roman"/>
          <w:color w:val="auto"/>
          <w:sz w:val="22"/>
          <w:szCs w:val="22"/>
        </w:rPr>
        <w:t>: Compound Monthly Growth rate of</w:t>
      </w:r>
      <w:r w:rsidR="00EC3F7B" w:rsidRPr="00EC3F7B">
        <w:rPr>
          <w:rFonts w:ascii="Times New Roman" w:hAnsi="Times New Roman" w:cs="Times New Roman"/>
          <w:color w:val="auto"/>
          <w:sz w:val="22"/>
          <w:szCs w:val="22"/>
        </w:rPr>
        <w:t xml:space="preserve"> </w:t>
      </w:r>
      <w:r w:rsidR="00EC3F7B" w:rsidRPr="00400BEC">
        <w:rPr>
          <w:rFonts w:ascii="Times New Roman" w:hAnsi="Times New Roman" w:cs="Times New Roman"/>
          <w:color w:val="auto"/>
          <w:sz w:val="22"/>
          <w:szCs w:val="22"/>
        </w:rPr>
        <w:t>Bank Asia</w:t>
      </w:r>
      <w:bookmarkEnd w:id="68"/>
      <w:r w:rsidR="00EC3F7B" w:rsidRPr="00EC3F7B">
        <w:rPr>
          <w:rFonts w:ascii="Times New Roman" w:hAnsi="Times New Roman" w:cs="Times New Roman"/>
          <w:color w:val="auto"/>
          <w:sz w:val="22"/>
          <w:szCs w:val="22"/>
        </w:rPr>
        <w:t xml:space="preserve"> </w:t>
      </w:r>
    </w:p>
    <w:p w:rsidR="00C07F3D" w:rsidRDefault="00C07F3D" w:rsidP="00C07F3D">
      <w:pPr>
        <w:pStyle w:val="Caption"/>
        <w:jc w:val="both"/>
        <w:rPr>
          <w:rFonts w:ascii="Times New Roman" w:hAnsi="Times New Roman" w:cs="Times New Roman"/>
          <w:color w:val="auto"/>
          <w:sz w:val="22"/>
          <w:szCs w:val="22"/>
        </w:rPr>
      </w:pPr>
    </w:p>
    <w:p w:rsidR="008A307A" w:rsidRPr="00EC3F7B" w:rsidRDefault="00C07F3D" w:rsidP="00C07F3D">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positive pattern. So, I can say the return growth rate from this investment was less risker. The return volatility explains that profit was more than the loss growth return rate. For More accurate results I calculate daily absolute returns which you found in calculation part also show the same results. The reason behind this scenario was decreasing stock value over the time. </w:t>
      </w:r>
      <w:r w:rsidR="008A307A" w:rsidRPr="00EC3F7B">
        <w:rPr>
          <w:rFonts w:ascii="Times New Roman" w:hAnsi="Times New Roman" w:cs="Times New Roman"/>
          <w:color w:val="auto"/>
          <w:sz w:val="22"/>
          <w:szCs w:val="22"/>
        </w:rPr>
        <w:br w:type="page"/>
      </w:r>
    </w:p>
    <w:p w:rsidR="008A307A" w:rsidRPr="005B6886" w:rsidRDefault="008A307A" w:rsidP="005B6886">
      <w:pPr>
        <w:pStyle w:val="Heading2"/>
        <w:rPr>
          <w:rFonts w:eastAsia="Times New Roman" w:cs="Times New Roman"/>
          <w:szCs w:val="28"/>
        </w:rPr>
      </w:pPr>
      <w:bookmarkStart w:id="69" w:name="_Toc62037716"/>
      <w:proofErr w:type="spellStart"/>
      <w:r w:rsidRPr="005B6886">
        <w:rPr>
          <w:rFonts w:eastAsia="Times New Roman" w:cs="Times New Roman"/>
          <w:szCs w:val="28"/>
        </w:rPr>
        <w:lastRenderedPageBreak/>
        <w:t>Brac</w:t>
      </w:r>
      <w:proofErr w:type="spellEnd"/>
      <w:r w:rsidRPr="005B6886">
        <w:rPr>
          <w:rFonts w:eastAsia="Times New Roman" w:cs="Times New Roman"/>
          <w:szCs w:val="28"/>
        </w:rPr>
        <w:t xml:space="preserve"> Bank:</w:t>
      </w:r>
      <w:bookmarkEnd w:id="69"/>
      <w:r w:rsidRPr="005B6886">
        <w:rPr>
          <w:rFonts w:eastAsia="Times New Roman" w:cs="Times New Roman"/>
          <w:szCs w:val="28"/>
        </w:rPr>
        <w:t xml:space="preserve"> </w:t>
      </w:r>
    </w:p>
    <w:p w:rsidR="008A307A" w:rsidRDefault="008A307A" w:rsidP="008A307A">
      <w:pPr>
        <w:spacing w:after="0" w:line="288" w:lineRule="auto"/>
        <w:rPr>
          <w:rFonts w:ascii="Times New Roman" w:eastAsia="Times New Roman" w:hAnsi="Times New Roman" w:cs="Times New Roman"/>
          <w:b/>
          <w:color w:val="000000"/>
        </w:rPr>
      </w:pPr>
    </w:p>
    <w:p w:rsidR="008A307A" w:rsidRPr="005B6886" w:rsidRDefault="008A307A" w:rsidP="00DB7269">
      <w:pPr>
        <w:spacing w:after="0" w:line="360" w:lineRule="auto"/>
        <w:ind w:left="360"/>
        <w:jc w:val="both"/>
        <w:rPr>
          <w:rFonts w:ascii="Times New Roman" w:hAnsi="Times New Roman" w:cs="Times New Roman"/>
          <w:sz w:val="24"/>
          <w:szCs w:val="24"/>
        </w:rPr>
      </w:pPr>
      <w:r w:rsidRPr="005B6886">
        <w:rPr>
          <w:rFonts w:ascii="Times New Roman" w:hAnsi="Times New Roman" w:cs="Times New Roman"/>
          <w:sz w:val="24"/>
          <w:szCs w:val="24"/>
        </w:rPr>
        <w:t xml:space="preserve">Both the table and graph of rate of return and absolute return show the same value. For </w:t>
      </w:r>
      <w:proofErr w:type="spellStart"/>
      <w:r w:rsidRPr="005B6886">
        <w:rPr>
          <w:rFonts w:ascii="Times New Roman" w:hAnsi="Times New Roman" w:cs="Times New Roman"/>
          <w:sz w:val="24"/>
          <w:szCs w:val="24"/>
        </w:rPr>
        <w:t>Brac</w:t>
      </w:r>
      <w:proofErr w:type="spellEnd"/>
      <w:r w:rsidRPr="005B6886">
        <w:rPr>
          <w:rFonts w:ascii="Times New Roman" w:hAnsi="Times New Roman" w:cs="Times New Roman"/>
          <w:sz w:val="24"/>
          <w:szCs w:val="24"/>
        </w:rPr>
        <w:t xml:space="preserve"> Bank the value for 2017 is 92.11, 2018 is -6.11 and 2019 is -16.35. It means return for 2017 is positive and both years 2018 are negative. On the other hand the holding period return show the return parentage for 2017 is 1.59, 2018 is -0.06 and 2019 is -0.16. That indicates positive return for the year 2017. But both the year 2018 and 2019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5B688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2B0377" w:rsidRDefault="008A307A" w:rsidP="008A307A">
            <w:pPr>
              <w:spacing w:line="288" w:lineRule="auto"/>
              <w:jc w:val="center"/>
              <w:rPr>
                <w:rFonts w:ascii="Times New Roman" w:hAnsi="Times New Roman" w:cs="Times New Roman"/>
                <w:color w:val="FFFFFF" w:themeColor="background1"/>
              </w:rPr>
            </w:pPr>
            <w:r w:rsidRPr="002B0377">
              <w:rPr>
                <w:rFonts w:ascii="Times New Roman" w:hAnsi="Times New Roman" w:cs="Times New Roman"/>
                <w:color w:val="FFFFFF" w:themeColor="background1"/>
              </w:rPr>
              <w:t>92.11</w:t>
            </w:r>
          </w:p>
        </w:tc>
        <w:tc>
          <w:tcPr>
            <w:tcW w:w="1226" w:type="dxa"/>
            <w:tcBorders>
              <w:top w:val="single" w:sz="6" w:space="0" w:color="FFFFFF" w:themeColor="background1"/>
            </w:tcBorders>
            <w:shd w:val="clear" w:color="auto" w:fill="943634" w:themeFill="accent2" w:themeFillShade="BF"/>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-6.11</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-16.35</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1.59</w:t>
            </w:r>
          </w:p>
        </w:tc>
        <w:tc>
          <w:tcPr>
            <w:tcW w:w="1226" w:type="dxa"/>
            <w:tcBorders>
              <w:top w:val="single" w:sz="6" w:space="0" w:color="FFFFFF" w:themeColor="background1"/>
            </w:tcBorders>
            <w:shd w:val="clear" w:color="auto" w:fill="5F497A" w:themeFill="accent4" w:themeFillShade="BF"/>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-0.06</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-0.16</w:t>
            </w:r>
          </w:p>
        </w:tc>
        <w:tc>
          <w:tcPr>
            <w:tcW w:w="1226" w:type="dxa"/>
            <w:tcBorders>
              <w:top w:val="single" w:sz="6" w:space="0" w:color="FFFFFF" w:themeColor="background1"/>
              <w:left w:val="single" w:sz="6" w:space="0" w:color="FFFFFF" w:themeColor="background1"/>
            </w:tcBorders>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92.11</w:t>
            </w:r>
          </w:p>
        </w:tc>
        <w:tc>
          <w:tcPr>
            <w:tcW w:w="1226" w:type="dxa"/>
            <w:tcBorders>
              <w:top w:val="single" w:sz="6" w:space="0" w:color="FFFFFF" w:themeColor="background1"/>
            </w:tcBorders>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-6.11</w:t>
            </w:r>
          </w:p>
        </w:tc>
        <w:tc>
          <w:tcPr>
            <w:tcW w:w="921" w:type="dxa"/>
            <w:tcBorders>
              <w:top w:val="single" w:sz="6" w:space="0" w:color="FFFFFF" w:themeColor="background1"/>
            </w:tcBorders>
            <w:vAlign w:val="center"/>
          </w:tcPr>
          <w:p w:rsidR="008A307A" w:rsidRPr="002B037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B0377">
              <w:rPr>
                <w:rFonts w:ascii="Times New Roman" w:hAnsi="Times New Roman" w:cs="Times New Roman"/>
                <w:b/>
                <w:color w:val="FFFFFF" w:themeColor="background1"/>
              </w:rPr>
              <w:t>-16.35</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AE459F" w:rsidP="00400BEC">
      <w:pPr>
        <w:pStyle w:val="Caption"/>
        <w:jc w:val="center"/>
        <w:rPr>
          <w:rFonts w:ascii="Times New Roman" w:hAnsi="Times New Roman" w:cs="Times New Roman"/>
          <w:color w:val="auto"/>
          <w:sz w:val="22"/>
          <w:szCs w:val="22"/>
        </w:rPr>
      </w:pPr>
      <w:bookmarkStart w:id="70" w:name="_Toc57290046"/>
      <w:bookmarkStart w:id="71" w:name="_Toc57290367"/>
      <w:bookmarkStart w:id="72" w:name="_Toc61651513"/>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10</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w:t>
      </w:r>
      <w:proofErr w:type="spellStart"/>
      <w:r w:rsidRPr="00400BEC">
        <w:rPr>
          <w:rFonts w:ascii="Times New Roman" w:hAnsi="Times New Roman" w:cs="Times New Roman"/>
          <w:color w:val="auto"/>
          <w:sz w:val="22"/>
          <w:szCs w:val="22"/>
        </w:rPr>
        <w:t>Brac</w:t>
      </w:r>
      <w:proofErr w:type="spellEnd"/>
      <w:r w:rsidRPr="00400BEC">
        <w:rPr>
          <w:rFonts w:ascii="Times New Roman" w:hAnsi="Times New Roman" w:cs="Times New Roman"/>
          <w:color w:val="auto"/>
          <w:sz w:val="22"/>
          <w:szCs w:val="22"/>
        </w:rPr>
        <w:t xml:space="preserve"> Bank</w:t>
      </w:r>
      <w:bookmarkEnd w:id="70"/>
      <w:bookmarkEnd w:id="71"/>
      <w:bookmarkEnd w:id="72"/>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74624" behindDoc="0" locked="0" layoutInCell="1" allowOverlap="1" wp14:anchorId="54AC8C3C" wp14:editId="7A8CC0E5">
            <wp:simplePos x="0" y="0"/>
            <wp:positionH relativeFrom="column">
              <wp:posOffset>1876425</wp:posOffset>
            </wp:positionH>
            <wp:positionV relativeFrom="paragraph">
              <wp:posOffset>167005</wp:posOffset>
            </wp:positionV>
            <wp:extent cx="2286000" cy="1828800"/>
            <wp:effectExtent l="0" t="0" r="19050" b="19050"/>
            <wp:wrapSquare wrapText="bothSides"/>
            <wp:docPr id="123" name="Chart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3600" behindDoc="0" locked="0" layoutInCell="1" allowOverlap="1" wp14:anchorId="04D10F00" wp14:editId="63392593">
            <wp:simplePos x="0" y="0"/>
            <wp:positionH relativeFrom="column">
              <wp:posOffset>-409575</wp:posOffset>
            </wp:positionH>
            <wp:positionV relativeFrom="paragraph">
              <wp:posOffset>162560</wp:posOffset>
            </wp:positionV>
            <wp:extent cx="2286000" cy="1828800"/>
            <wp:effectExtent l="0" t="0" r="19050" b="19050"/>
            <wp:wrapSquare wrapText="bothSides"/>
            <wp:docPr id="124" name="Chart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5648" behindDoc="0" locked="0" layoutInCell="1" allowOverlap="1" wp14:anchorId="2263698C" wp14:editId="5AD4DDF9">
            <wp:simplePos x="0" y="0"/>
            <wp:positionH relativeFrom="column">
              <wp:posOffset>4114800</wp:posOffset>
            </wp:positionH>
            <wp:positionV relativeFrom="paragraph">
              <wp:posOffset>162560</wp:posOffset>
            </wp:positionV>
            <wp:extent cx="2286000" cy="1828800"/>
            <wp:effectExtent l="0" t="0" r="19050" b="19050"/>
            <wp:wrapSquare wrapText="bothSides"/>
            <wp:docPr id="125" name="Chart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p>
    <w:p w:rsidR="004217CE" w:rsidRDefault="00AE459F" w:rsidP="00400BEC">
      <w:pPr>
        <w:pStyle w:val="Caption"/>
        <w:jc w:val="center"/>
        <w:rPr>
          <w:rFonts w:ascii="Times New Roman" w:hAnsi="Times New Roman" w:cs="Times New Roman"/>
          <w:color w:val="auto"/>
          <w:sz w:val="22"/>
          <w:szCs w:val="22"/>
        </w:rPr>
      </w:pPr>
      <w:bookmarkStart w:id="73" w:name="_Toc57290076"/>
      <w:bookmarkStart w:id="74" w:name="_Toc57290211"/>
      <w:bookmarkStart w:id="75" w:name="_Toc61651450"/>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7</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w:t>
      </w:r>
      <w:proofErr w:type="spellStart"/>
      <w:r w:rsidRPr="00400BEC">
        <w:rPr>
          <w:rFonts w:ascii="Times New Roman" w:hAnsi="Times New Roman" w:cs="Times New Roman"/>
          <w:color w:val="auto"/>
          <w:sz w:val="22"/>
          <w:szCs w:val="22"/>
        </w:rPr>
        <w:t>Brac</w:t>
      </w:r>
      <w:proofErr w:type="spellEnd"/>
      <w:r w:rsidRPr="00400BEC">
        <w:rPr>
          <w:rFonts w:ascii="Times New Roman" w:hAnsi="Times New Roman" w:cs="Times New Roman"/>
          <w:color w:val="auto"/>
          <w:sz w:val="22"/>
          <w:szCs w:val="22"/>
        </w:rPr>
        <w:t xml:space="preserve"> Bank</w:t>
      </w:r>
      <w:bookmarkEnd w:id="73"/>
      <w:bookmarkEnd w:id="74"/>
      <w:bookmarkEnd w:id="75"/>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0.39%</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0.28%</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-0.41%</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-0.93%</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0.20%</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-0.27%</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-0.66%</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0.49%</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-1.61%</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0.88%</w:t>
            </w:r>
          </w:p>
        </w:tc>
      </w:tr>
      <w:tr w:rsidR="004217CE" w:rsidTr="004217CE">
        <w:trPr>
          <w:trHeight w:val="323"/>
          <w:jc w:val="center"/>
        </w:trPr>
        <w:tc>
          <w:tcPr>
            <w:tcW w:w="1363" w:type="dxa"/>
            <w:tcBorders>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bottom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-0.31%</w:t>
            </w:r>
          </w:p>
        </w:tc>
      </w:tr>
    </w:tbl>
    <w:p w:rsidR="004217CE" w:rsidRPr="005D16C7" w:rsidRDefault="003F10CA" w:rsidP="005D16C7">
      <w:pPr>
        <w:pStyle w:val="Caption"/>
        <w:jc w:val="center"/>
        <w:rPr>
          <w:rFonts w:ascii="Times New Roman" w:hAnsi="Times New Roman" w:cs="Times New Roman"/>
          <w:color w:val="auto"/>
          <w:sz w:val="22"/>
          <w:szCs w:val="22"/>
        </w:rPr>
      </w:pPr>
      <w:bookmarkStart w:id="76" w:name="_Toc61651514"/>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11</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400BEC">
        <w:rPr>
          <w:rFonts w:ascii="Times New Roman" w:hAnsi="Times New Roman" w:cs="Times New Roman"/>
          <w:color w:val="auto"/>
          <w:sz w:val="22"/>
          <w:szCs w:val="22"/>
        </w:rPr>
        <w:t>Brac</w:t>
      </w:r>
      <w:proofErr w:type="spellEnd"/>
      <w:r w:rsidR="005D16C7" w:rsidRPr="00400BEC">
        <w:rPr>
          <w:rFonts w:ascii="Times New Roman" w:hAnsi="Times New Roman" w:cs="Times New Roman"/>
          <w:color w:val="auto"/>
          <w:sz w:val="22"/>
          <w:szCs w:val="22"/>
        </w:rPr>
        <w:t xml:space="preserve"> Bank</w:t>
      </w:r>
      <w:bookmarkEnd w:id="76"/>
    </w:p>
    <w:p w:rsidR="003F10CA" w:rsidRDefault="004217CE" w:rsidP="004217CE">
      <w:pPr>
        <w:pStyle w:val="Caption"/>
        <w:jc w:val="center"/>
        <w:rPr>
          <w:b w:val="0"/>
        </w:rPr>
      </w:pPr>
      <w:r>
        <w:rPr>
          <w:noProof/>
        </w:rPr>
        <w:drawing>
          <wp:inline distT="0" distB="0" distL="0" distR="0" wp14:anchorId="3354898D" wp14:editId="4D2DB5DF">
            <wp:extent cx="5486400" cy="32004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C07F3D" w:rsidRDefault="003F10CA" w:rsidP="005D16C7">
      <w:pPr>
        <w:pStyle w:val="Caption"/>
        <w:jc w:val="center"/>
        <w:rPr>
          <w:rFonts w:ascii="Times New Roman" w:hAnsi="Times New Roman" w:cs="Times New Roman"/>
          <w:color w:val="auto"/>
          <w:sz w:val="22"/>
          <w:szCs w:val="22"/>
        </w:rPr>
      </w:pPr>
      <w:bookmarkStart w:id="77" w:name="_Toc61651451"/>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8</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400BEC">
        <w:rPr>
          <w:rFonts w:ascii="Times New Roman" w:hAnsi="Times New Roman" w:cs="Times New Roman"/>
          <w:color w:val="auto"/>
          <w:sz w:val="22"/>
          <w:szCs w:val="22"/>
        </w:rPr>
        <w:t>Brac</w:t>
      </w:r>
      <w:proofErr w:type="spellEnd"/>
      <w:r w:rsidR="005D16C7" w:rsidRPr="00400BEC">
        <w:rPr>
          <w:rFonts w:ascii="Times New Roman" w:hAnsi="Times New Roman" w:cs="Times New Roman"/>
          <w:color w:val="auto"/>
          <w:sz w:val="22"/>
          <w:szCs w:val="22"/>
        </w:rPr>
        <w:t xml:space="preserve"> Bank</w:t>
      </w:r>
      <w:bookmarkEnd w:id="77"/>
      <w:r w:rsidR="005D16C7" w:rsidRPr="005D16C7">
        <w:rPr>
          <w:rFonts w:ascii="Times New Roman" w:hAnsi="Times New Roman" w:cs="Times New Roman"/>
          <w:color w:val="auto"/>
          <w:sz w:val="22"/>
          <w:szCs w:val="22"/>
        </w:rPr>
        <w:t xml:space="preserve"> </w:t>
      </w:r>
    </w:p>
    <w:p w:rsidR="00C07F3D" w:rsidRDefault="00C07F3D" w:rsidP="00C07F3D">
      <w:pPr>
        <w:pStyle w:val="Caption"/>
        <w:jc w:val="both"/>
        <w:rPr>
          <w:rFonts w:ascii="Times New Roman" w:hAnsi="Times New Roman" w:cs="Times New Roman"/>
          <w:color w:val="auto"/>
          <w:sz w:val="22"/>
          <w:szCs w:val="22"/>
        </w:rPr>
      </w:pPr>
    </w:p>
    <w:p w:rsidR="008A307A" w:rsidRPr="005D16C7" w:rsidRDefault="00C07F3D" w:rsidP="00C07F3D">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sidRPr="005D16C7">
        <w:rPr>
          <w:rFonts w:ascii="Times New Roman" w:hAnsi="Times New Roman" w:cs="Times New Roman"/>
          <w:color w:val="auto"/>
          <w:sz w:val="22"/>
          <w:szCs w:val="22"/>
        </w:rPr>
        <w:br w:type="page"/>
      </w:r>
    </w:p>
    <w:p w:rsidR="008A307A" w:rsidRPr="005B6886" w:rsidRDefault="008A307A" w:rsidP="005B6886">
      <w:pPr>
        <w:pStyle w:val="Heading2"/>
        <w:rPr>
          <w:rFonts w:eastAsia="Times New Roman" w:cs="Times New Roman"/>
          <w:szCs w:val="28"/>
        </w:rPr>
      </w:pPr>
      <w:bookmarkStart w:id="78" w:name="_Toc62037717"/>
      <w:r w:rsidRPr="005B6886">
        <w:rPr>
          <w:rFonts w:eastAsia="Times New Roman" w:cs="Times New Roman"/>
          <w:szCs w:val="28"/>
        </w:rPr>
        <w:lastRenderedPageBreak/>
        <w:t>City Bank:</w:t>
      </w:r>
      <w:bookmarkEnd w:id="78"/>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5B6886" w:rsidRDefault="008A307A" w:rsidP="00DB7269">
      <w:pPr>
        <w:spacing w:after="0" w:line="360" w:lineRule="auto"/>
        <w:ind w:left="360"/>
        <w:jc w:val="both"/>
        <w:rPr>
          <w:rFonts w:ascii="Times New Roman" w:hAnsi="Times New Roman" w:cs="Times New Roman"/>
          <w:sz w:val="24"/>
          <w:szCs w:val="24"/>
        </w:rPr>
      </w:pPr>
      <w:r w:rsidRPr="005B6886">
        <w:rPr>
          <w:rFonts w:ascii="Times New Roman" w:hAnsi="Times New Roman" w:cs="Times New Roman"/>
          <w:sz w:val="24"/>
          <w:szCs w:val="24"/>
        </w:rPr>
        <w:t>Both the table and graph of rate of return and absolute return show the same value. For City Bank the value for 2017 is 58.77, 2018 is -25.40 and 2019 is -32.24. It means return for 2017 is positive and both years 2018 are negative. On the other hand the holding period return show the return parentage for 2017 is 2.99, 2018 is 1.56 and 2019 is 0.25. That indicates positive return for the all the three year 2017, 2018 and 2019.</w:t>
      </w:r>
    </w:p>
    <w:p w:rsidR="008A307A" w:rsidRPr="00977D58"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5B688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BA515A" w:rsidRDefault="008A307A" w:rsidP="008A307A">
            <w:pPr>
              <w:spacing w:line="288" w:lineRule="auto"/>
              <w:jc w:val="center"/>
              <w:rPr>
                <w:rFonts w:ascii="Times New Roman" w:hAnsi="Times New Roman" w:cs="Times New Roman"/>
                <w:color w:val="FFFFFF" w:themeColor="background1"/>
              </w:rPr>
            </w:pPr>
            <w:r w:rsidRPr="00BA515A">
              <w:rPr>
                <w:rFonts w:ascii="Times New Roman" w:hAnsi="Times New Roman" w:cs="Times New Roman"/>
                <w:color w:val="FFFFFF" w:themeColor="background1"/>
              </w:rPr>
              <w:t>58.77</w:t>
            </w:r>
          </w:p>
        </w:tc>
        <w:tc>
          <w:tcPr>
            <w:tcW w:w="1226" w:type="dxa"/>
            <w:tcBorders>
              <w:top w:val="single" w:sz="6" w:space="0" w:color="FFFFFF" w:themeColor="background1"/>
            </w:tcBorders>
            <w:shd w:val="clear" w:color="auto" w:fill="943634" w:themeFill="accent2" w:themeFillShade="BF"/>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-25.40</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-32.24</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2.99</w:t>
            </w:r>
          </w:p>
        </w:tc>
        <w:tc>
          <w:tcPr>
            <w:tcW w:w="1226" w:type="dxa"/>
            <w:tcBorders>
              <w:top w:val="single" w:sz="6" w:space="0" w:color="FFFFFF" w:themeColor="background1"/>
            </w:tcBorders>
            <w:shd w:val="clear" w:color="auto" w:fill="5F497A" w:themeFill="accent4" w:themeFillShade="BF"/>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1.56</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0.25</w:t>
            </w:r>
          </w:p>
        </w:tc>
        <w:tc>
          <w:tcPr>
            <w:tcW w:w="1226" w:type="dxa"/>
            <w:tcBorders>
              <w:top w:val="single" w:sz="6" w:space="0" w:color="FFFFFF" w:themeColor="background1"/>
              <w:left w:val="single" w:sz="6" w:space="0" w:color="FFFFFF" w:themeColor="background1"/>
            </w:tcBorders>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58.77</w:t>
            </w:r>
          </w:p>
        </w:tc>
        <w:tc>
          <w:tcPr>
            <w:tcW w:w="1226" w:type="dxa"/>
            <w:tcBorders>
              <w:top w:val="single" w:sz="6" w:space="0" w:color="FFFFFF" w:themeColor="background1"/>
            </w:tcBorders>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-25.40</w:t>
            </w:r>
          </w:p>
        </w:tc>
        <w:tc>
          <w:tcPr>
            <w:tcW w:w="921" w:type="dxa"/>
            <w:tcBorders>
              <w:top w:val="single" w:sz="6" w:space="0" w:color="FFFFFF" w:themeColor="background1"/>
            </w:tcBorders>
            <w:vAlign w:val="center"/>
          </w:tcPr>
          <w:p w:rsidR="008A307A" w:rsidRPr="00BA51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BA515A">
              <w:rPr>
                <w:rFonts w:ascii="Times New Roman" w:hAnsi="Times New Roman" w:cs="Times New Roman"/>
                <w:b/>
                <w:color w:val="FFFFFF" w:themeColor="background1"/>
              </w:rPr>
              <w:t>-32.24</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AE459F" w:rsidP="00400BEC">
      <w:pPr>
        <w:pStyle w:val="Caption"/>
        <w:jc w:val="center"/>
        <w:rPr>
          <w:rFonts w:ascii="Times New Roman" w:hAnsi="Times New Roman" w:cs="Times New Roman"/>
          <w:color w:val="auto"/>
          <w:sz w:val="22"/>
          <w:szCs w:val="22"/>
        </w:rPr>
      </w:pPr>
      <w:bookmarkStart w:id="79" w:name="_Toc57290047"/>
      <w:bookmarkStart w:id="80" w:name="_Toc57290368"/>
      <w:bookmarkStart w:id="81" w:name="_Toc61651515"/>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12</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City Bank</w:t>
      </w:r>
      <w:bookmarkEnd w:id="79"/>
      <w:bookmarkEnd w:id="80"/>
      <w:bookmarkEnd w:id="81"/>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77696" behindDoc="0" locked="0" layoutInCell="1" allowOverlap="1" wp14:anchorId="6DA70912" wp14:editId="3C13E84F">
            <wp:simplePos x="0" y="0"/>
            <wp:positionH relativeFrom="column">
              <wp:posOffset>1876425</wp:posOffset>
            </wp:positionH>
            <wp:positionV relativeFrom="paragraph">
              <wp:posOffset>167005</wp:posOffset>
            </wp:positionV>
            <wp:extent cx="2286000" cy="1828800"/>
            <wp:effectExtent l="0" t="0" r="19050" b="19050"/>
            <wp:wrapSquare wrapText="bothSides"/>
            <wp:docPr id="126" name="Chart 1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6672" behindDoc="0" locked="0" layoutInCell="1" allowOverlap="1" wp14:anchorId="62C3E069" wp14:editId="0F850173">
            <wp:simplePos x="0" y="0"/>
            <wp:positionH relativeFrom="column">
              <wp:posOffset>-409575</wp:posOffset>
            </wp:positionH>
            <wp:positionV relativeFrom="paragraph">
              <wp:posOffset>162560</wp:posOffset>
            </wp:positionV>
            <wp:extent cx="2286000" cy="1828800"/>
            <wp:effectExtent l="0" t="0" r="19050" b="19050"/>
            <wp:wrapSquare wrapText="bothSides"/>
            <wp:docPr id="127" name="Chart 1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8720" behindDoc="0" locked="0" layoutInCell="1" allowOverlap="1" wp14:anchorId="7C95626E" wp14:editId="09EE0502">
            <wp:simplePos x="0" y="0"/>
            <wp:positionH relativeFrom="column">
              <wp:posOffset>4114800</wp:posOffset>
            </wp:positionH>
            <wp:positionV relativeFrom="paragraph">
              <wp:posOffset>162560</wp:posOffset>
            </wp:positionV>
            <wp:extent cx="2286000" cy="1828800"/>
            <wp:effectExtent l="0" t="0" r="19050" b="19050"/>
            <wp:wrapSquare wrapText="bothSides"/>
            <wp:docPr id="128" name="Chart 1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p>
    <w:p w:rsidR="004217CE" w:rsidRDefault="00AE459F" w:rsidP="00400BEC">
      <w:pPr>
        <w:pStyle w:val="Caption"/>
        <w:jc w:val="center"/>
        <w:rPr>
          <w:rFonts w:ascii="Times New Roman" w:hAnsi="Times New Roman" w:cs="Times New Roman"/>
          <w:color w:val="auto"/>
          <w:sz w:val="22"/>
          <w:szCs w:val="22"/>
        </w:rPr>
      </w:pPr>
      <w:bookmarkStart w:id="82" w:name="_Toc57290077"/>
      <w:bookmarkStart w:id="83" w:name="_Toc57290212"/>
      <w:bookmarkStart w:id="84" w:name="_Toc61651452"/>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9</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City Bank</w:t>
      </w:r>
      <w:bookmarkEnd w:id="82"/>
      <w:bookmarkEnd w:id="83"/>
      <w:bookmarkEnd w:id="84"/>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0.50%</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-0.85%</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-0.71%</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-0.29%</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0.72%</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0.12%</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-0.46%</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-0.65%</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-0.76%</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0.15%</w:t>
            </w:r>
          </w:p>
        </w:tc>
      </w:tr>
      <w:tr w:rsidR="004217CE" w:rsidTr="004217CE">
        <w:trPr>
          <w:trHeight w:val="323"/>
          <w:jc w:val="center"/>
        </w:trPr>
        <w:tc>
          <w:tcPr>
            <w:tcW w:w="1363" w:type="dxa"/>
            <w:tcBorders>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bottom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-0.86%</w:t>
            </w:r>
          </w:p>
        </w:tc>
      </w:tr>
    </w:tbl>
    <w:p w:rsidR="004217CE" w:rsidRPr="005D16C7" w:rsidRDefault="003F10CA" w:rsidP="005D16C7">
      <w:pPr>
        <w:pStyle w:val="Caption"/>
        <w:jc w:val="center"/>
        <w:rPr>
          <w:rFonts w:ascii="Times New Roman" w:hAnsi="Times New Roman" w:cs="Times New Roman"/>
          <w:color w:val="auto"/>
          <w:sz w:val="22"/>
          <w:szCs w:val="22"/>
        </w:rPr>
      </w:pPr>
      <w:bookmarkStart w:id="85" w:name="_Toc61651516"/>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13</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City Bank</w:t>
      </w:r>
      <w:bookmarkEnd w:id="85"/>
    </w:p>
    <w:p w:rsidR="004217CE" w:rsidRDefault="004217CE" w:rsidP="004217CE">
      <w:pPr>
        <w:jc w:val="center"/>
      </w:pPr>
      <w:r>
        <w:rPr>
          <w:noProof/>
        </w:rPr>
        <w:drawing>
          <wp:inline distT="0" distB="0" distL="0" distR="0" wp14:anchorId="0B42D88C" wp14:editId="1E7A3CE4">
            <wp:extent cx="5486400" cy="32004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F10CA" w:rsidRDefault="003F10CA" w:rsidP="005D16C7">
      <w:pPr>
        <w:pStyle w:val="Caption"/>
        <w:jc w:val="center"/>
        <w:rPr>
          <w:rFonts w:ascii="Times New Roman" w:hAnsi="Times New Roman" w:cs="Times New Roman"/>
          <w:color w:val="auto"/>
          <w:sz w:val="22"/>
          <w:szCs w:val="22"/>
        </w:rPr>
      </w:pPr>
      <w:bookmarkStart w:id="86" w:name="_Toc61651453"/>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10</w:t>
      </w:r>
      <w:r w:rsidRPr="005D16C7">
        <w:rPr>
          <w:rFonts w:ascii="Times New Roman" w:hAnsi="Times New Roman" w:cs="Times New Roman"/>
          <w:color w:val="auto"/>
          <w:sz w:val="22"/>
          <w:szCs w:val="22"/>
        </w:rPr>
        <w:fldChar w:fldCharType="end"/>
      </w:r>
      <w:r w:rsidR="005D16C7" w:rsidRPr="005D16C7">
        <w:rPr>
          <w:rFonts w:ascii="Times New Roman" w:hAnsi="Times New Roman" w:cs="Times New Roman"/>
          <w:color w:val="auto"/>
          <w:sz w:val="22"/>
          <w:szCs w:val="22"/>
        </w:rPr>
        <w:t>: Compound</w:t>
      </w:r>
      <w:r w:rsidRPr="005D16C7">
        <w:rPr>
          <w:rFonts w:ascii="Times New Roman" w:hAnsi="Times New Roman" w:cs="Times New Roman"/>
          <w:color w:val="auto"/>
          <w:sz w:val="22"/>
          <w:szCs w:val="22"/>
        </w:rPr>
        <w:t xml:space="preserve"> Monthly Growth rate of</w:t>
      </w:r>
      <w:r w:rsid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City Bank</w:t>
      </w:r>
      <w:bookmarkEnd w:id="86"/>
    </w:p>
    <w:p w:rsidR="00C07F3D" w:rsidRDefault="00C07F3D" w:rsidP="00C07F3D"/>
    <w:p w:rsidR="00C07F3D" w:rsidRPr="00C07F3D" w:rsidRDefault="00C07F3D" w:rsidP="00C07F3D">
      <w:pPr>
        <w:spacing w:line="360" w:lineRule="auto"/>
        <w:jc w:val="both"/>
      </w:pPr>
      <w:r w:rsidRPr="00C07F3D">
        <w:rPr>
          <w:rFonts w:ascii="Times New Roman" w:hAnsi="Times New Roman" w:cs="Times New Roman"/>
          <w:sz w:val="24"/>
          <w:szCs w:val="24"/>
        </w:rPr>
        <w:t>After 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w:t>
      </w:r>
    </w:p>
    <w:p w:rsidR="008A307A" w:rsidRDefault="008A307A" w:rsidP="00400BEC">
      <w:pPr>
        <w:pStyle w:val="Caption"/>
        <w:jc w:val="center"/>
        <w:rPr>
          <w:b w:val="0"/>
        </w:rPr>
      </w:pPr>
      <w:r>
        <w:rPr>
          <w:b w:val="0"/>
        </w:rPr>
        <w:lastRenderedPageBreak/>
        <w:br w:type="page"/>
      </w:r>
    </w:p>
    <w:p w:rsidR="008A307A" w:rsidRPr="0023061F" w:rsidRDefault="008A307A" w:rsidP="0023061F">
      <w:pPr>
        <w:pStyle w:val="Heading2"/>
        <w:rPr>
          <w:rFonts w:eastAsia="Times New Roman" w:cs="Times New Roman"/>
          <w:szCs w:val="28"/>
        </w:rPr>
      </w:pPr>
      <w:bookmarkStart w:id="87" w:name="_Toc62037718"/>
      <w:r w:rsidRPr="0023061F">
        <w:rPr>
          <w:rFonts w:eastAsia="Times New Roman" w:cs="Times New Roman"/>
          <w:szCs w:val="28"/>
        </w:rPr>
        <w:lastRenderedPageBreak/>
        <w:t>Dhaka Bank:</w:t>
      </w:r>
      <w:bookmarkEnd w:id="87"/>
      <w:r w:rsidRPr="0023061F">
        <w:rPr>
          <w:rFonts w:eastAsia="Times New Roman" w:cs="Times New Roman"/>
          <w:szCs w:val="28"/>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Dhaka Bank the value for 2017 is 13.28, 2018 is -16.80 and 2019 is -26.31. It means return for 2017 is positive and both years 2018 and 2019 are negative. On the other hand the holding period return show the return parentage for 2017 is 0.98, 2018 is -0.17 and 2019 is 0.22. That indicates positive return for the year 2017 and 2019. But the year 2018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23061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3D531E" w:rsidRDefault="008A307A" w:rsidP="008A307A">
            <w:pPr>
              <w:spacing w:line="288" w:lineRule="auto"/>
              <w:jc w:val="center"/>
              <w:rPr>
                <w:rFonts w:ascii="Times New Roman" w:hAnsi="Times New Roman" w:cs="Times New Roman"/>
                <w:color w:val="FFFFFF" w:themeColor="background1"/>
              </w:rPr>
            </w:pPr>
            <w:r w:rsidRPr="003D531E">
              <w:rPr>
                <w:rFonts w:ascii="Times New Roman" w:hAnsi="Times New Roman" w:cs="Times New Roman"/>
                <w:color w:val="FFFFFF" w:themeColor="background1"/>
              </w:rPr>
              <w:t>13.28</w:t>
            </w:r>
          </w:p>
        </w:tc>
        <w:tc>
          <w:tcPr>
            <w:tcW w:w="1226" w:type="dxa"/>
            <w:tcBorders>
              <w:top w:val="single" w:sz="6" w:space="0" w:color="FFFFFF" w:themeColor="background1"/>
            </w:tcBorders>
            <w:shd w:val="clear" w:color="auto" w:fill="943634" w:themeFill="accent2" w:themeFillShade="BF"/>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-16.80</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-26.31</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0.98</w:t>
            </w:r>
          </w:p>
        </w:tc>
        <w:tc>
          <w:tcPr>
            <w:tcW w:w="1226" w:type="dxa"/>
            <w:tcBorders>
              <w:top w:val="single" w:sz="6" w:space="0" w:color="FFFFFF" w:themeColor="background1"/>
            </w:tcBorders>
            <w:shd w:val="clear" w:color="auto" w:fill="5F497A" w:themeFill="accent4" w:themeFillShade="BF"/>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-0.17</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0.22</w:t>
            </w:r>
          </w:p>
        </w:tc>
        <w:tc>
          <w:tcPr>
            <w:tcW w:w="1226" w:type="dxa"/>
            <w:tcBorders>
              <w:top w:val="single" w:sz="6" w:space="0" w:color="FFFFFF" w:themeColor="background1"/>
              <w:left w:val="single" w:sz="6" w:space="0" w:color="FFFFFF" w:themeColor="background1"/>
            </w:tcBorders>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13.28</w:t>
            </w:r>
          </w:p>
        </w:tc>
        <w:tc>
          <w:tcPr>
            <w:tcW w:w="1226" w:type="dxa"/>
            <w:tcBorders>
              <w:top w:val="single" w:sz="6" w:space="0" w:color="FFFFFF" w:themeColor="background1"/>
            </w:tcBorders>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-16.80</w:t>
            </w:r>
          </w:p>
        </w:tc>
        <w:tc>
          <w:tcPr>
            <w:tcW w:w="921" w:type="dxa"/>
            <w:tcBorders>
              <w:top w:val="single" w:sz="6" w:space="0" w:color="FFFFFF" w:themeColor="background1"/>
            </w:tcBorders>
            <w:vAlign w:val="center"/>
          </w:tcPr>
          <w:p w:rsidR="008A307A" w:rsidRPr="003D531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3D531E">
              <w:rPr>
                <w:rFonts w:ascii="Times New Roman" w:hAnsi="Times New Roman" w:cs="Times New Roman"/>
                <w:b/>
                <w:color w:val="FFFFFF" w:themeColor="background1"/>
              </w:rPr>
              <w:t>-26.31</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AE459F" w:rsidP="00400BEC">
      <w:pPr>
        <w:pStyle w:val="Caption"/>
        <w:jc w:val="center"/>
        <w:rPr>
          <w:rFonts w:ascii="Times New Roman" w:hAnsi="Times New Roman" w:cs="Times New Roman"/>
          <w:color w:val="auto"/>
          <w:sz w:val="22"/>
          <w:szCs w:val="22"/>
        </w:rPr>
      </w:pPr>
      <w:bookmarkStart w:id="88" w:name="_Toc57290048"/>
      <w:bookmarkStart w:id="89" w:name="_Toc57290369"/>
      <w:bookmarkStart w:id="90" w:name="_Toc61651517"/>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14</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Dhaka Bank</w:t>
      </w:r>
      <w:bookmarkEnd w:id="88"/>
      <w:bookmarkEnd w:id="89"/>
      <w:bookmarkEnd w:id="90"/>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80768" behindDoc="0" locked="0" layoutInCell="1" allowOverlap="1" wp14:anchorId="527EBBFC" wp14:editId="62FEA57C">
            <wp:simplePos x="0" y="0"/>
            <wp:positionH relativeFrom="column">
              <wp:posOffset>1876425</wp:posOffset>
            </wp:positionH>
            <wp:positionV relativeFrom="paragraph">
              <wp:posOffset>167005</wp:posOffset>
            </wp:positionV>
            <wp:extent cx="2286000" cy="1828800"/>
            <wp:effectExtent l="0" t="0" r="19050" b="19050"/>
            <wp:wrapSquare wrapText="bothSides"/>
            <wp:docPr id="129" name="Chart 1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9744" behindDoc="0" locked="0" layoutInCell="1" allowOverlap="1" wp14:anchorId="5E1F7850" wp14:editId="78576EF9">
            <wp:simplePos x="0" y="0"/>
            <wp:positionH relativeFrom="column">
              <wp:posOffset>-409575</wp:posOffset>
            </wp:positionH>
            <wp:positionV relativeFrom="paragraph">
              <wp:posOffset>162560</wp:posOffset>
            </wp:positionV>
            <wp:extent cx="2286000" cy="1828800"/>
            <wp:effectExtent l="0" t="0" r="19050" b="19050"/>
            <wp:wrapSquare wrapText="bothSides"/>
            <wp:docPr id="130" name="Chart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1792" behindDoc="0" locked="0" layoutInCell="1" allowOverlap="1" wp14:anchorId="4D494576" wp14:editId="0EFA9537">
            <wp:simplePos x="0" y="0"/>
            <wp:positionH relativeFrom="column">
              <wp:posOffset>4114800</wp:posOffset>
            </wp:positionH>
            <wp:positionV relativeFrom="paragraph">
              <wp:posOffset>162560</wp:posOffset>
            </wp:positionV>
            <wp:extent cx="2286000" cy="1828800"/>
            <wp:effectExtent l="0" t="0" r="19050" b="19050"/>
            <wp:wrapSquare wrapText="bothSides"/>
            <wp:docPr id="131" name="Chart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p>
    <w:p w:rsidR="004217CE" w:rsidRDefault="00AE459F" w:rsidP="00400BEC">
      <w:pPr>
        <w:pStyle w:val="Caption"/>
        <w:jc w:val="center"/>
        <w:rPr>
          <w:rFonts w:ascii="Times New Roman" w:hAnsi="Times New Roman" w:cs="Times New Roman"/>
          <w:color w:val="auto"/>
          <w:sz w:val="22"/>
          <w:szCs w:val="22"/>
        </w:rPr>
      </w:pPr>
      <w:bookmarkStart w:id="91" w:name="_Toc57290078"/>
      <w:bookmarkStart w:id="92" w:name="_Toc57290213"/>
      <w:bookmarkStart w:id="93" w:name="_Toc61651454"/>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11</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Dhaka Bank</w:t>
      </w:r>
      <w:bookmarkEnd w:id="91"/>
      <w:bookmarkEnd w:id="92"/>
      <w:bookmarkEnd w:id="93"/>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top w:val="single" w:sz="24" w:space="0" w:color="76923C" w:themeColor="accent3" w:themeShade="BF"/>
              <w:left w:val="single" w:sz="24" w:space="0" w:color="76923C" w:themeColor="accent3" w:themeShade="BF"/>
              <w:bottom w:val="single" w:sz="18"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18"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1.39%</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-0.50%</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-0.87%</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-0.24%</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0.99%</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-0.76%</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-0.06%</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-0.45%</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0.13%</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-0.07%</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-0.20%</w:t>
            </w:r>
          </w:p>
        </w:tc>
      </w:tr>
      <w:tr w:rsidR="004217CE" w:rsidTr="004217CE">
        <w:trPr>
          <w:trHeight w:val="323"/>
          <w:jc w:val="center"/>
        </w:trPr>
        <w:tc>
          <w:tcPr>
            <w:tcW w:w="1363" w:type="dxa"/>
            <w:tcBorders>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bottom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-0.34%</w:t>
            </w:r>
          </w:p>
        </w:tc>
      </w:tr>
    </w:tbl>
    <w:p w:rsidR="004217CE" w:rsidRPr="005D16C7" w:rsidRDefault="003F10CA" w:rsidP="005D16C7">
      <w:pPr>
        <w:pStyle w:val="Caption"/>
        <w:jc w:val="center"/>
        <w:rPr>
          <w:rFonts w:ascii="Times New Roman" w:hAnsi="Times New Roman" w:cs="Times New Roman"/>
          <w:color w:val="auto"/>
          <w:sz w:val="22"/>
          <w:szCs w:val="22"/>
        </w:rPr>
      </w:pPr>
      <w:bookmarkStart w:id="94" w:name="_Toc61651518"/>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15</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Dhaka Bank</w:t>
      </w:r>
      <w:bookmarkEnd w:id="94"/>
    </w:p>
    <w:p w:rsidR="003F10CA" w:rsidRDefault="004217CE" w:rsidP="004217CE">
      <w:pPr>
        <w:pStyle w:val="Caption"/>
        <w:jc w:val="center"/>
        <w:rPr>
          <w:b w:val="0"/>
        </w:rPr>
      </w:pPr>
      <w:r>
        <w:rPr>
          <w:noProof/>
        </w:rPr>
        <w:drawing>
          <wp:inline distT="0" distB="0" distL="0" distR="0" wp14:anchorId="3E3B0E30" wp14:editId="7A9C0B8B">
            <wp:extent cx="5486400" cy="3200400"/>
            <wp:effectExtent l="0" t="0" r="1905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90CF7" w:rsidRDefault="003F10CA" w:rsidP="005D16C7">
      <w:pPr>
        <w:pStyle w:val="Caption"/>
        <w:jc w:val="center"/>
        <w:rPr>
          <w:b w:val="0"/>
        </w:rPr>
      </w:pPr>
      <w:bookmarkStart w:id="95" w:name="_Toc61651455"/>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12</w:t>
      </w:r>
      <w:r w:rsidRPr="005D16C7">
        <w:rPr>
          <w:rFonts w:ascii="Times New Roman" w:hAnsi="Times New Roman" w:cs="Times New Roman"/>
          <w:color w:val="auto"/>
          <w:sz w:val="22"/>
          <w:szCs w:val="22"/>
        </w:rPr>
        <w:fldChar w:fldCharType="end"/>
      </w:r>
      <w:r w:rsidR="005D16C7" w:rsidRPr="005D16C7">
        <w:rPr>
          <w:rFonts w:ascii="Times New Roman" w:hAnsi="Times New Roman" w:cs="Times New Roman"/>
          <w:color w:val="auto"/>
          <w:sz w:val="22"/>
          <w:szCs w:val="22"/>
        </w:rPr>
        <w:t>: Compound</w:t>
      </w:r>
      <w:r w:rsidRPr="005D16C7">
        <w:rPr>
          <w:rFonts w:ascii="Times New Roman" w:hAnsi="Times New Roman" w:cs="Times New Roman"/>
          <w:color w:val="auto"/>
          <w:sz w:val="22"/>
          <w:szCs w:val="22"/>
        </w:rPr>
        <w:t xml:space="preserve">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Dhaka Bank</w:t>
      </w:r>
      <w:bookmarkEnd w:id="95"/>
      <w:r w:rsidR="005D16C7">
        <w:rPr>
          <w:b w:val="0"/>
        </w:rPr>
        <w:t xml:space="preserve"> </w:t>
      </w:r>
    </w:p>
    <w:p w:rsidR="00190CF7" w:rsidRDefault="00190CF7" w:rsidP="005D16C7">
      <w:pPr>
        <w:pStyle w:val="Caption"/>
        <w:jc w:val="center"/>
        <w:rPr>
          <w:b w:val="0"/>
        </w:rPr>
      </w:pPr>
    </w:p>
    <w:p w:rsidR="008A307A" w:rsidRDefault="00190CF7" w:rsidP="00190CF7">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Pr="0023061F" w:rsidRDefault="008A307A" w:rsidP="0023061F">
      <w:pPr>
        <w:pStyle w:val="Heading2"/>
        <w:rPr>
          <w:rFonts w:eastAsia="Times New Roman" w:cs="Times New Roman"/>
          <w:szCs w:val="28"/>
        </w:rPr>
      </w:pPr>
      <w:bookmarkStart w:id="96" w:name="_Toc62037719"/>
      <w:r w:rsidRPr="0023061F">
        <w:rPr>
          <w:rFonts w:eastAsia="Times New Roman" w:cs="Times New Roman"/>
          <w:szCs w:val="28"/>
        </w:rPr>
        <w:lastRenderedPageBreak/>
        <w:t>Dutch-Bangla Bank:</w:t>
      </w:r>
      <w:bookmarkEnd w:id="96"/>
      <w:r w:rsidRPr="0023061F">
        <w:rPr>
          <w:rFonts w:eastAsia="Times New Roman" w:cs="Times New Roman"/>
          <w:szCs w:val="28"/>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8A307A">
      <w:pPr>
        <w:spacing w:after="0" w:line="288"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Dutch-Bangla Bank the value for 2017 is 28.87, 2018 4.41 and 2019 is 19.55. It means return for 2017, 2018 and 2019 is positive. On the other hand the holding period return show the return parentage for 2017 is 3.29, 2018 is 1.24 and 2019 is 0.20. That indicates positive return for all the three the year 2017, 2018 and 2019.</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23061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FB75CF" w:rsidRDefault="008A307A" w:rsidP="008A307A">
            <w:pPr>
              <w:spacing w:line="288" w:lineRule="auto"/>
              <w:jc w:val="center"/>
              <w:rPr>
                <w:rFonts w:ascii="Times New Roman" w:hAnsi="Times New Roman" w:cs="Times New Roman"/>
                <w:color w:val="FFFFFF" w:themeColor="background1"/>
              </w:rPr>
            </w:pPr>
            <w:r w:rsidRPr="00FB75CF">
              <w:rPr>
                <w:rFonts w:ascii="Times New Roman" w:hAnsi="Times New Roman" w:cs="Times New Roman"/>
                <w:color w:val="FFFFFF" w:themeColor="background1"/>
              </w:rPr>
              <w:t>28.87</w:t>
            </w:r>
          </w:p>
        </w:tc>
        <w:tc>
          <w:tcPr>
            <w:tcW w:w="1226" w:type="dxa"/>
            <w:tcBorders>
              <w:top w:val="single" w:sz="6" w:space="0" w:color="FFFFFF" w:themeColor="background1"/>
            </w:tcBorders>
            <w:shd w:val="clear" w:color="auto" w:fill="943634" w:themeFill="accent2" w:themeFillShade="BF"/>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4.41</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19.55</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3.29</w:t>
            </w:r>
          </w:p>
        </w:tc>
        <w:tc>
          <w:tcPr>
            <w:tcW w:w="1226" w:type="dxa"/>
            <w:tcBorders>
              <w:top w:val="single" w:sz="6" w:space="0" w:color="FFFFFF" w:themeColor="background1"/>
            </w:tcBorders>
            <w:shd w:val="clear" w:color="auto" w:fill="5F497A" w:themeFill="accent4" w:themeFillShade="BF"/>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1.24</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0.20</w:t>
            </w:r>
          </w:p>
        </w:tc>
        <w:tc>
          <w:tcPr>
            <w:tcW w:w="1226" w:type="dxa"/>
            <w:tcBorders>
              <w:top w:val="single" w:sz="6" w:space="0" w:color="FFFFFF" w:themeColor="background1"/>
              <w:left w:val="single" w:sz="6" w:space="0" w:color="FFFFFF" w:themeColor="background1"/>
            </w:tcBorders>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28.87</w:t>
            </w:r>
          </w:p>
        </w:tc>
        <w:tc>
          <w:tcPr>
            <w:tcW w:w="1226" w:type="dxa"/>
            <w:tcBorders>
              <w:top w:val="single" w:sz="6" w:space="0" w:color="FFFFFF" w:themeColor="background1"/>
            </w:tcBorders>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4.41</w:t>
            </w:r>
          </w:p>
        </w:tc>
        <w:tc>
          <w:tcPr>
            <w:tcW w:w="921" w:type="dxa"/>
            <w:tcBorders>
              <w:top w:val="single" w:sz="6" w:space="0" w:color="FFFFFF" w:themeColor="background1"/>
            </w:tcBorders>
            <w:vAlign w:val="center"/>
          </w:tcPr>
          <w:p w:rsidR="008A307A" w:rsidRPr="00FB75CF"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FB75CF">
              <w:rPr>
                <w:rFonts w:ascii="Times New Roman" w:hAnsi="Times New Roman" w:cs="Times New Roman"/>
                <w:b/>
                <w:color w:val="FFFFFF" w:themeColor="background1"/>
              </w:rPr>
              <w:t>19.55</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AE459F" w:rsidP="00400BEC">
      <w:pPr>
        <w:pStyle w:val="Caption"/>
        <w:jc w:val="center"/>
        <w:rPr>
          <w:rFonts w:ascii="Times New Roman" w:hAnsi="Times New Roman" w:cs="Times New Roman"/>
          <w:color w:val="auto"/>
          <w:sz w:val="22"/>
          <w:szCs w:val="22"/>
        </w:rPr>
      </w:pPr>
      <w:bookmarkStart w:id="97" w:name="_Toc57290049"/>
      <w:bookmarkStart w:id="98" w:name="_Toc57290370"/>
      <w:bookmarkStart w:id="99" w:name="_Toc61651519"/>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16</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w:t>
      </w:r>
      <w:proofErr w:type="spellStart"/>
      <w:r w:rsidRPr="00400BEC">
        <w:rPr>
          <w:rFonts w:ascii="Times New Roman" w:hAnsi="Times New Roman" w:cs="Times New Roman"/>
          <w:color w:val="auto"/>
          <w:sz w:val="22"/>
          <w:szCs w:val="22"/>
        </w:rPr>
        <w:t>Duch</w:t>
      </w:r>
      <w:proofErr w:type="spellEnd"/>
      <w:r w:rsidRPr="00400BEC">
        <w:rPr>
          <w:rFonts w:ascii="Times New Roman" w:hAnsi="Times New Roman" w:cs="Times New Roman"/>
          <w:color w:val="auto"/>
          <w:sz w:val="22"/>
          <w:szCs w:val="22"/>
        </w:rPr>
        <w:t>-Bangla Bank</w:t>
      </w:r>
      <w:bookmarkEnd w:id="97"/>
      <w:bookmarkEnd w:id="98"/>
      <w:bookmarkEnd w:id="99"/>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83840" behindDoc="0" locked="0" layoutInCell="1" allowOverlap="1" wp14:anchorId="4F73D7F8" wp14:editId="2A312454">
            <wp:simplePos x="0" y="0"/>
            <wp:positionH relativeFrom="column">
              <wp:posOffset>1876425</wp:posOffset>
            </wp:positionH>
            <wp:positionV relativeFrom="paragraph">
              <wp:posOffset>167005</wp:posOffset>
            </wp:positionV>
            <wp:extent cx="2286000" cy="1828800"/>
            <wp:effectExtent l="0" t="0" r="19050" b="19050"/>
            <wp:wrapSquare wrapText="bothSides"/>
            <wp:docPr id="132" name="Chart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2816" behindDoc="0" locked="0" layoutInCell="1" allowOverlap="1" wp14:anchorId="3A4B7F2F" wp14:editId="7D5B11A7">
            <wp:simplePos x="0" y="0"/>
            <wp:positionH relativeFrom="column">
              <wp:posOffset>-409575</wp:posOffset>
            </wp:positionH>
            <wp:positionV relativeFrom="paragraph">
              <wp:posOffset>162560</wp:posOffset>
            </wp:positionV>
            <wp:extent cx="2286000" cy="1828800"/>
            <wp:effectExtent l="0" t="0" r="19050" b="19050"/>
            <wp:wrapSquare wrapText="bothSides"/>
            <wp:docPr id="133" name="Chart 1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4864" behindDoc="0" locked="0" layoutInCell="1" allowOverlap="1" wp14:anchorId="29C11CDE" wp14:editId="707D4B62">
            <wp:simplePos x="0" y="0"/>
            <wp:positionH relativeFrom="column">
              <wp:posOffset>4114800</wp:posOffset>
            </wp:positionH>
            <wp:positionV relativeFrom="paragraph">
              <wp:posOffset>162560</wp:posOffset>
            </wp:positionV>
            <wp:extent cx="2286000" cy="1828800"/>
            <wp:effectExtent l="0" t="0" r="19050" b="19050"/>
            <wp:wrapSquare wrapText="bothSides"/>
            <wp:docPr id="134" name="Chart 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page">
              <wp14:pctWidth>0</wp14:pctWidth>
            </wp14:sizeRelH>
            <wp14:sizeRelV relativeFrom="page">
              <wp14:pctHeight>0</wp14:pctHeight>
            </wp14:sizeRelV>
          </wp:anchor>
        </w:drawing>
      </w:r>
    </w:p>
    <w:p w:rsidR="004217CE" w:rsidRDefault="00AE459F" w:rsidP="00400BEC">
      <w:pPr>
        <w:pStyle w:val="Caption"/>
        <w:jc w:val="center"/>
        <w:rPr>
          <w:rFonts w:ascii="Times New Roman" w:hAnsi="Times New Roman" w:cs="Times New Roman"/>
          <w:color w:val="auto"/>
          <w:sz w:val="22"/>
          <w:szCs w:val="22"/>
        </w:rPr>
      </w:pPr>
      <w:bookmarkStart w:id="100" w:name="_Toc57290079"/>
      <w:bookmarkStart w:id="101" w:name="_Toc57290214"/>
      <w:bookmarkStart w:id="102" w:name="_Toc61651456"/>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13</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w:t>
      </w:r>
      <w:proofErr w:type="spellStart"/>
      <w:r w:rsidRPr="00400BEC">
        <w:rPr>
          <w:rFonts w:ascii="Times New Roman" w:hAnsi="Times New Roman" w:cs="Times New Roman"/>
          <w:color w:val="auto"/>
          <w:sz w:val="22"/>
          <w:szCs w:val="22"/>
        </w:rPr>
        <w:t>Duch</w:t>
      </w:r>
      <w:proofErr w:type="spellEnd"/>
      <w:r w:rsidRPr="00400BEC">
        <w:rPr>
          <w:rFonts w:ascii="Times New Roman" w:hAnsi="Times New Roman" w:cs="Times New Roman"/>
          <w:color w:val="auto"/>
          <w:sz w:val="22"/>
          <w:szCs w:val="22"/>
        </w:rPr>
        <w:t>-Bangla Bank</w:t>
      </w:r>
      <w:bookmarkEnd w:id="100"/>
      <w:bookmarkEnd w:id="101"/>
      <w:bookmarkEnd w:id="102"/>
    </w:p>
    <w:p w:rsidR="001E042B" w:rsidRDefault="001E042B">
      <w:pPr>
        <w:rPr>
          <w:rFonts w:ascii="Times New Roman" w:hAnsi="Times New Roman" w:cs="Times New Roman"/>
          <w:sz w:val="24"/>
          <w:szCs w:val="24"/>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1.54%</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1.75%</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-1.15%</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-0.76%</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-0.06%</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-0.01%</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-0.26%</w:t>
            </w:r>
          </w:p>
        </w:tc>
      </w:tr>
      <w:tr w:rsidR="004217CE" w:rsidTr="004217CE">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0.29%</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0.33%</w:t>
            </w:r>
          </w:p>
        </w:tc>
      </w:tr>
      <w:tr w:rsidR="004217CE" w:rsidTr="004217CE">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-0.08%</w:t>
            </w:r>
          </w:p>
        </w:tc>
      </w:tr>
      <w:tr w:rsidR="004217CE" w:rsidTr="004217CE">
        <w:trPr>
          <w:trHeight w:val="323"/>
          <w:jc w:val="center"/>
        </w:trPr>
        <w:tc>
          <w:tcPr>
            <w:tcW w:w="1363" w:type="dxa"/>
            <w:tcBorders>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bottom w:val="single" w:sz="24" w:space="0" w:color="76923C" w:themeColor="accent3" w:themeShade="BF"/>
              <w:righ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-0.15%</w:t>
            </w:r>
          </w:p>
        </w:tc>
      </w:tr>
    </w:tbl>
    <w:p w:rsidR="004217CE" w:rsidRPr="005D16C7" w:rsidRDefault="003F10CA" w:rsidP="005D16C7">
      <w:pPr>
        <w:pStyle w:val="Caption"/>
        <w:jc w:val="center"/>
        <w:rPr>
          <w:rFonts w:ascii="Times New Roman" w:hAnsi="Times New Roman" w:cs="Times New Roman"/>
          <w:color w:val="auto"/>
          <w:sz w:val="22"/>
          <w:szCs w:val="22"/>
        </w:rPr>
      </w:pPr>
      <w:bookmarkStart w:id="103" w:name="_Toc61651520"/>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17</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400BEC">
        <w:rPr>
          <w:rFonts w:ascii="Times New Roman" w:hAnsi="Times New Roman" w:cs="Times New Roman"/>
          <w:color w:val="auto"/>
          <w:sz w:val="22"/>
          <w:szCs w:val="22"/>
        </w:rPr>
        <w:t>Duch</w:t>
      </w:r>
      <w:proofErr w:type="spellEnd"/>
      <w:r w:rsidR="005D16C7" w:rsidRPr="00400BEC">
        <w:rPr>
          <w:rFonts w:ascii="Times New Roman" w:hAnsi="Times New Roman" w:cs="Times New Roman"/>
          <w:color w:val="auto"/>
          <w:sz w:val="22"/>
          <w:szCs w:val="22"/>
        </w:rPr>
        <w:t>-Bangla Bank</w:t>
      </w:r>
      <w:bookmarkEnd w:id="103"/>
    </w:p>
    <w:p w:rsidR="003F10CA" w:rsidRDefault="004217CE" w:rsidP="00190CF7">
      <w:pPr>
        <w:pStyle w:val="Caption"/>
        <w:spacing w:line="360" w:lineRule="auto"/>
        <w:jc w:val="center"/>
        <w:rPr>
          <w:b w:val="0"/>
        </w:rPr>
      </w:pPr>
      <w:r>
        <w:rPr>
          <w:noProof/>
        </w:rPr>
        <w:drawing>
          <wp:inline distT="0" distB="0" distL="0" distR="0" wp14:anchorId="11C1ED89" wp14:editId="57C248B5">
            <wp:extent cx="5486400" cy="3200400"/>
            <wp:effectExtent l="0" t="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90CF7" w:rsidRDefault="003F10CA" w:rsidP="005D16C7">
      <w:pPr>
        <w:pStyle w:val="Caption"/>
        <w:jc w:val="center"/>
        <w:rPr>
          <w:b w:val="0"/>
        </w:rPr>
      </w:pPr>
      <w:bookmarkStart w:id="104" w:name="_Toc61651457"/>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14</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400BEC">
        <w:rPr>
          <w:rFonts w:ascii="Times New Roman" w:hAnsi="Times New Roman" w:cs="Times New Roman"/>
          <w:color w:val="auto"/>
          <w:sz w:val="22"/>
          <w:szCs w:val="22"/>
        </w:rPr>
        <w:t>Duch</w:t>
      </w:r>
      <w:proofErr w:type="spellEnd"/>
      <w:r w:rsidR="005D16C7" w:rsidRPr="00400BEC">
        <w:rPr>
          <w:rFonts w:ascii="Times New Roman" w:hAnsi="Times New Roman" w:cs="Times New Roman"/>
          <w:color w:val="auto"/>
          <w:sz w:val="22"/>
          <w:szCs w:val="22"/>
        </w:rPr>
        <w:t>-Bangla Bank</w:t>
      </w:r>
      <w:bookmarkEnd w:id="104"/>
      <w:r w:rsidR="005D16C7">
        <w:rPr>
          <w:b w:val="0"/>
        </w:rPr>
        <w:t xml:space="preserve"> </w:t>
      </w:r>
    </w:p>
    <w:p w:rsidR="00190CF7" w:rsidRDefault="00190CF7" w:rsidP="00190CF7">
      <w:pPr>
        <w:pStyle w:val="Caption"/>
        <w:jc w:val="both"/>
        <w:rPr>
          <w:b w:val="0"/>
        </w:rPr>
      </w:pPr>
    </w:p>
    <w:p w:rsidR="008A307A" w:rsidRDefault="00190CF7" w:rsidP="00190CF7">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23061F">
      <w:pPr>
        <w:pStyle w:val="Heading2"/>
        <w:rPr>
          <w:rFonts w:eastAsia="Times New Roman"/>
        </w:rPr>
      </w:pPr>
      <w:bookmarkStart w:id="105" w:name="_Toc62037720"/>
      <w:r w:rsidRPr="00460C60">
        <w:rPr>
          <w:rFonts w:eastAsia="Times New Roman"/>
        </w:rPr>
        <w:lastRenderedPageBreak/>
        <w:t>Eastern Bank:</w:t>
      </w:r>
      <w:bookmarkEnd w:id="105"/>
      <w:r w:rsidRPr="00460C60">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Eastern Bank the value for 2017 is 61.62, 2018 is -17.81 and 2019 is -7.55. It means return for 2017 is positive and both years 2018 and 2019 are negative. On the other hand the holding period return show the return parentage for 2017 is 2.52, 2018 is 1.82 and 2019 is 1.74. That indicates positive return for all the three the year 2017, 2018 and 2019.</w:t>
      </w:r>
    </w:p>
    <w:p w:rsidR="008A307A" w:rsidRPr="00460C60"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23061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460C60" w:rsidRDefault="008A307A" w:rsidP="008A307A">
            <w:pPr>
              <w:spacing w:line="288" w:lineRule="auto"/>
              <w:jc w:val="center"/>
              <w:rPr>
                <w:rFonts w:ascii="Times New Roman" w:hAnsi="Times New Roman" w:cs="Times New Roman"/>
                <w:color w:val="FFFFFF" w:themeColor="background1"/>
              </w:rPr>
            </w:pPr>
            <w:r w:rsidRPr="00460C60">
              <w:rPr>
                <w:rFonts w:ascii="Times New Roman" w:hAnsi="Times New Roman" w:cs="Times New Roman"/>
                <w:color w:val="FFFFFF" w:themeColor="background1"/>
              </w:rPr>
              <w:t>61.62</w:t>
            </w:r>
          </w:p>
        </w:tc>
        <w:tc>
          <w:tcPr>
            <w:tcW w:w="1226" w:type="dxa"/>
            <w:tcBorders>
              <w:top w:val="single" w:sz="6" w:space="0" w:color="FFFFFF" w:themeColor="background1"/>
            </w:tcBorders>
            <w:shd w:val="clear" w:color="auto" w:fill="943634" w:themeFill="accent2" w:themeFillShade="BF"/>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-17.81</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-7.55</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2.52</w:t>
            </w:r>
          </w:p>
        </w:tc>
        <w:tc>
          <w:tcPr>
            <w:tcW w:w="1226" w:type="dxa"/>
            <w:tcBorders>
              <w:top w:val="single" w:sz="6" w:space="0" w:color="FFFFFF" w:themeColor="background1"/>
            </w:tcBorders>
            <w:shd w:val="clear" w:color="auto" w:fill="5F497A" w:themeFill="accent4" w:themeFillShade="BF"/>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1.82</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1.74</w:t>
            </w:r>
          </w:p>
        </w:tc>
        <w:tc>
          <w:tcPr>
            <w:tcW w:w="1226" w:type="dxa"/>
            <w:tcBorders>
              <w:top w:val="single" w:sz="6" w:space="0" w:color="FFFFFF" w:themeColor="background1"/>
              <w:left w:val="single" w:sz="6" w:space="0" w:color="FFFFFF" w:themeColor="background1"/>
            </w:tcBorders>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61.62</w:t>
            </w:r>
          </w:p>
        </w:tc>
        <w:tc>
          <w:tcPr>
            <w:tcW w:w="1226" w:type="dxa"/>
            <w:tcBorders>
              <w:top w:val="single" w:sz="6" w:space="0" w:color="FFFFFF" w:themeColor="background1"/>
            </w:tcBorders>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-17.81</w:t>
            </w:r>
          </w:p>
        </w:tc>
        <w:tc>
          <w:tcPr>
            <w:tcW w:w="921" w:type="dxa"/>
            <w:tcBorders>
              <w:top w:val="single" w:sz="6" w:space="0" w:color="FFFFFF" w:themeColor="background1"/>
            </w:tcBorders>
            <w:vAlign w:val="center"/>
          </w:tcPr>
          <w:p w:rsidR="008A307A" w:rsidRPr="00460C60"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60C60">
              <w:rPr>
                <w:rFonts w:ascii="Times New Roman" w:hAnsi="Times New Roman" w:cs="Times New Roman"/>
                <w:b/>
                <w:color w:val="FFFFFF" w:themeColor="background1"/>
              </w:rPr>
              <w:t>-7.547</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06" w:name="_Toc57290050"/>
      <w:bookmarkStart w:id="107" w:name="_Toc57290371"/>
      <w:bookmarkStart w:id="108" w:name="_Toc61651521"/>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18</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Eastern Bank</w:t>
      </w:r>
      <w:bookmarkEnd w:id="106"/>
      <w:bookmarkEnd w:id="107"/>
      <w:bookmarkEnd w:id="108"/>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86912" behindDoc="0" locked="0" layoutInCell="1" allowOverlap="1" wp14:anchorId="536C1A79" wp14:editId="7540822C">
            <wp:simplePos x="0" y="0"/>
            <wp:positionH relativeFrom="column">
              <wp:posOffset>1876425</wp:posOffset>
            </wp:positionH>
            <wp:positionV relativeFrom="paragraph">
              <wp:posOffset>167005</wp:posOffset>
            </wp:positionV>
            <wp:extent cx="2286000" cy="1828800"/>
            <wp:effectExtent l="0" t="0" r="19050" b="19050"/>
            <wp:wrapSquare wrapText="bothSides"/>
            <wp:docPr id="135" name="Chart 1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5888" behindDoc="0" locked="0" layoutInCell="1" allowOverlap="1" wp14:anchorId="46CED99B" wp14:editId="087EE04F">
            <wp:simplePos x="0" y="0"/>
            <wp:positionH relativeFrom="column">
              <wp:posOffset>-409575</wp:posOffset>
            </wp:positionH>
            <wp:positionV relativeFrom="paragraph">
              <wp:posOffset>162560</wp:posOffset>
            </wp:positionV>
            <wp:extent cx="2286000" cy="1828800"/>
            <wp:effectExtent l="0" t="0" r="19050" b="19050"/>
            <wp:wrapSquare wrapText="bothSides"/>
            <wp:docPr id="136" name="Chart 1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7936" behindDoc="0" locked="0" layoutInCell="1" allowOverlap="1" wp14:anchorId="066FF7BE" wp14:editId="107FDA9D">
            <wp:simplePos x="0" y="0"/>
            <wp:positionH relativeFrom="column">
              <wp:posOffset>4114800</wp:posOffset>
            </wp:positionH>
            <wp:positionV relativeFrom="paragraph">
              <wp:posOffset>162560</wp:posOffset>
            </wp:positionV>
            <wp:extent cx="2286000" cy="1828800"/>
            <wp:effectExtent l="0" t="0" r="19050" b="19050"/>
            <wp:wrapSquare wrapText="bothSides"/>
            <wp:docPr id="137" name="Chart 1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09" w:name="_Toc57290080"/>
      <w:bookmarkStart w:id="110" w:name="_Toc57290215"/>
      <w:bookmarkStart w:id="111" w:name="_Toc61651458"/>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15</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Eastern Bank</w:t>
      </w:r>
      <w:bookmarkEnd w:id="109"/>
      <w:bookmarkEnd w:id="110"/>
      <w:bookmarkEnd w:id="111"/>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-0.15%</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-0.22%</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0.64%</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0.01%</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-0.72%</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-0.34%</w:t>
            </w:r>
          </w:p>
        </w:tc>
      </w:tr>
    </w:tbl>
    <w:p w:rsidR="004217CE" w:rsidRPr="005D16C7" w:rsidRDefault="003F10CA" w:rsidP="005D16C7">
      <w:pPr>
        <w:pStyle w:val="Caption"/>
        <w:jc w:val="center"/>
        <w:rPr>
          <w:rFonts w:ascii="Times New Roman" w:hAnsi="Times New Roman" w:cs="Times New Roman"/>
          <w:color w:val="auto"/>
          <w:sz w:val="22"/>
          <w:szCs w:val="22"/>
        </w:rPr>
      </w:pPr>
      <w:bookmarkStart w:id="112" w:name="_Toc61651522"/>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19</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Eastern Bank</w:t>
      </w:r>
      <w:bookmarkEnd w:id="112"/>
    </w:p>
    <w:p w:rsidR="003F10CA" w:rsidRDefault="004217CE" w:rsidP="004217CE">
      <w:pPr>
        <w:pStyle w:val="Caption"/>
        <w:jc w:val="center"/>
        <w:rPr>
          <w:b w:val="0"/>
        </w:rPr>
      </w:pPr>
      <w:r>
        <w:rPr>
          <w:noProof/>
        </w:rPr>
        <w:drawing>
          <wp:inline distT="0" distB="0" distL="0" distR="0" wp14:anchorId="13F2816B" wp14:editId="595BAB2E">
            <wp:extent cx="5486400" cy="3200400"/>
            <wp:effectExtent l="0" t="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90CF7" w:rsidRDefault="003F10CA" w:rsidP="005D16C7">
      <w:pPr>
        <w:pStyle w:val="Caption"/>
        <w:jc w:val="center"/>
        <w:rPr>
          <w:b w:val="0"/>
        </w:rPr>
      </w:pPr>
      <w:bookmarkStart w:id="113" w:name="_Toc61651459"/>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16</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Eastern Bank</w:t>
      </w:r>
      <w:bookmarkEnd w:id="113"/>
      <w:r w:rsidR="005D16C7" w:rsidRPr="005D16C7">
        <w:rPr>
          <w:b w:val="0"/>
        </w:rPr>
        <w:t xml:space="preserve"> </w:t>
      </w:r>
    </w:p>
    <w:p w:rsidR="00190CF7" w:rsidRDefault="00190CF7" w:rsidP="005D16C7">
      <w:pPr>
        <w:pStyle w:val="Caption"/>
        <w:jc w:val="center"/>
        <w:rPr>
          <w:b w:val="0"/>
        </w:rPr>
      </w:pPr>
    </w:p>
    <w:p w:rsidR="008A307A" w:rsidRPr="005D16C7" w:rsidRDefault="00190CF7" w:rsidP="00190CF7">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So, I can say the return growth rate from this investment was less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sidRPr="005D16C7">
        <w:rPr>
          <w:b w:val="0"/>
        </w:rPr>
        <w:br w:type="page"/>
      </w:r>
    </w:p>
    <w:p w:rsidR="008A307A" w:rsidRDefault="008A307A" w:rsidP="00FB1F30">
      <w:pPr>
        <w:pStyle w:val="Heading2"/>
        <w:rPr>
          <w:rFonts w:eastAsia="Times New Roman"/>
        </w:rPr>
      </w:pPr>
      <w:bookmarkStart w:id="114" w:name="_Toc62037721"/>
      <w:r w:rsidRPr="00C7153F">
        <w:rPr>
          <w:rFonts w:eastAsia="Times New Roman"/>
        </w:rPr>
        <w:lastRenderedPageBreak/>
        <w:t>Exim Bank:</w:t>
      </w:r>
      <w:bookmarkEnd w:id="114"/>
      <w:r w:rsidRPr="00C7153F">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Exim Bank the value for 2017 is 17.01, 2018 is -25.79 and 2019 is -21.71. It means return for 2017 is positive and both years 2018 and 2019 are negative. On the other hand the holding period return show the return parentage for 2017 is 1.67, 2018 is 0.99 and 2019 is 0.78. That indicates positive return for all the three the year 2017, 2018 and 2019.</w:t>
      </w:r>
    </w:p>
    <w:p w:rsidR="008A307A" w:rsidRPr="00C7153F" w:rsidRDefault="008A307A" w:rsidP="00DB7269">
      <w:pPr>
        <w:spacing w:after="0" w:line="360"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C72331" w:rsidRDefault="008A307A" w:rsidP="008A307A">
            <w:pPr>
              <w:spacing w:line="288" w:lineRule="auto"/>
              <w:jc w:val="center"/>
              <w:rPr>
                <w:rFonts w:ascii="Times New Roman" w:hAnsi="Times New Roman" w:cs="Times New Roman"/>
                <w:color w:val="FFFFFF" w:themeColor="background1"/>
              </w:rPr>
            </w:pPr>
            <w:r w:rsidRPr="00C72331">
              <w:rPr>
                <w:rFonts w:ascii="Times New Roman" w:hAnsi="Times New Roman" w:cs="Times New Roman"/>
                <w:color w:val="FFFFFF" w:themeColor="background1"/>
              </w:rPr>
              <w:t>17.01</w:t>
            </w:r>
          </w:p>
        </w:tc>
        <w:tc>
          <w:tcPr>
            <w:tcW w:w="1226" w:type="dxa"/>
            <w:tcBorders>
              <w:top w:val="single" w:sz="6" w:space="0" w:color="FFFFFF" w:themeColor="background1"/>
            </w:tcBorders>
            <w:shd w:val="clear" w:color="auto" w:fill="943634" w:themeFill="accent2" w:themeFillShade="BF"/>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-25.79</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-21.71</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1.67</w:t>
            </w:r>
          </w:p>
        </w:tc>
        <w:tc>
          <w:tcPr>
            <w:tcW w:w="1226" w:type="dxa"/>
            <w:tcBorders>
              <w:top w:val="single" w:sz="6" w:space="0" w:color="FFFFFF" w:themeColor="background1"/>
            </w:tcBorders>
            <w:shd w:val="clear" w:color="auto" w:fill="5F497A" w:themeFill="accent4" w:themeFillShade="BF"/>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0.99</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0.78</w:t>
            </w:r>
          </w:p>
        </w:tc>
        <w:tc>
          <w:tcPr>
            <w:tcW w:w="1226" w:type="dxa"/>
            <w:tcBorders>
              <w:top w:val="single" w:sz="6" w:space="0" w:color="FFFFFF" w:themeColor="background1"/>
              <w:left w:val="single" w:sz="6" w:space="0" w:color="FFFFFF" w:themeColor="background1"/>
            </w:tcBorders>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17.01</w:t>
            </w:r>
          </w:p>
        </w:tc>
        <w:tc>
          <w:tcPr>
            <w:tcW w:w="1226" w:type="dxa"/>
            <w:tcBorders>
              <w:top w:val="single" w:sz="6" w:space="0" w:color="FFFFFF" w:themeColor="background1"/>
            </w:tcBorders>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-25.79</w:t>
            </w:r>
          </w:p>
        </w:tc>
        <w:tc>
          <w:tcPr>
            <w:tcW w:w="921" w:type="dxa"/>
            <w:tcBorders>
              <w:top w:val="single" w:sz="6" w:space="0" w:color="FFFFFF" w:themeColor="background1"/>
            </w:tcBorders>
            <w:vAlign w:val="center"/>
          </w:tcPr>
          <w:p w:rsidR="008A307A" w:rsidRPr="00C7233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C72331">
              <w:rPr>
                <w:rFonts w:ascii="Times New Roman" w:hAnsi="Times New Roman" w:cs="Times New Roman"/>
                <w:b/>
                <w:color w:val="FFFFFF" w:themeColor="background1"/>
              </w:rPr>
              <w:t>-21.71</w:t>
            </w:r>
          </w:p>
        </w:tc>
      </w:tr>
    </w:tbl>
    <w:p w:rsidR="008A307A" w:rsidRPr="00400BEC" w:rsidRDefault="008A307A" w:rsidP="00400BEC">
      <w:pPr>
        <w:pStyle w:val="Caption"/>
        <w:jc w:val="center"/>
        <w:rPr>
          <w:rFonts w:ascii="Times New Roman" w:hAnsi="Times New Roman" w:cs="Times New Roman"/>
          <w:color w:val="auto"/>
          <w:sz w:val="22"/>
          <w:szCs w:val="22"/>
        </w:rPr>
      </w:pPr>
    </w:p>
    <w:p w:rsidR="008A307A" w:rsidRPr="00400BEC" w:rsidRDefault="000B1571" w:rsidP="00400BEC">
      <w:pPr>
        <w:pStyle w:val="Caption"/>
        <w:jc w:val="center"/>
        <w:rPr>
          <w:rFonts w:ascii="Times New Roman" w:hAnsi="Times New Roman" w:cs="Times New Roman"/>
          <w:color w:val="auto"/>
          <w:sz w:val="22"/>
          <w:szCs w:val="22"/>
        </w:rPr>
      </w:pPr>
      <w:bookmarkStart w:id="115" w:name="_Toc57290051"/>
      <w:bookmarkStart w:id="116" w:name="_Toc57290372"/>
      <w:bookmarkStart w:id="117" w:name="_Toc61651523"/>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20</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Exim Bank</w:t>
      </w:r>
      <w:bookmarkEnd w:id="115"/>
      <w:bookmarkEnd w:id="116"/>
      <w:bookmarkEnd w:id="117"/>
    </w:p>
    <w:p w:rsidR="008A307A" w:rsidRPr="00400BEC" w:rsidRDefault="008A307A" w:rsidP="00400BEC">
      <w:pPr>
        <w:pStyle w:val="Caption"/>
        <w:jc w:val="center"/>
        <w:rPr>
          <w:rFonts w:ascii="Times New Roman" w:hAnsi="Times New Roman" w:cs="Times New Roman"/>
          <w:color w:val="auto"/>
          <w:sz w:val="22"/>
          <w:szCs w:val="22"/>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89984" behindDoc="0" locked="0" layoutInCell="1" allowOverlap="1" wp14:anchorId="2CC2DE3A" wp14:editId="4AD41ABB">
            <wp:simplePos x="0" y="0"/>
            <wp:positionH relativeFrom="column">
              <wp:posOffset>1876425</wp:posOffset>
            </wp:positionH>
            <wp:positionV relativeFrom="paragraph">
              <wp:posOffset>167005</wp:posOffset>
            </wp:positionV>
            <wp:extent cx="2286000" cy="1828800"/>
            <wp:effectExtent l="0" t="0" r="19050" b="19050"/>
            <wp:wrapSquare wrapText="bothSides"/>
            <wp:docPr id="138" name="Chart 1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8960" behindDoc="0" locked="0" layoutInCell="1" allowOverlap="1" wp14:anchorId="46125299" wp14:editId="47F7892E">
            <wp:simplePos x="0" y="0"/>
            <wp:positionH relativeFrom="column">
              <wp:posOffset>-409575</wp:posOffset>
            </wp:positionH>
            <wp:positionV relativeFrom="paragraph">
              <wp:posOffset>162560</wp:posOffset>
            </wp:positionV>
            <wp:extent cx="2286000" cy="1828800"/>
            <wp:effectExtent l="0" t="0" r="19050" b="19050"/>
            <wp:wrapSquare wrapText="bothSides"/>
            <wp:docPr id="139" name="Chart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91008" behindDoc="0" locked="0" layoutInCell="1" allowOverlap="1" wp14:anchorId="7E567C21" wp14:editId="56E4F6B2">
            <wp:simplePos x="0" y="0"/>
            <wp:positionH relativeFrom="column">
              <wp:posOffset>4114800</wp:posOffset>
            </wp:positionH>
            <wp:positionV relativeFrom="paragraph">
              <wp:posOffset>162560</wp:posOffset>
            </wp:positionV>
            <wp:extent cx="2286000" cy="1828800"/>
            <wp:effectExtent l="0" t="0" r="19050" b="19050"/>
            <wp:wrapSquare wrapText="bothSides"/>
            <wp:docPr id="140" name="Chart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18" w:name="_Toc57290081"/>
      <w:bookmarkStart w:id="119" w:name="_Toc57290216"/>
      <w:bookmarkStart w:id="120" w:name="_Toc61651460"/>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17</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Exim Bank</w:t>
      </w:r>
      <w:bookmarkEnd w:id="118"/>
      <w:bookmarkEnd w:id="119"/>
      <w:bookmarkEnd w:id="120"/>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-0.48%</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-0.73%</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0.07%</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-0.46%</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-0.24%</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bl>
    <w:p w:rsidR="004217CE" w:rsidRPr="005D16C7" w:rsidRDefault="003F10CA" w:rsidP="005D16C7">
      <w:pPr>
        <w:pStyle w:val="Caption"/>
        <w:jc w:val="center"/>
        <w:rPr>
          <w:rFonts w:ascii="Times New Roman" w:hAnsi="Times New Roman" w:cs="Times New Roman"/>
          <w:color w:val="auto"/>
          <w:sz w:val="22"/>
          <w:szCs w:val="22"/>
        </w:rPr>
      </w:pPr>
      <w:bookmarkStart w:id="121" w:name="_Toc61651524"/>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21</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Exim Bank</w:t>
      </w:r>
      <w:bookmarkEnd w:id="121"/>
    </w:p>
    <w:p w:rsidR="003F10CA" w:rsidRDefault="004217CE" w:rsidP="004217CE">
      <w:pPr>
        <w:pStyle w:val="Caption"/>
        <w:jc w:val="center"/>
        <w:rPr>
          <w:b w:val="0"/>
        </w:rPr>
      </w:pPr>
      <w:r>
        <w:rPr>
          <w:noProof/>
        </w:rPr>
        <w:drawing>
          <wp:inline distT="0" distB="0" distL="0" distR="0" wp14:anchorId="28D8FC7B" wp14:editId="275AD127">
            <wp:extent cx="5486400" cy="3200400"/>
            <wp:effectExtent l="0" t="0" r="19050" b="1905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190CF7" w:rsidRDefault="003F10CA" w:rsidP="005D16C7">
      <w:pPr>
        <w:pStyle w:val="Caption"/>
        <w:jc w:val="center"/>
        <w:rPr>
          <w:b w:val="0"/>
        </w:rPr>
      </w:pPr>
      <w:bookmarkStart w:id="122" w:name="_Toc61651461"/>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18</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Exim Bank</w:t>
      </w:r>
      <w:bookmarkEnd w:id="122"/>
      <w:r w:rsidR="005D16C7">
        <w:rPr>
          <w:b w:val="0"/>
        </w:rPr>
        <w:t xml:space="preserve"> </w:t>
      </w:r>
    </w:p>
    <w:p w:rsidR="00190CF7" w:rsidRDefault="00190CF7" w:rsidP="005D16C7">
      <w:pPr>
        <w:pStyle w:val="Caption"/>
        <w:jc w:val="center"/>
        <w:rPr>
          <w:b w:val="0"/>
        </w:rPr>
      </w:pPr>
    </w:p>
    <w:p w:rsidR="008A307A" w:rsidRDefault="00190CF7" w:rsidP="00190CF7">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Pr="00FB1F30" w:rsidRDefault="008A307A" w:rsidP="00FB1F30">
      <w:pPr>
        <w:pStyle w:val="Heading2"/>
      </w:pPr>
      <w:bookmarkStart w:id="123" w:name="_Toc62037722"/>
      <w:r w:rsidRPr="00FB1F30">
        <w:lastRenderedPageBreak/>
        <w:t xml:space="preserve">First Security </w:t>
      </w:r>
      <w:proofErr w:type="spellStart"/>
      <w:r w:rsidRPr="00FB1F30">
        <w:t>Islami</w:t>
      </w:r>
      <w:proofErr w:type="spellEnd"/>
      <w:r w:rsidRPr="00FB1F30">
        <w:t xml:space="preserve"> Bank:</w:t>
      </w:r>
      <w:bookmarkEnd w:id="123"/>
      <w:r w:rsidRPr="00FB1F30">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First Security </w:t>
      </w:r>
      <w:proofErr w:type="spellStart"/>
      <w:r w:rsidRPr="0023061F">
        <w:rPr>
          <w:rFonts w:ascii="Times New Roman" w:hAnsi="Times New Roman" w:cs="Times New Roman"/>
          <w:sz w:val="24"/>
          <w:szCs w:val="24"/>
        </w:rPr>
        <w:t>Islami</w:t>
      </w:r>
      <w:proofErr w:type="spellEnd"/>
      <w:r w:rsidRPr="0023061F">
        <w:rPr>
          <w:rFonts w:ascii="Times New Roman" w:hAnsi="Times New Roman" w:cs="Times New Roman"/>
          <w:sz w:val="24"/>
          <w:szCs w:val="24"/>
        </w:rPr>
        <w:t xml:space="preserve"> Bank the value for 2017 is 5.02, 2018 is -14.92 and 2019 is -12.50. It means return for 2017 is positive and both years 2018 and 2019 are negative. On the other hand the holding period return show the return parentage for 2017 is 0.48, 2018 is -0.15 and 2019 is -0.13. That indicates positive return for the year 2017. But both the year 2018 and 2019 is show negative return.</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D674E"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2D674E" w:rsidRDefault="008A307A" w:rsidP="008A307A">
            <w:pPr>
              <w:spacing w:line="288" w:lineRule="auto"/>
              <w:jc w:val="center"/>
              <w:rPr>
                <w:rFonts w:ascii="Times New Roman" w:hAnsi="Times New Roman" w:cs="Times New Roman"/>
                <w:color w:val="FFFFFF" w:themeColor="background1"/>
              </w:rPr>
            </w:pPr>
            <w:r w:rsidRPr="002D674E">
              <w:rPr>
                <w:rFonts w:ascii="Times New Roman" w:hAnsi="Times New Roman" w:cs="Times New Roman"/>
                <w:color w:val="FFFFFF" w:themeColor="background1"/>
              </w:rPr>
              <w:t>5.02</w:t>
            </w:r>
          </w:p>
        </w:tc>
        <w:tc>
          <w:tcPr>
            <w:tcW w:w="1226" w:type="dxa"/>
            <w:tcBorders>
              <w:top w:val="single" w:sz="6" w:space="0" w:color="FFFFFF" w:themeColor="background1"/>
            </w:tcBorders>
            <w:shd w:val="clear" w:color="auto" w:fill="943634" w:themeFill="accent2" w:themeFillShade="BF"/>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-14.92</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-12.50</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0.48</w:t>
            </w:r>
          </w:p>
        </w:tc>
        <w:tc>
          <w:tcPr>
            <w:tcW w:w="1226" w:type="dxa"/>
            <w:tcBorders>
              <w:top w:val="single" w:sz="6" w:space="0" w:color="FFFFFF" w:themeColor="background1"/>
            </w:tcBorders>
            <w:shd w:val="clear" w:color="auto" w:fill="5F497A" w:themeFill="accent4" w:themeFillShade="BF"/>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-0.15</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-0.13</w:t>
            </w:r>
          </w:p>
        </w:tc>
        <w:tc>
          <w:tcPr>
            <w:tcW w:w="1226" w:type="dxa"/>
            <w:tcBorders>
              <w:top w:val="single" w:sz="6" w:space="0" w:color="FFFFFF" w:themeColor="background1"/>
              <w:left w:val="single" w:sz="6" w:space="0" w:color="FFFFFF" w:themeColor="background1"/>
            </w:tcBorders>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5.02</w:t>
            </w:r>
          </w:p>
        </w:tc>
        <w:tc>
          <w:tcPr>
            <w:tcW w:w="1226" w:type="dxa"/>
            <w:tcBorders>
              <w:top w:val="single" w:sz="6" w:space="0" w:color="FFFFFF" w:themeColor="background1"/>
            </w:tcBorders>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-14.92</w:t>
            </w:r>
          </w:p>
        </w:tc>
        <w:tc>
          <w:tcPr>
            <w:tcW w:w="921" w:type="dxa"/>
            <w:tcBorders>
              <w:top w:val="single" w:sz="6" w:space="0" w:color="FFFFFF" w:themeColor="background1"/>
            </w:tcBorders>
            <w:vAlign w:val="center"/>
          </w:tcPr>
          <w:p w:rsidR="008A307A" w:rsidRPr="002D674E"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2D674E">
              <w:rPr>
                <w:rFonts w:ascii="Times New Roman" w:hAnsi="Times New Roman" w:cs="Times New Roman"/>
                <w:b/>
                <w:color w:val="FFFFFF" w:themeColor="background1"/>
              </w:rPr>
              <w:t>-12.5</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24" w:name="_Toc57290052"/>
      <w:bookmarkStart w:id="125" w:name="_Toc57290373"/>
      <w:bookmarkStart w:id="126" w:name="_Toc61651525"/>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22</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First Security </w:t>
      </w:r>
      <w:proofErr w:type="spellStart"/>
      <w:r w:rsidRPr="00400BEC">
        <w:rPr>
          <w:rFonts w:ascii="Times New Roman" w:hAnsi="Times New Roman" w:cs="Times New Roman"/>
          <w:color w:val="auto"/>
          <w:sz w:val="22"/>
          <w:szCs w:val="22"/>
        </w:rPr>
        <w:t>Islami</w:t>
      </w:r>
      <w:proofErr w:type="spellEnd"/>
      <w:r w:rsidRPr="00400BEC">
        <w:rPr>
          <w:rFonts w:ascii="Times New Roman" w:hAnsi="Times New Roman" w:cs="Times New Roman"/>
          <w:color w:val="auto"/>
          <w:sz w:val="22"/>
          <w:szCs w:val="22"/>
        </w:rPr>
        <w:t xml:space="preserve"> Bank</w:t>
      </w:r>
      <w:bookmarkEnd w:id="124"/>
      <w:bookmarkEnd w:id="125"/>
      <w:bookmarkEnd w:id="126"/>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93056" behindDoc="0" locked="0" layoutInCell="1" allowOverlap="1" wp14:anchorId="6216902B" wp14:editId="16A5BB02">
            <wp:simplePos x="0" y="0"/>
            <wp:positionH relativeFrom="column">
              <wp:posOffset>1876425</wp:posOffset>
            </wp:positionH>
            <wp:positionV relativeFrom="paragraph">
              <wp:posOffset>167005</wp:posOffset>
            </wp:positionV>
            <wp:extent cx="2286000" cy="1828800"/>
            <wp:effectExtent l="0" t="0" r="19050" b="19050"/>
            <wp:wrapSquare wrapText="bothSides"/>
            <wp:docPr id="141" name="Chart 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92032" behindDoc="0" locked="0" layoutInCell="1" allowOverlap="1" wp14:anchorId="6F03F917" wp14:editId="0677DE7F">
            <wp:simplePos x="0" y="0"/>
            <wp:positionH relativeFrom="column">
              <wp:posOffset>-409575</wp:posOffset>
            </wp:positionH>
            <wp:positionV relativeFrom="paragraph">
              <wp:posOffset>162560</wp:posOffset>
            </wp:positionV>
            <wp:extent cx="2286000" cy="1828800"/>
            <wp:effectExtent l="0" t="0" r="19050" b="19050"/>
            <wp:wrapSquare wrapText="bothSides"/>
            <wp:docPr id="142" name="Chart 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94080" behindDoc="0" locked="0" layoutInCell="1" allowOverlap="1" wp14:anchorId="3F9F5A45" wp14:editId="5F56E261">
            <wp:simplePos x="0" y="0"/>
            <wp:positionH relativeFrom="column">
              <wp:posOffset>4114800</wp:posOffset>
            </wp:positionH>
            <wp:positionV relativeFrom="paragraph">
              <wp:posOffset>162560</wp:posOffset>
            </wp:positionV>
            <wp:extent cx="2286000" cy="1828800"/>
            <wp:effectExtent l="0" t="0" r="19050" b="19050"/>
            <wp:wrapSquare wrapText="bothSides"/>
            <wp:docPr id="143" name="Chart 1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27" w:name="_Toc57290082"/>
      <w:bookmarkStart w:id="128" w:name="_Toc57290217"/>
      <w:bookmarkStart w:id="129" w:name="_Toc61651462"/>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19</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First Security </w:t>
      </w:r>
      <w:proofErr w:type="spellStart"/>
      <w:r w:rsidRPr="00400BEC">
        <w:rPr>
          <w:rFonts w:ascii="Times New Roman" w:hAnsi="Times New Roman" w:cs="Times New Roman"/>
          <w:color w:val="auto"/>
          <w:sz w:val="22"/>
          <w:szCs w:val="22"/>
        </w:rPr>
        <w:t>Islami</w:t>
      </w:r>
      <w:proofErr w:type="spellEnd"/>
      <w:r w:rsidRPr="00400BEC">
        <w:rPr>
          <w:rFonts w:ascii="Times New Roman" w:hAnsi="Times New Roman" w:cs="Times New Roman"/>
          <w:color w:val="auto"/>
          <w:sz w:val="22"/>
          <w:szCs w:val="22"/>
        </w:rPr>
        <w:t xml:space="preserve"> Bank</w:t>
      </w:r>
      <w:bookmarkEnd w:id="127"/>
      <w:bookmarkEnd w:id="128"/>
      <w:bookmarkEnd w:id="129"/>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0.94%</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-0.57%</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-0.87%</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0.81%</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-0.23%</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-0.16%</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-0.33%</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-0.49%</w:t>
            </w:r>
          </w:p>
        </w:tc>
      </w:tr>
    </w:tbl>
    <w:p w:rsidR="004217CE" w:rsidRPr="005D16C7" w:rsidRDefault="003F10CA" w:rsidP="005D16C7">
      <w:pPr>
        <w:pStyle w:val="Caption"/>
        <w:jc w:val="center"/>
        <w:rPr>
          <w:rFonts w:ascii="Times New Roman" w:hAnsi="Times New Roman" w:cs="Times New Roman"/>
          <w:color w:val="auto"/>
          <w:sz w:val="22"/>
          <w:szCs w:val="22"/>
        </w:rPr>
      </w:pPr>
      <w:bookmarkStart w:id="130" w:name="_Toc61651526"/>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23</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 xml:space="preserve">First Security </w:t>
      </w:r>
      <w:proofErr w:type="spellStart"/>
      <w:r w:rsidR="005D16C7" w:rsidRPr="00400BEC">
        <w:rPr>
          <w:rFonts w:ascii="Times New Roman" w:hAnsi="Times New Roman" w:cs="Times New Roman"/>
          <w:color w:val="auto"/>
          <w:sz w:val="22"/>
          <w:szCs w:val="22"/>
        </w:rPr>
        <w:t>Islami</w:t>
      </w:r>
      <w:proofErr w:type="spellEnd"/>
      <w:r w:rsidR="005D16C7" w:rsidRPr="00400BEC">
        <w:rPr>
          <w:rFonts w:ascii="Times New Roman" w:hAnsi="Times New Roman" w:cs="Times New Roman"/>
          <w:color w:val="auto"/>
          <w:sz w:val="22"/>
          <w:szCs w:val="22"/>
        </w:rPr>
        <w:t xml:space="preserve"> Bank</w:t>
      </w:r>
      <w:bookmarkEnd w:id="130"/>
    </w:p>
    <w:p w:rsidR="003F10CA" w:rsidRDefault="004217CE" w:rsidP="004217CE">
      <w:pPr>
        <w:pStyle w:val="Caption"/>
        <w:jc w:val="center"/>
        <w:rPr>
          <w:b w:val="0"/>
        </w:rPr>
      </w:pPr>
      <w:r>
        <w:rPr>
          <w:noProof/>
        </w:rPr>
        <w:drawing>
          <wp:inline distT="0" distB="0" distL="0" distR="0" wp14:anchorId="233790DC" wp14:editId="25BD17CC">
            <wp:extent cx="5486400" cy="3200400"/>
            <wp:effectExtent l="0" t="0" r="19050"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190CF7" w:rsidRDefault="003F10CA" w:rsidP="005D16C7">
      <w:pPr>
        <w:pStyle w:val="Caption"/>
        <w:jc w:val="center"/>
        <w:rPr>
          <w:b w:val="0"/>
        </w:rPr>
      </w:pPr>
      <w:bookmarkStart w:id="131" w:name="_Toc61651463"/>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20</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 xml:space="preserve">First Security </w:t>
      </w:r>
      <w:proofErr w:type="spellStart"/>
      <w:r w:rsidR="005D16C7" w:rsidRPr="00400BEC">
        <w:rPr>
          <w:rFonts w:ascii="Times New Roman" w:hAnsi="Times New Roman" w:cs="Times New Roman"/>
          <w:color w:val="auto"/>
          <w:sz w:val="22"/>
          <w:szCs w:val="22"/>
        </w:rPr>
        <w:t>Islami</w:t>
      </w:r>
      <w:proofErr w:type="spellEnd"/>
      <w:r w:rsidR="005D16C7" w:rsidRPr="00400BEC">
        <w:rPr>
          <w:rFonts w:ascii="Times New Roman" w:hAnsi="Times New Roman" w:cs="Times New Roman"/>
          <w:color w:val="auto"/>
          <w:sz w:val="22"/>
          <w:szCs w:val="22"/>
        </w:rPr>
        <w:t xml:space="preserve"> Bank</w:t>
      </w:r>
      <w:bookmarkEnd w:id="131"/>
      <w:r w:rsidR="005D16C7">
        <w:rPr>
          <w:b w:val="0"/>
        </w:rPr>
        <w:t xml:space="preserve"> </w:t>
      </w:r>
    </w:p>
    <w:p w:rsidR="00190CF7" w:rsidRDefault="00190CF7" w:rsidP="005D16C7">
      <w:pPr>
        <w:pStyle w:val="Caption"/>
        <w:jc w:val="center"/>
        <w:rPr>
          <w:b w:val="0"/>
        </w:rPr>
      </w:pPr>
    </w:p>
    <w:p w:rsidR="008A307A" w:rsidRDefault="00190CF7" w:rsidP="00190CF7">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132" w:name="_Toc62037723"/>
      <w:r w:rsidRPr="00543B8C">
        <w:rPr>
          <w:rFonts w:eastAsia="Times New Roman"/>
        </w:rPr>
        <w:lastRenderedPageBreak/>
        <w:t>ICB Islamic Bank:</w:t>
      </w:r>
      <w:bookmarkEnd w:id="132"/>
      <w:r w:rsidRPr="00543B8C">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ICB Islamic Bank the value for 2017 is 29.63, 2018 is -23.81 and 2019 is -30.23. It means return for 2017 is positive and both years 2018 and 2019 are negative. On the other hand the holding period return show the return parentage for 2017 is 0.30, 2018 is -0.24 and 2019 is -0.30. That indicates positive return for the year 2017. But both the year 2018 and 2019 is show negative return.</w:t>
      </w:r>
    </w:p>
    <w:p w:rsidR="008A307A" w:rsidRPr="00543B8C"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543B8C" w:rsidRDefault="008A307A" w:rsidP="008A307A">
            <w:pPr>
              <w:spacing w:line="288" w:lineRule="auto"/>
              <w:jc w:val="center"/>
              <w:rPr>
                <w:rFonts w:ascii="Times New Roman" w:hAnsi="Times New Roman" w:cs="Times New Roman"/>
                <w:color w:val="FFFFFF" w:themeColor="background1"/>
              </w:rPr>
            </w:pPr>
            <w:r w:rsidRPr="00543B8C">
              <w:rPr>
                <w:rFonts w:ascii="Times New Roman" w:hAnsi="Times New Roman" w:cs="Times New Roman"/>
                <w:color w:val="FFFFFF" w:themeColor="background1"/>
              </w:rPr>
              <w:t>29.63</w:t>
            </w:r>
          </w:p>
        </w:tc>
        <w:tc>
          <w:tcPr>
            <w:tcW w:w="1226" w:type="dxa"/>
            <w:tcBorders>
              <w:top w:val="single" w:sz="6" w:space="0" w:color="FFFFFF" w:themeColor="background1"/>
            </w:tcBorders>
            <w:shd w:val="clear" w:color="auto" w:fill="943634" w:themeFill="accent2" w:themeFillShade="BF"/>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-23.81</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-30.23</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0.30</w:t>
            </w:r>
          </w:p>
        </w:tc>
        <w:tc>
          <w:tcPr>
            <w:tcW w:w="1226" w:type="dxa"/>
            <w:tcBorders>
              <w:top w:val="single" w:sz="6" w:space="0" w:color="FFFFFF" w:themeColor="background1"/>
            </w:tcBorders>
            <w:shd w:val="clear" w:color="auto" w:fill="5F497A" w:themeFill="accent4" w:themeFillShade="BF"/>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-0.24</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-0.30</w:t>
            </w:r>
          </w:p>
        </w:tc>
        <w:tc>
          <w:tcPr>
            <w:tcW w:w="1226" w:type="dxa"/>
            <w:tcBorders>
              <w:top w:val="single" w:sz="6" w:space="0" w:color="FFFFFF" w:themeColor="background1"/>
              <w:left w:val="single" w:sz="6" w:space="0" w:color="FFFFFF" w:themeColor="background1"/>
            </w:tcBorders>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29.63</w:t>
            </w:r>
          </w:p>
        </w:tc>
        <w:tc>
          <w:tcPr>
            <w:tcW w:w="1226" w:type="dxa"/>
            <w:tcBorders>
              <w:top w:val="single" w:sz="6" w:space="0" w:color="FFFFFF" w:themeColor="background1"/>
            </w:tcBorders>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-23.81</w:t>
            </w:r>
          </w:p>
        </w:tc>
        <w:tc>
          <w:tcPr>
            <w:tcW w:w="921" w:type="dxa"/>
            <w:tcBorders>
              <w:top w:val="single" w:sz="6" w:space="0" w:color="FFFFFF" w:themeColor="background1"/>
            </w:tcBorders>
            <w:vAlign w:val="center"/>
          </w:tcPr>
          <w:p w:rsidR="008A307A" w:rsidRPr="00543B8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543B8C">
              <w:rPr>
                <w:rFonts w:ascii="Times New Roman" w:hAnsi="Times New Roman" w:cs="Times New Roman"/>
                <w:b/>
                <w:color w:val="FFFFFF" w:themeColor="background1"/>
              </w:rPr>
              <w:t>-30.23</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33" w:name="_Toc57290053"/>
      <w:bookmarkStart w:id="134" w:name="_Toc57290374"/>
      <w:bookmarkStart w:id="135" w:name="_Toc61651527"/>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24</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ICB Islamic Bank</w:t>
      </w:r>
      <w:bookmarkEnd w:id="133"/>
      <w:bookmarkEnd w:id="134"/>
      <w:bookmarkEnd w:id="135"/>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96128" behindDoc="0" locked="0" layoutInCell="1" allowOverlap="1" wp14:anchorId="6246B8B6" wp14:editId="4E290285">
            <wp:simplePos x="0" y="0"/>
            <wp:positionH relativeFrom="column">
              <wp:posOffset>1876425</wp:posOffset>
            </wp:positionH>
            <wp:positionV relativeFrom="paragraph">
              <wp:posOffset>167005</wp:posOffset>
            </wp:positionV>
            <wp:extent cx="2286000" cy="1828800"/>
            <wp:effectExtent l="0" t="0" r="19050" b="19050"/>
            <wp:wrapSquare wrapText="bothSides"/>
            <wp:docPr id="144" name="Chart 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95104" behindDoc="0" locked="0" layoutInCell="1" allowOverlap="1" wp14:anchorId="16529172" wp14:editId="78A26FD1">
            <wp:simplePos x="0" y="0"/>
            <wp:positionH relativeFrom="column">
              <wp:posOffset>-409575</wp:posOffset>
            </wp:positionH>
            <wp:positionV relativeFrom="paragraph">
              <wp:posOffset>162560</wp:posOffset>
            </wp:positionV>
            <wp:extent cx="2286000" cy="1828800"/>
            <wp:effectExtent l="0" t="0" r="19050" b="19050"/>
            <wp:wrapSquare wrapText="bothSides"/>
            <wp:docPr id="145" name="Chart 1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97152" behindDoc="0" locked="0" layoutInCell="1" allowOverlap="1" wp14:anchorId="0AA8A7FB" wp14:editId="0340EFD3">
            <wp:simplePos x="0" y="0"/>
            <wp:positionH relativeFrom="column">
              <wp:posOffset>4114800</wp:posOffset>
            </wp:positionH>
            <wp:positionV relativeFrom="paragraph">
              <wp:posOffset>162560</wp:posOffset>
            </wp:positionV>
            <wp:extent cx="2286000" cy="1828800"/>
            <wp:effectExtent l="0" t="0" r="19050" b="19050"/>
            <wp:wrapSquare wrapText="bothSides"/>
            <wp:docPr id="146" name="Chart 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36" w:name="_Toc57290083"/>
      <w:bookmarkStart w:id="137" w:name="_Toc57290218"/>
      <w:bookmarkStart w:id="138" w:name="_Toc61651464"/>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21</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ICB Islamic Bank</w:t>
      </w:r>
      <w:bookmarkEnd w:id="136"/>
      <w:bookmarkEnd w:id="137"/>
      <w:bookmarkEnd w:id="138"/>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-1.25%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-0.57%</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-0.70%</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0.46%</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-1.20%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-0.26%</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-0.54%</w:t>
            </w:r>
          </w:p>
        </w:tc>
      </w:tr>
    </w:tbl>
    <w:p w:rsidR="004217CE" w:rsidRPr="005D16C7" w:rsidRDefault="003F10CA" w:rsidP="005D16C7">
      <w:pPr>
        <w:pStyle w:val="Caption"/>
        <w:jc w:val="center"/>
        <w:rPr>
          <w:rFonts w:ascii="Times New Roman" w:hAnsi="Times New Roman" w:cs="Times New Roman"/>
          <w:color w:val="auto"/>
          <w:sz w:val="22"/>
          <w:szCs w:val="22"/>
        </w:rPr>
      </w:pPr>
      <w:bookmarkStart w:id="139" w:name="_Toc61651528"/>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25</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ICB Islamic Bank</w:t>
      </w:r>
      <w:bookmarkEnd w:id="139"/>
    </w:p>
    <w:p w:rsidR="003F10CA" w:rsidRDefault="004217CE" w:rsidP="004217CE">
      <w:pPr>
        <w:pStyle w:val="Caption"/>
        <w:jc w:val="center"/>
        <w:rPr>
          <w:b w:val="0"/>
        </w:rPr>
      </w:pPr>
      <w:r>
        <w:rPr>
          <w:noProof/>
        </w:rPr>
        <w:drawing>
          <wp:inline distT="0" distB="0" distL="0" distR="0" wp14:anchorId="6D3D287F" wp14:editId="5E478ED7">
            <wp:extent cx="5486400" cy="3200400"/>
            <wp:effectExtent l="0" t="0" r="19050" b="190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190CF7" w:rsidRDefault="003F10CA" w:rsidP="005D16C7">
      <w:pPr>
        <w:pStyle w:val="Caption"/>
        <w:jc w:val="center"/>
        <w:rPr>
          <w:rFonts w:ascii="Times New Roman" w:hAnsi="Times New Roman" w:cs="Times New Roman"/>
          <w:color w:val="auto"/>
          <w:sz w:val="22"/>
          <w:szCs w:val="22"/>
        </w:rPr>
      </w:pPr>
      <w:bookmarkStart w:id="140" w:name="_Toc61651465"/>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22</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ICB Islamic Bank</w:t>
      </w:r>
      <w:bookmarkEnd w:id="140"/>
      <w:r w:rsidR="005D16C7" w:rsidRPr="005D16C7">
        <w:rPr>
          <w:rFonts w:ascii="Times New Roman" w:hAnsi="Times New Roman" w:cs="Times New Roman"/>
          <w:color w:val="auto"/>
          <w:sz w:val="22"/>
          <w:szCs w:val="22"/>
        </w:rPr>
        <w:t xml:space="preserve"> </w:t>
      </w:r>
    </w:p>
    <w:p w:rsidR="00190CF7" w:rsidRDefault="00190CF7" w:rsidP="00190CF7">
      <w:pPr>
        <w:pStyle w:val="Caption"/>
        <w:jc w:val="both"/>
        <w:rPr>
          <w:rFonts w:ascii="Times New Roman" w:hAnsi="Times New Roman" w:cs="Times New Roman"/>
          <w:color w:val="auto"/>
          <w:sz w:val="22"/>
          <w:szCs w:val="22"/>
        </w:rPr>
      </w:pPr>
    </w:p>
    <w:p w:rsidR="008A307A" w:rsidRPr="005D16C7" w:rsidRDefault="00190CF7" w:rsidP="00190CF7">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sidRPr="005D16C7">
        <w:rPr>
          <w:rFonts w:ascii="Times New Roman" w:hAnsi="Times New Roman" w:cs="Times New Roman"/>
          <w:color w:val="auto"/>
          <w:sz w:val="22"/>
          <w:szCs w:val="22"/>
        </w:rPr>
        <w:br w:type="page"/>
      </w:r>
    </w:p>
    <w:p w:rsidR="008A307A" w:rsidRDefault="008A307A" w:rsidP="00FB1F30">
      <w:pPr>
        <w:pStyle w:val="Heading2"/>
        <w:rPr>
          <w:rFonts w:eastAsia="Times New Roman"/>
        </w:rPr>
      </w:pPr>
      <w:bookmarkStart w:id="141" w:name="_Toc62037724"/>
      <w:r w:rsidRPr="00401E81">
        <w:rPr>
          <w:rFonts w:eastAsia="Times New Roman"/>
        </w:rPr>
        <w:lastRenderedPageBreak/>
        <w:t>IFIC Bank:</w:t>
      </w:r>
      <w:bookmarkEnd w:id="141"/>
      <w:r w:rsidRPr="00401E81">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IFIC Bank the value for 2017 is 16.49, 2018 is -26.45 and 2019 is -25.93. It means return for 2017 is positive and both years 2018 and 2019 are negative. On the other hand the holding period return show the return parentage for 2017 is 0.16, 2018 is -0.26 and 2019 is -0.26. That indicates positive return for the year 2017. But both the year 2018 and 2019 is show negative return.</w:t>
      </w:r>
    </w:p>
    <w:p w:rsidR="008A307A" w:rsidRPr="00401E81"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401E81" w:rsidRDefault="008A307A" w:rsidP="008A307A">
            <w:pPr>
              <w:spacing w:line="288" w:lineRule="auto"/>
              <w:jc w:val="center"/>
              <w:rPr>
                <w:rFonts w:ascii="Times New Roman" w:hAnsi="Times New Roman" w:cs="Times New Roman"/>
                <w:color w:val="FFFFFF" w:themeColor="background1"/>
              </w:rPr>
            </w:pPr>
            <w:r w:rsidRPr="00401E81">
              <w:rPr>
                <w:rFonts w:ascii="Times New Roman" w:hAnsi="Times New Roman" w:cs="Times New Roman"/>
                <w:color w:val="FFFFFF" w:themeColor="background1"/>
              </w:rPr>
              <w:t>16.49</w:t>
            </w:r>
          </w:p>
        </w:tc>
        <w:tc>
          <w:tcPr>
            <w:tcW w:w="1226" w:type="dxa"/>
            <w:tcBorders>
              <w:top w:val="single" w:sz="6" w:space="0" w:color="FFFFFF" w:themeColor="background1"/>
            </w:tcBorders>
            <w:shd w:val="clear" w:color="auto" w:fill="943634" w:themeFill="accent2"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-26.45</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-25.93</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0.16</w:t>
            </w:r>
          </w:p>
        </w:tc>
        <w:tc>
          <w:tcPr>
            <w:tcW w:w="1226" w:type="dxa"/>
            <w:tcBorders>
              <w:top w:val="single" w:sz="6" w:space="0" w:color="FFFFFF" w:themeColor="background1"/>
            </w:tcBorders>
            <w:shd w:val="clear" w:color="auto" w:fill="5F497A" w:themeFill="accent4"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-0.26</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-0.26</w:t>
            </w:r>
          </w:p>
        </w:tc>
        <w:tc>
          <w:tcPr>
            <w:tcW w:w="1226" w:type="dxa"/>
            <w:tcBorders>
              <w:top w:val="single" w:sz="6" w:space="0" w:color="FFFFFF" w:themeColor="background1"/>
              <w:left w:val="single" w:sz="6" w:space="0" w:color="FFFFFF" w:themeColor="background1"/>
            </w:tcBorders>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16.49</w:t>
            </w:r>
          </w:p>
        </w:tc>
        <w:tc>
          <w:tcPr>
            <w:tcW w:w="1226" w:type="dxa"/>
            <w:tcBorders>
              <w:top w:val="single" w:sz="6" w:space="0" w:color="FFFFFF" w:themeColor="background1"/>
            </w:tcBorders>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-26.45</w:t>
            </w:r>
          </w:p>
        </w:tc>
        <w:tc>
          <w:tcPr>
            <w:tcW w:w="921" w:type="dxa"/>
            <w:tcBorders>
              <w:top w:val="single" w:sz="6" w:space="0" w:color="FFFFFF" w:themeColor="background1"/>
            </w:tcBorders>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-25.93</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42" w:name="_Toc57290054"/>
      <w:bookmarkStart w:id="143" w:name="_Toc57290375"/>
      <w:bookmarkStart w:id="144" w:name="_Toc61651529"/>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26</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IFIC Bank</w:t>
      </w:r>
      <w:bookmarkEnd w:id="142"/>
      <w:bookmarkEnd w:id="143"/>
      <w:bookmarkEnd w:id="144"/>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699200" behindDoc="0" locked="0" layoutInCell="1" allowOverlap="1" wp14:anchorId="7A3FC4DD" wp14:editId="7B704EAA">
            <wp:simplePos x="0" y="0"/>
            <wp:positionH relativeFrom="column">
              <wp:posOffset>1876425</wp:posOffset>
            </wp:positionH>
            <wp:positionV relativeFrom="paragraph">
              <wp:posOffset>167005</wp:posOffset>
            </wp:positionV>
            <wp:extent cx="2286000" cy="1828800"/>
            <wp:effectExtent l="0" t="0" r="19050" b="19050"/>
            <wp:wrapSquare wrapText="bothSides"/>
            <wp:docPr id="147" name="Chart 14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98176" behindDoc="0" locked="0" layoutInCell="1" allowOverlap="1" wp14:anchorId="1E86BDAE" wp14:editId="322781AC">
            <wp:simplePos x="0" y="0"/>
            <wp:positionH relativeFrom="column">
              <wp:posOffset>-409575</wp:posOffset>
            </wp:positionH>
            <wp:positionV relativeFrom="paragraph">
              <wp:posOffset>162560</wp:posOffset>
            </wp:positionV>
            <wp:extent cx="2286000" cy="1828800"/>
            <wp:effectExtent l="0" t="0" r="19050" b="19050"/>
            <wp:wrapSquare wrapText="bothSides"/>
            <wp:docPr id="148" name="Chart 1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00224" behindDoc="0" locked="0" layoutInCell="1" allowOverlap="1" wp14:anchorId="30A66593" wp14:editId="7A9373D1">
            <wp:simplePos x="0" y="0"/>
            <wp:positionH relativeFrom="column">
              <wp:posOffset>4114800</wp:posOffset>
            </wp:positionH>
            <wp:positionV relativeFrom="paragraph">
              <wp:posOffset>162560</wp:posOffset>
            </wp:positionV>
            <wp:extent cx="2286000" cy="1828800"/>
            <wp:effectExtent l="0" t="0" r="19050" b="19050"/>
            <wp:wrapSquare wrapText="bothSides"/>
            <wp:docPr id="149" name="Chart 1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45" w:name="_Toc57290084"/>
      <w:bookmarkStart w:id="146" w:name="_Toc57290219"/>
      <w:bookmarkStart w:id="147" w:name="_Toc61651466"/>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23</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IFIC Bank</w:t>
      </w:r>
      <w:bookmarkEnd w:id="145"/>
      <w:bookmarkEnd w:id="146"/>
      <w:bookmarkEnd w:id="147"/>
    </w:p>
    <w:p w:rsidR="001E042B" w:rsidRDefault="001E042B">
      <w:pPr>
        <w:rPr>
          <w:rFonts w:ascii="Times New Roman" w:hAnsi="Times New Roman" w:cs="Times New Roman"/>
        </w:rPr>
      </w:pPr>
    </w:p>
    <w:p w:rsidR="004217CE" w:rsidRDefault="001E042B" w:rsidP="001E042B">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2.07%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-0.68%</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-1.32%</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-0.53%</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1.33%</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-0.76%</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-0.33%</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-0.25%</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0.34%</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-0.25%</w:t>
            </w:r>
          </w:p>
        </w:tc>
      </w:tr>
    </w:tbl>
    <w:p w:rsidR="004217CE" w:rsidRPr="005D16C7" w:rsidRDefault="003F10CA" w:rsidP="005D16C7">
      <w:pPr>
        <w:pStyle w:val="Caption"/>
        <w:jc w:val="center"/>
        <w:rPr>
          <w:rFonts w:ascii="Times New Roman" w:hAnsi="Times New Roman" w:cs="Times New Roman"/>
          <w:color w:val="auto"/>
          <w:sz w:val="22"/>
          <w:szCs w:val="22"/>
        </w:rPr>
      </w:pPr>
      <w:bookmarkStart w:id="148" w:name="_Toc61651530"/>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27</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IFIC Bank</w:t>
      </w:r>
      <w:bookmarkEnd w:id="148"/>
    </w:p>
    <w:p w:rsidR="003F10CA" w:rsidRDefault="004217CE" w:rsidP="004217CE">
      <w:pPr>
        <w:pStyle w:val="Caption"/>
        <w:jc w:val="center"/>
        <w:rPr>
          <w:b w:val="0"/>
        </w:rPr>
      </w:pPr>
      <w:r>
        <w:rPr>
          <w:noProof/>
        </w:rPr>
        <w:drawing>
          <wp:inline distT="0" distB="0" distL="0" distR="0" wp14:anchorId="05CF1AB5" wp14:editId="754035F1">
            <wp:extent cx="5486400" cy="3200400"/>
            <wp:effectExtent l="0" t="0" r="19050" b="1905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190CF7" w:rsidRDefault="003F10CA" w:rsidP="005D16C7">
      <w:pPr>
        <w:pStyle w:val="Caption"/>
        <w:jc w:val="center"/>
        <w:rPr>
          <w:b w:val="0"/>
        </w:rPr>
      </w:pPr>
      <w:bookmarkStart w:id="149" w:name="_Toc61651467"/>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24</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IFIC Bank</w:t>
      </w:r>
      <w:bookmarkEnd w:id="149"/>
      <w:r w:rsidR="005D16C7">
        <w:rPr>
          <w:b w:val="0"/>
        </w:rPr>
        <w:t xml:space="preserve"> </w:t>
      </w:r>
    </w:p>
    <w:p w:rsidR="00190CF7" w:rsidRDefault="00190CF7" w:rsidP="005D16C7">
      <w:pPr>
        <w:pStyle w:val="Caption"/>
        <w:jc w:val="center"/>
        <w:rPr>
          <w:b w:val="0"/>
        </w:rPr>
      </w:pPr>
    </w:p>
    <w:p w:rsidR="008A307A" w:rsidRDefault="00190CF7" w:rsidP="00190CF7">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Pr="00401E81" w:rsidRDefault="008A307A" w:rsidP="00FB1F30">
      <w:pPr>
        <w:pStyle w:val="Heading2"/>
        <w:rPr>
          <w:rFonts w:eastAsia="Times New Roman"/>
        </w:rPr>
      </w:pPr>
      <w:bookmarkStart w:id="150" w:name="_Toc62037725"/>
      <w:proofErr w:type="spellStart"/>
      <w:r w:rsidRPr="00401E81">
        <w:rPr>
          <w:rFonts w:eastAsia="Times New Roman"/>
        </w:rPr>
        <w:lastRenderedPageBreak/>
        <w:t>Islami</w:t>
      </w:r>
      <w:proofErr w:type="spellEnd"/>
      <w:r w:rsidRPr="00401E81">
        <w:rPr>
          <w:rFonts w:eastAsia="Times New Roman"/>
        </w:rPr>
        <w:t xml:space="preserve"> Bank Bangladesh:</w:t>
      </w:r>
      <w:bookmarkEnd w:id="150"/>
      <w:r w:rsidRPr="00401E81">
        <w:rPr>
          <w:rFonts w:eastAsia="Times New Roman"/>
        </w:rPr>
        <w:t xml:space="preserve"> </w:t>
      </w:r>
    </w:p>
    <w:p w:rsidR="008A307A" w:rsidRDefault="008A307A" w:rsidP="008A307A">
      <w:pPr>
        <w:spacing w:after="0" w:line="288" w:lineRule="auto"/>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w:t>
      </w:r>
      <w:proofErr w:type="spellStart"/>
      <w:r w:rsidRPr="0023061F">
        <w:rPr>
          <w:rFonts w:ascii="Times New Roman" w:hAnsi="Times New Roman" w:cs="Times New Roman"/>
          <w:sz w:val="24"/>
          <w:szCs w:val="24"/>
        </w:rPr>
        <w:t>Islami</w:t>
      </w:r>
      <w:proofErr w:type="spellEnd"/>
      <w:r w:rsidRPr="0023061F">
        <w:rPr>
          <w:rFonts w:ascii="Times New Roman" w:hAnsi="Times New Roman" w:cs="Times New Roman"/>
          <w:sz w:val="24"/>
          <w:szCs w:val="24"/>
        </w:rPr>
        <w:t xml:space="preserve"> Bank Bangladesh the value for 2017 is -18.85, 2018 is -29.03 and 2019 is -29.78. It means return for all the three year 2017, 2018 and 2019 negative. On the other hand the holding period return show the return parentage for 2017 is 0.81, 2018 is 0.71 and 2019 is 0.70. That indicates positive return for all the three the year.</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401E81" w:rsidRDefault="008A307A" w:rsidP="008A307A">
            <w:pPr>
              <w:spacing w:line="288" w:lineRule="auto"/>
              <w:jc w:val="center"/>
              <w:rPr>
                <w:rFonts w:ascii="Times New Roman" w:hAnsi="Times New Roman" w:cs="Times New Roman"/>
                <w:color w:val="FFFFFF" w:themeColor="background1"/>
              </w:rPr>
            </w:pPr>
            <w:r w:rsidRPr="00401E81">
              <w:rPr>
                <w:rFonts w:ascii="Times New Roman" w:hAnsi="Times New Roman" w:cs="Times New Roman"/>
                <w:color w:val="FFFFFF" w:themeColor="background1"/>
              </w:rPr>
              <w:t>-18.85</w:t>
            </w:r>
          </w:p>
        </w:tc>
        <w:tc>
          <w:tcPr>
            <w:tcW w:w="1226" w:type="dxa"/>
            <w:tcBorders>
              <w:top w:val="single" w:sz="6" w:space="0" w:color="FFFFFF" w:themeColor="background1"/>
            </w:tcBorders>
            <w:shd w:val="clear" w:color="auto" w:fill="943634" w:themeFill="accent2"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-29.03</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-29.78</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0.81</w:t>
            </w:r>
          </w:p>
        </w:tc>
        <w:tc>
          <w:tcPr>
            <w:tcW w:w="1226" w:type="dxa"/>
            <w:tcBorders>
              <w:top w:val="single" w:sz="6" w:space="0" w:color="FFFFFF" w:themeColor="background1"/>
            </w:tcBorders>
            <w:shd w:val="clear" w:color="auto" w:fill="5F497A" w:themeFill="accent4"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0.71</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0.70</w:t>
            </w:r>
          </w:p>
        </w:tc>
        <w:tc>
          <w:tcPr>
            <w:tcW w:w="1226" w:type="dxa"/>
            <w:tcBorders>
              <w:top w:val="single" w:sz="6" w:space="0" w:color="FFFFFF" w:themeColor="background1"/>
              <w:left w:val="single" w:sz="6" w:space="0" w:color="FFFFFF" w:themeColor="background1"/>
            </w:tcBorders>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-18.85</w:t>
            </w:r>
          </w:p>
        </w:tc>
        <w:tc>
          <w:tcPr>
            <w:tcW w:w="1226" w:type="dxa"/>
            <w:tcBorders>
              <w:top w:val="single" w:sz="6" w:space="0" w:color="FFFFFF" w:themeColor="background1"/>
            </w:tcBorders>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-29.03</w:t>
            </w:r>
          </w:p>
        </w:tc>
        <w:tc>
          <w:tcPr>
            <w:tcW w:w="921" w:type="dxa"/>
            <w:tcBorders>
              <w:top w:val="single" w:sz="6" w:space="0" w:color="FFFFFF" w:themeColor="background1"/>
            </w:tcBorders>
            <w:vAlign w:val="center"/>
          </w:tcPr>
          <w:p w:rsidR="008A307A" w:rsidRPr="00401E8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401E81">
              <w:rPr>
                <w:rFonts w:ascii="Times New Roman" w:hAnsi="Times New Roman" w:cs="Times New Roman"/>
                <w:b/>
                <w:color w:val="FFFFFF" w:themeColor="background1"/>
              </w:rPr>
              <w:t>-29.78</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51" w:name="_Toc57290055"/>
      <w:bookmarkStart w:id="152" w:name="_Toc57290376"/>
      <w:bookmarkStart w:id="153" w:name="_Toc61651531"/>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28</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Islamic Bank Bangladesh</w:t>
      </w:r>
      <w:bookmarkEnd w:id="151"/>
      <w:bookmarkEnd w:id="152"/>
      <w:bookmarkEnd w:id="153"/>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02272" behindDoc="0" locked="0" layoutInCell="1" allowOverlap="1" wp14:anchorId="3B62547D" wp14:editId="46501581">
            <wp:simplePos x="0" y="0"/>
            <wp:positionH relativeFrom="column">
              <wp:posOffset>1876425</wp:posOffset>
            </wp:positionH>
            <wp:positionV relativeFrom="paragraph">
              <wp:posOffset>167005</wp:posOffset>
            </wp:positionV>
            <wp:extent cx="2286000" cy="1828800"/>
            <wp:effectExtent l="0" t="0" r="19050" b="19050"/>
            <wp:wrapSquare wrapText="bothSides"/>
            <wp:docPr id="150" name="Chart 150"/>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01248" behindDoc="0" locked="0" layoutInCell="1" allowOverlap="1" wp14:anchorId="0955C464" wp14:editId="3A5BF197">
            <wp:simplePos x="0" y="0"/>
            <wp:positionH relativeFrom="column">
              <wp:posOffset>-409575</wp:posOffset>
            </wp:positionH>
            <wp:positionV relativeFrom="paragraph">
              <wp:posOffset>162560</wp:posOffset>
            </wp:positionV>
            <wp:extent cx="2286000" cy="1828800"/>
            <wp:effectExtent l="0" t="0" r="19050" b="19050"/>
            <wp:wrapSquare wrapText="bothSides"/>
            <wp:docPr id="151" name="Chart 15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03296" behindDoc="0" locked="0" layoutInCell="1" allowOverlap="1" wp14:anchorId="74500FB5" wp14:editId="3E779B80">
            <wp:simplePos x="0" y="0"/>
            <wp:positionH relativeFrom="column">
              <wp:posOffset>4114800</wp:posOffset>
            </wp:positionH>
            <wp:positionV relativeFrom="paragraph">
              <wp:posOffset>162560</wp:posOffset>
            </wp:positionV>
            <wp:extent cx="2286000" cy="1828800"/>
            <wp:effectExtent l="0" t="0" r="19050" b="19050"/>
            <wp:wrapSquare wrapText="bothSides"/>
            <wp:docPr id="152" name="Chart 1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54" w:name="_Toc57290085"/>
      <w:bookmarkStart w:id="155" w:name="_Toc57290220"/>
      <w:bookmarkStart w:id="156" w:name="_Toc61651468"/>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25</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Islamic Bank Bangladesh</w:t>
      </w:r>
      <w:bookmarkEnd w:id="154"/>
      <w:bookmarkEnd w:id="155"/>
      <w:bookmarkEnd w:id="156"/>
    </w:p>
    <w:p w:rsidR="00E50681" w:rsidRDefault="00E50681">
      <w:pPr>
        <w:rPr>
          <w:rFonts w:ascii="Times New Roman" w:hAnsi="Times New Roman" w:cs="Times New Roman"/>
        </w:rPr>
      </w:pPr>
    </w:p>
    <w:p w:rsidR="004217CE"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-0.29%</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0.19%</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-0.13%</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-0.11%</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0.36%</w:t>
            </w:r>
          </w:p>
        </w:tc>
      </w:tr>
    </w:tbl>
    <w:p w:rsidR="004217CE" w:rsidRPr="005D16C7" w:rsidRDefault="003F10CA" w:rsidP="005D16C7">
      <w:pPr>
        <w:pStyle w:val="Caption"/>
        <w:jc w:val="center"/>
        <w:rPr>
          <w:rFonts w:ascii="Times New Roman" w:hAnsi="Times New Roman" w:cs="Times New Roman"/>
          <w:color w:val="auto"/>
          <w:sz w:val="22"/>
          <w:szCs w:val="22"/>
        </w:rPr>
      </w:pPr>
      <w:bookmarkStart w:id="157" w:name="_Toc61651532"/>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29</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Islamic Bank Bangladesh</w:t>
      </w:r>
      <w:bookmarkEnd w:id="157"/>
    </w:p>
    <w:p w:rsidR="003F10CA" w:rsidRDefault="004217CE" w:rsidP="004217CE">
      <w:pPr>
        <w:pStyle w:val="Caption"/>
        <w:jc w:val="center"/>
        <w:rPr>
          <w:b w:val="0"/>
        </w:rPr>
      </w:pPr>
      <w:r>
        <w:rPr>
          <w:noProof/>
        </w:rPr>
        <w:drawing>
          <wp:inline distT="0" distB="0" distL="0" distR="0" wp14:anchorId="0D954403" wp14:editId="325ED7A5">
            <wp:extent cx="5486400" cy="3200400"/>
            <wp:effectExtent l="0" t="0" r="19050"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190CF7" w:rsidRDefault="003F10CA" w:rsidP="005D16C7">
      <w:pPr>
        <w:pStyle w:val="Caption"/>
        <w:jc w:val="center"/>
        <w:rPr>
          <w:rFonts w:ascii="Times New Roman" w:hAnsi="Times New Roman" w:cs="Times New Roman"/>
          <w:color w:val="auto"/>
          <w:sz w:val="22"/>
          <w:szCs w:val="22"/>
        </w:rPr>
      </w:pPr>
      <w:bookmarkStart w:id="158" w:name="_Toc61651469"/>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26</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Islamic Bank Bangladesh</w:t>
      </w:r>
      <w:bookmarkEnd w:id="158"/>
      <w:r w:rsidR="005D16C7" w:rsidRPr="005D16C7">
        <w:rPr>
          <w:rFonts w:ascii="Times New Roman" w:hAnsi="Times New Roman" w:cs="Times New Roman"/>
          <w:color w:val="auto"/>
          <w:sz w:val="22"/>
          <w:szCs w:val="22"/>
        </w:rPr>
        <w:t xml:space="preserve"> </w:t>
      </w:r>
    </w:p>
    <w:p w:rsidR="00190CF7" w:rsidRDefault="00190CF7" w:rsidP="005D16C7">
      <w:pPr>
        <w:pStyle w:val="Caption"/>
        <w:jc w:val="center"/>
        <w:rPr>
          <w:rFonts w:ascii="Times New Roman" w:hAnsi="Times New Roman" w:cs="Times New Roman"/>
          <w:color w:val="auto"/>
          <w:sz w:val="22"/>
          <w:szCs w:val="22"/>
        </w:rPr>
      </w:pPr>
    </w:p>
    <w:p w:rsidR="008A307A" w:rsidRPr="005D16C7" w:rsidRDefault="00190CF7" w:rsidP="00190CF7">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sidRPr="005D16C7">
        <w:rPr>
          <w:rFonts w:ascii="Times New Roman" w:hAnsi="Times New Roman" w:cs="Times New Roman"/>
          <w:color w:val="auto"/>
          <w:sz w:val="22"/>
          <w:szCs w:val="22"/>
        </w:rPr>
        <w:br w:type="page"/>
      </w:r>
    </w:p>
    <w:p w:rsidR="008A307A" w:rsidRDefault="008A307A" w:rsidP="00FB1F30">
      <w:pPr>
        <w:pStyle w:val="Heading2"/>
        <w:rPr>
          <w:rFonts w:eastAsia="Times New Roman"/>
        </w:rPr>
      </w:pPr>
      <w:bookmarkStart w:id="159" w:name="_Toc62037726"/>
      <w:proofErr w:type="spellStart"/>
      <w:r w:rsidRPr="00401E81">
        <w:rPr>
          <w:rFonts w:eastAsia="Times New Roman"/>
        </w:rPr>
        <w:lastRenderedPageBreak/>
        <w:t>Jamuna</w:t>
      </w:r>
      <w:proofErr w:type="spellEnd"/>
      <w:r w:rsidRPr="00401E81">
        <w:rPr>
          <w:rFonts w:eastAsia="Times New Roman"/>
        </w:rPr>
        <w:t xml:space="preserve"> Bank:</w:t>
      </w:r>
      <w:bookmarkEnd w:id="159"/>
      <w:r w:rsidRPr="00401E81">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w:t>
      </w:r>
      <w:proofErr w:type="spellStart"/>
      <w:r w:rsidRPr="0023061F">
        <w:rPr>
          <w:rFonts w:ascii="Times New Roman" w:hAnsi="Times New Roman" w:cs="Times New Roman"/>
          <w:sz w:val="24"/>
          <w:szCs w:val="24"/>
        </w:rPr>
        <w:t>Jamuna</w:t>
      </w:r>
      <w:proofErr w:type="spellEnd"/>
      <w:r w:rsidRPr="0023061F">
        <w:rPr>
          <w:rFonts w:ascii="Times New Roman" w:hAnsi="Times New Roman" w:cs="Times New Roman"/>
          <w:sz w:val="24"/>
          <w:szCs w:val="24"/>
        </w:rPr>
        <w:t xml:space="preserve"> Bank the value for 2017 is 20.84, 2018 is 4.76 and 2019 is -7.96. It means return for year 2017 and 2018 is positive and years 2019 is negative. On the other hand the holding period return show the return parentage for 2017 is 1.89, 2018 is 0.05 and 2019 is 1.92. That indicates positive return for all the three year 2017, 2018 and 2019.</w:t>
      </w:r>
    </w:p>
    <w:p w:rsidR="008A307A" w:rsidRPr="00401E81"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75187C" w:rsidRDefault="008A307A" w:rsidP="008A307A">
            <w:pPr>
              <w:spacing w:line="288" w:lineRule="auto"/>
              <w:jc w:val="center"/>
              <w:rPr>
                <w:rFonts w:ascii="Times New Roman" w:hAnsi="Times New Roman" w:cs="Times New Roman"/>
                <w:color w:val="FFFFFF" w:themeColor="background1"/>
              </w:rPr>
            </w:pPr>
            <w:r w:rsidRPr="0075187C">
              <w:rPr>
                <w:rFonts w:ascii="Times New Roman" w:hAnsi="Times New Roman" w:cs="Times New Roman"/>
                <w:color w:val="FFFFFF" w:themeColor="background1"/>
              </w:rPr>
              <w:t>20.84</w:t>
            </w:r>
          </w:p>
        </w:tc>
        <w:tc>
          <w:tcPr>
            <w:tcW w:w="1226" w:type="dxa"/>
            <w:tcBorders>
              <w:top w:val="single" w:sz="6" w:space="0" w:color="FFFFFF" w:themeColor="background1"/>
            </w:tcBorders>
            <w:shd w:val="clear" w:color="auto" w:fill="943634" w:themeFill="accent2" w:themeFillShade="BF"/>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4.76</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-7.96</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1.89</w:t>
            </w:r>
          </w:p>
        </w:tc>
        <w:tc>
          <w:tcPr>
            <w:tcW w:w="1226" w:type="dxa"/>
            <w:tcBorders>
              <w:top w:val="single" w:sz="6" w:space="0" w:color="FFFFFF" w:themeColor="background1"/>
            </w:tcBorders>
            <w:shd w:val="clear" w:color="auto" w:fill="5F497A" w:themeFill="accent4" w:themeFillShade="BF"/>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0.05</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1.92</w:t>
            </w:r>
          </w:p>
        </w:tc>
        <w:tc>
          <w:tcPr>
            <w:tcW w:w="1226" w:type="dxa"/>
            <w:tcBorders>
              <w:top w:val="single" w:sz="6" w:space="0" w:color="FFFFFF" w:themeColor="background1"/>
              <w:left w:val="single" w:sz="6" w:space="0" w:color="FFFFFF" w:themeColor="background1"/>
            </w:tcBorders>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20.84</w:t>
            </w:r>
          </w:p>
        </w:tc>
        <w:tc>
          <w:tcPr>
            <w:tcW w:w="1226" w:type="dxa"/>
            <w:tcBorders>
              <w:top w:val="single" w:sz="6" w:space="0" w:color="FFFFFF" w:themeColor="background1"/>
            </w:tcBorders>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4.76</w:t>
            </w:r>
          </w:p>
        </w:tc>
        <w:tc>
          <w:tcPr>
            <w:tcW w:w="921" w:type="dxa"/>
            <w:tcBorders>
              <w:top w:val="single" w:sz="6" w:space="0" w:color="FFFFFF" w:themeColor="background1"/>
            </w:tcBorders>
            <w:vAlign w:val="center"/>
          </w:tcPr>
          <w:p w:rsidR="008A307A" w:rsidRPr="0075187C"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75187C">
              <w:rPr>
                <w:rFonts w:ascii="Times New Roman" w:hAnsi="Times New Roman" w:cs="Times New Roman"/>
                <w:b/>
                <w:color w:val="FFFFFF" w:themeColor="background1"/>
              </w:rPr>
              <w:t>-7.96</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60" w:name="_Toc57290056"/>
      <w:bookmarkStart w:id="161" w:name="_Toc57290377"/>
      <w:bookmarkStart w:id="162" w:name="_Toc61651533"/>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30</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w:t>
      </w:r>
      <w:proofErr w:type="spellStart"/>
      <w:r w:rsidRPr="00400BEC">
        <w:rPr>
          <w:rFonts w:ascii="Times New Roman" w:hAnsi="Times New Roman" w:cs="Times New Roman"/>
          <w:color w:val="auto"/>
          <w:sz w:val="22"/>
          <w:szCs w:val="22"/>
        </w:rPr>
        <w:t>Jamuna</w:t>
      </w:r>
      <w:proofErr w:type="spellEnd"/>
      <w:r w:rsidRPr="00400BEC">
        <w:rPr>
          <w:rFonts w:ascii="Times New Roman" w:hAnsi="Times New Roman" w:cs="Times New Roman"/>
          <w:color w:val="auto"/>
          <w:sz w:val="22"/>
          <w:szCs w:val="22"/>
        </w:rPr>
        <w:t xml:space="preserve"> Bank</w:t>
      </w:r>
      <w:bookmarkEnd w:id="160"/>
      <w:bookmarkEnd w:id="161"/>
      <w:bookmarkEnd w:id="162"/>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05344" behindDoc="0" locked="0" layoutInCell="1" allowOverlap="1" wp14:anchorId="7B83A363" wp14:editId="042013FD">
            <wp:simplePos x="0" y="0"/>
            <wp:positionH relativeFrom="column">
              <wp:posOffset>1876425</wp:posOffset>
            </wp:positionH>
            <wp:positionV relativeFrom="paragraph">
              <wp:posOffset>167005</wp:posOffset>
            </wp:positionV>
            <wp:extent cx="2286000" cy="1828800"/>
            <wp:effectExtent l="0" t="0" r="19050" b="19050"/>
            <wp:wrapSquare wrapText="bothSides"/>
            <wp:docPr id="153" name="Chart 153"/>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04320" behindDoc="0" locked="0" layoutInCell="1" allowOverlap="1" wp14:anchorId="5DAB9086" wp14:editId="19D446B0">
            <wp:simplePos x="0" y="0"/>
            <wp:positionH relativeFrom="column">
              <wp:posOffset>-409575</wp:posOffset>
            </wp:positionH>
            <wp:positionV relativeFrom="paragraph">
              <wp:posOffset>162560</wp:posOffset>
            </wp:positionV>
            <wp:extent cx="2286000" cy="1828800"/>
            <wp:effectExtent l="0" t="0" r="19050" b="19050"/>
            <wp:wrapSquare wrapText="bothSides"/>
            <wp:docPr id="154" name="Chart 1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06368" behindDoc="0" locked="0" layoutInCell="1" allowOverlap="1" wp14:anchorId="7FA897E3" wp14:editId="01D7EA63">
            <wp:simplePos x="0" y="0"/>
            <wp:positionH relativeFrom="column">
              <wp:posOffset>4114800</wp:posOffset>
            </wp:positionH>
            <wp:positionV relativeFrom="paragraph">
              <wp:posOffset>162560</wp:posOffset>
            </wp:positionV>
            <wp:extent cx="2286000" cy="1828800"/>
            <wp:effectExtent l="0" t="0" r="19050" b="19050"/>
            <wp:wrapSquare wrapText="bothSides"/>
            <wp:docPr id="155" name="Chart 15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63" w:name="_Toc57290086"/>
      <w:bookmarkStart w:id="164" w:name="_Toc57290221"/>
      <w:bookmarkStart w:id="165" w:name="_Toc61651470"/>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27</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Yearly returns of </w:t>
      </w:r>
      <w:proofErr w:type="spellStart"/>
      <w:r w:rsidRPr="00400BEC">
        <w:rPr>
          <w:rFonts w:ascii="Times New Roman" w:hAnsi="Times New Roman" w:cs="Times New Roman"/>
          <w:color w:val="auto"/>
          <w:sz w:val="22"/>
          <w:szCs w:val="22"/>
        </w:rPr>
        <w:t>Jamuna</w:t>
      </w:r>
      <w:proofErr w:type="spellEnd"/>
      <w:r w:rsidRPr="00400BEC">
        <w:rPr>
          <w:rFonts w:ascii="Times New Roman" w:hAnsi="Times New Roman" w:cs="Times New Roman"/>
          <w:color w:val="auto"/>
          <w:sz w:val="22"/>
          <w:szCs w:val="22"/>
        </w:rPr>
        <w:t xml:space="preserve"> Bank</w:t>
      </w:r>
      <w:bookmarkEnd w:id="163"/>
      <w:bookmarkEnd w:id="164"/>
      <w:bookmarkEnd w:id="165"/>
    </w:p>
    <w:p w:rsidR="00E50681" w:rsidRDefault="00E50681">
      <w:pPr>
        <w:rPr>
          <w:rFonts w:ascii="Times New Roman" w:hAnsi="Times New Roman" w:cs="Times New Roman"/>
        </w:rPr>
      </w:pPr>
    </w:p>
    <w:p w:rsidR="004217CE"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-0.85%</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-0.44%</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-0.24%</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0.43%</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-0.35%</w:t>
            </w:r>
          </w:p>
        </w:tc>
      </w:tr>
    </w:tbl>
    <w:p w:rsidR="004217CE" w:rsidRPr="005D16C7" w:rsidRDefault="003F10CA" w:rsidP="005D16C7">
      <w:pPr>
        <w:pStyle w:val="Caption"/>
        <w:jc w:val="center"/>
        <w:rPr>
          <w:rFonts w:ascii="Times New Roman" w:hAnsi="Times New Roman" w:cs="Times New Roman"/>
          <w:color w:val="auto"/>
          <w:sz w:val="22"/>
          <w:szCs w:val="22"/>
        </w:rPr>
      </w:pPr>
      <w:bookmarkStart w:id="166" w:name="_Toc61651534"/>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31</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400BEC">
        <w:rPr>
          <w:rFonts w:ascii="Times New Roman" w:hAnsi="Times New Roman" w:cs="Times New Roman"/>
          <w:color w:val="auto"/>
          <w:sz w:val="22"/>
          <w:szCs w:val="22"/>
        </w:rPr>
        <w:t>Jamuna</w:t>
      </w:r>
      <w:proofErr w:type="spellEnd"/>
      <w:r w:rsidR="005D16C7" w:rsidRPr="00400BEC">
        <w:rPr>
          <w:rFonts w:ascii="Times New Roman" w:hAnsi="Times New Roman" w:cs="Times New Roman"/>
          <w:color w:val="auto"/>
          <w:sz w:val="22"/>
          <w:szCs w:val="22"/>
        </w:rPr>
        <w:t xml:space="preserve"> Bank</w:t>
      </w:r>
      <w:bookmarkEnd w:id="166"/>
    </w:p>
    <w:p w:rsidR="003F10CA" w:rsidRDefault="004217CE" w:rsidP="004217CE">
      <w:pPr>
        <w:pStyle w:val="Caption"/>
        <w:jc w:val="center"/>
        <w:rPr>
          <w:b w:val="0"/>
        </w:rPr>
      </w:pPr>
      <w:r>
        <w:rPr>
          <w:noProof/>
        </w:rPr>
        <w:drawing>
          <wp:inline distT="0" distB="0" distL="0" distR="0" wp14:anchorId="5347824C" wp14:editId="795E8F80">
            <wp:extent cx="5486400" cy="3200400"/>
            <wp:effectExtent l="0" t="0" r="1905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190CF7" w:rsidRDefault="003F10CA" w:rsidP="005D16C7">
      <w:pPr>
        <w:pStyle w:val="Caption"/>
        <w:jc w:val="center"/>
        <w:rPr>
          <w:b w:val="0"/>
        </w:rPr>
      </w:pPr>
      <w:bookmarkStart w:id="167" w:name="_Toc61651471"/>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28</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400BEC">
        <w:rPr>
          <w:rFonts w:ascii="Times New Roman" w:hAnsi="Times New Roman" w:cs="Times New Roman"/>
          <w:color w:val="auto"/>
          <w:sz w:val="22"/>
          <w:szCs w:val="22"/>
        </w:rPr>
        <w:t>Jamuna</w:t>
      </w:r>
      <w:proofErr w:type="spellEnd"/>
      <w:r w:rsidR="005D16C7" w:rsidRPr="00400BEC">
        <w:rPr>
          <w:rFonts w:ascii="Times New Roman" w:hAnsi="Times New Roman" w:cs="Times New Roman"/>
          <w:color w:val="auto"/>
          <w:sz w:val="22"/>
          <w:szCs w:val="22"/>
        </w:rPr>
        <w:t xml:space="preserve"> Bank</w:t>
      </w:r>
      <w:bookmarkEnd w:id="167"/>
      <w:r w:rsidR="005D16C7">
        <w:rPr>
          <w:b w:val="0"/>
        </w:rPr>
        <w:t xml:space="preserve"> </w:t>
      </w:r>
    </w:p>
    <w:p w:rsidR="00190CF7" w:rsidRDefault="00190CF7" w:rsidP="005D16C7">
      <w:pPr>
        <w:pStyle w:val="Caption"/>
        <w:jc w:val="center"/>
        <w:rPr>
          <w:b w:val="0"/>
        </w:rPr>
      </w:pPr>
    </w:p>
    <w:p w:rsidR="00190CF7" w:rsidRPr="00190CF7" w:rsidRDefault="00190CF7" w:rsidP="00190CF7">
      <w:pPr>
        <w:spacing w:line="360" w:lineRule="auto"/>
        <w:jc w:val="both"/>
      </w:pPr>
      <w:r w:rsidRPr="00190CF7">
        <w:rPr>
          <w:rFonts w:ascii="Times New Roman" w:hAnsi="Times New Roman" w:cs="Times New Roman"/>
          <w:sz w:val="24"/>
          <w:szCs w:val="24"/>
        </w:rPr>
        <w:t xml:space="preserve">After calculate the return I find that, beginning of 2019 the compound growths rate is positive but over the period the compound growth rate were </w:t>
      </w:r>
      <w:r>
        <w:rPr>
          <w:rFonts w:ascii="Times New Roman" w:hAnsi="Times New Roman" w:cs="Times New Roman"/>
          <w:sz w:val="24"/>
          <w:szCs w:val="24"/>
        </w:rPr>
        <w:t>both positive and</w:t>
      </w:r>
      <w:r w:rsidRPr="00190CF7">
        <w:rPr>
          <w:rFonts w:ascii="Times New Roman" w:hAnsi="Times New Roman" w:cs="Times New Roman"/>
          <w:sz w:val="24"/>
          <w:szCs w:val="24"/>
        </w:rPr>
        <w:t xml:space="preserve"> negative pattern. So, I can say the return growth rate from this investment was </w:t>
      </w:r>
      <w:r>
        <w:rPr>
          <w:rFonts w:ascii="Times New Roman" w:hAnsi="Times New Roman" w:cs="Times New Roman"/>
          <w:sz w:val="24"/>
          <w:szCs w:val="24"/>
        </w:rPr>
        <w:t xml:space="preserve">less </w:t>
      </w:r>
      <w:r w:rsidRPr="00190CF7">
        <w:rPr>
          <w:rFonts w:ascii="Times New Roman" w:hAnsi="Times New Roman" w:cs="Times New Roman"/>
          <w:sz w:val="24"/>
          <w:szCs w:val="24"/>
        </w:rPr>
        <w:t xml:space="preserve">risker. The return volatility explains that profit was </w:t>
      </w:r>
      <w:r>
        <w:rPr>
          <w:rFonts w:ascii="Times New Roman" w:hAnsi="Times New Roman" w:cs="Times New Roman"/>
          <w:sz w:val="24"/>
          <w:szCs w:val="24"/>
        </w:rPr>
        <w:t>more</w:t>
      </w:r>
      <w:r w:rsidRPr="00190CF7">
        <w:rPr>
          <w:rFonts w:ascii="Times New Roman" w:hAnsi="Times New Roman" w:cs="Times New Roman"/>
          <w:sz w:val="24"/>
          <w:szCs w:val="24"/>
        </w:rPr>
        <w:t xml:space="preserve"> than the loss growth return rate. For More accurate results I calculate daily absolute returns which you found in calculation part also show the same results. The reason behind this scenario was decreasing stock value over the time.</w:t>
      </w:r>
    </w:p>
    <w:p w:rsidR="008A307A" w:rsidRDefault="008A307A" w:rsidP="00190CF7">
      <w:pPr>
        <w:pStyle w:val="Caption"/>
        <w:rPr>
          <w:b w:val="0"/>
        </w:rPr>
      </w:pPr>
      <w:r>
        <w:rPr>
          <w:b w:val="0"/>
        </w:rPr>
        <w:br w:type="page"/>
      </w:r>
    </w:p>
    <w:p w:rsidR="008A307A" w:rsidRPr="0075187C" w:rsidRDefault="008A307A" w:rsidP="00FB1F30">
      <w:pPr>
        <w:pStyle w:val="Heading2"/>
        <w:rPr>
          <w:rFonts w:eastAsia="Times New Roman"/>
        </w:rPr>
      </w:pPr>
      <w:bookmarkStart w:id="168" w:name="_Toc62037727"/>
      <w:r w:rsidRPr="0075187C">
        <w:rPr>
          <w:rFonts w:eastAsia="Times New Roman"/>
        </w:rPr>
        <w:lastRenderedPageBreak/>
        <w:t>Mercantile Bank:</w:t>
      </w:r>
      <w:bookmarkEnd w:id="168"/>
      <w:r w:rsidRPr="0075187C">
        <w:rPr>
          <w:rFonts w:eastAsia="Times New Roman"/>
        </w:rPr>
        <w:t xml:space="preserve"> </w:t>
      </w:r>
    </w:p>
    <w:p w:rsidR="008A307A" w:rsidRPr="0023061F" w:rsidRDefault="008A307A" w:rsidP="0023061F">
      <w:pPr>
        <w:spacing w:after="0" w:line="288" w:lineRule="auto"/>
        <w:ind w:left="360"/>
        <w:jc w:val="both"/>
        <w:rPr>
          <w:rFonts w:ascii="Times New Roman" w:hAnsi="Times New Roman" w:cs="Times New Roman"/>
          <w:sz w:val="24"/>
          <w:szCs w:val="24"/>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Mercantile Bank the value for 2017 is 57.49, 2018 is -20.56 and 2019 is -19.68. It means return for 2017 is positive and both years 2018 and 2019 are negative. On the other hand the holding period return show the return parentage for 2017 is 2.00, 2018 is 1.27 and 2019 is -0.20. That indicates negative return for the year 2017. But both the year 2017 and 2018 is show positive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945EEB" w:rsidRDefault="008A307A" w:rsidP="008A307A">
            <w:pPr>
              <w:spacing w:line="288" w:lineRule="auto"/>
              <w:jc w:val="center"/>
              <w:rPr>
                <w:rFonts w:ascii="Times New Roman" w:hAnsi="Times New Roman" w:cs="Times New Roman"/>
                <w:color w:val="FFFFFF" w:themeColor="background1"/>
              </w:rPr>
            </w:pPr>
            <w:r w:rsidRPr="00945EEB">
              <w:rPr>
                <w:rFonts w:ascii="Times New Roman" w:hAnsi="Times New Roman" w:cs="Times New Roman"/>
                <w:color w:val="FFFFFF" w:themeColor="background1"/>
              </w:rPr>
              <w:t>57.49</w:t>
            </w:r>
          </w:p>
        </w:tc>
        <w:tc>
          <w:tcPr>
            <w:tcW w:w="1226" w:type="dxa"/>
            <w:tcBorders>
              <w:top w:val="single" w:sz="6" w:space="0" w:color="FFFFFF" w:themeColor="background1"/>
            </w:tcBorders>
            <w:shd w:val="clear" w:color="auto" w:fill="943634" w:themeFill="accent2"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-20.56</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-19.68</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2.00</w:t>
            </w:r>
          </w:p>
        </w:tc>
        <w:tc>
          <w:tcPr>
            <w:tcW w:w="1226" w:type="dxa"/>
            <w:tcBorders>
              <w:top w:val="single" w:sz="6" w:space="0" w:color="FFFFFF" w:themeColor="background1"/>
            </w:tcBorders>
            <w:shd w:val="clear" w:color="auto" w:fill="5F497A" w:themeFill="accent4"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1.27</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-0.20</w:t>
            </w:r>
          </w:p>
        </w:tc>
        <w:tc>
          <w:tcPr>
            <w:tcW w:w="1226" w:type="dxa"/>
            <w:tcBorders>
              <w:top w:val="single" w:sz="6" w:space="0" w:color="FFFFFF" w:themeColor="background1"/>
              <w:left w:val="single" w:sz="6" w:space="0" w:color="FFFFFF" w:themeColor="background1"/>
            </w:tcBorders>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57.49</w:t>
            </w:r>
          </w:p>
        </w:tc>
        <w:tc>
          <w:tcPr>
            <w:tcW w:w="1226" w:type="dxa"/>
            <w:tcBorders>
              <w:top w:val="single" w:sz="6" w:space="0" w:color="FFFFFF" w:themeColor="background1"/>
            </w:tcBorders>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-20.56</w:t>
            </w:r>
          </w:p>
        </w:tc>
        <w:tc>
          <w:tcPr>
            <w:tcW w:w="921" w:type="dxa"/>
            <w:tcBorders>
              <w:top w:val="single" w:sz="6" w:space="0" w:color="FFFFFF" w:themeColor="background1"/>
            </w:tcBorders>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-19.68</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69" w:name="_Toc57290057"/>
      <w:bookmarkStart w:id="170" w:name="_Toc57290378"/>
      <w:bookmarkStart w:id="171" w:name="_Toc61651535"/>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32</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Mercantile Bank</w:t>
      </w:r>
      <w:bookmarkEnd w:id="169"/>
      <w:bookmarkEnd w:id="170"/>
      <w:bookmarkEnd w:id="171"/>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08416" behindDoc="0" locked="0" layoutInCell="1" allowOverlap="1" wp14:anchorId="3BB415F0" wp14:editId="06BA7C5F">
            <wp:simplePos x="0" y="0"/>
            <wp:positionH relativeFrom="column">
              <wp:posOffset>1876425</wp:posOffset>
            </wp:positionH>
            <wp:positionV relativeFrom="paragraph">
              <wp:posOffset>167005</wp:posOffset>
            </wp:positionV>
            <wp:extent cx="2286000" cy="1828800"/>
            <wp:effectExtent l="0" t="0" r="19050" b="19050"/>
            <wp:wrapSquare wrapText="bothSides"/>
            <wp:docPr id="156" name="Chart 15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07392" behindDoc="0" locked="0" layoutInCell="1" allowOverlap="1" wp14:anchorId="3B41F65E" wp14:editId="6C955447">
            <wp:simplePos x="0" y="0"/>
            <wp:positionH relativeFrom="column">
              <wp:posOffset>-409575</wp:posOffset>
            </wp:positionH>
            <wp:positionV relativeFrom="paragraph">
              <wp:posOffset>162560</wp:posOffset>
            </wp:positionV>
            <wp:extent cx="2286000" cy="1828800"/>
            <wp:effectExtent l="0" t="0" r="19050" b="19050"/>
            <wp:wrapSquare wrapText="bothSides"/>
            <wp:docPr id="157" name="Chart 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09440" behindDoc="0" locked="0" layoutInCell="1" allowOverlap="1" wp14:anchorId="37CF29B8" wp14:editId="21805056">
            <wp:simplePos x="0" y="0"/>
            <wp:positionH relativeFrom="column">
              <wp:posOffset>4114800</wp:posOffset>
            </wp:positionH>
            <wp:positionV relativeFrom="paragraph">
              <wp:posOffset>162560</wp:posOffset>
            </wp:positionV>
            <wp:extent cx="2286000" cy="1828800"/>
            <wp:effectExtent l="0" t="0" r="19050" b="19050"/>
            <wp:wrapSquare wrapText="bothSides"/>
            <wp:docPr id="158" name="Chart 15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72" w:name="_Toc57290087"/>
      <w:bookmarkStart w:id="173" w:name="_Toc57290222"/>
      <w:bookmarkStart w:id="174" w:name="_Toc61651472"/>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29</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xml:space="preserve"> : Yearly returns of Mercantile Bank</w:t>
      </w:r>
      <w:bookmarkEnd w:id="172"/>
      <w:bookmarkEnd w:id="173"/>
      <w:bookmarkEnd w:id="174"/>
    </w:p>
    <w:p w:rsidR="00E50681" w:rsidRDefault="00E50681">
      <w:pPr>
        <w:rPr>
          <w:rFonts w:ascii="Times New Roman" w:hAnsi="Times New Roman" w:cs="Times New Roman"/>
        </w:rPr>
      </w:pPr>
    </w:p>
    <w:p w:rsidR="004217CE"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-0.74%</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-0.91%</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1.10%</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-0.49%</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0.13%</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-0.31%</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-0.78%</w:t>
            </w:r>
          </w:p>
        </w:tc>
      </w:tr>
    </w:tbl>
    <w:p w:rsidR="004217CE" w:rsidRPr="005D16C7" w:rsidRDefault="003F10CA" w:rsidP="005D16C7">
      <w:pPr>
        <w:pStyle w:val="Caption"/>
        <w:jc w:val="center"/>
        <w:rPr>
          <w:rFonts w:ascii="Times New Roman" w:hAnsi="Times New Roman" w:cs="Times New Roman"/>
          <w:color w:val="auto"/>
          <w:sz w:val="22"/>
          <w:szCs w:val="22"/>
        </w:rPr>
      </w:pPr>
      <w:bookmarkStart w:id="175" w:name="_Toc61651536"/>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33</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Mercantile Bank</w:t>
      </w:r>
      <w:bookmarkEnd w:id="175"/>
    </w:p>
    <w:p w:rsidR="003F10CA" w:rsidRDefault="004217CE" w:rsidP="004217CE">
      <w:pPr>
        <w:pStyle w:val="Caption"/>
        <w:jc w:val="center"/>
        <w:rPr>
          <w:b w:val="0"/>
        </w:rPr>
      </w:pPr>
      <w:r>
        <w:rPr>
          <w:noProof/>
        </w:rPr>
        <w:drawing>
          <wp:inline distT="0" distB="0" distL="0" distR="0" wp14:anchorId="5296BA93" wp14:editId="7B80703E">
            <wp:extent cx="5486400" cy="3200400"/>
            <wp:effectExtent l="0" t="0" r="19050" b="190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E00174" w:rsidRDefault="003F10CA" w:rsidP="005D16C7">
      <w:pPr>
        <w:pStyle w:val="Caption"/>
        <w:jc w:val="center"/>
        <w:rPr>
          <w:rFonts w:ascii="Times New Roman" w:hAnsi="Times New Roman" w:cs="Times New Roman"/>
          <w:color w:val="auto"/>
          <w:sz w:val="22"/>
          <w:szCs w:val="22"/>
        </w:rPr>
      </w:pPr>
      <w:bookmarkStart w:id="176" w:name="_Toc61651473"/>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30</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Mercantile Bank</w:t>
      </w:r>
      <w:bookmarkEnd w:id="176"/>
    </w:p>
    <w:p w:rsidR="00E00174" w:rsidRDefault="00E00174" w:rsidP="005D16C7">
      <w:pPr>
        <w:pStyle w:val="Caption"/>
        <w:jc w:val="center"/>
        <w:rPr>
          <w:rFonts w:ascii="Times New Roman" w:hAnsi="Times New Roman" w:cs="Times New Roman"/>
          <w:color w:val="auto"/>
          <w:sz w:val="22"/>
          <w:szCs w:val="22"/>
        </w:rPr>
      </w:pPr>
    </w:p>
    <w:p w:rsidR="008A307A" w:rsidRPr="005D16C7" w:rsidRDefault="00E00174" w:rsidP="00E00174">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calculate the return I find that, beginning of 2019 the compound growths rate is positive but over the period the compound growth rate were both positive and negative pattern.</w:t>
      </w:r>
      <w:r w:rsidR="00824B15">
        <w:rPr>
          <w:rFonts w:ascii="Times New Roman" w:hAnsi="Times New Roman" w:cs="Times New Roman"/>
          <w:b w:val="0"/>
          <w:color w:val="auto"/>
          <w:sz w:val="24"/>
          <w:szCs w:val="24"/>
        </w:rPr>
        <w:t xml:space="preserve"> The negative return is higher than the positive return.</w:t>
      </w:r>
      <w:r>
        <w:rPr>
          <w:rFonts w:ascii="Times New Roman" w:hAnsi="Times New Roman" w:cs="Times New Roman"/>
          <w:b w:val="0"/>
          <w:color w:val="auto"/>
          <w:sz w:val="24"/>
          <w:szCs w:val="24"/>
        </w:rPr>
        <w:t xml:space="preserve">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Pr="00945EEB" w:rsidRDefault="008A307A" w:rsidP="00FB1F30">
      <w:pPr>
        <w:pStyle w:val="Heading2"/>
        <w:rPr>
          <w:rFonts w:eastAsia="Times New Roman"/>
        </w:rPr>
      </w:pPr>
      <w:bookmarkStart w:id="177" w:name="_Toc62037728"/>
      <w:r w:rsidRPr="00945EEB">
        <w:rPr>
          <w:rFonts w:eastAsia="Times New Roman"/>
        </w:rPr>
        <w:lastRenderedPageBreak/>
        <w:t>Mutual Trust Bank:</w:t>
      </w:r>
      <w:bookmarkEnd w:id="177"/>
      <w:r w:rsidRPr="00945EEB">
        <w:rPr>
          <w:rFonts w:eastAsia="Times New Roman"/>
        </w:rPr>
        <w:t xml:space="preserve"> </w:t>
      </w:r>
    </w:p>
    <w:p w:rsidR="008A307A" w:rsidRDefault="008A307A" w:rsidP="008A307A">
      <w:pPr>
        <w:spacing w:after="0" w:line="288" w:lineRule="auto"/>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Mutual Trust Bank the value for 2017 is 50.71, 2018 is 23.39 and 2019 is -19.41. It means return for year 2017 and 2018 is positive and years 2019 is negative. On the other hand the holding period return show the return parentage for 2017 is 0.51, 2018 is 0.23 and 2019 is -0.19. That indicates positive return for year 2017 and 2018. But the year 2019 is show negative return.</w:t>
      </w:r>
    </w:p>
    <w:p w:rsidR="008A307A" w:rsidRPr="005F2CFE" w:rsidRDefault="008A307A" w:rsidP="008A307A">
      <w:pPr>
        <w:spacing w:after="0" w:line="288" w:lineRule="auto"/>
        <w:ind w:left="360"/>
        <w:jc w:val="both"/>
        <w:rPr>
          <w:rFonts w:ascii="Times New Roman" w:eastAsia="Times New Roman" w:hAnsi="Times New Roman" w:cs="Times New Roman"/>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945EEB" w:rsidRDefault="008A307A" w:rsidP="008A307A">
            <w:pPr>
              <w:spacing w:line="288" w:lineRule="auto"/>
              <w:jc w:val="center"/>
              <w:rPr>
                <w:rFonts w:ascii="Times New Roman" w:hAnsi="Times New Roman" w:cs="Times New Roman"/>
                <w:color w:val="FFFFFF" w:themeColor="background1"/>
              </w:rPr>
            </w:pPr>
            <w:r w:rsidRPr="00945EEB">
              <w:rPr>
                <w:rFonts w:ascii="Times New Roman" w:hAnsi="Times New Roman" w:cs="Times New Roman"/>
                <w:color w:val="FFFFFF" w:themeColor="background1"/>
              </w:rPr>
              <w:t>50.71</w:t>
            </w:r>
          </w:p>
        </w:tc>
        <w:tc>
          <w:tcPr>
            <w:tcW w:w="1226" w:type="dxa"/>
            <w:tcBorders>
              <w:top w:val="single" w:sz="6" w:space="0" w:color="FFFFFF" w:themeColor="background1"/>
            </w:tcBorders>
            <w:shd w:val="clear" w:color="auto" w:fill="943634" w:themeFill="accent2"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23.39</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945EEB" w:rsidRDefault="008A307A" w:rsidP="00E50681">
            <w:p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-19.41</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0.51</w:t>
            </w:r>
          </w:p>
        </w:tc>
        <w:tc>
          <w:tcPr>
            <w:tcW w:w="1226" w:type="dxa"/>
            <w:tcBorders>
              <w:top w:val="single" w:sz="6" w:space="0" w:color="FFFFFF" w:themeColor="background1"/>
            </w:tcBorders>
            <w:shd w:val="clear" w:color="auto" w:fill="5F497A" w:themeFill="accent4"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0.23</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-0.19</w:t>
            </w:r>
          </w:p>
        </w:tc>
        <w:tc>
          <w:tcPr>
            <w:tcW w:w="1226" w:type="dxa"/>
            <w:tcBorders>
              <w:top w:val="single" w:sz="6" w:space="0" w:color="FFFFFF" w:themeColor="background1"/>
              <w:left w:val="single" w:sz="6" w:space="0" w:color="FFFFFF" w:themeColor="background1"/>
            </w:tcBorders>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50.71</w:t>
            </w:r>
          </w:p>
        </w:tc>
        <w:tc>
          <w:tcPr>
            <w:tcW w:w="1226" w:type="dxa"/>
            <w:tcBorders>
              <w:top w:val="single" w:sz="6" w:space="0" w:color="FFFFFF" w:themeColor="background1"/>
            </w:tcBorders>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23.39</w:t>
            </w:r>
          </w:p>
        </w:tc>
        <w:tc>
          <w:tcPr>
            <w:tcW w:w="921" w:type="dxa"/>
            <w:tcBorders>
              <w:top w:val="single" w:sz="6" w:space="0" w:color="FFFFFF" w:themeColor="background1"/>
            </w:tcBorders>
            <w:vAlign w:val="center"/>
          </w:tcPr>
          <w:p w:rsidR="008A307A" w:rsidRPr="00945EEB"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rPr>
            </w:pPr>
            <w:r w:rsidRPr="00945EEB">
              <w:rPr>
                <w:rFonts w:ascii="Times New Roman" w:hAnsi="Times New Roman" w:cs="Times New Roman"/>
                <w:b/>
                <w:color w:val="FFFFFF" w:themeColor="background1"/>
              </w:rPr>
              <w:t>-19.41</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78" w:name="_Toc57290058"/>
      <w:bookmarkStart w:id="179" w:name="_Toc57290379"/>
      <w:bookmarkStart w:id="180" w:name="_Toc61651537"/>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34</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Mutual Trust Bank</w:t>
      </w:r>
      <w:bookmarkEnd w:id="178"/>
      <w:bookmarkEnd w:id="179"/>
      <w:bookmarkEnd w:id="180"/>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11488" behindDoc="0" locked="0" layoutInCell="1" allowOverlap="1" wp14:anchorId="095EE85F" wp14:editId="190542EE">
            <wp:simplePos x="0" y="0"/>
            <wp:positionH relativeFrom="column">
              <wp:posOffset>1876425</wp:posOffset>
            </wp:positionH>
            <wp:positionV relativeFrom="paragraph">
              <wp:posOffset>167005</wp:posOffset>
            </wp:positionV>
            <wp:extent cx="2286000" cy="1828800"/>
            <wp:effectExtent l="0" t="0" r="19050" b="19050"/>
            <wp:wrapSquare wrapText="bothSides"/>
            <wp:docPr id="159" name="Chart 15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10464" behindDoc="0" locked="0" layoutInCell="1" allowOverlap="1" wp14:anchorId="79E563B2" wp14:editId="702EAF8D">
            <wp:simplePos x="0" y="0"/>
            <wp:positionH relativeFrom="column">
              <wp:posOffset>-409575</wp:posOffset>
            </wp:positionH>
            <wp:positionV relativeFrom="paragraph">
              <wp:posOffset>162560</wp:posOffset>
            </wp:positionV>
            <wp:extent cx="2286000" cy="1828800"/>
            <wp:effectExtent l="0" t="0" r="19050" b="19050"/>
            <wp:wrapSquare wrapText="bothSides"/>
            <wp:docPr id="160" name="Chart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12512" behindDoc="0" locked="0" layoutInCell="1" allowOverlap="1" wp14:anchorId="4A11B938" wp14:editId="24FB8312">
            <wp:simplePos x="0" y="0"/>
            <wp:positionH relativeFrom="column">
              <wp:posOffset>4114800</wp:posOffset>
            </wp:positionH>
            <wp:positionV relativeFrom="paragraph">
              <wp:posOffset>162560</wp:posOffset>
            </wp:positionV>
            <wp:extent cx="2286000" cy="1828800"/>
            <wp:effectExtent l="0" t="0" r="19050" b="19050"/>
            <wp:wrapSquare wrapText="bothSides"/>
            <wp:docPr id="161" name="Chart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81" w:name="_Toc57290088"/>
      <w:bookmarkStart w:id="182" w:name="_Toc57290223"/>
      <w:bookmarkStart w:id="183" w:name="_Toc61651474"/>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31</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Mutual Trust Bank</w:t>
      </w:r>
      <w:bookmarkEnd w:id="181"/>
      <w:bookmarkEnd w:id="182"/>
      <w:bookmarkEnd w:id="183"/>
    </w:p>
    <w:p w:rsidR="00E50681" w:rsidRDefault="00E50681">
      <w:pPr>
        <w:rPr>
          <w:rFonts w:ascii="Times New Roman" w:hAnsi="Times New Roman" w:cs="Times New Roman"/>
        </w:rPr>
      </w:pPr>
    </w:p>
    <w:p w:rsidR="004217CE"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-0.82%</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0.25%</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0.27%</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0.02%</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-1.39%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-0.83%</w:t>
            </w:r>
          </w:p>
        </w:tc>
      </w:tr>
    </w:tbl>
    <w:p w:rsidR="004217CE" w:rsidRPr="005D16C7" w:rsidRDefault="003F10CA" w:rsidP="005D16C7">
      <w:pPr>
        <w:pStyle w:val="Caption"/>
        <w:jc w:val="center"/>
        <w:rPr>
          <w:rFonts w:ascii="Times New Roman" w:hAnsi="Times New Roman" w:cs="Times New Roman"/>
          <w:color w:val="auto"/>
          <w:sz w:val="22"/>
          <w:szCs w:val="22"/>
        </w:rPr>
      </w:pPr>
      <w:bookmarkStart w:id="184" w:name="_Toc61651538"/>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35</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Mutual Trust Bank</w:t>
      </w:r>
      <w:bookmarkEnd w:id="184"/>
    </w:p>
    <w:p w:rsidR="003F10CA" w:rsidRDefault="004217CE" w:rsidP="004217CE">
      <w:pPr>
        <w:pStyle w:val="Caption"/>
        <w:jc w:val="center"/>
        <w:rPr>
          <w:b w:val="0"/>
        </w:rPr>
      </w:pPr>
      <w:r>
        <w:rPr>
          <w:noProof/>
        </w:rPr>
        <w:drawing>
          <wp:inline distT="0" distB="0" distL="0" distR="0" wp14:anchorId="5FE00854" wp14:editId="30AC6099">
            <wp:extent cx="5486400" cy="3200400"/>
            <wp:effectExtent l="0" t="0" r="1905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BA2D2F" w:rsidRDefault="003F10CA" w:rsidP="005D16C7">
      <w:pPr>
        <w:pStyle w:val="Caption"/>
        <w:jc w:val="center"/>
        <w:rPr>
          <w:b w:val="0"/>
        </w:rPr>
      </w:pPr>
      <w:bookmarkStart w:id="185" w:name="_Toc61651475"/>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32</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Mutual Trust Bank</w:t>
      </w:r>
      <w:bookmarkEnd w:id="185"/>
      <w:r w:rsidR="005D16C7">
        <w:rPr>
          <w:b w:val="0"/>
        </w:rPr>
        <w:t xml:space="preserve"> </w:t>
      </w:r>
    </w:p>
    <w:p w:rsidR="00BA2D2F" w:rsidRDefault="00BA2D2F" w:rsidP="005D16C7">
      <w:pPr>
        <w:pStyle w:val="Caption"/>
        <w:jc w:val="center"/>
        <w:rPr>
          <w:b w:val="0"/>
        </w:rPr>
      </w:pPr>
    </w:p>
    <w:p w:rsidR="008A307A" w:rsidRDefault="00BA2D2F" w:rsidP="00BA2D2F">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Pr="00323AA7" w:rsidRDefault="008A307A" w:rsidP="00FB1F30">
      <w:pPr>
        <w:pStyle w:val="Heading2"/>
        <w:rPr>
          <w:rFonts w:eastAsia="Times New Roman"/>
        </w:rPr>
      </w:pPr>
      <w:bookmarkStart w:id="186" w:name="_Toc62037729"/>
      <w:r w:rsidRPr="00323AA7">
        <w:rPr>
          <w:rFonts w:eastAsia="Times New Roman"/>
        </w:rPr>
        <w:lastRenderedPageBreak/>
        <w:t>National Bank:</w:t>
      </w:r>
      <w:bookmarkEnd w:id="186"/>
      <w:r w:rsidRPr="00323AA7">
        <w:rPr>
          <w:rFonts w:eastAsia="Times New Roman"/>
        </w:rPr>
        <w:t xml:space="preserve"> </w:t>
      </w:r>
    </w:p>
    <w:p w:rsidR="008A307A" w:rsidRDefault="008A307A" w:rsidP="008A307A">
      <w:pPr>
        <w:spacing w:after="0" w:line="288" w:lineRule="auto"/>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National Bank the value for 2017 is 6.12, 2018 is -19.90 and 2019 is -19.01. It means return for 2017 is positive and both years 2018 and 2019 are negative. On the other hand the holding period return show the return parentage for 2017 is 0.06, 2018 is -0.20 and 2019 is -0.19. That indicates positive return for the year 2017. But both the year 2018 and 2019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E11C97" w:rsidRDefault="008A307A" w:rsidP="008A307A">
            <w:pPr>
              <w:spacing w:line="288" w:lineRule="auto"/>
              <w:jc w:val="center"/>
              <w:rPr>
                <w:rFonts w:ascii="Calibri" w:hAnsi="Calibri" w:cs="Calibri"/>
                <w:color w:val="FFFFFF" w:themeColor="background1"/>
              </w:rPr>
            </w:pPr>
            <w:r w:rsidRPr="00E11C97">
              <w:rPr>
                <w:rFonts w:ascii="Calibri" w:hAnsi="Calibri" w:cs="Calibri"/>
                <w:color w:val="FFFFFF" w:themeColor="background1"/>
              </w:rPr>
              <w:t>6.12</w:t>
            </w:r>
          </w:p>
        </w:tc>
        <w:tc>
          <w:tcPr>
            <w:tcW w:w="1226" w:type="dxa"/>
            <w:tcBorders>
              <w:top w:val="single" w:sz="6" w:space="0" w:color="FFFFFF" w:themeColor="background1"/>
            </w:tcBorders>
            <w:shd w:val="clear" w:color="auto" w:fill="943634" w:themeFill="accent2" w:themeFillShade="BF"/>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-19.90</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-19.01</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0.06</w:t>
            </w:r>
          </w:p>
        </w:tc>
        <w:tc>
          <w:tcPr>
            <w:tcW w:w="1226" w:type="dxa"/>
            <w:tcBorders>
              <w:top w:val="single" w:sz="6" w:space="0" w:color="FFFFFF" w:themeColor="background1"/>
            </w:tcBorders>
            <w:shd w:val="clear" w:color="auto" w:fill="5F497A" w:themeFill="accent4" w:themeFillShade="BF"/>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-0.20</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-0.19</w:t>
            </w:r>
          </w:p>
        </w:tc>
        <w:tc>
          <w:tcPr>
            <w:tcW w:w="1226" w:type="dxa"/>
            <w:tcBorders>
              <w:top w:val="single" w:sz="6" w:space="0" w:color="FFFFFF" w:themeColor="background1"/>
              <w:left w:val="single" w:sz="6" w:space="0" w:color="FFFFFF" w:themeColor="background1"/>
            </w:tcBorders>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6.12</w:t>
            </w:r>
          </w:p>
        </w:tc>
        <w:tc>
          <w:tcPr>
            <w:tcW w:w="1226" w:type="dxa"/>
            <w:tcBorders>
              <w:top w:val="single" w:sz="6" w:space="0" w:color="FFFFFF" w:themeColor="background1"/>
            </w:tcBorders>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-19.90</w:t>
            </w:r>
          </w:p>
        </w:tc>
        <w:tc>
          <w:tcPr>
            <w:tcW w:w="921" w:type="dxa"/>
            <w:tcBorders>
              <w:top w:val="single" w:sz="6" w:space="0" w:color="FFFFFF" w:themeColor="background1"/>
            </w:tcBorders>
            <w:vAlign w:val="center"/>
          </w:tcPr>
          <w:p w:rsidR="008A307A" w:rsidRPr="00E11C97"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E11C97">
              <w:rPr>
                <w:rFonts w:ascii="Calibri" w:hAnsi="Calibri" w:cs="Calibri"/>
                <w:b/>
                <w:color w:val="FFFFFF" w:themeColor="background1"/>
              </w:rPr>
              <w:t>-19.01</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87" w:name="_Toc57290059"/>
      <w:bookmarkStart w:id="188" w:name="_Toc57290380"/>
      <w:bookmarkStart w:id="189" w:name="_Toc61651539"/>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36</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National Bank</w:t>
      </w:r>
      <w:bookmarkEnd w:id="187"/>
      <w:bookmarkEnd w:id="188"/>
      <w:bookmarkEnd w:id="189"/>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14560" behindDoc="0" locked="0" layoutInCell="1" allowOverlap="1" wp14:anchorId="60029E81" wp14:editId="5F879B4B">
            <wp:simplePos x="0" y="0"/>
            <wp:positionH relativeFrom="column">
              <wp:posOffset>1876425</wp:posOffset>
            </wp:positionH>
            <wp:positionV relativeFrom="paragraph">
              <wp:posOffset>167005</wp:posOffset>
            </wp:positionV>
            <wp:extent cx="2286000" cy="1828800"/>
            <wp:effectExtent l="0" t="0" r="19050" b="19050"/>
            <wp:wrapSquare wrapText="bothSides"/>
            <wp:docPr id="162" name="Chart 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13536" behindDoc="0" locked="0" layoutInCell="1" allowOverlap="1" wp14:anchorId="705D83AE" wp14:editId="4E919894">
            <wp:simplePos x="0" y="0"/>
            <wp:positionH relativeFrom="column">
              <wp:posOffset>-409575</wp:posOffset>
            </wp:positionH>
            <wp:positionV relativeFrom="paragraph">
              <wp:posOffset>162560</wp:posOffset>
            </wp:positionV>
            <wp:extent cx="2286000" cy="1828800"/>
            <wp:effectExtent l="0" t="0" r="19050" b="19050"/>
            <wp:wrapSquare wrapText="bothSides"/>
            <wp:docPr id="163" name="Chart 163"/>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15584" behindDoc="0" locked="0" layoutInCell="1" allowOverlap="1" wp14:anchorId="42975509" wp14:editId="42A609FE">
            <wp:simplePos x="0" y="0"/>
            <wp:positionH relativeFrom="column">
              <wp:posOffset>4114800</wp:posOffset>
            </wp:positionH>
            <wp:positionV relativeFrom="paragraph">
              <wp:posOffset>162560</wp:posOffset>
            </wp:positionV>
            <wp:extent cx="2286000" cy="1828800"/>
            <wp:effectExtent l="0" t="0" r="19050" b="19050"/>
            <wp:wrapSquare wrapText="bothSides"/>
            <wp:docPr id="164" name="Chart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90" w:name="_Toc57290089"/>
      <w:bookmarkStart w:id="191" w:name="_Toc57290224"/>
      <w:bookmarkStart w:id="192" w:name="_Toc61651476"/>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33</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National Bank</w:t>
      </w:r>
      <w:bookmarkEnd w:id="190"/>
      <w:bookmarkEnd w:id="191"/>
      <w:bookmarkEnd w:id="192"/>
    </w:p>
    <w:p w:rsidR="00E50681" w:rsidRDefault="00E50681">
      <w:pPr>
        <w:rPr>
          <w:rFonts w:ascii="Times New Roman" w:hAnsi="Times New Roman" w:cs="Times New Roman"/>
        </w:rPr>
      </w:pPr>
    </w:p>
    <w:p w:rsidR="004217CE"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1.14%</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-0.64%</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-0.88%</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-0.28%</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0.97%</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-0.39%</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0.53%</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-0.20%</w:t>
            </w:r>
          </w:p>
        </w:tc>
      </w:tr>
    </w:tbl>
    <w:p w:rsidR="004217CE" w:rsidRPr="005D16C7" w:rsidRDefault="003F10CA" w:rsidP="005D16C7">
      <w:pPr>
        <w:pStyle w:val="Caption"/>
        <w:jc w:val="center"/>
        <w:rPr>
          <w:rFonts w:ascii="Times New Roman" w:hAnsi="Times New Roman" w:cs="Times New Roman"/>
          <w:color w:val="auto"/>
          <w:sz w:val="22"/>
          <w:szCs w:val="22"/>
        </w:rPr>
      </w:pPr>
      <w:bookmarkStart w:id="193" w:name="_Toc61651540"/>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37</w:t>
      </w:r>
      <w:r w:rsidRPr="005D16C7">
        <w:rPr>
          <w:rFonts w:ascii="Times New Roman" w:hAnsi="Times New Roman" w:cs="Times New Roman"/>
          <w:color w:val="auto"/>
          <w:sz w:val="22"/>
          <w:szCs w:val="22"/>
        </w:rPr>
        <w:fldChar w:fldCharType="end"/>
      </w:r>
      <w:r w:rsidR="005D16C7" w:rsidRPr="005D16C7">
        <w:rPr>
          <w:rFonts w:ascii="Times New Roman" w:hAnsi="Times New Roman" w:cs="Times New Roman"/>
          <w:color w:val="auto"/>
          <w:sz w:val="22"/>
          <w:szCs w:val="22"/>
        </w:rPr>
        <w:t>: Compound</w:t>
      </w:r>
      <w:r w:rsidRPr="005D16C7">
        <w:rPr>
          <w:rFonts w:ascii="Times New Roman" w:hAnsi="Times New Roman" w:cs="Times New Roman"/>
          <w:color w:val="auto"/>
          <w:sz w:val="22"/>
          <w:szCs w:val="22"/>
        </w:rPr>
        <w:t xml:space="preserve">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National Bank</w:t>
      </w:r>
      <w:bookmarkEnd w:id="193"/>
    </w:p>
    <w:p w:rsidR="003F10CA" w:rsidRDefault="004217CE" w:rsidP="004217CE">
      <w:pPr>
        <w:pStyle w:val="Caption"/>
        <w:jc w:val="center"/>
        <w:rPr>
          <w:b w:val="0"/>
        </w:rPr>
      </w:pPr>
      <w:r>
        <w:rPr>
          <w:noProof/>
        </w:rPr>
        <w:drawing>
          <wp:inline distT="0" distB="0" distL="0" distR="0" wp14:anchorId="76DA394D" wp14:editId="2CD52B9F">
            <wp:extent cx="5486400" cy="3200400"/>
            <wp:effectExtent l="0" t="0" r="19050" b="1905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BA2D2F" w:rsidRDefault="003F10CA" w:rsidP="005D16C7">
      <w:pPr>
        <w:pStyle w:val="Caption"/>
        <w:jc w:val="center"/>
        <w:rPr>
          <w:b w:val="0"/>
        </w:rPr>
      </w:pPr>
      <w:bookmarkStart w:id="194" w:name="_Toc61651477"/>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34</w:t>
      </w:r>
      <w:r w:rsidRPr="005D16C7">
        <w:rPr>
          <w:rFonts w:ascii="Times New Roman" w:hAnsi="Times New Roman" w:cs="Times New Roman"/>
          <w:color w:val="auto"/>
          <w:sz w:val="22"/>
          <w:szCs w:val="22"/>
        </w:rPr>
        <w:fldChar w:fldCharType="end"/>
      </w:r>
      <w:r w:rsidR="005D16C7" w:rsidRPr="005D16C7">
        <w:rPr>
          <w:rFonts w:ascii="Times New Roman" w:hAnsi="Times New Roman" w:cs="Times New Roman"/>
          <w:color w:val="auto"/>
          <w:sz w:val="22"/>
          <w:szCs w:val="22"/>
        </w:rPr>
        <w:t>: Compound</w:t>
      </w:r>
      <w:r w:rsidRPr="005D16C7">
        <w:rPr>
          <w:rFonts w:ascii="Times New Roman" w:hAnsi="Times New Roman" w:cs="Times New Roman"/>
          <w:color w:val="auto"/>
          <w:sz w:val="22"/>
          <w:szCs w:val="22"/>
        </w:rPr>
        <w:t xml:space="preserve">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National Bank</w:t>
      </w:r>
      <w:bookmarkEnd w:id="194"/>
      <w:r w:rsidR="005D16C7">
        <w:rPr>
          <w:b w:val="0"/>
        </w:rPr>
        <w:t xml:space="preserve"> </w:t>
      </w:r>
    </w:p>
    <w:p w:rsidR="00BA2D2F" w:rsidRDefault="00BA2D2F" w:rsidP="005D16C7">
      <w:pPr>
        <w:pStyle w:val="Caption"/>
        <w:jc w:val="center"/>
        <w:rPr>
          <w:b w:val="0"/>
        </w:rPr>
      </w:pPr>
    </w:p>
    <w:p w:rsidR="008A307A" w:rsidRDefault="00BA2D2F" w:rsidP="00BA2D2F">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195" w:name="_Toc62037730"/>
      <w:r w:rsidRPr="00E11C97">
        <w:rPr>
          <w:rFonts w:eastAsia="Times New Roman"/>
        </w:rPr>
        <w:lastRenderedPageBreak/>
        <w:t>NCC Bank:</w:t>
      </w:r>
      <w:bookmarkEnd w:id="195"/>
      <w:r w:rsidRPr="00E11C97">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NCC Bank the value for 2017 is -0.60, 2018 is -5.35 and 2019 is -24.13. It means return for all the three year 2017, 2018 and 2019 negative. On the other hand the holding period return show the return parentage for 2017 is 1.59, 2018 is 1.25 and 2019 is 0.24. That indicates positive return for all the three the year.</w:t>
      </w:r>
    </w:p>
    <w:p w:rsidR="008A307A" w:rsidRPr="0023061F" w:rsidRDefault="008A307A" w:rsidP="0023061F">
      <w:pPr>
        <w:spacing w:after="0" w:line="288" w:lineRule="auto"/>
        <w:ind w:left="360"/>
        <w:jc w:val="both"/>
        <w:rPr>
          <w:rFonts w:ascii="Times New Roman" w:hAnsi="Times New Roman" w:cs="Times New Roman"/>
          <w:sz w:val="24"/>
          <w:szCs w:val="24"/>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420FC2" w:rsidRDefault="008A307A" w:rsidP="008A307A">
            <w:pPr>
              <w:spacing w:line="288" w:lineRule="auto"/>
              <w:jc w:val="center"/>
              <w:rPr>
                <w:rFonts w:ascii="Calibri" w:hAnsi="Calibri" w:cs="Calibri"/>
                <w:color w:val="FFFFFF" w:themeColor="background1"/>
              </w:rPr>
            </w:pPr>
            <w:r w:rsidRPr="00420FC2">
              <w:rPr>
                <w:rFonts w:ascii="Calibri" w:hAnsi="Calibri" w:cs="Calibri"/>
                <w:color w:val="FFFFFF" w:themeColor="background1"/>
              </w:rPr>
              <w:t>-0.60</w:t>
            </w:r>
          </w:p>
        </w:tc>
        <w:tc>
          <w:tcPr>
            <w:tcW w:w="1226" w:type="dxa"/>
            <w:tcBorders>
              <w:top w:val="single" w:sz="6" w:space="0" w:color="FFFFFF" w:themeColor="background1"/>
            </w:tcBorders>
            <w:shd w:val="clear" w:color="auto" w:fill="943634" w:themeFill="accent2" w:themeFillShade="BF"/>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-5.35</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-24.13</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1.59</w:t>
            </w:r>
          </w:p>
        </w:tc>
        <w:tc>
          <w:tcPr>
            <w:tcW w:w="1226" w:type="dxa"/>
            <w:tcBorders>
              <w:top w:val="single" w:sz="6" w:space="0" w:color="FFFFFF" w:themeColor="background1"/>
            </w:tcBorders>
            <w:shd w:val="clear" w:color="auto" w:fill="5F497A" w:themeFill="accent4" w:themeFillShade="BF"/>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1.25</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0.24</w:t>
            </w:r>
          </w:p>
        </w:tc>
        <w:tc>
          <w:tcPr>
            <w:tcW w:w="1226" w:type="dxa"/>
            <w:tcBorders>
              <w:top w:val="single" w:sz="6" w:space="0" w:color="FFFFFF" w:themeColor="background1"/>
              <w:left w:val="single" w:sz="6" w:space="0" w:color="FFFFFF" w:themeColor="background1"/>
            </w:tcBorders>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-0.60</w:t>
            </w:r>
          </w:p>
        </w:tc>
        <w:tc>
          <w:tcPr>
            <w:tcW w:w="1226" w:type="dxa"/>
            <w:tcBorders>
              <w:top w:val="single" w:sz="6" w:space="0" w:color="FFFFFF" w:themeColor="background1"/>
            </w:tcBorders>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-5.35</w:t>
            </w:r>
          </w:p>
        </w:tc>
        <w:tc>
          <w:tcPr>
            <w:tcW w:w="921" w:type="dxa"/>
            <w:tcBorders>
              <w:top w:val="single" w:sz="6" w:space="0" w:color="FFFFFF" w:themeColor="background1"/>
            </w:tcBorders>
            <w:vAlign w:val="center"/>
          </w:tcPr>
          <w:p w:rsidR="008A307A" w:rsidRPr="00420F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420FC2">
              <w:rPr>
                <w:rFonts w:ascii="Calibri" w:hAnsi="Calibri" w:cs="Calibri"/>
                <w:b/>
                <w:color w:val="FFFFFF" w:themeColor="background1"/>
              </w:rPr>
              <w:t>-24.13</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400BEC" w:rsidRDefault="000B1571" w:rsidP="00400BEC">
      <w:pPr>
        <w:pStyle w:val="Caption"/>
        <w:jc w:val="center"/>
        <w:rPr>
          <w:rFonts w:ascii="Times New Roman" w:hAnsi="Times New Roman" w:cs="Times New Roman"/>
          <w:color w:val="auto"/>
          <w:sz w:val="22"/>
          <w:szCs w:val="22"/>
        </w:rPr>
      </w:pPr>
      <w:bookmarkStart w:id="196" w:name="_Toc57290060"/>
      <w:bookmarkStart w:id="197" w:name="_Toc57290381"/>
      <w:bookmarkStart w:id="198" w:name="_Toc61651541"/>
      <w:r w:rsidRPr="00400BEC">
        <w:rPr>
          <w:rFonts w:ascii="Times New Roman" w:hAnsi="Times New Roman" w:cs="Times New Roman"/>
          <w:color w:val="auto"/>
          <w:sz w:val="22"/>
          <w:szCs w:val="22"/>
        </w:rPr>
        <w:t xml:space="preserve">Table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38</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NCC Bank</w:t>
      </w:r>
      <w:bookmarkEnd w:id="196"/>
      <w:bookmarkEnd w:id="197"/>
      <w:bookmarkEnd w:id="198"/>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17632" behindDoc="0" locked="0" layoutInCell="1" allowOverlap="1" wp14:anchorId="08F734C7" wp14:editId="0EB06ABF">
            <wp:simplePos x="0" y="0"/>
            <wp:positionH relativeFrom="column">
              <wp:posOffset>1876425</wp:posOffset>
            </wp:positionH>
            <wp:positionV relativeFrom="paragraph">
              <wp:posOffset>167005</wp:posOffset>
            </wp:positionV>
            <wp:extent cx="2286000" cy="1828800"/>
            <wp:effectExtent l="0" t="0" r="19050" b="19050"/>
            <wp:wrapSquare wrapText="bothSides"/>
            <wp:docPr id="165" name="Chart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16608" behindDoc="0" locked="0" layoutInCell="1" allowOverlap="1" wp14:anchorId="20FBDA8F" wp14:editId="78FC6A20">
            <wp:simplePos x="0" y="0"/>
            <wp:positionH relativeFrom="column">
              <wp:posOffset>-409575</wp:posOffset>
            </wp:positionH>
            <wp:positionV relativeFrom="paragraph">
              <wp:posOffset>162560</wp:posOffset>
            </wp:positionV>
            <wp:extent cx="2286000" cy="1828800"/>
            <wp:effectExtent l="0" t="0" r="19050" b="19050"/>
            <wp:wrapSquare wrapText="bothSides"/>
            <wp:docPr id="166" name="Chart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18656" behindDoc="0" locked="0" layoutInCell="1" allowOverlap="1" wp14:anchorId="06804716" wp14:editId="0233DB68">
            <wp:simplePos x="0" y="0"/>
            <wp:positionH relativeFrom="column">
              <wp:posOffset>4114800</wp:posOffset>
            </wp:positionH>
            <wp:positionV relativeFrom="paragraph">
              <wp:posOffset>162560</wp:posOffset>
            </wp:positionV>
            <wp:extent cx="2286000" cy="1828800"/>
            <wp:effectExtent l="0" t="0" r="19050" b="19050"/>
            <wp:wrapSquare wrapText="bothSides"/>
            <wp:docPr id="167" name="Chart 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14:sizeRelH relativeFrom="page">
              <wp14:pctWidth>0</wp14:pctWidth>
            </wp14:sizeRelH>
            <wp14:sizeRelV relativeFrom="page">
              <wp14:pctHeight>0</wp14:pctHeight>
            </wp14:sizeRelV>
          </wp:anchor>
        </w:drawing>
      </w:r>
    </w:p>
    <w:p w:rsidR="004217CE" w:rsidRDefault="000B1571" w:rsidP="00400BEC">
      <w:pPr>
        <w:pStyle w:val="Caption"/>
        <w:jc w:val="center"/>
        <w:rPr>
          <w:rFonts w:ascii="Times New Roman" w:hAnsi="Times New Roman" w:cs="Times New Roman"/>
          <w:color w:val="auto"/>
          <w:sz w:val="22"/>
          <w:szCs w:val="22"/>
        </w:rPr>
      </w:pPr>
      <w:bookmarkStart w:id="199" w:name="_Toc57290090"/>
      <w:bookmarkStart w:id="200" w:name="_Toc57290225"/>
      <w:bookmarkStart w:id="201" w:name="_Toc61651478"/>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35</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NCC Bank</w:t>
      </w:r>
      <w:bookmarkEnd w:id="199"/>
      <w:bookmarkEnd w:id="200"/>
      <w:bookmarkEnd w:id="201"/>
    </w:p>
    <w:p w:rsidR="00E50681" w:rsidRDefault="00E50681">
      <w:pPr>
        <w:rPr>
          <w:rFonts w:ascii="Times New Roman" w:hAnsi="Times New Roman" w:cs="Times New Roman"/>
        </w:rPr>
      </w:pPr>
    </w:p>
    <w:p w:rsidR="004217CE"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4217CE">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4217CE" w:rsidTr="004217CE">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4217CE" w:rsidRPr="00635AD5" w:rsidRDefault="004217CE" w:rsidP="004217CE">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4217CE" w:rsidTr="004217CE">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0.20%</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-0.10%</w:t>
            </w:r>
          </w:p>
        </w:tc>
      </w:tr>
      <w:tr w:rsidR="004217CE" w:rsidTr="004217CE">
        <w:trPr>
          <w:trHeight w:val="323"/>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-0.31%</w:t>
            </w:r>
          </w:p>
        </w:tc>
      </w:tr>
      <w:tr w:rsidR="004217CE" w:rsidTr="004217CE">
        <w:trPr>
          <w:trHeight w:val="302"/>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0.43%</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-0.05%</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-0.62%</w:t>
            </w:r>
          </w:p>
        </w:tc>
      </w:tr>
      <w:tr w:rsidR="004217CE" w:rsidTr="004217CE">
        <w:trPr>
          <w:trHeight w:val="302"/>
          <w:jc w:val="center"/>
        </w:trPr>
        <w:tc>
          <w:tcPr>
            <w:tcW w:w="1363" w:type="dxa"/>
            <w:tcBorders>
              <w:right w:val="single" w:sz="24" w:space="0" w:color="76923C" w:themeColor="accent3" w:themeShade="BF"/>
            </w:tcBorders>
            <w:vAlign w:val="bottom"/>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0.13%</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-0.52%</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-0.47%</w:t>
            </w:r>
          </w:p>
        </w:tc>
      </w:tr>
      <w:tr w:rsidR="004217CE" w:rsidTr="004217CE">
        <w:trPr>
          <w:trHeight w:val="323"/>
          <w:jc w:val="center"/>
        </w:trPr>
        <w:tc>
          <w:tcPr>
            <w:tcW w:w="1363" w:type="dxa"/>
            <w:tcBorders>
              <w:right w:val="single" w:sz="24" w:space="0" w:color="76923C" w:themeColor="accent3" w:themeShade="BF"/>
            </w:tcBorders>
            <w:vAlign w:val="center"/>
          </w:tcPr>
          <w:p w:rsidR="004217CE" w:rsidRPr="00635AD5" w:rsidRDefault="004217CE" w:rsidP="004217CE">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4217CE" w:rsidRPr="006D3AC6" w:rsidRDefault="004217CE" w:rsidP="004217CE">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-0.28%</w:t>
            </w:r>
          </w:p>
        </w:tc>
      </w:tr>
    </w:tbl>
    <w:p w:rsidR="004217CE" w:rsidRPr="005D16C7" w:rsidRDefault="003F10CA" w:rsidP="005D16C7">
      <w:pPr>
        <w:pStyle w:val="Caption"/>
        <w:jc w:val="center"/>
        <w:rPr>
          <w:rFonts w:ascii="Times New Roman" w:hAnsi="Times New Roman" w:cs="Times New Roman"/>
          <w:color w:val="auto"/>
          <w:sz w:val="22"/>
          <w:szCs w:val="22"/>
        </w:rPr>
      </w:pPr>
      <w:bookmarkStart w:id="202" w:name="_Toc61651542"/>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39</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NCC Bank</w:t>
      </w:r>
      <w:bookmarkEnd w:id="202"/>
    </w:p>
    <w:p w:rsidR="003F10CA" w:rsidRDefault="004217CE" w:rsidP="004217CE">
      <w:pPr>
        <w:pStyle w:val="Caption"/>
        <w:jc w:val="center"/>
        <w:rPr>
          <w:rFonts w:ascii="Times New Roman" w:hAnsi="Times New Roman" w:cs="Times New Roman"/>
          <w:color w:val="auto"/>
          <w:sz w:val="22"/>
          <w:szCs w:val="22"/>
        </w:rPr>
      </w:pPr>
      <w:r>
        <w:rPr>
          <w:noProof/>
        </w:rPr>
        <w:drawing>
          <wp:inline distT="0" distB="0" distL="0" distR="0" wp14:anchorId="1A74D20A" wp14:editId="0EAA9863">
            <wp:extent cx="5486400" cy="3200400"/>
            <wp:effectExtent l="0" t="0" r="19050"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500D0E" w:rsidRDefault="003F10CA" w:rsidP="005D16C7">
      <w:pPr>
        <w:pStyle w:val="Caption"/>
        <w:jc w:val="center"/>
        <w:rPr>
          <w:rFonts w:ascii="Times New Roman" w:hAnsi="Times New Roman" w:cs="Times New Roman"/>
          <w:color w:val="auto"/>
          <w:sz w:val="22"/>
          <w:szCs w:val="22"/>
        </w:rPr>
      </w:pPr>
      <w:bookmarkStart w:id="203" w:name="_Toc61651479"/>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36</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NCC Bank</w:t>
      </w:r>
      <w:bookmarkEnd w:id="203"/>
      <w:r w:rsidR="005D16C7" w:rsidRPr="00400BEC">
        <w:rPr>
          <w:rFonts w:ascii="Times New Roman" w:hAnsi="Times New Roman" w:cs="Times New Roman"/>
          <w:color w:val="auto"/>
          <w:sz w:val="22"/>
          <w:szCs w:val="22"/>
        </w:rPr>
        <w:t xml:space="preserve"> </w:t>
      </w:r>
    </w:p>
    <w:p w:rsidR="00500D0E" w:rsidRDefault="00500D0E" w:rsidP="005D16C7">
      <w:pPr>
        <w:pStyle w:val="Caption"/>
        <w:jc w:val="center"/>
        <w:rPr>
          <w:rFonts w:ascii="Times New Roman" w:hAnsi="Times New Roman" w:cs="Times New Roman"/>
          <w:color w:val="auto"/>
          <w:sz w:val="22"/>
          <w:szCs w:val="22"/>
        </w:rPr>
      </w:pPr>
    </w:p>
    <w:p w:rsidR="008A307A" w:rsidRPr="00400BEC" w:rsidRDefault="00500D0E" w:rsidP="00500D0E">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sidRPr="00400BEC">
        <w:rPr>
          <w:rFonts w:ascii="Times New Roman" w:hAnsi="Times New Roman" w:cs="Times New Roman"/>
          <w:color w:val="auto"/>
          <w:sz w:val="22"/>
          <w:szCs w:val="22"/>
        </w:rPr>
        <w:br w:type="page"/>
      </w:r>
    </w:p>
    <w:p w:rsidR="008A307A" w:rsidRDefault="008A307A" w:rsidP="00FB1F30">
      <w:pPr>
        <w:pStyle w:val="Heading2"/>
        <w:rPr>
          <w:rFonts w:eastAsia="Times New Roman"/>
        </w:rPr>
      </w:pPr>
      <w:bookmarkStart w:id="204" w:name="_Toc62037731"/>
      <w:r w:rsidRPr="00420FC2">
        <w:rPr>
          <w:rFonts w:eastAsia="Times New Roman"/>
        </w:rPr>
        <w:lastRenderedPageBreak/>
        <w:t>ONE Bank:</w:t>
      </w:r>
      <w:bookmarkEnd w:id="204"/>
      <w:r w:rsidRPr="00420FC2">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ONE Bank the value for 2017 is 29.43, 2018 is -28.39 and 2019 is -35.97. It means return for 2017 is positive and both years 2018 and 2019 are negative. On the other hand the holding period return show the return parentage for 2017 is 1.59, 2018 is 1.02 and 2019 is 0.64. That indicates positive return for all the three the year 2017, 2018 and 2019.</w:t>
      </w:r>
    </w:p>
    <w:p w:rsidR="008A307A" w:rsidRPr="00420FC2"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B71D63" w:rsidRDefault="008A307A" w:rsidP="008A307A">
            <w:pPr>
              <w:spacing w:line="288" w:lineRule="auto"/>
              <w:jc w:val="center"/>
              <w:rPr>
                <w:rFonts w:ascii="Calibri" w:hAnsi="Calibri" w:cs="Calibri"/>
                <w:color w:val="FFFFFF" w:themeColor="background1"/>
              </w:rPr>
            </w:pPr>
            <w:r w:rsidRPr="00B71D63">
              <w:rPr>
                <w:rFonts w:ascii="Calibri" w:hAnsi="Calibri" w:cs="Calibri"/>
                <w:color w:val="FFFFFF" w:themeColor="background1"/>
              </w:rPr>
              <w:t>29.43</w:t>
            </w:r>
          </w:p>
        </w:tc>
        <w:tc>
          <w:tcPr>
            <w:tcW w:w="1226" w:type="dxa"/>
            <w:tcBorders>
              <w:top w:val="single" w:sz="6" w:space="0" w:color="FFFFFF" w:themeColor="background1"/>
            </w:tcBorders>
            <w:shd w:val="clear" w:color="auto" w:fill="943634" w:themeFill="accent2" w:themeFillShade="BF"/>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-28.39</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-35.97</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1.59</w:t>
            </w:r>
          </w:p>
        </w:tc>
        <w:tc>
          <w:tcPr>
            <w:tcW w:w="1226" w:type="dxa"/>
            <w:tcBorders>
              <w:top w:val="single" w:sz="6" w:space="0" w:color="FFFFFF" w:themeColor="background1"/>
            </w:tcBorders>
            <w:shd w:val="clear" w:color="auto" w:fill="5F497A" w:themeFill="accent4" w:themeFillShade="BF"/>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1.02</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0.64</w:t>
            </w:r>
          </w:p>
        </w:tc>
        <w:tc>
          <w:tcPr>
            <w:tcW w:w="1226" w:type="dxa"/>
            <w:tcBorders>
              <w:top w:val="single" w:sz="6" w:space="0" w:color="FFFFFF" w:themeColor="background1"/>
              <w:left w:val="single" w:sz="6" w:space="0" w:color="FFFFFF" w:themeColor="background1"/>
            </w:tcBorders>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29.43</w:t>
            </w:r>
          </w:p>
        </w:tc>
        <w:tc>
          <w:tcPr>
            <w:tcW w:w="1226" w:type="dxa"/>
            <w:tcBorders>
              <w:top w:val="single" w:sz="6" w:space="0" w:color="FFFFFF" w:themeColor="background1"/>
            </w:tcBorders>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-28.39</w:t>
            </w:r>
          </w:p>
        </w:tc>
        <w:tc>
          <w:tcPr>
            <w:tcW w:w="921" w:type="dxa"/>
            <w:tcBorders>
              <w:top w:val="single" w:sz="6" w:space="0" w:color="FFFFFF" w:themeColor="background1"/>
            </w:tcBorders>
            <w:vAlign w:val="center"/>
          </w:tcPr>
          <w:p w:rsidR="008A307A" w:rsidRPr="00B71D63"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71D63">
              <w:rPr>
                <w:rFonts w:ascii="Calibri" w:hAnsi="Calibri" w:cs="Calibri"/>
                <w:b/>
                <w:color w:val="FFFFFF" w:themeColor="background1"/>
              </w:rPr>
              <w:t>-35.97</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0B1571" w:rsidP="009B6B89">
      <w:pPr>
        <w:pStyle w:val="Caption"/>
        <w:jc w:val="center"/>
        <w:rPr>
          <w:rFonts w:ascii="Times New Roman" w:hAnsi="Times New Roman" w:cs="Times New Roman"/>
          <w:color w:val="auto"/>
          <w:sz w:val="22"/>
          <w:szCs w:val="22"/>
        </w:rPr>
      </w:pPr>
      <w:bookmarkStart w:id="205" w:name="_Toc57290061"/>
      <w:bookmarkStart w:id="206" w:name="_Toc57290382"/>
      <w:bookmarkStart w:id="207" w:name="_Toc61651543"/>
      <w:r w:rsidRPr="009B6B89">
        <w:rPr>
          <w:rFonts w:ascii="Times New Roman" w:hAnsi="Times New Roman" w:cs="Times New Roman"/>
          <w:color w:val="auto"/>
          <w:sz w:val="22"/>
          <w:szCs w:val="22"/>
        </w:rPr>
        <w:t>T</w:t>
      </w:r>
      <w:r w:rsidRPr="00400BEC">
        <w:rPr>
          <w:rFonts w:ascii="Times New Roman" w:hAnsi="Times New Roman" w:cs="Times New Roman"/>
          <w:color w:val="auto"/>
          <w:sz w:val="22"/>
          <w:szCs w:val="22"/>
        </w:rPr>
        <w:t xml:space="preserve">able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Table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40</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ONE Bank</w:t>
      </w:r>
      <w:bookmarkEnd w:id="205"/>
      <w:bookmarkEnd w:id="206"/>
      <w:bookmarkEnd w:id="207"/>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20704" behindDoc="0" locked="0" layoutInCell="1" allowOverlap="1" wp14:anchorId="41A4D4C6" wp14:editId="6B837C5B">
            <wp:simplePos x="0" y="0"/>
            <wp:positionH relativeFrom="column">
              <wp:posOffset>1876425</wp:posOffset>
            </wp:positionH>
            <wp:positionV relativeFrom="paragraph">
              <wp:posOffset>167005</wp:posOffset>
            </wp:positionV>
            <wp:extent cx="2286000" cy="1828800"/>
            <wp:effectExtent l="0" t="0" r="19050" b="19050"/>
            <wp:wrapSquare wrapText="bothSides"/>
            <wp:docPr id="168" name="Chart 1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19680" behindDoc="0" locked="0" layoutInCell="1" allowOverlap="1" wp14:anchorId="2E469364" wp14:editId="64911F32">
            <wp:simplePos x="0" y="0"/>
            <wp:positionH relativeFrom="column">
              <wp:posOffset>-409575</wp:posOffset>
            </wp:positionH>
            <wp:positionV relativeFrom="paragraph">
              <wp:posOffset>162560</wp:posOffset>
            </wp:positionV>
            <wp:extent cx="2286000" cy="1828800"/>
            <wp:effectExtent l="0" t="0" r="19050" b="19050"/>
            <wp:wrapSquare wrapText="bothSides"/>
            <wp:docPr id="169" name="Chart 1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21728" behindDoc="0" locked="0" layoutInCell="1" allowOverlap="1" wp14:anchorId="2E66A006" wp14:editId="3215DE5F">
            <wp:simplePos x="0" y="0"/>
            <wp:positionH relativeFrom="column">
              <wp:posOffset>4114800</wp:posOffset>
            </wp:positionH>
            <wp:positionV relativeFrom="paragraph">
              <wp:posOffset>162560</wp:posOffset>
            </wp:positionV>
            <wp:extent cx="2286000" cy="1828800"/>
            <wp:effectExtent l="0" t="0" r="19050" b="19050"/>
            <wp:wrapSquare wrapText="bothSides"/>
            <wp:docPr id="170" name="Chart 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14:sizeRelH relativeFrom="page">
              <wp14:pctWidth>0</wp14:pctWidth>
            </wp14:sizeRelH>
            <wp14:sizeRelV relativeFrom="page">
              <wp14:pctHeight>0</wp14:pctHeight>
            </wp14:sizeRelV>
          </wp:anchor>
        </w:drawing>
      </w:r>
    </w:p>
    <w:p w:rsidR="00DA448F" w:rsidRDefault="000B1571" w:rsidP="009B6B89">
      <w:pPr>
        <w:pStyle w:val="Caption"/>
        <w:jc w:val="center"/>
        <w:rPr>
          <w:rFonts w:ascii="Times New Roman" w:hAnsi="Times New Roman" w:cs="Times New Roman"/>
          <w:color w:val="auto"/>
          <w:sz w:val="22"/>
          <w:szCs w:val="22"/>
        </w:rPr>
      </w:pPr>
      <w:bookmarkStart w:id="208" w:name="_Toc57290091"/>
      <w:bookmarkStart w:id="209" w:name="_Toc57290226"/>
      <w:bookmarkStart w:id="210" w:name="_Toc61651480"/>
      <w:r w:rsidRPr="00400BEC">
        <w:rPr>
          <w:rFonts w:ascii="Times New Roman" w:hAnsi="Times New Roman" w:cs="Times New Roman"/>
          <w:color w:val="auto"/>
          <w:sz w:val="22"/>
          <w:szCs w:val="22"/>
        </w:rPr>
        <w:t xml:space="preserve">Graph </w:t>
      </w:r>
      <w:r w:rsidRPr="00400BEC">
        <w:rPr>
          <w:rFonts w:ascii="Times New Roman" w:hAnsi="Times New Roman" w:cs="Times New Roman"/>
          <w:color w:val="auto"/>
          <w:sz w:val="22"/>
          <w:szCs w:val="22"/>
        </w:rPr>
        <w:fldChar w:fldCharType="begin"/>
      </w:r>
      <w:r w:rsidRPr="00400BEC">
        <w:rPr>
          <w:rFonts w:ascii="Times New Roman" w:hAnsi="Times New Roman" w:cs="Times New Roman"/>
          <w:color w:val="auto"/>
          <w:sz w:val="22"/>
          <w:szCs w:val="22"/>
        </w:rPr>
        <w:instrText xml:space="preserve"> SEQ Graph \* ARABIC </w:instrText>
      </w:r>
      <w:r w:rsidRPr="00400BEC">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37</w:t>
      </w:r>
      <w:r w:rsidRPr="00400BEC">
        <w:rPr>
          <w:rFonts w:ascii="Times New Roman" w:hAnsi="Times New Roman" w:cs="Times New Roman"/>
          <w:color w:val="auto"/>
          <w:sz w:val="22"/>
          <w:szCs w:val="22"/>
        </w:rPr>
        <w:fldChar w:fldCharType="end"/>
      </w:r>
      <w:r w:rsidRPr="00400BEC">
        <w:rPr>
          <w:rFonts w:ascii="Times New Roman" w:hAnsi="Times New Roman" w:cs="Times New Roman"/>
          <w:color w:val="auto"/>
          <w:sz w:val="22"/>
          <w:szCs w:val="22"/>
        </w:rPr>
        <w:t>: Yearly returns of ONE Bank</w:t>
      </w:r>
      <w:bookmarkEnd w:id="208"/>
      <w:bookmarkEnd w:id="209"/>
      <w:bookmarkEnd w:id="210"/>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1.33%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-0.60%</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-1.08%</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0.58%</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-0.65%</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-0.55%</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-0.24%</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-0.62%</w:t>
            </w:r>
          </w:p>
        </w:tc>
      </w:tr>
    </w:tbl>
    <w:p w:rsidR="00DA448F" w:rsidRPr="005D16C7" w:rsidRDefault="003F10CA" w:rsidP="005D16C7">
      <w:pPr>
        <w:pStyle w:val="Caption"/>
        <w:jc w:val="center"/>
        <w:rPr>
          <w:rFonts w:ascii="Times New Roman" w:hAnsi="Times New Roman" w:cs="Times New Roman"/>
          <w:color w:val="auto"/>
          <w:sz w:val="22"/>
          <w:szCs w:val="22"/>
        </w:rPr>
      </w:pPr>
      <w:bookmarkStart w:id="211" w:name="_Toc61651544"/>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41</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ONE Bank</w:t>
      </w:r>
      <w:bookmarkEnd w:id="211"/>
    </w:p>
    <w:p w:rsidR="003F10CA" w:rsidRDefault="00DA448F" w:rsidP="00DA448F">
      <w:pPr>
        <w:pStyle w:val="Caption"/>
        <w:jc w:val="center"/>
        <w:rPr>
          <w:rFonts w:ascii="Times New Roman" w:hAnsi="Times New Roman" w:cs="Times New Roman"/>
          <w:color w:val="auto"/>
          <w:sz w:val="22"/>
          <w:szCs w:val="22"/>
        </w:rPr>
      </w:pPr>
      <w:r>
        <w:rPr>
          <w:noProof/>
        </w:rPr>
        <w:drawing>
          <wp:inline distT="0" distB="0" distL="0" distR="0" wp14:anchorId="0C00B456" wp14:editId="12130835">
            <wp:extent cx="5486400" cy="3200400"/>
            <wp:effectExtent l="0" t="0" r="19050" b="1905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500D0E" w:rsidRDefault="003F10CA" w:rsidP="005D16C7">
      <w:pPr>
        <w:pStyle w:val="Caption"/>
        <w:jc w:val="center"/>
        <w:rPr>
          <w:rFonts w:ascii="Times New Roman" w:hAnsi="Times New Roman" w:cs="Times New Roman"/>
          <w:color w:val="auto"/>
          <w:sz w:val="22"/>
          <w:szCs w:val="22"/>
        </w:rPr>
      </w:pPr>
      <w:bookmarkStart w:id="212" w:name="_Toc61651481"/>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38</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400BEC">
        <w:rPr>
          <w:rFonts w:ascii="Times New Roman" w:hAnsi="Times New Roman" w:cs="Times New Roman"/>
          <w:color w:val="auto"/>
          <w:sz w:val="22"/>
          <w:szCs w:val="22"/>
        </w:rPr>
        <w:t>ONE Bank</w:t>
      </w:r>
      <w:bookmarkEnd w:id="212"/>
      <w:r w:rsidR="005D16C7" w:rsidRPr="009B6B89">
        <w:rPr>
          <w:rFonts w:ascii="Times New Roman" w:hAnsi="Times New Roman" w:cs="Times New Roman"/>
          <w:color w:val="auto"/>
          <w:sz w:val="22"/>
          <w:szCs w:val="22"/>
        </w:rPr>
        <w:t xml:space="preserve"> </w:t>
      </w:r>
    </w:p>
    <w:p w:rsidR="00500D0E" w:rsidRDefault="00500D0E" w:rsidP="005D16C7">
      <w:pPr>
        <w:pStyle w:val="Caption"/>
        <w:jc w:val="center"/>
        <w:rPr>
          <w:rFonts w:ascii="Times New Roman" w:hAnsi="Times New Roman" w:cs="Times New Roman"/>
          <w:color w:val="auto"/>
          <w:sz w:val="22"/>
          <w:szCs w:val="22"/>
        </w:rPr>
      </w:pPr>
    </w:p>
    <w:p w:rsidR="008A307A" w:rsidRPr="009B6B89" w:rsidRDefault="00500D0E" w:rsidP="00500D0E">
      <w:pPr>
        <w:pStyle w:val="Caption"/>
        <w:spacing w:line="360" w:lineRule="auto"/>
        <w:jc w:val="both"/>
        <w:rPr>
          <w:rFonts w:ascii="Times New Roman" w:hAnsi="Times New Roman" w:cs="Times New Roman"/>
          <w:color w:val="auto"/>
          <w:sz w:val="22"/>
          <w:szCs w:val="22"/>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mostly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sidRPr="009B6B89">
        <w:rPr>
          <w:rFonts w:ascii="Times New Roman" w:hAnsi="Times New Roman" w:cs="Times New Roman"/>
          <w:color w:val="auto"/>
          <w:sz w:val="22"/>
          <w:szCs w:val="22"/>
        </w:rPr>
        <w:br w:type="page"/>
      </w:r>
    </w:p>
    <w:p w:rsidR="008A307A" w:rsidRDefault="008A307A" w:rsidP="00FB1F30">
      <w:pPr>
        <w:pStyle w:val="Heading2"/>
        <w:rPr>
          <w:rFonts w:eastAsia="Times New Roman"/>
        </w:rPr>
      </w:pPr>
      <w:bookmarkStart w:id="213" w:name="_Toc62037732"/>
      <w:r w:rsidRPr="00B71D63">
        <w:rPr>
          <w:rFonts w:eastAsia="Times New Roman"/>
        </w:rPr>
        <w:lastRenderedPageBreak/>
        <w:t>Premier Bank:</w:t>
      </w:r>
      <w:bookmarkEnd w:id="213"/>
      <w:r w:rsidRPr="00B71D63">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Premier Bank the value for 2017 is 25.11, 2018 is -7.21 and 2019 is -11.98. It means return for 2017 is positive and both years 2018 and 2019 are negative. On the other hand the holding period return show the return parentage for 2017 is 1.10, 2018 is -0.07 and 2019 is -0.12. That indicates positive return for the year 2017. But both the year 2018 and 2019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B356C2" w:rsidRDefault="008A307A" w:rsidP="008A307A">
            <w:pPr>
              <w:spacing w:line="288" w:lineRule="auto"/>
              <w:jc w:val="center"/>
              <w:rPr>
                <w:rFonts w:ascii="Calibri" w:hAnsi="Calibri" w:cs="Calibri"/>
                <w:color w:val="FFFFFF" w:themeColor="background1"/>
              </w:rPr>
            </w:pPr>
            <w:r w:rsidRPr="00B356C2">
              <w:rPr>
                <w:rFonts w:ascii="Calibri" w:hAnsi="Calibri" w:cs="Calibri"/>
                <w:color w:val="FFFFFF" w:themeColor="background1"/>
              </w:rPr>
              <w:t>25.11</w:t>
            </w:r>
          </w:p>
        </w:tc>
        <w:tc>
          <w:tcPr>
            <w:tcW w:w="1226" w:type="dxa"/>
            <w:tcBorders>
              <w:top w:val="single" w:sz="6" w:space="0" w:color="FFFFFF" w:themeColor="background1"/>
            </w:tcBorders>
            <w:shd w:val="clear" w:color="auto" w:fill="943634" w:themeFill="accent2" w:themeFillShade="BF"/>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-7.21</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-11.98</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1.10</w:t>
            </w:r>
          </w:p>
        </w:tc>
        <w:tc>
          <w:tcPr>
            <w:tcW w:w="1226" w:type="dxa"/>
            <w:tcBorders>
              <w:top w:val="single" w:sz="6" w:space="0" w:color="FFFFFF" w:themeColor="background1"/>
            </w:tcBorders>
            <w:shd w:val="clear" w:color="auto" w:fill="5F497A" w:themeFill="accent4" w:themeFillShade="BF"/>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-0.07</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-0.12</w:t>
            </w:r>
          </w:p>
        </w:tc>
        <w:tc>
          <w:tcPr>
            <w:tcW w:w="1226" w:type="dxa"/>
            <w:tcBorders>
              <w:top w:val="single" w:sz="6" w:space="0" w:color="FFFFFF" w:themeColor="background1"/>
              <w:left w:val="single" w:sz="6" w:space="0" w:color="FFFFFF" w:themeColor="background1"/>
            </w:tcBorders>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25.11</w:t>
            </w:r>
          </w:p>
        </w:tc>
        <w:tc>
          <w:tcPr>
            <w:tcW w:w="1226" w:type="dxa"/>
            <w:tcBorders>
              <w:top w:val="single" w:sz="6" w:space="0" w:color="FFFFFF" w:themeColor="background1"/>
            </w:tcBorders>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-7.21</w:t>
            </w:r>
          </w:p>
        </w:tc>
        <w:tc>
          <w:tcPr>
            <w:tcW w:w="921" w:type="dxa"/>
            <w:tcBorders>
              <w:top w:val="single" w:sz="6" w:space="0" w:color="FFFFFF" w:themeColor="background1"/>
            </w:tcBorders>
            <w:vAlign w:val="center"/>
          </w:tcPr>
          <w:p w:rsidR="008A307A" w:rsidRPr="00B356C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B356C2">
              <w:rPr>
                <w:rFonts w:ascii="Calibri" w:hAnsi="Calibri" w:cs="Calibri"/>
                <w:b/>
                <w:color w:val="FFFFFF" w:themeColor="background1"/>
              </w:rPr>
              <w:t>-11.98</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0B1571" w:rsidP="009B6B89">
      <w:pPr>
        <w:pStyle w:val="Caption"/>
        <w:jc w:val="center"/>
        <w:rPr>
          <w:rFonts w:ascii="Times New Roman" w:hAnsi="Times New Roman" w:cs="Times New Roman"/>
          <w:color w:val="auto"/>
          <w:sz w:val="22"/>
          <w:szCs w:val="22"/>
        </w:rPr>
      </w:pPr>
      <w:bookmarkStart w:id="214" w:name="_Toc57290062"/>
      <w:bookmarkStart w:id="215" w:name="_Toc57290383"/>
      <w:bookmarkStart w:id="216" w:name="_Toc61651545"/>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42</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premier Bank</w:t>
      </w:r>
      <w:bookmarkEnd w:id="214"/>
      <w:bookmarkEnd w:id="215"/>
      <w:bookmarkEnd w:id="216"/>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23776" behindDoc="0" locked="0" layoutInCell="1" allowOverlap="1" wp14:anchorId="7F2E9F3C" wp14:editId="3A9FB3AA">
            <wp:simplePos x="0" y="0"/>
            <wp:positionH relativeFrom="column">
              <wp:posOffset>1876425</wp:posOffset>
            </wp:positionH>
            <wp:positionV relativeFrom="paragraph">
              <wp:posOffset>167005</wp:posOffset>
            </wp:positionV>
            <wp:extent cx="2286000" cy="1828800"/>
            <wp:effectExtent l="0" t="0" r="19050" b="19050"/>
            <wp:wrapSquare wrapText="bothSides"/>
            <wp:docPr id="171" name="Chart 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22752" behindDoc="0" locked="0" layoutInCell="1" allowOverlap="1" wp14:anchorId="1BBC45C5" wp14:editId="20CD5535">
            <wp:simplePos x="0" y="0"/>
            <wp:positionH relativeFrom="column">
              <wp:posOffset>-409575</wp:posOffset>
            </wp:positionH>
            <wp:positionV relativeFrom="paragraph">
              <wp:posOffset>162560</wp:posOffset>
            </wp:positionV>
            <wp:extent cx="2286000" cy="1828800"/>
            <wp:effectExtent l="0" t="0" r="19050" b="19050"/>
            <wp:wrapSquare wrapText="bothSides"/>
            <wp:docPr id="172" name="Chart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24800" behindDoc="0" locked="0" layoutInCell="1" allowOverlap="1" wp14:anchorId="004AA667" wp14:editId="4ADE7038">
            <wp:simplePos x="0" y="0"/>
            <wp:positionH relativeFrom="column">
              <wp:posOffset>4114800</wp:posOffset>
            </wp:positionH>
            <wp:positionV relativeFrom="paragraph">
              <wp:posOffset>162560</wp:posOffset>
            </wp:positionV>
            <wp:extent cx="2286000" cy="1828800"/>
            <wp:effectExtent l="0" t="0" r="19050" b="19050"/>
            <wp:wrapSquare wrapText="bothSides"/>
            <wp:docPr id="173" name="Chart 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14:sizeRelH relativeFrom="page">
              <wp14:pctWidth>0</wp14:pctWidth>
            </wp14:sizeRelH>
            <wp14:sizeRelV relativeFrom="page">
              <wp14:pctHeight>0</wp14:pctHeight>
            </wp14:sizeRelV>
          </wp:anchor>
        </w:drawing>
      </w:r>
    </w:p>
    <w:p w:rsidR="00DA448F" w:rsidRDefault="000B1571" w:rsidP="009B6B89">
      <w:pPr>
        <w:pStyle w:val="Caption"/>
        <w:jc w:val="center"/>
        <w:rPr>
          <w:rFonts w:ascii="Times New Roman" w:hAnsi="Times New Roman" w:cs="Times New Roman"/>
          <w:color w:val="auto"/>
          <w:sz w:val="22"/>
          <w:szCs w:val="22"/>
        </w:rPr>
      </w:pPr>
      <w:bookmarkStart w:id="217" w:name="_Toc57290092"/>
      <w:bookmarkStart w:id="218" w:name="_Toc57290227"/>
      <w:bookmarkStart w:id="219" w:name="_Toc61651482"/>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39</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premier Bank</w:t>
      </w:r>
      <w:bookmarkEnd w:id="217"/>
      <w:bookmarkEnd w:id="218"/>
      <w:bookmarkEnd w:id="219"/>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2.43%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-0.33%</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-1.34%</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0.79%</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-0.15%</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-0.46%</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0.46%</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-0.77%</w:t>
            </w:r>
          </w:p>
        </w:tc>
      </w:tr>
    </w:tbl>
    <w:p w:rsidR="00DA448F" w:rsidRPr="005D16C7" w:rsidRDefault="003F10CA" w:rsidP="005D16C7">
      <w:pPr>
        <w:pStyle w:val="Caption"/>
        <w:jc w:val="center"/>
        <w:rPr>
          <w:rFonts w:ascii="Times New Roman" w:hAnsi="Times New Roman" w:cs="Times New Roman"/>
          <w:color w:val="auto"/>
          <w:sz w:val="22"/>
          <w:szCs w:val="22"/>
        </w:rPr>
      </w:pPr>
      <w:bookmarkStart w:id="220" w:name="_Toc61651546"/>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43</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premier Bank</w:t>
      </w:r>
      <w:bookmarkEnd w:id="220"/>
    </w:p>
    <w:p w:rsidR="003F10CA" w:rsidRDefault="00DA448F" w:rsidP="00DA448F">
      <w:pPr>
        <w:pStyle w:val="Caption"/>
        <w:jc w:val="center"/>
        <w:rPr>
          <w:b w:val="0"/>
        </w:rPr>
      </w:pPr>
      <w:r>
        <w:rPr>
          <w:noProof/>
        </w:rPr>
        <w:drawing>
          <wp:inline distT="0" distB="0" distL="0" distR="0" wp14:anchorId="5283F407" wp14:editId="2B35970C">
            <wp:extent cx="5486400" cy="3200400"/>
            <wp:effectExtent l="0" t="0" r="19050"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500D0E" w:rsidRDefault="003F10CA" w:rsidP="005D16C7">
      <w:pPr>
        <w:pStyle w:val="Caption"/>
        <w:jc w:val="center"/>
        <w:rPr>
          <w:b w:val="0"/>
        </w:rPr>
      </w:pPr>
      <w:bookmarkStart w:id="221" w:name="_Toc61651483"/>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40</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premier Bank</w:t>
      </w:r>
      <w:bookmarkEnd w:id="221"/>
      <w:r w:rsidR="005D16C7">
        <w:rPr>
          <w:b w:val="0"/>
        </w:rPr>
        <w:t xml:space="preserve"> </w:t>
      </w:r>
    </w:p>
    <w:p w:rsidR="00500D0E" w:rsidRDefault="00500D0E" w:rsidP="005D16C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222" w:name="_Toc62037733"/>
      <w:r w:rsidRPr="00F4248E">
        <w:rPr>
          <w:rFonts w:eastAsia="Times New Roman"/>
        </w:rPr>
        <w:lastRenderedPageBreak/>
        <w:t>Prime Bank:</w:t>
      </w:r>
      <w:bookmarkEnd w:id="222"/>
      <w:r w:rsidRPr="00F4248E">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Prime Bank the value for 2017 is 39.08, 2018 is -14.90 and 2019 is -4.21. It means return for 2017 is positive and both years 2018 and 2019 are negative. On the other hand the holding period return show the return parentage for 2017 is 1.99, 2018 is 0.49 and 2019 is 1.21. That indicates positive return for all the three the year 2017, 2018 and 2019.</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F4248E"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rPr>
                <w:rFonts w:ascii="Calibri" w:hAnsi="Calibri" w:cs="Calibri"/>
                <w:color w:val="FFFFFF" w:themeColor="background1"/>
              </w:rPr>
            </w:pPr>
            <w:r w:rsidRPr="00F5365A">
              <w:rPr>
                <w:rFonts w:ascii="Calibri" w:hAnsi="Calibri" w:cs="Calibri"/>
                <w:color w:val="FFFFFF" w:themeColor="background1"/>
              </w:rPr>
              <w:t>39.08</w:t>
            </w:r>
          </w:p>
        </w:tc>
        <w:tc>
          <w:tcPr>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-14.90</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-4.21</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1.99</w:t>
            </w:r>
          </w:p>
        </w:tc>
        <w:tc>
          <w:tcPr>
            <w:tcW w:w="1226" w:type="dxa"/>
            <w:tcBorders>
              <w:top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0.49</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1.21</w:t>
            </w:r>
          </w:p>
        </w:tc>
        <w:tc>
          <w:tcPr>
            <w:tcW w:w="1226" w:type="dxa"/>
            <w:tcBorders>
              <w:top w:val="single" w:sz="6" w:space="0" w:color="FFFFFF" w:themeColor="background1"/>
              <w:left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39.08</w:t>
            </w:r>
          </w:p>
        </w:tc>
        <w:tc>
          <w:tcPr>
            <w:tcW w:w="1226"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-14.90</w:t>
            </w:r>
          </w:p>
        </w:tc>
        <w:tc>
          <w:tcPr>
            <w:tcW w:w="921"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Pr>
                <w:rFonts w:ascii="Calibri" w:hAnsi="Calibri" w:cs="Calibri"/>
                <w:b/>
                <w:color w:val="FFFFFF" w:themeColor="background1"/>
              </w:rPr>
              <w:t>-4.21</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0B1571" w:rsidP="009B6B89">
      <w:pPr>
        <w:pStyle w:val="Caption"/>
        <w:jc w:val="center"/>
        <w:rPr>
          <w:rFonts w:ascii="Times New Roman" w:hAnsi="Times New Roman" w:cs="Times New Roman"/>
          <w:color w:val="auto"/>
          <w:sz w:val="22"/>
          <w:szCs w:val="22"/>
        </w:rPr>
      </w:pPr>
      <w:bookmarkStart w:id="223" w:name="_Toc57290063"/>
      <w:bookmarkStart w:id="224" w:name="_Toc57290384"/>
      <w:bookmarkStart w:id="225" w:name="_Toc61651547"/>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44</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Prime Bank</w:t>
      </w:r>
      <w:bookmarkEnd w:id="223"/>
      <w:bookmarkEnd w:id="224"/>
      <w:bookmarkEnd w:id="225"/>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26848" behindDoc="0" locked="0" layoutInCell="1" allowOverlap="1" wp14:anchorId="41F06D6B" wp14:editId="3FA27557">
            <wp:simplePos x="0" y="0"/>
            <wp:positionH relativeFrom="column">
              <wp:posOffset>1876425</wp:posOffset>
            </wp:positionH>
            <wp:positionV relativeFrom="paragraph">
              <wp:posOffset>167005</wp:posOffset>
            </wp:positionV>
            <wp:extent cx="2286000" cy="1828800"/>
            <wp:effectExtent l="0" t="0" r="19050" b="19050"/>
            <wp:wrapSquare wrapText="bothSides"/>
            <wp:docPr id="174" name="Chart 1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25824" behindDoc="0" locked="0" layoutInCell="1" allowOverlap="1" wp14:anchorId="567C71C8" wp14:editId="7F25E410">
            <wp:simplePos x="0" y="0"/>
            <wp:positionH relativeFrom="column">
              <wp:posOffset>-409575</wp:posOffset>
            </wp:positionH>
            <wp:positionV relativeFrom="paragraph">
              <wp:posOffset>162560</wp:posOffset>
            </wp:positionV>
            <wp:extent cx="2286000" cy="1828800"/>
            <wp:effectExtent l="0" t="0" r="19050" b="19050"/>
            <wp:wrapSquare wrapText="bothSides"/>
            <wp:docPr id="175" name="Chart 1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27872" behindDoc="0" locked="0" layoutInCell="1" allowOverlap="1" wp14:anchorId="6BAB34EB" wp14:editId="221A05FF">
            <wp:simplePos x="0" y="0"/>
            <wp:positionH relativeFrom="column">
              <wp:posOffset>4114800</wp:posOffset>
            </wp:positionH>
            <wp:positionV relativeFrom="paragraph">
              <wp:posOffset>162560</wp:posOffset>
            </wp:positionV>
            <wp:extent cx="2286000" cy="1828800"/>
            <wp:effectExtent l="0" t="0" r="19050" b="19050"/>
            <wp:wrapSquare wrapText="bothSides"/>
            <wp:docPr id="176" name="Chart 1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page">
              <wp14:pctWidth>0</wp14:pctWidth>
            </wp14:sizeRelH>
            <wp14:sizeRelV relativeFrom="page">
              <wp14:pctHeight>0</wp14:pctHeight>
            </wp14:sizeRelV>
          </wp:anchor>
        </w:drawing>
      </w:r>
    </w:p>
    <w:p w:rsidR="00DA448F" w:rsidRDefault="000B1571" w:rsidP="009B6B89">
      <w:pPr>
        <w:pStyle w:val="Caption"/>
        <w:jc w:val="center"/>
        <w:rPr>
          <w:rFonts w:ascii="Times New Roman" w:hAnsi="Times New Roman" w:cs="Times New Roman"/>
          <w:color w:val="auto"/>
          <w:sz w:val="22"/>
          <w:szCs w:val="22"/>
        </w:rPr>
      </w:pPr>
      <w:bookmarkStart w:id="226" w:name="_Toc57290093"/>
      <w:bookmarkStart w:id="227" w:name="_Toc57290228"/>
      <w:bookmarkStart w:id="228" w:name="_Toc61651484"/>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41</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Prime Bank</w:t>
      </w:r>
      <w:bookmarkEnd w:id="226"/>
      <w:bookmarkEnd w:id="227"/>
      <w:bookmarkEnd w:id="228"/>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-0.54%</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-0.28%</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-0.66%</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1.00%</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0.09%</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0.45%</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-0.35%</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-0.27%</w:t>
            </w:r>
          </w:p>
        </w:tc>
      </w:tr>
    </w:tbl>
    <w:p w:rsidR="00DA448F" w:rsidRPr="005D16C7" w:rsidRDefault="003F10CA" w:rsidP="005D16C7">
      <w:pPr>
        <w:pStyle w:val="Caption"/>
        <w:jc w:val="center"/>
        <w:rPr>
          <w:rFonts w:ascii="Times New Roman" w:hAnsi="Times New Roman" w:cs="Times New Roman"/>
          <w:color w:val="auto"/>
          <w:sz w:val="22"/>
          <w:szCs w:val="22"/>
        </w:rPr>
      </w:pPr>
      <w:bookmarkStart w:id="229" w:name="_Toc61651548"/>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45</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Prime Bank</w:t>
      </w:r>
      <w:bookmarkEnd w:id="229"/>
    </w:p>
    <w:p w:rsidR="003F10CA" w:rsidRDefault="00DA448F" w:rsidP="00DA448F">
      <w:pPr>
        <w:pStyle w:val="Caption"/>
        <w:jc w:val="center"/>
        <w:rPr>
          <w:b w:val="0"/>
        </w:rPr>
      </w:pPr>
      <w:r>
        <w:rPr>
          <w:noProof/>
        </w:rPr>
        <w:drawing>
          <wp:inline distT="0" distB="0" distL="0" distR="0" wp14:anchorId="5B64CD65" wp14:editId="452879A7">
            <wp:extent cx="5486400" cy="3200400"/>
            <wp:effectExtent l="0" t="0" r="19050"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500D0E" w:rsidRDefault="003F10CA" w:rsidP="005D16C7">
      <w:pPr>
        <w:pStyle w:val="Caption"/>
        <w:jc w:val="center"/>
        <w:rPr>
          <w:b w:val="0"/>
        </w:rPr>
      </w:pPr>
      <w:bookmarkStart w:id="230" w:name="_Toc61651485"/>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42</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Prime Bank</w:t>
      </w:r>
      <w:bookmarkEnd w:id="230"/>
      <w:r w:rsidR="005D16C7">
        <w:rPr>
          <w:b w:val="0"/>
        </w:rPr>
        <w:t xml:space="preserve"> </w:t>
      </w:r>
    </w:p>
    <w:p w:rsidR="00500D0E" w:rsidRDefault="00500D0E" w:rsidP="005D16C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231" w:name="_Toc62037734"/>
      <w:proofErr w:type="spellStart"/>
      <w:r w:rsidRPr="00F5365A">
        <w:rPr>
          <w:rFonts w:eastAsia="Times New Roman"/>
        </w:rPr>
        <w:lastRenderedPageBreak/>
        <w:t>Pubali</w:t>
      </w:r>
      <w:proofErr w:type="spellEnd"/>
      <w:r w:rsidRPr="00F5365A">
        <w:rPr>
          <w:rFonts w:eastAsia="Times New Roman"/>
        </w:rPr>
        <w:t xml:space="preserve"> Bank:</w:t>
      </w:r>
      <w:bookmarkEnd w:id="231"/>
      <w:r w:rsidRPr="00F5365A">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w:t>
      </w:r>
      <w:proofErr w:type="spellStart"/>
      <w:r w:rsidRPr="0023061F">
        <w:rPr>
          <w:rFonts w:ascii="Times New Roman" w:hAnsi="Times New Roman" w:cs="Times New Roman"/>
          <w:sz w:val="24"/>
          <w:szCs w:val="24"/>
        </w:rPr>
        <w:t>Pubali</w:t>
      </w:r>
      <w:proofErr w:type="spellEnd"/>
      <w:r w:rsidRPr="0023061F">
        <w:rPr>
          <w:rFonts w:ascii="Times New Roman" w:hAnsi="Times New Roman" w:cs="Times New Roman"/>
          <w:sz w:val="24"/>
          <w:szCs w:val="24"/>
        </w:rPr>
        <w:t xml:space="preserve"> Bank the value for 2017 is 33.48, 2018 is -3.18 and 2019 is -11.08. It means return for 2017 is positive and both years 2018 and 2019 are negative. On the other hand the holding period return show the return parentage for 2017 is 0.37, 2018 is 0.45 and 2019 is 0.86. That indicates positive return for all the three the year 2017, 2018 and 2019.</w:t>
      </w:r>
    </w:p>
    <w:p w:rsidR="008A307A" w:rsidRPr="0023061F" w:rsidRDefault="008A307A" w:rsidP="0023061F">
      <w:pPr>
        <w:spacing w:after="0" w:line="288" w:lineRule="auto"/>
        <w:ind w:left="360"/>
        <w:jc w:val="both"/>
        <w:rPr>
          <w:rFonts w:ascii="Times New Roman" w:hAnsi="Times New Roman" w:cs="Times New Roman"/>
          <w:sz w:val="24"/>
          <w:szCs w:val="24"/>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rPr>
                <w:rFonts w:ascii="Calibri" w:hAnsi="Calibri" w:cs="Calibri"/>
                <w:color w:val="FFFFFF" w:themeColor="background1"/>
              </w:rPr>
            </w:pPr>
            <w:r w:rsidRPr="00F5365A">
              <w:rPr>
                <w:rFonts w:ascii="Calibri" w:hAnsi="Calibri" w:cs="Calibri"/>
                <w:color w:val="FFFFFF" w:themeColor="background1"/>
              </w:rPr>
              <w:t>33.48</w:t>
            </w:r>
          </w:p>
        </w:tc>
        <w:tc>
          <w:tcPr>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-3.18</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-11.08</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0.37</w:t>
            </w:r>
          </w:p>
        </w:tc>
        <w:tc>
          <w:tcPr>
            <w:tcW w:w="1226" w:type="dxa"/>
            <w:tcBorders>
              <w:top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0.45</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0.86</w:t>
            </w:r>
          </w:p>
        </w:tc>
        <w:tc>
          <w:tcPr>
            <w:tcW w:w="1226" w:type="dxa"/>
            <w:tcBorders>
              <w:top w:val="single" w:sz="6" w:space="0" w:color="FFFFFF" w:themeColor="background1"/>
              <w:left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33.48</w:t>
            </w:r>
          </w:p>
        </w:tc>
        <w:tc>
          <w:tcPr>
            <w:tcW w:w="1226"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-3.18</w:t>
            </w:r>
          </w:p>
        </w:tc>
        <w:tc>
          <w:tcPr>
            <w:tcW w:w="921"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-11.08</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0B1571" w:rsidP="009B6B89">
      <w:pPr>
        <w:pStyle w:val="Caption"/>
        <w:jc w:val="center"/>
        <w:rPr>
          <w:rFonts w:ascii="Times New Roman" w:hAnsi="Times New Roman" w:cs="Times New Roman"/>
          <w:color w:val="auto"/>
          <w:sz w:val="22"/>
          <w:szCs w:val="22"/>
        </w:rPr>
      </w:pPr>
      <w:bookmarkStart w:id="232" w:name="_Toc57290064"/>
      <w:bookmarkStart w:id="233" w:name="_Toc57290385"/>
      <w:bookmarkStart w:id="234" w:name="_Toc61651549"/>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46</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w:t>
      </w:r>
      <w:proofErr w:type="spellStart"/>
      <w:r w:rsidRPr="009B6B89">
        <w:rPr>
          <w:rFonts w:ascii="Times New Roman" w:hAnsi="Times New Roman" w:cs="Times New Roman"/>
          <w:color w:val="auto"/>
          <w:sz w:val="22"/>
          <w:szCs w:val="22"/>
        </w:rPr>
        <w:t>Pubali</w:t>
      </w:r>
      <w:proofErr w:type="spellEnd"/>
      <w:r w:rsidRPr="009B6B89">
        <w:rPr>
          <w:rFonts w:ascii="Times New Roman" w:hAnsi="Times New Roman" w:cs="Times New Roman"/>
          <w:color w:val="auto"/>
          <w:sz w:val="22"/>
          <w:szCs w:val="22"/>
        </w:rPr>
        <w:t xml:space="preserve"> Bank</w:t>
      </w:r>
      <w:bookmarkEnd w:id="232"/>
      <w:bookmarkEnd w:id="233"/>
      <w:bookmarkEnd w:id="234"/>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29920" behindDoc="0" locked="0" layoutInCell="1" allowOverlap="1" wp14:anchorId="3CCFCCF7" wp14:editId="0AF6FCA5">
            <wp:simplePos x="0" y="0"/>
            <wp:positionH relativeFrom="column">
              <wp:posOffset>1876425</wp:posOffset>
            </wp:positionH>
            <wp:positionV relativeFrom="paragraph">
              <wp:posOffset>167005</wp:posOffset>
            </wp:positionV>
            <wp:extent cx="2286000" cy="1828800"/>
            <wp:effectExtent l="0" t="0" r="19050" b="19050"/>
            <wp:wrapSquare wrapText="bothSides"/>
            <wp:docPr id="177" name="Chart 1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28896" behindDoc="0" locked="0" layoutInCell="1" allowOverlap="1" wp14:anchorId="40470269" wp14:editId="7F344005">
            <wp:simplePos x="0" y="0"/>
            <wp:positionH relativeFrom="column">
              <wp:posOffset>-409575</wp:posOffset>
            </wp:positionH>
            <wp:positionV relativeFrom="paragraph">
              <wp:posOffset>162560</wp:posOffset>
            </wp:positionV>
            <wp:extent cx="2286000" cy="1828800"/>
            <wp:effectExtent l="0" t="0" r="19050" b="19050"/>
            <wp:wrapSquare wrapText="bothSides"/>
            <wp:docPr id="178" name="Chart 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0944" behindDoc="0" locked="0" layoutInCell="1" allowOverlap="1" wp14:anchorId="128903C5" wp14:editId="2D624B19">
            <wp:simplePos x="0" y="0"/>
            <wp:positionH relativeFrom="column">
              <wp:posOffset>4114800</wp:posOffset>
            </wp:positionH>
            <wp:positionV relativeFrom="paragraph">
              <wp:posOffset>162560</wp:posOffset>
            </wp:positionV>
            <wp:extent cx="2286000" cy="1828800"/>
            <wp:effectExtent l="0" t="0" r="19050" b="19050"/>
            <wp:wrapSquare wrapText="bothSides"/>
            <wp:docPr id="179" name="Chart 1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14:sizeRelH relativeFrom="page">
              <wp14:pctWidth>0</wp14:pctWidth>
            </wp14:sizeRelH>
            <wp14:sizeRelV relativeFrom="page">
              <wp14:pctHeight>0</wp14:pctHeight>
            </wp14:sizeRelV>
          </wp:anchor>
        </w:drawing>
      </w:r>
    </w:p>
    <w:p w:rsidR="00DA448F" w:rsidRDefault="000B1571" w:rsidP="009B6B89">
      <w:pPr>
        <w:pStyle w:val="Caption"/>
        <w:jc w:val="center"/>
        <w:rPr>
          <w:rFonts w:ascii="Times New Roman" w:hAnsi="Times New Roman" w:cs="Times New Roman"/>
          <w:color w:val="auto"/>
          <w:sz w:val="22"/>
          <w:szCs w:val="22"/>
        </w:rPr>
      </w:pPr>
      <w:bookmarkStart w:id="235" w:name="_Toc57290094"/>
      <w:bookmarkStart w:id="236" w:name="_Toc57290229"/>
      <w:bookmarkStart w:id="237" w:name="_Toc61651486"/>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43</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w:t>
      </w:r>
      <w:proofErr w:type="spellStart"/>
      <w:r w:rsidRPr="009B6B89">
        <w:rPr>
          <w:rFonts w:ascii="Times New Roman" w:hAnsi="Times New Roman" w:cs="Times New Roman"/>
          <w:color w:val="auto"/>
          <w:sz w:val="22"/>
          <w:szCs w:val="22"/>
        </w:rPr>
        <w:t>Pubali</w:t>
      </w:r>
      <w:proofErr w:type="spellEnd"/>
      <w:r w:rsidRPr="009B6B89">
        <w:rPr>
          <w:rFonts w:ascii="Times New Roman" w:hAnsi="Times New Roman" w:cs="Times New Roman"/>
          <w:color w:val="auto"/>
          <w:sz w:val="22"/>
          <w:szCs w:val="22"/>
        </w:rPr>
        <w:t xml:space="preserve"> Bank</w:t>
      </w:r>
      <w:bookmarkEnd w:id="235"/>
      <w:bookmarkEnd w:id="236"/>
      <w:bookmarkEnd w:id="237"/>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0.09%</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-0.68%</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0.16%</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0.39%</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-0.42%</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0.56%</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-0.47%</w:t>
            </w:r>
          </w:p>
        </w:tc>
      </w:tr>
    </w:tbl>
    <w:p w:rsidR="00DA448F" w:rsidRPr="005D16C7" w:rsidRDefault="003F10CA" w:rsidP="005D16C7">
      <w:pPr>
        <w:pStyle w:val="Caption"/>
        <w:jc w:val="center"/>
        <w:rPr>
          <w:rFonts w:ascii="Times New Roman" w:hAnsi="Times New Roman" w:cs="Times New Roman"/>
          <w:color w:val="auto"/>
          <w:sz w:val="22"/>
          <w:szCs w:val="22"/>
        </w:rPr>
      </w:pPr>
      <w:bookmarkStart w:id="238" w:name="_Toc61651550"/>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47</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Pubali</w:t>
      </w:r>
      <w:proofErr w:type="spellEnd"/>
      <w:r w:rsidR="005D16C7" w:rsidRPr="009B6B89">
        <w:rPr>
          <w:rFonts w:ascii="Times New Roman" w:hAnsi="Times New Roman" w:cs="Times New Roman"/>
          <w:color w:val="auto"/>
          <w:sz w:val="22"/>
          <w:szCs w:val="22"/>
        </w:rPr>
        <w:t xml:space="preserve"> Bank</w:t>
      </w:r>
      <w:bookmarkEnd w:id="238"/>
    </w:p>
    <w:p w:rsidR="003F10CA" w:rsidRDefault="00DA448F" w:rsidP="00DA448F">
      <w:pPr>
        <w:pStyle w:val="Caption"/>
        <w:jc w:val="center"/>
        <w:rPr>
          <w:b w:val="0"/>
        </w:rPr>
      </w:pPr>
      <w:r>
        <w:rPr>
          <w:noProof/>
        </w:rPr>
        <w:drawing>
          <wp:inline distT="0" distB="0" distL="0" distR="0" wp14:anchorId="2EE7D034" wp14:editId="0E2B37BB">
            <wp:extent cx="5486400" cy="3200400"/>
            <wp:effectExtent l="0" t="0" r="19050"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500D0E" w:rsidRDefault="003F10CA" w:rsidP="005D16C7">
      <w:pPr>
        <w:pStyle w:val="Caption"/>
        <w:jc w:val="center"/>
        <w:rPr>
          <w:b w:val="0"/>
        </w:rPr>
      </w:pPr>
      <w:bookmarkStart w:id="239" w:name="_Toc61651487"/>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44</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Pubali</w:t>
      </w:r>
      <w:proofErr w:type="spellEnd"/>
      <w:r w:rsidR="005D16C7" w:rsidRPr="009B6B89">
        <w:rPr>
          <w:rFonts w:ascii="Times New Roman" w:hAnsi="Times New Roman" w:cs="Times New Roman"/>
          <w:color w:val="auto"/>
          <w:sz w:val="22"/>
          <w:szCs w:val="22"/>
        </w:rPr>
        <w:t xml:space="preserve"> Bank</w:t>
      </w:r>
      <w:bookmarkEnd w:id="239"/>
      <w:r w:rsidR="005D16C7">
        <w:rPr>
          <w:b w:val="0"/>
        </w:rPr>
        <w:t xml:space="preserve"> </w:t>
      </w:r>
    </w:p>
    <w:p w:rsidR="00500D0E" w:rsidRDefault="00500D0E" w:rsidP="00500D0E">
      <w:pPr>
        <w:pStyle w:val="Caption"/>
        <w:spacing w:line="360" w:lineRule="auto"/>
        <w:jc w:val="both"/>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positive return is higher than the negative return. So, I can say the return growth rate from this investment was less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240" w:name="_Toc62037735"/>
      <w:proofErr w:type="spellStart"/>
      <w:r w:rsidRPr="00F5365A">
        <w:rPr>
          <w:rFonts w:eastAsia="Times New Roman"/>
        </w:rPr>
        <w:lastRenderedPageBreak/>
        <w:t>Rupali</w:t>
      </w:r>
      <w:proofErr w:type="spellEnd"/>
      <w:r w:rsidRPr="00F5365A">
        <w:rPr>
          <w:rFonts w:eastAsia="Times New Roman"/>
        </w:rPr>
        <w:t xml:space="preserve"> Bank:</w:t>
      </w:r>
      <w:bookmarkEnd w:id="240"/>
      <w:r w:rsidRPr="00F5365A">
        <w:rPr>
          <w:rFonts w:eastAsia="Times New Roman"/>
        </w:rPr>
        <w:t xml:space="preserve"> </w:t>
      </w:r>
    </w:p>
    <w:p w:rsidR="008A307A" w:rsidRPr="0023061F" w:rsidRDefault="008A307A" w:rsidP="0023061F">
      <w:pPr>
        <w:spacing w:after="0" w:line="288" w:lineRule="auto"/>
        <w:ind w:left="360"/>
        <w:jc w:val="both"/>
        <w:rPr>
          <w:rFonts w:ascii="Times New Roman" w:hAnsi="Times New Roman" w:cs="Times New Roman"/>
          <w:sz w:val="24"/>
          <w:szCs w:val="24"/>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w:t>
      </w:r>
      <w:proofErr w:type="spellStart"/>
      <w:r w:rsidRPr="0023061F">
        <w:rPr>
          <w:rFonts w:ascii="Times New Roman" w:hAnsi="Times New Roman" w:cs="Times New Roman"/>
          <w:sz w:val="24"/>
          <w:szCs w:val="24"/>
        </w:rPr>
        <w:t>Rupali</w:t>
      </w:r>
      <w:proofErr w:type="spellEnd"/>
      <w:r w:rsidRPr="0023061F">
        <w:rPr>
          <w:rFonts w:ascii="Times New Roman" w:hAnsi="Times New Roman" w:cs="Times New Roman"/>
          <w:sz w:val="24"/>
          <w:szCs w:val="24"/>
        </w:rPr>
        <w:t xml:space="preserve"> Bank the value for 2017 is 129.72, 2018 is -24.24 and 2019 is -23.05. It means return for 2017 is positive and both years 2018 and 2019 are negative. On the other hand the holding period return show the return parentage for 2017 is 1.30, 2018 is -0.24 and 2019 is -0.23. That indicates positive return for the year 2017. But both the year 2018 and 2019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rPr>
                <w:rFonts w:ascii="Calibri" w:hAnsi="Calibri" w:cs="Calibri"/>
                <w:color w:val="FFFFFF" w:themeColor="background1"/>
              </w:rPr>
            </w:pPr>
            <w:r w:rsidRPr="00F5365A">
              <w:rPr>
                <w:rFonts w:ascii="Calibri" w:hAnsi="Calibri" w:cs="Calibri"/>
                <w:color w:val="FFFFFF" w:themeColor="background1"/>
              </w:rPr>
              <w:t>129.72</w:t>
            </w:r>
          </w:p>
        </w:tc>
        <w:tc>
          <w:tcPr>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-24.24</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-23.05</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1.30</w:t>
            </w:r>
          </w:p>
        </w:tc>
        <w:tc>
          <w:tcPr>
            <w:tcW w:w="1226" w:type="dxa"/>
            <w:tcBorders>
              <w:top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-0.24</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-0.23</w:t>
            </w:r>
          </w:p>
        </w:tc>
        <w:tc>
          <w:tcPr>
            <w:tcW w:w="1226" w:type="dxa"/>
            <w:tcBorders>
              <w:top w:val="single" w:sz="6" w:space="0" w:color="FFFFFF" w:themeColor="background1"/>
              <w:left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129.72</w:t>
            </w:r>
          </w:p>
        </w:tc>
        <w:tc>
          <w:tcPr>
            <w:tcW w:w="1226"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-24.24</w:t>
            </w:r>
          </w:p>
        </w:tc>
        <w:tc>
          <w:tcPr>
            <w:tcW w:w="921"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-23.05</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0B1571" w:rsidP="009B6B89">
      <w:pPr>
        <w:pStyle w:val="Caption"/>
        <w:jc w:val="center"/>
        <w:rPr>
          <w:rFonts w:ascii="Times New Roman" w:hAnsi="Times New Roman" w:cs="Times New Roman"/>
          <w:color w:val="auto"/>
          <w:sz w:val="22"/>
          <w:szCs w:val="22"/>
        </w:rPr>
      </w:pPr>
      <w:bookmarkStart w:id="241" w:name="_Toc57290065"/>
      <w:bookmarkStart w:id="242" w:name="_Toc57290386"/>
      <w:bookmarkStart w:id="243" w:name="_Toc61651551"/>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48</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w:t>
      </w:r>
      <w:proofErr w:type="spellStart"/>
      <w:r w:rsidRPr="009B6B89">
        <w:rPr>
          <w:rFonts w:ascii="Times New Roman" w:hAnsi="Times New Roman" w:cs="Times New Roman"/>
          <w:color w:val="auto"/>
          <w:sz w:val="22"/>
          <w:szCs w:val="22"/>
        </w:rPr>
        <w:t>Rupali</w:t>
      </w:r>
      <w:proofErr w:type="spellEnd"/>
      <w:r w:rsidRPr="009B6B89">
        <w:rPr>
          <w:rFonts w:ascii="Times New Roman" w:hAnsi="Times New Roman" w:cs="Times New Roman"/>
          <w:color w:val="auto"/>
          <w:sz w:val="22"/>
          <w:szCs w:val="22"/>
        </w:rPr>
        <w:t xml:space="preserve"> Bank</w:t>
      </w:r>
      <w:bookmarkEnd w:id="241"/>
      <w:bookmarkEnd w:id="242"/>
      <w:bookmarkEnd w:id="243"/>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32992" behindDoc="0" locked="0" layoutInCell="1" allowOverlap="1" wp14:anchorId="2B05B66F" wp14:editId="15348E54">
            <wp:simplePos x="0" y="0"/>
            <wp:positionH relativeFrom="column">
              <wp:posOffset>1876425</wp:posOffset>
            </wp:positionH>
            <wp:positionV relativeFrom="paragraph">
              <wp:posOffset>167005</wp:posOffset>
            </wp:positionV>
            <wp:extent cx="2286000" cy="1828800"/>
            <wp:effectExtent l="0" t="0" r="19050" b="19050"/>
            <wp:wrapSquare wrapText="bothSides"/>
            <wp:docPr id="180" name="Chart 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1968" behindDoc="0" locked="0" layoutInCell="1" allowOverlap="1" wp14:anchorId="1C44E35E" wp14:editId="19D33F21">
            <wp:simplePos x="0" y="0"/>
            <wp:positionH relativeFrom="column">
              <wp:posOffset>-409575</wp:posOffset>
            </wp:positionH>
            <wp:positionV relativeFrom="paragraph">
              <wp:posOffset>162560</wp:posOffset>
            </wp:positionV>
            <wp:extent cx="2286000" cy="1828800"/>
            <wp:effectExtent l="0" t="0" r="19050" b="19050"/>
            <wp:wrapSquare wrapText="bothSides"/>
            <wp:docPr id="181" name="Chart 1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4016" behindDoc="0" locked="0" layoutInCell="1" allowOverlap="1" wp14:anchorId="58298E62" wp14:editId="4D4824AF">
            <wp:simplePos x="0" y="0"/>
            <wp:positionH relativeFrom="column">
              <wp:posOffset>4114800</wp:posOffset>
            </wp:positionH>
            <wp:positionV relativeFrom="paragraph">
              <wp:posOffset>162560</wp:posOffset>
            </wp:positionV>
            <wp:extent cx="2286000" cy="1828800"/>
            <wp:effectExtent l="0" t="0" r="19050" b="19050"/>
            <wp:wrapSquare wrapText="bothSides"/>
            <wp:docPr id="182" name="Chart 1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page">
              <wp14:pctWidth>0</wp14:pctWidth>
            </wp14:sizeRelH>
            <wp14:sizeRelV relativeFrom="page">
              <wp14:pctHeight>0</wp14:pctHeight>
            </wp14:sizeRelV>
          </wp:anchor>
        </w:drawing>
      </w:r>
    </w:p>
    <w:p w:rsidR="00DA448F" w:rsidRDefault="000B1571" w:rsidP="009B6B89">
      <w:pPr>
        <w:pStyle w:val="Caption"/>
        <w:jc w:val="center"/>
        <w:rPr>
          <w:rFonts w:ascii="Times New Roman" w:hAnsi="Times New Roman" w:cs="Times New Roman"/>
          <w:color w:val="auto"/>
          <w:sz w:val="22"/>
          <w:szCs w:val="22"/>
        </w:rPr>
      </w:pPr>
      <w:bookmarkStart w:id="244" w:name="_Toc57290095"/>
      <w:bookmarkStart w:id="245" w:name="_Toc57290230"/>
      <w:bookmarkStart w:id="246" w:name="_Toc61651488"/>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45</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w:t>
      </w:r>
      <w:proofErr w:type="spellStart"/>
      <w:r w:rsidRPr="009B6B89">
        <w:rPr>
          <w:rFonts w:ascii="Times New Roman" w:hAnsi="Times New Roman" w:cs="Times New Roman"/>
          <w:color w:val="auto"/>
          <w:sz w:val="22"/>
          <w:szCs w:val="22"/>
        </w:rPr>
        <w:t>Rupali</w:t>
      </w:r>
      <w:proofErr w:type="spellEnd"/>
      <w:r w:rsidRPr="009B6B89">
        <w:rPr>
          <w:rFonts w:ascii="Times New Roman" w:hAnsi="Times New Roman" w:cs="Times New Roman"/>
          <w:color w:val="auto"/>
          <w:sz w:val="22"/>
          <w:szCs w:val="22"/>
        </w:rPr>
        <w:t xml:space="preserve"> Bank</w:t>
      </w:r>
      <w:bookmarkEnd w:id="244"/>
      <w:bookmarkEnd w:id="245"/>
      <w:bookmarkEnd w:id="246"/>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1.47%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-0.71%</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0.80%</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-0.65%</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0.99%</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-0.28%</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-0.75%</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-0.12%</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0.05%</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-1.28%</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-0.30%</w:t>
            </w:r>
          </w:p>
        </w:tc>
      </w:tr>
    </w:tbl>
    <w:p w:rsidR="00DA448F" w:rsidRPr="005D16C7" w:rsidRDefault="001D7ED7" w:rsidP="005D16C7">
      <w:pPr>
        <w:pStyle w:val="Caption"/>
        <w:jc w:val="center"/>
        <w:rPr>
          <w:rFonts w:ascii="Times New Roman" w:hAnsi="Times New Roman" w:cs="Times New Roman"/>
          <w:color w:val="auto"/>
          <w:sz w:val="22"/>
          <w:szCs w:val="22"/>
        </w:rPr>
      </w:pPr>
      <w:bookmarkStart w:id="247" w:name="_Toc61651552"/>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49</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Rupali</w:t>
      </w:r>
      <w:proofErr w:type="spellEnd"/>
      <w:r w:rsidR="005D16C7" w:rsidRPr="009B6B89">
        <w:rPr>
          <w:rFonts w:ascii="Times New Roman" w:hAnsi="Times New Roman" w:cs="Times New Roman"/>
          <w:color w:val="auto"/>
          <w:sz w:val="22"/>
          <w:szCs w:val="22"/>
        </w:rPr>
        <w:t xml:space="preserve"> Bank</w:t>
      </w:r>
      <w:bookmarkEnd w:id="247"/>
    </w:p>
    <w:p w:rsidR="003F10CA" w:rsidRDefault="00DA448F" w:rsidP="00DA448F">
      <w:pPr>
        <w:pStyle w:val="Caption"/>
        <w:jc w:val="center"/>
        <w:rPr>
          <w:b w:val="0"/>
        </w:rPr>
      </w:pPr>
      <w:r>
        <w:rPr>
          <w:noProof/>
        </w:rPr>
        <w:drawing>
          <wp:inline distT="0" distB="0" distL="0" distR="0" wp14:anchorId="63B43AAB" wp14:editId="143B9DF2">
            <wp:extent cx="5486400" cy="3200400"/>
            <wp:effectExtent l="0" t="0" r="19050" b="1905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500D0E" w:rsidRDefault="001D7ED7" w:rsidP="005D16C7">
      <w:pPr>
        <w:pStyle w:val="Caption"/>
        <w:jc w:val="center"/>
        <w:rPr>
          <w:b w:val="0"/>
        </w:rPr>
      </w:pPr>
      <w:bookmarkStart w:id="248" w:name="_Toc61651489"/>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46</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Rupali</w:t>
      </w:r>
      <w:proofErr w:type="spellEnd"/>
      <w:r w:rsidR="005D16C7" w:rsidRPr="009B6B89">
        <w:rPr>
          <w:rFonts w:ascii="Times New Roman" w:hAnsi="Times New Roman" w:cs="Times New Roman"/>
          <w:color w:val="auto"/>
          <w:sz w:val="22"/>
          <w:szCs w:val="22"/>
        </w:rPr>
        <w:t xml:space="preserve"> Bank</w:t>
      </w:r>
      <w:bookmarkEnd w:id="248"/>
      <w:r w:rsidR="005D16C7">
        <w:rPr>
          <w:b w:val="0"/>
        </w:rPr>
        <w:t xml:space="preserve"> </w:t>
      </w:r>
    </w:p>
    <w:p w:rsidR="00500D0E" w:rsidRDefault="00500D0E" w:rsidP="005D16C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249" w:name="_Toc62037736"/>
      <w:proofErr w:type="spellStart"/>
      <w:r w:rsidRPr="00F5365A">
        <w:rPr>
          <w:rFonts w:eastAsia="Times New Roman"/>
        </w:rPr>
        <w:lastRenderedPageBreak/>
        <w:t>Shahjalal</w:t>
      </w:r>
      <w:proofErr w:type="spellEnd"/>
      <w:r w:rsidRPr="00F5365A">
        <w:rPr>
          <w:rFonts w:eastAsia="Times New Roman"/>
        </w:rPr>
        <w:t xml:space="preserve"> </w:t>
      </w:r>
      <w:proofErr w:type="spellStart"/>
      <w:r w:rsidRPr="00F5365A">
        <w:rPr>
          <w:rFonts w:eastAsia="Times New Roman"/>
        </w:rPr>
        <w:t>Islami</w:t>
      </w:r>
      <w:proofErr w:type="spellEnd"/>
      <w:r w:rsidRPr="00F5365A">
        <w:rPr>
          <w:rFonts w:eastAsia="Times New Roman"/>
        </w:rPr>
        <w:t xml:space="preserve"> Bank:</w:t>
      </w:r>
      <w:bookmarkEnd w:id="249"/>
      <w:r w:rsidRPr="00F5365A">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w:t>
      </w:r>
      <w:proofErr w:type="spellStart"/>
      <w:r w:rsidRPr="0023061F">
        <w:rPr>
          <w:rFonts w:ascii="Times New Roman" w:hAnsi="Times New Roman" w:cs="Times New Roman"/>
          <w:sz w:val="24"/>
          <w:szCs w:val="24"/>
        </w:rPr>
        <w:t>Shahjalal</w:t>
      </w:r>
      <w:proofErr w:type="spellEnd"/>
      <w:r w:rsidRPr="0023061F">
        <w:rPr>
          <w:rFonts w:ascii="Times New Roman" w:hAnsi="Times New Roman" w:cs="Times New Roman"/>
          <w:sz w:val="24"/>
          <w:szCs w:val="24"/>
        </w:rPr>
        <w:t xml:space="preserve"> </w:t>
      </w:r>
      <w:proofErr w:type="spellStart"/>
      <w:r w:rsidRPr="0023061F">
        <w:rPr>
          <w:rFonts w:ascii="Times New Roman" w:hAnsi="Times New Roman" w:cs="Times New Roman"/>
          <w:sz w:val="24"/>
          <w:szCs w:val="24"/>
        </w:rPr>
        <w:t>Islami</w:t>
      </w:r>
      <w:proofErr w:type="spellEnd"/>
      <w:r w:rsidRPr="0023061F">
        <w:rPr>
          <w:rFonts w:ascii="Times New Roman" w:hAnsi="Times New Roman" w:cs="Times New Roman"/>
          <w:sz w:val="24"/>
          <w:szCs w:val="24"/>
        </w:rPr>
        <w:t xml:space="preserve"> Bank the value for 2017 is 113.92, 2018 is -0.13 and 2019 is -4.29. It means return for 2017 is positive and both years 2018 and 2019 are negative. On the other hand the holding period return show the return parentage for 2017 is 2.01, 2018 0.00 and 2019 is -0.04. That indicates positive return for the year 2017. But the year 2019 shows negative return. In 2018, show different scenario there is no return for the year.</w:t>
      </w:r>
    </w:p>
    <w:p w:rsidR="008A307A" w:rsidRPr="00F5365A" w:rsidRDefault="008A307A" w:rsidP="008A307A">
      <w:pPr>
        <w:spacing w:after="0" w:line="288" w:lineRule="auto"/>
        <w:ind w:left="360"/>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rPr>
                <w:rFonts w:ascii="Calibri" w:hAnsi="Calibri" w:cs="Calibri"/>
                <w:color w:val="FFFFFF" w:themeColor="background1"/>
              </w:rPr>
            </w:pPr>
            <w:r w:rsidRPr="00F5365A">
              <w:rPr>
                <w:rFonts w:ascii="Calibri" w:hAnsi="Calibri" w:cs="Calibri"/>
                <w:color w:val="FFFFFF" w:themeColor="background1"/>
              </w:rPr>
              <w:t>113.92</w:t>
            </w:r>
          </w:p>
        </w:tc>
        <w:tc>
          <w:tcPr>
            <w:tcW w:w="1226" w:type="dxa"/>
            <w:tcBorders>
              <w:top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-0.13</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-4.29</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2.01</w:t>
            </w:r>
          </w:p>
        </w:tc>
        <w:tc>
          <w:tcPr>
            <w:tcW w:w="1226" w:type="dxa"/>
            <w:tcBorders>
              <w:top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0.00</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-0.04</w:t>
            </w:r>
          </w:p>
        </w:tc>
        <w:tc>
          <w:tcPr>
            <w:tcW w:w="1226" w:type="dxa"/>
            <w:tcBorders>
              <w:top w:val="single" w:sz="6" w:space="0" w:color="FFFFFF" w:themeColor="background1"/>
              <w:left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113.92</w:t>
            </w:r>
          </w:p>
        </w:tc>
        <w:tc>
          <w:tcPr>
            <w:tcW w:w="1226"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F5365A">
              <w:rPr>
                <w:rFonts w:ascii="Calibri" w:hAnsi="Calibri" w:cs="Calibri"/>
                <w:b/>
                <w:color w:val="FFFFFF" w:themeColor="background1"/>
              </w:rPr>
              <w:t>-0.13</w:t>
            </w:r>
          </w:p>
        </w:tc>
        <w:tc>
          <w:tcPr>
            <w:tcW w:w="921" w:type="dxa"/>
            <w:tcBorders>
              <w:top w:val="single" w:sz="6" w:space="0" w:color="FFFFFF" w:themeColor="background1"/>
            </w:tcBorders>
            <w:vAlign w:val="center"/>
          </w:tcPr>
          <w:p w:rsidR="008A307A" w:rsidRPr="00F5365A"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Pr>
                <w:rFonts w:ascii="Calibri" w:hAnsi="Calibri" w:cs="Calibri"/>
                <w:b/>
                <w:color w:val="FFFFFF" w:themeColor="background1"/>
              </w:rPr>
              <w:t>-4.29</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0B1571" w:rsidP="009B6B89">
      <w:pPr>
        <w:pStyle w:val="Caption"/>
        <w:jc w:val="center"/>
        <w:rPr>
          <w:rFonts w:ascii="Times New Roman" w:hAnsi="Times New Roman" w:cs="Times New Roman"/>
          <w:color w:val="auto"/>
          <w:sz w:val="22"/>
          <w:szCs w:val="22"/>
        </w:rPr>
      </w:pPr>
      <w:bookmarkStart w:id="250" w:name="_Toc57290066"/>
      <w:bookmarkStart w:id="251" w:name="_Toc57290387"/>
      <w:bookmarkStart w:id="252" w:name="_Toc61651553"/>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50</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w:t>
      </w:r>
      <w:proofErr w:type="spellStart"/>
      <w:r w:rsidRPr="009B6B89">
        <w:rPr>
          <w:rFonts w:ascii="Times New Roman" w:hAnsi="Times New Roman" w:cs="Times New Roman"/>
          <w:color w:val="auto"/>
          <w:sz w:val="22"/>
          <w:szCs w:val="22"/>
        </w:rPr>
        <w:t>Shahjalal</w:t>
      </w:r>
      <w:proofErr w:type="spellEnd"/>
      <w:r w:rsidRPr="009B6B89">
        <w:rPr>
          <w:rFonts w:ascii="Times New Roman" w:hAnsi="Times New Roman" w:cs="Times New Roman"/>
          <w:color w:val="auto"/>
          <w:sz w:val="22"/>
          <w:szCs w:val="22"/>
        </w:rPr>
        <w:t xml:space="preserve"> </w:t>
      </w:r>
      <w:proofErr w:type="spellStart"/>
      <w:r w:rsidRPr="009B6B89">
        <w:rPr>
          <w:rFonts w:ascii="Times New Roman" w:hAnsi="Times New Roman" w:cs="Times New Roman"/>
          <w:color w:val="auto"/>
          <w:sz w:val="22"/>
          <w:szCs w:val="22"/>
        </w:rPr>
        <w:t>Islami</w:t>
      </w:r>
      <w:proofErr w:type="spellEnd"/>
      <w:r w:rsidRPr="009B6B89">
        <w:rPr>
          <w:rFonts w:ascii="Times New Roman" w:hAnsi="Times New Roman" w:cs="Times New Roman"/>
          <w:color w:val="auto"/>
          <w:sz w:val="22"/>
          <w:szCs w:val="22"/>
        </w:rPr>
        <w:t xml:space="preserve"> Bank</w:t>
      </w:r>
      <w:bookmarkEnd w:id="250"/>
      <w:bookmarkEnd w:id="251"/>
      <w:bookmarkEnd w:id="252"/>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36064" behindDoc="0" locked="0" layoutInCell="1" allowOverlap="1" wp14:anchorId="4E270F00" wp14:editId="4B7754C8">
            <wp:simplePos x="0" y="0"/>
            <wp:positionH relativeFrom="column">
              <wp:posOffset>1876425</wp:posOffset>
            </wp:positionH>
            <wp:positionV relativeFrom="paragraph">
              <wp:posOffset>167005</wp:posOffset>
            </wp:positionV>
            <wp:extent cx="2286000" cy="1828800"/>
            <wp:effectExtent l="0" t="0" r="19050" b="19050"/>
            <wp:wrapSquare wrapText="bothSides"/>
            <wp:docPr id="183" name="Chart 1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5040" behindDoc="0" locked="0" layoutInCell="1" allowOverlap="1" wp14:anchorId="3BFC5812" wp14:editId="5ACB7517">
            <wp:simplePos x="0" y="0"/>
            <wp:positionH relativeFrom="column">
              <wp:posOffset>-409575</wp:posOffset>
            </wp:positionH>
            <wp:positionV relativeFrom="paragraph">
              <wp:posOffset>162560</wp:posOffset>
            </wp:positionV>
            <wp:extent cx="2286000" cy="1828800"/>
            <wp:effectExtent l="0" t="0" r="19050" b="19050"/>
            <wp:wrapSquare wrapText="bothSides"/>
            <wp:docPr id="184" name="Chart 1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7088" behindDoc="0" locked="0" layoutInCell="1" allowOverlap="1" wp14:anchorId="4A57E94B" wp14:editId="299DB857">
            <wp:simplePos x="0" y="0"/>
            <wp:positionH relativeFrom="column">
              <wp:posOffset>4114800</wp:posOffset>
            </wp:positionH>
            <wp:positionV relativeFrom="paragraph">
              <wp:posOffset>162560</wp:posOffset>
            </wp:positionV>
            <wp:extent cx="2286000" cy="1828800"/>
            <wp:effectExtent l="0" t="0" r="19050" b="19050"/>
            <wp:wrapSquare wrapText="bothSides"/>
            <wp:docPr id="185" name="Chart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14:sizeRelH relativeFrom="page">
              <wp14:pctWidth>0</wp14:pctWidth>
            </wp14:sizeRelH>
            <wp14:sizeRelV relativeFrom="page">
              <wp14:pctHeight>0</wp14:pctHeight>
            </wp14:sizeRelV>
          </wp:anchor>
        </w:drawing>
      </w:r>
    </w:p>
    <w:p w:rsidR="00DA448F" w:rsidRDefault="000B1571" w:rsidP="009B6B89">
      <w:pPr>
        <w:pStyle w:val="Caption"/>
        <w:jc w:val="center"/>
        <w:rPr>
          <w:rFonts w:ascii="Times New Roman" w:hAnsi="Times New Roman" w:cs="Times New Roman"/>
          <w:color w:val="auto"/>
          <w:sz w:val="22"/>
          <w:szCs w:val="22"/>
        </w:rPr>
      </w:pPr>
      <w:bookmarkStart w:id="253" w:name="_Toc57290096"/>
      <w:bookmarkStart w:id="254" w:name="_Toc57290231"/>
      <w:bookmarkStart w:id="255" w:name="_Toc61651490"/>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47</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w:t>
      </w:r>
      <w:proofErr w:type="spellStart"/>
      <w:r w:rsidRPr="009B6B89">
        <w:rPr>
          <w:rFonts w:ascii="Times New Roman" w:hAnsi="Times New Roman" w:cs="Times New Roman"/>
          <w:color w:val="auto"/>
          <w:sz w:val="22"/>
          <w:szCs w:val="22"/>
        </w:rPr>
        <w:t>Shahjalal</w:t>
      </w:r>
      <w:proofErr w:type="spellEnd"/>
      <w:r w:rsidRPr="009B6B89">
        <w:rPr>
          <w:rFonts w:ascii="Times New Roman" w:hAnsi="Times New Roman" w:cs="Times New Roman"/>
          <w:color w:val="auto"/>
          <w:sz w:val="22"/>
          <w:szCs w:val="22"/>
        </w:rPr>
        <w:t xml:space="preserve"> </w:t>
      </w:r>
      <w:proofErr w:type="spellStart"/>
      <w:r w:rsidRPr="009B6B89">
        <w:rPr>
          <w:rFonts w:ascii="Times New Roman" w:hAnsi="Times New Roman" w:cs="Times New Roman"/>
          <w:color w:val="auto"/>
          <w:sz w:val="22"/>
          <w:szCs w:val="22"/>
        </w:rPr>
        <w:t>Islami</w:t>
      </w:r>
      <w:proofErr w:type="spellEnd"/>
      <w:r w:rsidRPr="009B6B89">
        <w:rPr>
          <w:rFonts w:ascii="Times New Roman" w:hAnsi="Times New Roman" w:cs="Times New Roman"/>
          <w:color w:val="auto"/>
          <w:sz w:val="22"/>
          <w:szCs w:val="22"/>
        </w:rPr>
        <w:t xml:space="preserve"> Bank</w:t>
      </w:r>
      <w:bookmarkEnd w:id="253"/>
      <w:bookmarkEnd w:id="254"/>
      <w:bookmarkEnd w:id="255"/>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-0.24%</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-0.16%</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-1.23%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1.16%</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-0.77%</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-0.55%</w:t>
            </w:r>
          </w:p>
        </w:tc>
      </w:tr>
    </w:tbl>
    <w:p w:rsidR="00DA448F" w:rsidRPr="005D16C7" w:rsidRDefault="003F10CA" w:rsidP="005D16C7">
      <w:pPr>
        <w:pStyle w:val="Caption"/>
        <w:jc w:val="center"/>
        <w:rPr>
          <w:rFonts w:ascii="Times New Roman" w:hAnsi="Times New Roman" w:cs="Times New Roman"/>
          <w:color w:val="auto"/>
          <w:sz w:val="22"/>
          <w:szCs w:val="22"/>
        </w:rPr>
      </w:pPr>
      <w:bookmarkStart w:id="256" w:name="_Toc61651554"/>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001D7ED7" w:rsidRPr="005D16C7">
        <w:rPr>
          <w:rFonts w:ascii="Times New Roman" w:hAnsi="Times New Roman" w:cs="Times New Roman"/>
          <w:color w:val="auto"/>
          <w:sz w:val="22"/>
          <w:szCs w:val="22"/>
        </w:rPr>
        <w:t>51</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Shahjalal</w:t>
      </w:r>
      <w:proofErr w:type="spellEnd"/>
      <w:r w:rsidR="005D16C7" w:rsidRPr="009B6B89">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Islami</w:t>
      </w:r>
      <w:proofErr w:type="spellEnd"/>
      <w:r w:rsidR="005D16C7" w:rsidRPr="009B6B89">
        <w:rPr>
          <w:rFonts w:ascii="Times New Roman" w:hAnsi="Times New Roman" w:cs="Times New Roman"/>
          <w:color w:val="auto"/>
          <w:sz w:val="22"/>
          <w:szCs w:val="22"/>
        </w:rPr>
        <w:t xml:space="preserve"> Bank</w:t>
      </w:r>
      <w:bookmarkEnd w:id="256"/>
    </w:p>
    <w:p w:rsidR="001D7ED7" w:rsidRDefault="00DA448F" w:rsidP="00DA448F">
      <w:pPr>
        <w:pStyle w:val="Caption"/>
        <w:jc w:val="center"/>
        <w:rPr>
          <w:b w:val="0"/>
        </w:rPr>
      </w:pPr>
      <w:r>
        <w:rPr>
          <w:noProof/>
        </w:rPr>
        <w:drawing>
          <wp:inline distT="0" distB="0" distL="0" distR="0" wp14:anchorId="22B5B022" wp14:editId="2F32C99E">
            <wp:extent cx="5486400" cy="3200400"/>
            <wp:effectExtent l="0" t="0" r="19050" b="190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500D0E" w:rsidRDefault="001D7ED7" w:rsidP="005D16C7">
      <w:pPr>
        <w:pStyle w:val="Caption"/>
        <w:jc w:val="center"/>
        <w:rPr>
          <w:rFonts w:ascii="Times New Roman" w:hAnsi="Times New Roman" w:cs="Times New Roman"/>
          <w:color w:val="auto"/>
          <w:sz w:val="22"/>
          <w:szCs w:val="22"/>
        </w:rPr>
      </w:pPr>
      <w:bookmarkStart w:id="257" w:name="_Toc61651491"/>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48</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Shahjalal</w:t>
      </w:r>
      <w:proofErr w:type="spellEnd"/>
      <w:r w:rsidR="005D16C7" w:rsidRPr="009B6B89">
        <w:rPr>
          <w:rFonts w:ascii="Times New Roman" w:hAnsi="Times New Roman" w:cs="Times New Roman"/>
          <w:color w:val="auto"/>
          <w:sz w:val="22"/>
          <w:szCs w:val="22"/>
        </w:rPr>
        <w:t xml:space="preserve"> </w:t>
      </w:r>
      <w:proofErr w:type="spellStart"/>
      <w:r w:rsidR="005D16C7" w:rsidRPr="009B6B89">
        <w:rPr>
          <w:rFonts w:ascii="Times New Roman" w:hAnsi="Times New Roman" w:cs="Times New Roman"/>
          <w:color w:val="auto"/>
          <w:sz w:val="22"/>
          <w:szCs w:val="22"/>
        </w:rPr>
        <w:t>Islami</w:t>
      </w:r>
      <w:proofErr w:type="spellEnd"/>
      <w:r w:rsidR="005D16C7" w:rsidRPr="009B6B89">
        <w:rPr>
          <w:rFonts w:ascii="Times New Roman" w:hAnsi="Times New Roman" w:cs="Times New Roman"/>
          <w:color w:val="auto"/>
          <w:sz w:val="22"/>
          <w:szCs w:val="22"/>
        </w:rPr>
        <w:t xml:space="preserve"> Bank</w:t>
      </w:r>
      <w:bookmarkEnd w:id="257"/>
      <w:r w:rsidR="005D16C7" w:rsidRPr="005D16C7">
        <w:rPr>
          <w:rFonts w:ascii="Times New Roman" w:hAnsi="Times New Roman" w:cs="Times New Roman"/>
          <w:color w:val="auto"/>
          <w:sz w:val="22"/>
          <w:szCs w:val="22"/>
        </w:rPr>
        <w:t xml:space="preserve"> </w:t>
      </w:r>
    </w:p>
    <w:p w:rsidR="00500D0E" w:rsidRDefault="00500D0E" w:rsidP="00500D0E">
      <w:pPr>
        <w:pStyle w:val="Caption"/>
        <w:jc w:val="both"/>
        <w:rPr>
          <w:rFonts w:ascii="Times New Roman" w:hAnsi="Times New Roman" w:cs="Times New Roman"/>
          <w:color w:val="auto"/>
          <w:sz w:val="22"/>
          <w:szCs w:val="22"/>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negative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258" w:name="_Toc62037737"/>
      <w:r w:rsidRPr="000C51F2">
        <w:rPr>
          <w:rFonts w:eastAsia="Times New Roman"/>
        </w:rPr>
        <w:lastRenderedPageBreak/>
        <w:t xml:space="preserve">Social </w:t>
      </w:r>
      <w:proofErr w:type="spellStart"/>
      <w:r w:rsidRPr="000C51F2">
        <w:rPr>
          <w:rFonts w:eastAsia="Times New Roman"/>
        </w:rPr>
        <w:t>Islami</w:t>
      </w:r>
      <w:proofErr w:type="spellEnd"/>
      <w:r w:rsidRPr="000C51F2">
        <w:rPr>
          <w:rFonts w:eastAsia="Times New Roman"/>
        </w:rPr>
        <w:t xml:space="preserve"> Bank:</w:t>
      </w:r>
      <w:bookmarkEnd w:id="258"/>
      <w:r w:rsidRPr="000C51F2">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Social </w:t>
      </w:r>
      <w:proofErr w:type="spellStart"/>
      <w:r w:rsidRPr="0023061F">
        <w:rPr>
          <w:rFonts w:ascii="Times New Roman" w:hAnsi="Times New Roman" w:cs="Times New Roman"/>
          <w:sz w:val="24"/>
          <w:szCs w:val="24"/>
        </w:rPr>
        <w:t>Islami</w:t>
      </w:r>
      <w:proofErr w:type="spellEnd"/>
      <w:r w:rsidRPr="0023061F">
        <w:rPr>
          <w:rFonts w:ascii="Times New Roman" w:hAnsi="Times New Roman" w:cs="Times New Roman"/>
          <w:sz w:val="24"/>
          <w:szCs w:val="24"/>
        </w:rPr>
        <w:t xml:space="preserve"> Bank the value for 2017 is 10.96, 2018 is -23.70 and 2019 is -11.75. It means return for 2017 is positive and both years 2018 and 2019 are negative. On the other hand the holding period return show the return parentage for 2017 is 1.93, 2018 is -0.24 and 2019 is -0.12. That indicates positive return for the year 2017. But both the year 2018 and 2019 is show negative return.</w:t>
      </w:r>
    </w:p>
    <w:p w:rsidR="008A307A" w:rsidRPr="0023061F" w:rsidRDefault="008A307A" w:rsidP="0023061F">
      <w:pPr>
        <w:spacing w:after="0" w:line="288" w:lineRule="auto"/>
        <w:ind w:left="360"/>
        <w:jc w:val="both"/>
        <w:rPr>
          <w:rFonts w:ascii="Times New Roman" w:hAnsi="Times New Roman" w:cs="Times New Roman"/>
          <w:sz w:val="24"/>
          <w:szCs w:val="24"/>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0C51F2" w:rsidRDefault="008A307A" w:rsidP="008A307A">
            <w:pPr>
              <w:spacing w:line="288" w:lineRule="auto"/>
              <w:jc w:val="center"/>
              <w:rPr>
                <w:rFonts w:ascii="Calibri" w:hAnsi="Calibri" w:cs="Calibri"/>
                <w:color w:val="FFFFFF" w:themeColor="background1"/>
              </w:rPr>
            </w:pPr>
            <w:r w:rsidRPr="000C51F2">
              <w:rPr>
                <w:rFonts w:ascii="Calibri" w:hAnsi="Calibri" w:cs="Calibri"/>
                <w:color w:val="FFFFFF" w:themeColor="background1"/>
              </w:rPr>
              <w:t>10.96</w:t>
            </w:r>
          </w:p>
        </w:tc>
        <w:tc>
          <w:tcPr>
            <w:tcW w:w="1226" w:type="dxa"/>
            <w:tcBorders>
              <w:top w:val="single" w:sz="6" w:space="0" w:color="FFFFFF" w:themeColor="background1"/>
            </w:tcBorders>
            <w:shd w:val="clear" w:color="auto" w:fill="943634" w:themeFill="accent2" w:themeFillShade="BF"/>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-23.70</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-11.75</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1.93</w:t>
            </w:r>
          </w:p>
        </w:tc>
        <w:tc>
          <w:tcPr>
            <w:tcW w:w="1226" w:type="dxa"/>
            <w:tcBorders>
              <w:top w:val="single" w:sz="6" w:space="0" w:color="FFFFFF" w:themeColor="background1"/>
            </w:tcBorders>
            <w:shd w:val="clear" w:color="auto" w:fill="5F497A" w:themeFill="accent4" w:themeFillShade="BF"/>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-0.24</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-0.12</w:t>
            </w:r>
          </w:p>
        </w:tc>
        <w:tc>
          <w:tcPr>
            <w:tcW w:w="1226" w:type="dxa"/>
            <w:tcBorders>
              <w:top w:val="single" w:sz="6" w:space="0" w:color="FFFFFF" w:themeColor="background1"/>
              <w:left w:val="single" w:sz="6" w:space="0" w:color="FFFFFF" w:themeColor="background1"/>
            </w:tcBorders>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10.96</w:t>
            </w:r>
          </w:p>
        </w:tc>
        <w:tc>
          <w:tcPr>
            <w:tcW w:w="1226" w:type="dxa"/>
            <w:tcBorders>
              <w:top w:val="single" w:sz="6" w:space="0" w:color="FFFFFF" w:themeColor="background1"/>
            </w:tcBorders>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-23.70</w:t>
            </w:r>
          </w:p>
        </w:tc>
        <w:tc>
          <w:tcPr>
            <w:tcW w:w="921" w:type="dxa"/>
            <w:tcBorders>
              <w:top w:val="single" w:sz="6" w:space="0" w:color="FFFFFF" w:themeColor="background1"/>
            </w:tcBorders>
            <w:vAlign w:val="center"/>
          </w:tcPr>
          <w:p w:rsidR="008A307A" w:rsidRPr="000C51F2"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0C51F2">
              <w:rPr>
                <w:rFonts w:ascii="Calibri" w:hAnsi="Calibri" w:cs="Calibri"/>
                <w:b/>
                <w:color w:val="FFFFFF" w:themeColor="background1"/>
              </w:rPr>
              <w:t>-11.75</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285003" w:rsidP="009B6B89">
      <w:pPr>
        <w:pStyle w:val="Caption"/>
        <w:jc w:val="center"/>
        <w:rPr>
          <w:rFonts w:ascii="Times New Roman" w:hAnsi="Times New Roman" w:cs="Times New Roman"/>
          <w:color w:val="auto"/>
          <w:sz w:val="22"/>
          <w:szCs w:val="22"/>
        </w:rPr>
      </w:pPr>
      <w:bookmarkStart w:id="259" w:name="_Toc57290067"/>
      <w:bookmarkStart w:id="260" w:name="_Toc57290388"/>
      <w:bookmarkStart w:id="261" w:name="_Toc61651555"/>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52</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Social </w:t>
      </w:r>
      <w:proofErr w:type="spellStart"/>
      <w:r w:rsidRPr="009B6B89">
        <w:rPr>
          <w:rFonts w:ascii="Times New Roman" w:hAnsi="Times New Roman" w:cs="Times New Roman"/>
          <w:color w:val="auto"/>
          <w:sz w:val="22"/>
          <w:szCs w:val="22"/>
        </w:rPr>
        <w:t>Islami</w:t>
      </w:r>
      <w:proofErr w:type="spellEnd"/>
      <w:r w:rsidRPr="009B6B89">
        <w:rPr>
          <w:rFonts w:ascii="Times New Roman" w:hAnsi="Times New Roman" w:cs="Times New Roman"/>
          <w:color w:val="auto"/>
          <w:sz w:val="22"/>
          <w:szCs w:val="22"/>
        </w:rPr>
        <w:t xml:space="preserve"> Bank</w:t>
      </w:r>
      <w:bookmarkEnd w:id="259"/>
      <w:bookmarkEnd w:id="260"/>
      <w:bookmarkEnd w:id="261"/>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39136" behindDoc="0" locked="0" layoutInCell="1" allowOverlap="1" wp14:anchorId="4A6D6DE4" wp14:editId="631DA635">
            <wp:simplePos x="0" y="0"/>
            <wp:positionH relativeFrom="column">
              <wp:posOffset>1876425</wp:posOffset>
            </wp:positionH>
            <wp:positionV relativeFrom="paragraph">
              <wp:posOffset>167005</wp:posOffset>
            </wp:positionV>
            <wp:extent cx="2286000" cy="1828800"/>
            <wp:effectExtent l="0" t="0" r="19050" b="19050"/>
            <wp:wrapSquare wrapText="bothSides"/>
            <wp:docPr id="186" name="Chart 1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8112" behindDoc="0" locked="0" layoutInCell="1" allowOverlap="1" wp14:anchorId="037E2C0E" wp14:editId="1A6CBEAC">
            <wp:simplePos x="0" y="0"/>
            <wp:positionH relativeFrom="column">
              <wp:posOffset>-409575</wp:posOffset>
            </wp:positionH>
            <wp:positionV relativeFrom="paragraph">
              <wp:posOffset>162560</wp:posOffset>
            </wp:positionV>
            <wp:extent cx="2286000" cy="1828800"/>
            <wp:effectExtent l="0" t="0" r="19050" b="19050"/>
            <wp:wrapSquare wrapText="bothSides"/>
            <wp:docPr id="187" name="Chart 1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40160" behindDoc="0" locked="0" layoutInCell="1" allowOverlap="1" wp14:anchorId="58DB9F0E" wp14:editId="7C71BC5E">
            <wp:simplePos x="0" y="0"/>
            <wp:positionH relativeFrom="column">
              <wp:posOffset>4114800</wp:posOffset>
            </wp:positionH>
            <wp:positionV relativeFrom="paragraph">
              <wp:posOffset>162560</wp:posOffset>
            </wp:positionV>
            <wp:extent cx="2286000" cy="1828800"/>
            <wp:effectExtent l="0" t="0" r="19050" b="19050"/>
            <wp:wrapSquare wrapText="bothSides"/>
            <wp:docPr id="188" name="Chart 1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14:sizeRelH relativeFrom="page">
              <wp14:pctWidth>0</wp14:pctWidth>
            </wp14:sizeRelH>
            <wp14:sizeRelV relativeFrom="page">
              <wp14:pctHeight>0</wp14:pctHeight>
            </wp14:sizeRelV>
          </wp:anchor>
        </w:drawing>
      </w:r>
    </w:p>
    <w:p w:rsidR="00DA448F" w:rsidRDefault="00285003" w:rsidP="009B6B89">
      <w:pPr>
        <w:pStyle w:val="Caption"/>
        <w:jc w:val="center"/>
        <w:rPr>
          <w:rFonts w:ascii="Times New Roman" w:hAnsi="Times New Roman" w:cs="Times New Roman"/>
          <w:color w:val="auto"/>
          <w:sz w:val="22"/>
          <w:szCs w:val="22"/>
        </w:rPr>
      </w:pPr>
      <w:bookmarkStart w:id="262" w:name="_Toc57290097"/>
      <w:bookmarkStart w:id="263" w:name="_Toc57290232"/>
      <w:bookmarkStart w:id="264" w:name="_Toc61651492"/>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49</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xml:space="preserve">: Yearly returns of Social </w:t>
      </w:r>
      <w:proofErr w:type="spellStart"/>
      <w:r w:rsidRPr="009B6B89">
        <w:rPr>
          <w:rFonts w:ascii="Times New Roman" w:hAnsi="Times New Roman" w:cs="Times New Roman"/>
          <w:color w:val="auto"/>
          <w:sz w:val="22"/>
          <w:szCs w:val="22"/>
        </w:rPr>
        <w:t>Islami</w:t>
      </w:r>
      <w:proofErr w:type="spellEnd"/>
      <w:r w:rsidRPr="009B6B89">
        <w:rPr>
          <w:rFonts w:ascii="Times New Roman" w:hAnsi="Times New Roman" w:cs="Times New Roman"/>
          <w:color w:val="auto"/>
          <w:sz w:val="22"/>
          <w:szCs w:val="22"/>
        </w:rPr>
        <w:t xml:space="preserve"> Bank</w:t>
      </w:r>
      <w:bookmarkEnd w:id="262"/>
      <w:bookmarkEnd w:id="263"/>
      <w:bookmarkEnd w:id="264"/>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0.71%</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-0.46%</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-0.42%</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0.69%</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0.12%</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-0.25%</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-0.70%</w:t>
            </w:r>
          </w:p>
        </w:tc>
      </w:tr>
    </w:tbl>
    <w:p w:rsidR="00DA448F" w:rsidRPr="005D16C7" w:rsidRDefault="001D7ED7" w:rsidP="005D16C7">
      <w:pPr>
        <w:pStyle w:val="Caption"/>
        <w:jc w:val="center"/>
        <w:rPr>
          <w:rFonts w:ascii="Times New Roman" w:hAnsi="Times New Roman" w:cs="Times New Roman"/>
          <w:color w:val="auto"/>
          <w:sz w:val="22"/>
          <w:szCs w:val="22"/>
        </w:rPr>
      </w:pPr>
      <w:bookmarkStart w:id="265" w:name="_Toc61651556"/>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53</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 xml:space="preserve">Social </w:t>
      </w:r>
      <w:proofErr w:type="spellStart"/>
      <w:r w:rsidR="005D16C7" w:rsidRPr="009B6B89">
        <w:rPr>
          <w:rFonts w:ascii="Times New Roman" w:hAnsi="Times New Roman" w:cs="Times New Roman"/>
          <w:color w:val="auto"/>
          <w:sz w:val="22"/>
          <w:szCs w:val="22"/>
        </w:rPr>
        <w:t>Islami</w:t>
      </w:r>
      <w:proofErr w:type="spellEnd"/>
      <w:r w:rsidR="005D16C7" w:rsidRPr="009B6B89">
        <w:rPr>
          <w:rFonts w:ascii="Times New Roman" w:hAnsi="Times New Roman" w:cs="Times New Roman"/>
          <w:color w:val="auto"/>
          <w:sz w:val="22"/>
          <w:szCs w:val="22"/>
        </w:rPr>
        <w:t xml:space="preserve"> Bank</w:t>
      </w:r>
      <w:bookmarkEnd w:id="265"/>
    </w:p>
    <w:p w:rsidR="001D7ED7" w:rsidRDefault="00DA448F" w:rsidP="00DA448F">
      <w:pPr>
        <w:pStyle w:val="Caption"/>
        <w:jc w:val="center"/>
        <w:rPr>
          <w:b w:val="0"/>
        </w:rPr>
      </w:pPr>
      <w:r>
        <w:rPr>
          <w:noProof/>
        </w:rPr>
        <w:drawing>
          <wp:inline distT="0" distB="0" distL="0" distR="0" wp14:anchorId="32544BA6" wp14:editId="66E6EF8D">
            <wp:extent cx="5486400" cy="3200400"/>
            <wp:effectExtent l="0" t="0" r="19050"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500D0E" w:rsidRDefault="001D7ED7" w:rsidP="005D16C7">
      <w:pPr>
        <w:pStyle w:val="Caption"/>
        <w:jc w:val="center"/>
        <w:rPr>
          <w:b w:val="0"/>
        </w:rPr>
      </w:pPr>
      <w:bookmarkStart w:id="266" w:name="_Toc61651493"/>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50</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 xml:space="preserve">Social </w:t>
      </w:r>
      <w:proofErr w:type="spellStart"/>
      <w:r w:rsidR="005D16C7" w:rsidRPr="009B6B89">
        <w:rPr>
          <w:rFonts w:ascii="Times New Roman" w:hAnsi="Times New Roman" w:cs="Times New Roman"/>
          <w:color w:val="auto"/>
          <w:sz w:val="22"/>
          <w:szCs w:val="22"/>
        </w:rPr>
        <w:t>Islami</w:t>
      </w:r>
      <w:proofErr w:type="spellEnd"/>
      <w:r w:rsidR="005D16C7" w:rsidRPr="009B6B89">
        <w:rPr>
          <w:rFonts w:ascii="Times New Roman" w:hAnsi="Times New Roman" w:cs="Times New Roman"/>
          <w:color w:val="auto"/>
          <w:sz w:val="22"/>
          <w:szCs w:val="22"/>
        </w:rPr>
        <w:t xml:space="preserve"> Bank</w:t>
      </w:r>
      <w:bookmarkEnd w:id="266"/>
      <w:r w:rsidR="005D16C7">
        <w:rPr>
          <w:b w:val="0"/>
        </w:rPr>
        <w:t xml:space="preserve"> </w:t>
      </w:r>
    </w:p>
    <w:p w:rsidR="00500D0E" w:rsidRDefault="00500D0E" w:rsidP="005D16C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267" w:name="_Toc62037738"/>
      <w:r w:rsidRPr="000C51F2">
        <w:rPr>
          <w:rFonts w:eastAsia="Times New Roman"/>
        </w:rPr>
        <w:lastRenderedPageBreak/>
        <w:t>Southeast Bank:</w:t>
      </w:r>
      <w:bookmarkEnd w:id="267"/>
      <w:r w:rsidRPr="000C51F2">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Southeast Bank the value for 2017 is 3.26, 2018 is -11.17 and 2019 is -13.33. It means return for 2017 is positive and both years 2018 and 2019 are negative. On the other hand the holding period return show the return parentage for 2017 is 1.77, 2018 is -0.11 and 2019 is -0.13. That indicates positive return for the year 2017. But both the year 2018 and 2019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rPr>
                <w:rFonts w:ascii="Calibri" w:hAnsi="Calibri" w:cs="Calibri"/>
                <w:color w:val="FFFFFF" w:themeColor="background1"/>
              </w:rPr>
            </w:pPr>
            <w:r w:rsidRPr="007F0461">
              <w:rPr>
                <w:rFonts w:ascii="Calibri" w:hAnsi="Calibri" w:cs="Calibri"/>
                <w:color w:val="FFFFFF" w:themeColor="background1"/>
              </w:rPr>
              <w:t>3.26</w:t>
            </w:r>
          </w:p>
        </w:tc>
        <w:tc>
          <w:tcPr>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-11.17</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-13.33</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1.77</w:t>
            </w:r>
          </w:p>
        </w:tc>
        <w:tc>
          <w:tcPr>
            <w:tcW w:w="1226" w:type="dxa"/>
            <w:tcBorders>
              <w:top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-0.11</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-0.13</w:t>
            </w:r>
          </w:p>
        </w:tc>
        <w:tc>
          <w:tcPr>
            <w:tcW w:w="1226" w:type="dxa"/>
            <w:tcBorders>
              <w:top w:val="single" w:sz="6" w:space="0" w:color="FFFFFF" w:themeColor="background1"/>
              <w:left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3.26</w:t>
            </w:r>
          </w:p>
        </w:tc>
        <w:tc>
          <w:tcPr>
            <w:tcW w:w="1226"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-11.17</w:t>
            </w:r>
          </w:p>
        </w:tc>
        <w:tc>
          <w:tcPr>
            <w:tcW w:w="921"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-13.33</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285003" w:rsidP="009B6B89">
      <w:pPr>
        <w:pStyle w:val="Caption"/>
        <w:jc w:val="center"/>
        <w:rPr>
          <w:rFonts w:ascii="Times New Roman" w:hAnsi="Times New Roman" w:cs="Times New Roman"/>
          <w:color w:val="auto"/>
          <w:sz w:val="22"/>
          <w:szCs w:val="22"/>
        </w:rPr>
      </w:pPr>
      <w:bookmarkStart w:id="268" w:name="_Toc57290068"/>
      <w:bookmarkStart w:id="269" w:name="_Toc57290389"/>
      <w:bookmarkStart w:id="270" w:name="_Toc61651557"/>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54</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Southeast Bank</w:t>
      </w:r>
      <w:bookmarkEnd w:id="268"/>
      <w:bookmarkEnd w:id="269"/>
      <w:bookmarkEnd w:id="270"/>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42208" behindDoc="0" locked="0" layoutInCell="1" allowOverlap="1" wp14:anchorId="4480E2AB" wp14:editId="1F8489EC">
            <wp:simplePos x="0" y="0"/>
            <wp:positionH relativeFrom="column">
              <wp:posOffset>1876425</wp:posOffset>
            </wp:positionH>
            <wp:positionV relativeFrom="paragraph">
              <wp:posOffset>167005</wp:posOffset>
            </wp:positionV>
            <wp:extent cx="2286000" cy="1828800"/>
            <wp:effectExtent l="0" t="0" r="19050" b="19050"/>
            <wp:wrapSquare wrapText="bothSides"/>
            <wp:docPr id="189" name="Chart 1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41184" behindDoc="0" locked="0" layoutInCell="1" allowOverlap="1" wp14:anchorId="3AABE75F" wp14:editId="6FD7E9AC">
            <wp:simplePos x="0" y="0"/>
            <wp:positionH relativeFrom="column">
              <wp:posOffset>-409575</wp:posOffset>
            </wp:positionH>
            <wp:positionV relativeFrom="paragraph">
              <wp:posOffset>162560</wp:posOffset>
            </wp:positionV>
            <wp:extent cx="2286000" cy="1828800"/>
            <wp:effectExtent l="0" t="0" r="19050" b="19050"/>
            <wp:wrapSquare wrapText="bothSides"/>
            <wp:docPr id="190" name="Chart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43232" behindDoc="0" locked="0" layoutInCell="1" allowOverlap="1" wp14:anchorId="492C543C" wp14:editId="44A85917">
            <wp:simplePos x="0" y="0"/>
            <wp:positionH relativeFrom="column">
              <wp:posOffset>4114800</wp:posOffset>
            </wp:positionH>
            <wp:positionV relativeFrom="paragraph">
              <wp:posOffset>162560</wp:posOffset>
            </wp:positionV>
            <wp:extent cx="2286000" cy="1828800"/>
            <wp:effectExtent l="0" t="0" r="19050" b="19050"/>
            <wp:wrapSquare wrapText="bothSides"/>
            <wp:docPr id="191" name="Chart 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14:sizeRelH relativeFrom="page">
              <wp14:pctWidth>0</wp14:pctWidth>
            </wp14:sizeRelH>
            <wp14:sizeRelV relativeFrom="page">
              <wp14:pctHeight>0</wp14:pctHeight>
            </wp14:sizeRelV>
          </wp:anchor>
        </w:drawing>
      </w:r>
    </w:p>
    <w:p w:rsidR="00DA448F" w:rsidRDefault="00285003" w:rsidP="009B6B89">
      <w:pPr>
        <w:pStyle w:val="Caption"/>
        <w:jc w:val="center"/>
        <w:rPr>
          <w:rFonts w:ascii="Times New Roman" w:hAnsi="Times New Roman" w:cs="Times New Roman"/>
          <w:color w:val="auto"/>
          <w:sz w:val="22"/>
          <w:szCs w:val="22"/>
        </w:rPr>
      </w:pPr>
      <w:bookmarkStart w:id="271" w:name="_Toc57290098"/>
      <w:bookmarkStart w:id="272" w:name="_Toc57290233"/>
      <w:bookmarkStart w:id="273" w:name="_Toc61651494"/>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51</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Southeast Bank</w:t>
      </w:r>
      <w:bookmarkEnd w:id="271"/>
      <w:bookmarkEnd w:id="272"/>
      <w:bookmarkEnd w:id="273"/>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-0.31%</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0.80%</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-0.24%</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-0.60%</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0.12%</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-0.19%</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0.12%</w:t>
            </w:r>
          </w:p>
        </w:tc>
      </w:tr>
    </w:tbl>
    <w:p w:rsidR="00DA448F" w:rsidRPr="005D16C7" w:rsidRDefault="001D7ED7" w:rsidP="005D16C7">
      <w:pPr>
        <w:pStyle w:val="Caption"/>
        <w:jc w:val="center"/>
        <w:rPr>
          <w:rFonts w:ascii="Times New Roman" w:hAnsi="Times New Roman" w:cs="Times New Roman"/>
          <w:color w:val="auto"/>
          <w:sz w:val="22"/>
          <w:szCs w:val="22"/>
        </w:rPr>
      </w:pPr>
      <w:bookmarkStart w:id="274" w:name="_Toc61651558"/>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55</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Southeast Bank</w:t>
      </w:r>
      <w:bookmarkEnd w:id="274"/>
    </w:p>
    <w:p w:rsidR="001D7ED7" w:rsidRDefault="00DA448F" w:rsidP="00DA448F">
      <w:pPr>
        <w:pStyle w:val="Caption"/>
        <w:jc w:val="center"/>
        <w:rPr>
          <w:b w:val="0"/>
        </w:rPr>
      </w:pPr>
      <w:r>
        <w:rPr>
          <w:noProof/>
        </w:rPr>
        <w:drawing>
          <wp:inline distT="0" distB="0" distL="0" distR="0" wp14:anchorId="096E924A" wp14:editId="71EEC692">
            <wp:extent cx="5486400" cy="3200400"/>
            <wp:effectExtent l="0" t="0" r="19050" b="1905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rsidR="00500D0E" w:rsidRDefault="001D7ED7" w:rsidP="005D16C7">
      <w:pPr>
        <w:pStyle w:val="Caption"/>
        <w:jc w:val="center"/>
        <w:rPr>
          <w:b w:val="0"/>
        </w:rPr>
      </w:pPr>
      <w:bookmarkStart w:id="275" w:name="_Toc61651495"/>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52</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Southeast Bank</w:t>
      </w:r>
      <w:bookmarkEnd w:id="275"/>
      <w:r w:rsidR="005D16C7">
        <w:rPr>
          <w:b w:val="0"/>
        </w:rPr>
        <w:t xml:space="preserve"> </w:t>
      </w:r>
    </w:p>
    <w:p w:rsidR="00500D0E" w:rsidRDefault="00500D0E" w:rsidP="005D16C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Pr="007F0461" w:rsidRDefault="008A307A" w:rsidP="00FB1F30">
      <w:pPr>
        <w:pStyle w:val="Heading2"/>
        <w:rPr>
          <w:rFonts w:eastAsia="Times New Roman"/>
        </w:rPr>
      </w:pPr>
      <w:bookmarkStart w:id="276" w:name="_Toc62037739"/>
      <w:r w:rsidRPr="007F0461">
        <w:rPr>
          <w:rFonts w:eastAsia="Times New Roman"/>
        </w:rPr>
        <w:lastRenderedPageBreak/>
        <w:t>Standard Bank:</w:t>
      </w:r>
      <w:bookmarkEnd w:id="276"/>
      <w:r w:rsidRPr="007F0461">
        <w:rPr>
          <w:rFonts w:eastAsia="Times New Roman"/>
        </w:rPr>
        <w:t xml:space="preserve"> </w:t>
      </w:r>
    </w:p>
    <w:p w:rsidR="008A307A" w:rsidRDefault="008A307A" w:rsidP="008A307A">
      <w:pPr>
        <w:spacing w:after="0" w:line="288" w:lineRule="auto"/>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Standard Bank the value for 2017 is 18.76, 2018 is -17.84 and 2019 is -17.03. It means return for 2017 is positive and both years 2018 and 2019 are negative. On the other hand the holding period return show the return parentage for 2017 is 0.62, 2018 is -0.18 and 2019 is -0.17. That indicates positive return for the year 2017. But both the year 2018 and 2019 is show negative return.</w:t>
      </w: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rPr>
                <w:rFonts w:ascii="Calibri" w:hAnsi="Calibri" w:cs="Calibri"/>
                <w:color w:val="FFFFFF" w:themeColor="background1"/>
              </w:rPr>
            </w:pPr>
            <w:r w:rsidRPr="007F0461">
              <w:rPr>
                <w:rFonts w:ascii="Calibri" w:hAnsi="Calibri" w:cs="Calibri"/>
                <w:color w:val="FFFFFF" w:themeColor="background1"/>
              </w:rPr>
              <w:t>18.76</w:t>
            </w:r>
          </w:p>
        </w:tc>
        <w:tc>
          <w:tcPr>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-17.84</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-17.03</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0.62</w:t>
            </w:r>
          </w:p>
        </w:tc>
        <w:tc>
          <w:tcPr>
            <w:tcW w:w="1226" w:type="dxa"/>
            <w:tcBorders>
              <w:top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-0.18</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-0.17</w:t>
            </w:r>
          </w:p>
        </w:tc>
        <w:tc>
          <w:tcPr>
            <w:tcW w:w="1226" w:type="dxa"/>
            <w:tcBorders>
              <w:top w:val="single" w:sz="6" w:space="0" w:color="FFFFFF" w:themeColor="background1"/>
              <w:left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18.76</w:t>
            </w:r>
          </w:p>
        </w:tc>
        <w:tc>
          <w:tcPr>
            <w:tcW w:w="1226"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-17.84</w:t>
            </w:r>
          </w:p>
        </w:tc>
        <w:tc>
          <w:tcPr>
            <w:tcW w:w="921"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-17.03</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285003" w:rsidP="009B6B89">
      <w:pPr>
        <w:pStyle w:val="Caption"/>
        <w:jc w:val="center"/>
        <w:rPr>
          <w:rFonts w:ascii="Times New Roman" w:hAnsi="Times New Roman" w:cs="Times New Roman"/>
          <w:color w:val="auto"/>
          <w:sz w:val="22"/>
          <w:szCs w:val="22"/>
        </w:rPr>
      </w:pPr>
      <w:bookmarkStart w:id="277" w:name="_Toc57290069"/>
      <w:bookmarkStart w:id="278" w:name="_Toc57290390"/>
      <w:bookmarkStart w:id="279" w:name="_Toc61651559"/>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56</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Standard Bank</w:t>
      </w:r>
      <w:bookmarkEnd w:id="277"/>
      <w:bookmarkEnd w:id="278"/>
      <w:bookmarkEnd w:id="279"/>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45280" behindDoc="0" locked="0" layoutInCell="1" allowOverlap="1" wp14:anchorId="7044B6E3" wp14:editId="1729193B">
            <wp:simplePos x="0" y="0"/>
            <wp:positionH relativeFrom="column">
              <wp:posOffset>1876425</wp:posOffset>
            </wp:positionH>
            <wp:positionV relativeFrom="paragraph">
              <wp:posOffset>167005</wp:posOffset>
            </wp:positionV>
            <wp:extent cx="2286000" cy="1828800"/>
            <wp:effectExtent l="0" t="0" r="19050" b="19050"/>
            <wp:wrapSquare wrapText="bothSides"/>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44256" behindDoc="0" locked="0" layoutInCell="1" allowOverlap="1" wp14:anchorId="1EB99C2A" wp14:editId="51A8C5C8">
            <wp:simplePos x="0" y="0"/>
            <wp:positionH relativeFrom="column">
              <wp:posOffset>-409575</wp:posOffset>
            </wp:positionH>
            <wp:positionV relativeFrom="paragraph">
              <wp:posOffset>162560</wp:posOffset>
            </wp:positionV>
            <wp:extent cx="2286000" cy="1828800"/>
            <wp:effectExtent l="0" t="0" r="19050" b="19050"/>
            <wp:wrapSquare wrapText="bothSides"/>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46304" behindDoc="0" locked="0" layoutInCell="1" allowOverlap="1" wp14:anchorId="52B87148" wp14:editId="08DEB904">
            <wp:simplePos x="0" y="0"/>
            <wp:positionH relativeFrom="column">
              <wp:posOffset>4114800</wp:posOffset>
            </wp:positionH>
            <wp:positionV relativeFrom="paragraph">
              <wp:posOffset>162560</wp:posOffset>
            </wp:positionV>
            <wp:extent cx="2286000" cy="1828800"/>
            <wp:effectExtent l="0" t="0" r="19050" b="19050"/>
            <wp:wrapSquare wrapText="bothSides"/>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14:sizeRelH relativeFrom="page">
              <wp14:pctWidth>0</wp14:pctWidth>
            </wp14:sizeRelH>
            <wp14:sizeRelV relativeFrom="page">
              <wp14:pctHeight>0</wp14:pctHeight>
            </wp14:sizeRelV>
          </wp:anchor>
        </w:drawing>
      </w:r>
    </w:p>
    <w:p w:rsidR="00DA448F" w:rsidRDefault="00285003" w:rsidP="009B6B89">
      <w:pPr>
        <w:pStyle w:val="Caption"/>
        <w:jc w:val="center"/>
        <w:rPr>
          <w:rFonts w:ascii="Times New Roman" w:hAnsi="Times New Roman" w:cs="Times New Roman"/>
          <w:color w:val="auto"/>
          <w:sz w:val="22"/>
          <w:szCs w:val="22"/>
        </w:rPr>
      </w:pPr>
      <w:bookmarkStart w:id="280" w:name="_Toc57290099"/>
      <w:bookmarkStart w:id="281" w:name="_Toc57290234"/>
      <w:bookmarkStart w:id="282" w:name="_Toc61651496"/>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53</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Standard Bank</w:t>
      </w:r>
      <w:bookmarkEnd w:id="280"/>
      <w:bookmarkEnd w:id="281"/>
      <w:bookmarkEnd w:id="282"/>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0.66%</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-0.53%</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-0.48%</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0.85%</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-0.79%</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0.09%</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-0.09%</w:t>
            </w:r>
          </w:p>
        </w:tc>
      </w:tr>
    </w:tbl>
    <w:p w:rsidR="00DA448F" w:rsidRPr="005D16C7" w:rsidRDefault="001D7ED7" w:rsidP="005D16C7">
      <w:pPr>
        <w:pStyle w:val="Caption"/>
        <w:jc w:val="center"/>
        <w:rPr>
          <w:rFonts w:ascii="Times New Roman" w:hAnsi="Times New Roman" w:cs="Times New Roman"/>
          <w:color w:val="auto"/>
          <w:sz w:val="22"/>
          <w:szCs w:val="22"/>
        </w:rPr>
      </w:pPr>
      <w:bookmarkStart w:id="283" w:name="_Toc61651560"/>
      <w:r w:rsidRPr="005D16C7">
        <w:rPr>
          <w:rFonts w:ascii="Times New Roman" w:hAnsi="Times New Roman" w:cs="Times New Roman"/>
          <w:color w:val="auto"/>
          <w:sz w:val="22"/>
          <w:szCs w:val="22"/>
        </w:rPr>
        <w:t xml:space="preserve">Table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Table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57</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Standard Bank</w:t>
      </w:r>
      <w:bookmarkEnd w:id="283"/>
    </w:p>
    <w:p w:rsidR="001D7ED7" w:rsidRDefault="00DA448F" w:rsidP="00DA448F">
      <w:pPr>
        <w:pStyle w:val="Caption"/>
        <w:jc w:val="center"/>
        <w:rPr>
          <w:b w:val="0"/>
        </w:rPr>
      </w:pPr>
      <w:r>
        <w:rPr>
          <w:noProof/>
        </w:rPr>
        <w:drawing>
          <wp:inline distT="0" distB="0" distL="0" distR="0" wp14:anchorId="636C8A78" wp14:editId="56090A63">
            <wp:extent cx="5486400" cy="3200400"/>
            <wp:effectExtent l="0" t="0" r="19050" b="1905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rsidR="00500D0E" w:rsidRDefault="001D7ED7" w:rsidP="005D16C7">
      <w:pPr>
        <w:pStyle w:val="Caption"/>
        <w:jc w:val="center"/>
        <w:rPr>
          <w:b w:val="0"/>
        </w:rPr>
      </w:pPr>
      <w:bookmarkStart w:id="284" w:name="_Toc61651497"/>
      <w:r w:rsidRPr="005D16C7">
        <w:rPr>
          <w:rFonts w:ascii="Times New Roman" w:hAnsi="Times New Roman" w:cs="Times New Roman"/>
          <w:color w:val="auto"/>
          <w:sz w:val="22"/>
          <w:szCs w:val="22"/>
        </w:rPr>
        <w:t xml:space="preserve">Graph </w:t>
      </w:r>
      <w:r w:rsidRPr="005D16C7">
        <w:rPr>
          <w:rFonts w:ascii="Times New Roman" w:hAnsi="Times New Roman" w:cs="Times New Roman"/>
          <w:color w:val="auto"/>
          <w:sz w:val="22"/>
          <w:szCs w:val="22"/>
        </w:rPr>
        <w:fldChar w:fldCharType="begin"/>
      </w:r>
      <w:r w:rsidRPr="005D16C7">
        <w:rPr>
          <w:rFonts w:ascii="Times New Roman" w:hAnsi="Times New Roman" w:cs="Times New Roman"/>
          <w:color w:val="auto"/>
          <w:sz w:val="22"/>
          <w:szCs w:val="22"/>
        </w:rPr>
        <w:instrText xml:space="preserve"> SEQ Graph \* ARABIC </w:instrText>
      </w:r>
      <w:r w:rsidRPr="005D16C7">
        <w:rPr>
          <w:rFonts w:ascii="Times New Roman" w:hAnsi="Times New Roman" w:cs="Times New Roman"/>
          <w:color w:val="auto"/>
          <w:sz w:val="22"/>
          <w:szCs w:val="22"/>
        </w:rPr>
        <w:fldChar w:fldCharType="separate"/>
      </w:r>
      <w:r w:rsidRPr="005D16C7">
        <w:rPr>
          <w:rFonts w:ascii="Times New Roman" w:hAnsi="Times New Roman" w:cs="Times New Roman"/>
          <w:color w:val="auto"/>
          <w:sz w:val="22"/>
          <w:szCs w:val="22"/>
        </w:rPr>
        <w:t>54</w:t>
      </w:r>
      <w:r w:rsidRPr="005D16C7">
        <w:rPr>
          <w:rFonts w:ascii="Times New Roman" w:hAnsi="Times New Roman" w:cs="Times New Roman"/>
          <w:color w:val="auto"/>
          <w:sz w:val="22"/>
          <w:szCs w:val="22"/>
        </w:rPr>
        <w:fldChar w:fldCharType="end"/>
      </w:r>
      <w:r w:rsidRPr="005D16C7">
        <w:rPr>
          <w:rFonts w:ascii="Times New Roman" w:hAnsi="Times New Roman" w:cs="Times New Roman"/>
          <w:color w:val="auto"/>
          <w:sz w:val="22"/>
          <w:szCs w:val="22"/>
        </w:rPr>
        <w:t>: Compound Monthly Growth rate of</w:t>
      </w:r>
      <w:r w:rsidR="005D16C7" w:rsidRPr="005D16C7">
        <w:rPr>
          <w:rFonts w:ascii="Times New Roman" w:hAnsi="Times New Roman" w:cs="Times New Roman"/>
          <w:color w:val="auto"/>
          <w:sz w:val="22"/>
          <w:szCs w:val="22"/>
        </w:rPr>
        <w:t xml:space="preserve"> </w:t>
      </w:r>
      <w:r w:rsidR="005D16C7" w:rsidRPr="009B6B89">
        <w:rPr>
          <w:rFonts w:ascii="Times New Roman" w:hAnsi="Times New Roman" w:cs="Times New Roman"/>
          <w:color w:val="auto"/>
          <w:sz w:val="22"/>
          <w:szCs w:val="22"/>
        </w:rPr>
        <w:t>Standard Bank</w:t>
      </w:r>
      <w:bookmarkEnd w:id="284"/>
      <w:r w:rsidR="005D16C7">
        <w:rPr>
          <w:b w:val="0"/>
        </w:rPr>
        <w:t xml:space="preserve"> </w:t>
      </w:r>
    </w:p>
    <w:p w:rsidR="00500D0E" w:rsidRDefault="00500D0E" w:rsidP="005D16C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285" w:name="_Toc62037740"/>
      <w:r w:rsidRPr="007F0461">
        <w:rPr>
          <w:rFonts w:eastAsia="Times New Roman"/>
        </w:rPr>
        <w:lastRenderedPageBreak/>
        <w:t>Trust Bank:</w:t>
      </w:r>
      <w:bookmarkEnd w:id="285"/>
      <w:r w:rsidRPr="007F0461">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Trust Bank the value for 2017 is 84.49, 2018 is -14.70 and 2019 is -18.31. It means return for 2017 is positive and both years 2018 and 2019 are negative. On the other hand the holding period return show the return parentage for 2017 is 2.20, 2018 is 1.67 and 2019 is -0.18. That indicates negative return for the year 2017. But both the year 2017 and 2018 is show positive return.</w:t>
      </w:r>
    </w:p>
    <w:p w:rsidR="008A307A" w:rsidRPr="0023061F" w:rsidRDefault="008A307A" w:rsidP="0023061F">
      <w:pPr>
        <w:spacing w:after="0" w:line="288" w:lineRule="auto"/>
        <w:ind w:left="360"/>
        <w:jc w:val="both"/>
        <w:rPr>
          <w:rFonts w:ascii="Times New Roman" w:hAnsi="Times New Roman" w:cs="Times New Roman"/>
          <w:sz w:val="24"/>
          <w:szCs w:val="24"/>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7F0461"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7F0461">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7F0461"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7F0461">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7F0461"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7F0461">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rPr>
                <w:rFonts w:ascii="Calibri" w:hAnsi="Calibri" w:cs="Calibri"/>
                <w:color w:val="FFFFFF" w:themeColor="background1"/>
              </w:rPr>
            </w:pPr>
            <w:r w:rsidRPr="007F0461">
              <w:rPr>
                <w:rFonts w:ascii="Calibri" w:hAnsi="Calibri" w:cs="Calibri"/>
                <w:color w:val="FFFFFF" w:themeColor="background1"/>
              </w:rPr>
              <w:t>84.49</w:t>
            </w:r>
          </w:p>
        </w:tc>
        <w:tc>
          <w:tcPr>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-14.70</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-18.31</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2.20</w:t>
            </w:r>
          </w:p>
        </w:tc>
        <w:tc>
          <w:tcPr>
            <w:tcW w:w="1226" w:type="dxa"/>
            <w:tcBorders>
              <w:top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1.67</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-0.18</w:t>
            </w:r>
          </w:p>
        </w:tc>
        <w:tc>
          <w:tcPr>
            <w:tcW w:w="1226" w:type="dxa"/>
            <w:tcBorders>
              <w:top w:val="single" w:sz="6" w:space="0" w:color="FFFFFF" w:themeColor="background1"/>
              <w:left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84.49</w:t>
            </w:r>
          </w:p>
        </w:tc>
        <w:tc>
          <w:tcPr>
            <w:tcW w:w="1226"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-14.70</w:t>
            </w:r>
          </w:p>
        </w:tc>
        <w:tc>
          <w:tcPr>
            <w:tcW w:w="921"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-18.31</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285003" w:rsidP="009B6B89">
      <w:pPr>
        <w:pStyle w:val="Caption"/>
        <w:jc w:val="center"/>
        <w:rPr>
          <w:rFonts w:ascii="Times New Roman" w:hAnsi="Times New Roman" w:cs="Times New Roman"/>
          <w:color w:val="auto"/>
          <w:sz w:val="22"/>
          <w:szCs w:val="22"/>
        </w:rPr>
      </w:pPr>
      <w:bookmarkStart w:id="286" w:name="_Toc57290070"/>
      <w:bookmarkStart w:id="287" w:name="_Toc57290391"/>
      <w:bookmarkStart w:id="288" w:name="_Toc61651561"/>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58</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Trust Bank</w:t>
      </w:r>
      <w:bookmarkEnd w:id="286"/>
      <w:bookmarkEnd w:id="287"/>
      <w:bookmarkEnd w:id="288"/>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48352" behindDoc="0" locked="0" layoutInCell="1" allowOverlap="1" wp14:anchorId="33E06E47" wp14:editId="43F36C5D">
            <wp:simplePos x="0" y="0"/>
            <wp:positionH relativeFrom="column">
              <wp:posOffset>1876425</wp:posOffset>
            </wp:positionH>
            <wp:positionV relativeFrom="paragraph">
              <wp:posOffset>167005</wp:posOffset>
            </wp:positionV>
            <wp:extent cx="2286000" cy="1828800"/>
            <wp:effectExtent l="0" t="0" r="19050" b="19050"/>
            <wp:wrapSquare wrapText="bothSides"/>
            <wp:docPr id="195" name="Chart 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47328" behindDoc="0" locked="0" layoutInCell="1" allowOverlap="1" wp14:anchorId="6C910C11" wp14:editId="1388D1AE">
            <wp:simplePos x="0" y="0"/>
            <wp:positionH relativeFrom="column">
              <wp:posOffset>-409575</wp:posOffset>
            </wp:positionH>
            <wp:positionV relativeFrom="paragraph">
              <wp:posOffset>162560</wp:posOffset>
            </wp:positionV>
            <wp:extent cx="2286000" cy="1828800"/>
            <wp:effectExtent l="0" t="0" r="19050" b="19050"/>
            <wp:wrapSquare wrapText="bothSides"/>
            <wp:docPr id="196" name="Chart 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49376" behindDoc="0" locked="0" layoutInCell="1" allowOverlap="1" wp14:anchorId="02E0AA1A" wp14:editId="7FEA4929">
            <wp:simplePos x="0" y="0"/>
            <wp:positionH relativeFrom="column">
              <wp:posOffset>4114800</wp:posOffset>
            </wp:positionH>
            <wp:positionV relativeFrom="paragraph">
              <wp:posOffset>162560</wp:posOffset>
            </wp:positionV>
            <wp:extent cx="2286000" cy="1828800"/>
            <wp:effectExtent l="0" t="0" r="19050" b="19050"/>
            <wp:wrapSquare wrapText="bothSides"/>
            <wp:docPr id="197" name="Chart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14:sizeRelH relativeFrom="page">
              <wp14:pctWidth>0</wp14:pctWidth>
            </wp14:sizeRelH>
            <wp14:sizeRelV relativeFrom="page">
              <wp14:pctHeight>0</wp14:pctHeight>
            </wp14:sizeRelV>
          </wp:anchor>
        </w:drawing>
      </w:r>
    </w:p>
    <w:p w:rsidR="00DA448F" w:rsidRDefault="00285003" w:rsidP="009B6B89">
      <w:pPr>
        <w:pStyle w:val="Caption"/>
        <w:jc w:val="center"/>
        <w:rPr>
          <w:rFonts w:ascii="Times New Roman" w:hAnsi="Times New Roman" w:cs="Times New Roman"/>
          <w:color w:val="auto"/>
          <w:sz w:val="22"/>
          <w:szCs w:val="22"/>
        </w:rPr>
      </w:pPr>
      <w:bookmarkStart w:id="289" w:name="_Toc57290100"/>
      <w:bookmarkStart w:id="290" w:name="_Toc57290235"/>
      <w:bookmarkStart w:id="291" w:name="_Toc61651498"/>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55</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Trust Bank</w:t>
      </w:r>
      <w:bookmarkEnd w:id="289"/>
      <w:bookmarkEnd w:id="290"/>
      <w:bookmarkEnd w:id="291"/>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0.86%</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-0.64%</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-1.37%</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2.29%</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-0.51%</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-0.70%</w:t>
            </w:r>
          </w:p>
        </w:tc>
      </w:tr>
    </w:tbl>
    <w:p w:rsidR="00DA448F" w:rsidRPr="00C07A77" w:rsidRDefault="001D7ED7" w:rsidP="00C07A77">
      <w:pPr>
        <w:pStyle w:val="Caption"/>
        <w:jc w:val="center"/>
        <w:rPr>
          <w:rFonts w:ascii="Times New Roman" w:hAnsi="Times New Roman" w:cs="Times New Roman"/>
          <w:color w:val="auto"/>
          <w:sz w:val="22"/>
          <w:szCs w:val="22"/>
        </w:rPr>
      </w:pPr>
      <w:bookmarkStart w:id="292" w:name="_Toc61651562"/>
      <w:r w:rsidRPr="00C07A77">
        <w:rPr>
          <w:rFonts w:ascii="Times New Roman" w:hAnsi="Times New Roman" w:cs="Times New Roman"/>
          <w:color w:val="auto"/>
          <w:sz w:val="22"/>
          <w:szCs w:val="22"/>
        </w:rPr>
        <w:t xml:space="preserve">Table </w:t>
      </w:r>
      <w:r w:rsidRPr="00C07A77">
        <w:rPr>
          <w:rFonts w:ascii="Times New Roman" w:hAnsi="Times New Roman" w:cs="Times New Roman"/>
          <w:color w:val="auto"/>
          <w:sz w:val="22"/>
          <w:szCs w:val="22"/>
        </w:rPr>
        <w:fldChar w:fldCharType="begin"/>
      </w:r>
      <w:r w:rsidRPr="00C07A77">
        <w:rPr>
          <w:rFonts w:ascii="Times New Roman" w:hAnsi="Times New Roman" w:cs="Times New Roman"/>
          <w:color w:val="auto"/>
          <w:sz w:val="22"/>
          <w:szCs w:val="22"/>
        </w:rPr>
        <w:instrText xml:space="preserve"> SEQ Table \* ARABIC </w:instrText>
      </w:r>
      <w:r w:rsidRPr="00C07A77">
        <w:rPr>
          <w:rFonts w:ascii="Times New Roman" w:hAnsi="Times New Roman" w:cs="Times New Roman"/>
          <w:color w:val="auto"/>
          <w:sz w:val="22"/>
          <w:szCs w:val="22"/>
        </w:rPr>
        <w:fldChar w:fldCharType="separate"/>
      </w:r>
      <w:r w:rsidRPr="00C07A77">
        <w:rPr>
          <w:rFonts w:ascii="Times New Roman" w:hAnsi="Times New Roman" w:cs="Times New Roman"/>
          <w:color w:val="auto"/>
          <w:sz w:val="22"/>
          <w:szCs w:val="22"/>
        </w:rPr>
        <w:t>59</w:t>
      </w:r>
      <w:r w:rsidRPr="00C07A77">
        <w:rPr>
          <w:rFonts w:ascii="Times New Roman" w:hAnsi="Times New Roman" w:cs="Times New Roman"/>
          <w:color w:val="auto"/>
          <w:sz w:val="22"/>
          <w:szCs w:val="22"/>
        </w:rPr>
        <w:fldChar w:fldCharType="end"/>
      </w:r>
      <w:r w:rsidRPr="00C07A77">
        <w:rPr>
          <w:rFonts w:ascii="Times New Roman" w:hAnsi="Times New Roman" w:cs="Times New Roman"/>
          <w:color w:val="auto"/>
          <w:sz w:val="22"/>
          <w:szCs w:val="22"/>
        </w:rPr>
        <w:t>: Compound Monthly Growth rate of</w:t>
      </w:r>
      <w:r w:rsidR="00C07A77" w:rsidRPr="00C07A77">
        <w:rPr>
          <w:rFonts w:ascii="Times New Roman" w:hAnsi="Times New Roman" w:cs="Times New Roman"/>
          <w:color w:val="auto"/>
          <w:sz w:val="22"/>
          <w:szCs w:val="22"/>
        </w:rPr>
        <w:t xml:space="preserve"> </w:t>
      </w:r>
      <w:r w:rsidR="00C07A77" w:rsidRPr="009B6B89">
        <w:rPr>
          <w:rFonts w:ascii="Times New Roman" w:hAnsi="Times New Roman" w:cs="Times New Roman"/>
          <w:color w:val="auto"/>
          <w:sz w:val="22"/>
          <w:szCs w:val="22"/>
        </w:rPr>
        <w:t>Trust Bank</w:t>
      </w:r>
      <w:bookmarkEnd w:id="292"/>
    </w:p>
    <w:p w:rsidR="001D7ED7" w:rsidRDefault="00DA448F" w:rsidP="00DA448F">
      <w:pPr>
        <w:pStyle w:val="Caption"/>
        <w:jc w:val="center"/>
        <w:rPr>
          <w:b w:val="0"/>
        </w:rPr>
      </w:pPr>
      <w:r>
        <w:rPr>
          <w:noProof/>
        </w:rPr>
        <w:drawing>
          <wp:inline distT="0" distB="0" distL="0" distR="0" wp14:anchorId="5A05A00F" wp14:editId="24DA3B17">
            <wp:extent cx="5486400" cy="3200400"/>
            <wp:effectExtent l="0" t="0" r="19050" b="1905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500D0E" w:rsidRDefault="001D7ED7" w:rsidP="00C07A77">
      <w:pPr>
        <w:pStyle w:val="Caption"/>
        <w:jc w:val="center"/>
        <w:rPr>
          <w:b w:val="0"/>
        </w:rPr>
      </w:pPr>
      <w:bookmarkStart w:id="293" w:name="_Toc61651499"/>
      <w:r w:rsidRPr="00C07A77">
        <w:rPr>
          <w:rFonts w:ascii="Times New Roman" w:hAnsi="Times New Roman" w:cs="Times New Roman"/>
          <w:color w:val="auto"/>
          <w:sz w:val="22"/>
          <w:szCs w:val="22"/>
        </w:rPr>
        <w:t xml:space="preserve">Graph </w:t>
      </w:r>
      <w:r w:rsidRPr="00C07A77">
        <w:rPr>
          <w:rFonts w:ascii="Times New Roman" w:hAnsi="Times New Roman" w:cs="Times New Roman"/>
          <w:color w:val="auto"/>
          <w:sz w:val="22"/>
          <w:szCs w:val="22"/>
        </w:rPr>
        <w:fldChar w:fldCharType="begin"/>
      </w:r>
      <w:r w:rsidRPr="00C07A77">
        <w:rPr>
          <w:rFonts w:ascii="Times New Roman" w:hAnsi="Times New Roman" w:cs="Times New Roman"/>
          <w:color w:val="auto"/>
          <w:sz w:val="22"/>
          <w:szCs w:val="22"/>
        </w:rPr>
        <w:instrText xml:space="preserve"> SEQ Graph \* ARABIC </w:instrText>
      </w:r>
      <w:r w:rsidRPr="00C07A77">
        <w:rPr>
          <w:rFonts w:ascii="Times New Roman" w:hAnsi="Times New Roman" w:cs="Times New Roman"/>
          <w:color w:val="auto"/>
          <w:sz w:val="22"/>
          <w:szCs w:val="22"/>
        </w:rPr>
        <w:fldChar w:fldCharType="separate"/>
      </w:r>
      <w:r w:rsidRPr="00C07A77">
        <w:rPr>
          <w:rFonts w:ascii="Times New Roman" w:hAnsi="Times New Roman" w:cs="Times New Roman"/>
          <w:color w:val="auto"/>
          <w:sz w:val="22"/>
          <w:szCs w:val="22"/>
        </w:rPr>
        <w:t>56</w:t>
      </w:r>
      <w:r w:rsidRPr="00C07A77">
        <w:rPr>
          <w:rFonts w:ascii="Times New Roman" w:hAnsi="Times New Roman" w:cs="Times New Roman"/>
          <w:color w:val="auto"/>
          <w:sz w:val="22"/>
          <w:szCs w:val="22"/>
        </w:rPr>
        <w:fldChar w:fldCharType="end"/>
      </w:r>
      <w:r w:rsidRPr="00C07A77">
        <w:rPr>
          <w:rFonts w:ascii="Times New Roman" w:hAnsi="Times New Roman" w:cs="Times New Roman"/>
          <w:color w:val="auto"/>
          <w:sz w:val="22"/>
          <w:szCs w:val="22"/>
        </w:rPr>
        <w:t>: Compound Monthly Growth rate of</w:t>
      </w:r>
      <w:r w:rsidR="00C07A77" w:rsidRPr="00C07A77">
        <w:rPr>
          <w:rFonts w:ascii="Times New Roman" w:hAnsi="Times New Roman" w:cs="Times New Roman"/>
          <w:color w:val="auto"/>
          <w:sz w:val="22"/>
          <w:szCs w:val="22"/>
        </w:rPr>
        <w:t xml:space="preserve"> </w:t>
      </w:r>
      <w:r w:rsidR="00C07A77" w:rsidRPr="009B6B89">
        <w:rPr>
          <w:rFonts w:ascii="Times New Roman" w:hAnsi="Times New Roman" w:cs="Times New Roman"/>
          <w:color w:val="auto"/>
          <w:sz w:val="22"/>
          <w:szCs w:val="22"/>
        </w:rPr>
        <w:t>Trust Bank</w:t>
      </w:r>
      <w:bookmarkEnd w:id="293"/>
      <w:r w:rsidR="00C07A77">
        <w:rPr>
          <w:b w:val="0"/>
        </w:rPr>
        <w:t xml:space="preserve"> </w:t>
      </w:r>
    </w:p>
    <w:p w:rsidR="00500D0E" w:rsidRDefault="00500D0E" w:rsidP="00C07A7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Pr="007F0461" w:rsidRDefault="008A307A" w:rsidP="00FB1F30">
      <w:pPr>
        <w:pStyle w:val="Heading2"/>
        <w:rPr>
          <w:rFonts w:eastAsia="Times New Roman"/>
        </w:rPr>
      </w:pPr>
      <w:bookmarkStart w:id="294" w:name="_Toc62037741"/>
      <w:r w:rsidRPr="007F0461">
        <w:rPr>
          <w:rFonts w:eastAsia="Times New Roman"/>
        </w:rPr>
        <w:lastRenderedPageBreak/>
        <w:t>United Commercial Bank:</w:t>
      </w:r>
      <w:bookmarkEnd w:id="294"/>
      <w:r w:rsidRPr="007F0461">
        <w:rPr>
          <w:rFonts w:eastAsia="Times New Roman"/>
        </w:rPr>
        <w:t xml:space="preserve"> </w:t>
      </w:r>
    </w:p>
    <w:p w:rsidR="008A307A" w:rsidRDefault="008A307A" w:rsidP="008A307A">
      <w:pPr>
        <w:spacing w:after="0" w:line="288" w:lineRule="auto"/>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Both the table and graph of rate of return and absolute return show the same value. For United Commercial Bank the value for 2017 is 1.69, 2018 is -19.24 and 2019 is -23.40. It means return for 2017 is positive and both years 2018 and 2019 are negative. On the other hand the holding period return show the return parentage for 2017 is 1.52, 2018 is 0.72 and 2019 is -0.23. That indicates negative return for the year 2017. But both the year 2017 and 2018 is show positive return.</w:t>
      </w:r>
    </w:p>
    <w:p w:rsidR="008A307A" w:rsidRDefault="008A307A" w:rsidP="008A307A">
      <w:pPr>
        <w:spacing w:after="0" w:line="288" w:lineRule="auto"/>
        <w:jc w:val="both"/>
        <w:rPr>
          <w:rFonts w:ascii="Times New Roman" w:eastAsia="Times New Roman" w:hAnsi="Times New Roman" w:cs="Times New Roman"/>
        </w:rPr>
      </w:pPr>
    </w:p>
    <w:p w:rsidR="008A307A" w:rsidRDefault="008A307A" w:rsidP="008A307A">
      <w:pPr>
        <w:spacing w:after="0" w:line="288" w:lineRule="auto"/>
        <w:jc w:val="both"/>
        <w:rPr>
          <w:rFonts w:ascii="Times New Roman" w:eastAsia="Times New Roman" w:hAnsi="Times New Roman" w:cs="Times New Roman"/>
        </w:rPr>
      </w:pPr>
    </w:p>
    <w:p w:rsidR="008A307A" w:rsidRPr="004D2048" w:rsidRDefault="008A307A" w:rsidP="008A307A">
      <w:pPr>
        <w:spacing w:after="0" w:line="288" w:lineRule="auto"/>
        <w:jc w:val="both"/>
        <w:rPr>
          <w:rFonts w:ascii="Times New Roman" w:eastAsia="Times New Roman" w:hAnsi="Times New Roman" w:cs="Times New Roman"/>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rPr>
                <w:rFonts w:ascii="Calibri" w:hAnsi="Calibri" w:cs="Calibri"/>
                <w:color w:val="FFFFFF" w:themeColor="background1"/>
              </w:rPr>
            </w:pPr>
            <w:r w:rsidRPr="007F0461">
              <w:rPr>
                <w:rFonts w:ascii="Calibri" w:hAnsi="Calibri" w:cs="Calibri"/>
                <w:color w:val="FFFFFF" w:themeColor="background1"/>
              </w:rPr>
              <w:t>1.69</w:t>
            </w:r>
          </w:p>
        </w:tc>
        <w:tc>
          <w:tcPr>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-19.24</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-23.40</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1.52</w:t>
            </w:r>
          </w:p>
        </w:tc>
        <w:tc>
          <w:tcPr>
            <w:tcW w:w="1226" w:type="dxa"/>
            <w:tcBorders>
              <w:top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0.72</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-0.23</w:t>
            </w:r>
          </w:p>
        </w:tc>
        <w:tc>
          <w:tcPr>
            <w:tcW w:w="1226" w:type="dxa"/>
            <w:tcBorders>
              <w:top w:val="single" w:sz="6" w:space="0" w:color="FFFFFF" w:themeColor="background1"/>
              <w:left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1.69</w:t>
            </w:r>
          </w:p>
        </w:tc>
        <w:tc>
          <w:tcPr>
            <w:tcW w:w="1226"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-19.24</w:t>
            </w:r>
          </w:p>
        </w:tc>
        <w:tc>
          <w:tcPr>
            <w:tcW w:w="921"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-23.4</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285003" w:rsidP="009B6B89">
      <w:pPr>
        <w:pStyle w:val="Caption"/>
        <w:jc w:val="center"/>
        <w:rPr>
          <w:rFonts w:ascii="Times New Roman" w:hAnsi="Times New Roman" w:cs="Times New Roman"/>
          <w:color w:val="auto"/>
          <w:sz w:val="22"/>
          <w:szCs w:val="22"/>
        </w:rPr>
      </w:pPr>
      <w:bookmarkStart w:id="295" w:name="_Toc57290071"/>
      <w:bookmarkStart w:id="296" w:name="_Toc57290392"/>
      <w:bookmarkStart w:id="297" w:name="_Toc61651563"/>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60</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United Commercial Bank</w:t>
      </w:r>
      <w:bookmarkEnd w:id="295"/>
      <w:bookmarkEnd w:id="296"/>
      <w:bookmarkEnd w:id="297"/>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51424" behindDoc="0" locked="0" layoutInCell="1" allowOverlap="1" wp14:anchorId="63199A73" wp14:editId="68471759">
            <wp:simplePos x="0" y="0"/>
            <wp:positionH relativeFrom="column">
              <wp:posOffset>1876425</wp:posOffset>
            </wp:positionH>
            <wp:positionV relativeFrom="paragraph">
              <wp:posOffset>167005</wp:posOffset>
            </wp:positionV>
            <wp:extent cx="2286000" cy="1828800"/>
            <wp:effectExtent l="0" t="0" r="19050" b="19050"/>
            <wp:wrapSquare wrapText="bothSides"/>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50400" behindDoc="0" locked="0" layoutInCell="1" allowOverlap="1" wp14:anchorId="0A57AEEA" wp14:editId="60DE0AF7">
            <wp:simplePos x="0" y="0"/>
            <wp:positionH relativeFrom="column">
              <wp:posOffset>-409575</wp:posOffset>
            </wp:positionH>
            <wp:positionV relativeFrom="paragraph">
              <wp:posOffset>162560</wp:posOffset>
            </wp:positionV>
            <wp:extent cx="2286000" cy="1828800"/>
            <wp:effectExtent l="0" t="0" r="19050" b="19050"/>
            <wp:wrapSquare wrapText="bothSides"/>
            <wp:docPr id="199" name="Chart 1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52448" behindDoc="0" locked="0" layoutInCell="1" allowOverlap="1" wp14:anchorId="41579C44" wp14:editId="5912C42E">
            <wp:simplePos x="0" y="0"/>
            <wp:positionH relativeFrom="column">
              <wp:posOffset>4114800</wp:posOffset>
            </wp:positionH>
            <wp:positionV relativeFrom="paragraph">
              <wp:posOffset>162560</wp:posOffset>
            </wp:positionV>
            <wp:extent cx="2286000" cy="1828800"/>
            <wp:effectExtent l="0" t="0" r="19050" b="19050"/>
            <wp:wrapSquare wrapText="bothSides"/>
            <wp:docPr id="200" name="Chart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14:sizeRelH relativeFrom="page">
              <wp14:pctWidth>0</wp14:pctWidth>
            </wp14:sizeRelH>
            <wp14:sizeRelV relativeFrom="page">
              <wp14:pctHeight>0</wp14:pctHeight>
            </wp14:sizeRelV>
          </wp:anchor>
        </w:drawing>
      </w:r>
    </w:p>
    <w:p w:rsidR="00DA448F" w:rsidRDefault="00285003" w:rsidP="009B6B89">
      <w:pPr>
        <w:pStyle w:val="Caption"/>
        <w:jc w:val="center"/>
        <w:rPr>
          <w:rFonts w:ascii="Times New Roman" w:hAnsi="Times New Roman" w:cs="Times New Roman"/>
          <w:color w:val="auto"/>
          <w:sz w:val="22"/>
          <w:szCs w:val="22"/>
        </w:rPr>
      </w:pPr>
      <w:bookmarkStart w:id="298" w:name="_Toc57290101"/>
      <w:bookmarkStart w:id="299" w:name="_Toc57290236"/>
      <w:bookmarkStart w:id="300" w:name="_Toc61651500"/>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57</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United Commercial Bank</w:t>
      </w:r>
      <w:bookmarkEnd w:id="298"/>
      <w:bookmarkEnd w:id="299"/>
      <w:bookmarkEnd w:id="300"/>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left w:val="single" w:sz="24" w:space="0" w:color="76923C" w:themeColor="accent3" w:themeShade="BF"/>
              <w:bottom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-0.32%</w:t>
            </w:r>
          </w:p>
        </w:tc>
      </w:tr>
      <w:tr w:rsidR="00DA448F" w:rsidTr="003F10CA">
        <w:trPr>
          <w:trHeight w:val="302"/>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0.00%</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0.37%</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-0.14%</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-0.46%</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-0.38%</w:t>
            </w:r>
          </w:p>
        </w:tc>
      </w:tr>
      <w:tr w:rsidR="00DA448F" w:rsidTr="003F10CA">
        <w:trPr>
          <w:trHeight w:val="302"/>
          <w:jc w:val="center"/>
        </w:trPr>
        <w:tc>
          <w:tcPr>
            <w:tcW w:w="1363" w:type="dxa"/>
            <w:tcBorders>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-0.34%</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0.17%</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-0.23%</w:t>
            </w:r>
          </w:p>
        </w:tc>
      </w:tr>
      <w:tr w:rsidR="00DA448F" w:rsidTr="003F10CA">
        <w:trPr>
          <w:trHeight w:val="323"/>
          <w:jc w:val="center"/>
        </w:trPr>
        <w:tc>
          <w:tcPr>
            <w:tcW w:w="1363" w:type="dxa"/>
            <w:tcBorders>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-0.66%</w:t>
            </w:r>
          </w:p>
        </w:tc>
      </w:tr>
    </w:tbl>
    <w:p w:rsidR="00DA448F" w:rsidRPr="00C07A77" w:rsidRDefault="001D7ED7" w:rsidP="00C07A77">
      <w:pPr>
        <w:pStyle w:val="Caption"/>
        <w:jc w:val="center"/>
        <w:rPr>
          <w:rFonts w:ascii="Times New Roman" w:hAnsi="Times New Roman" w:cs="Times New Roman"/>
          <w:color w:val="auto"/>
          <w:sz w:val="22"/>
          <w:szCs w:val="22"/>
        </w:rPr>
      </w:pPr>
      <w:bookmarkStart w:id="301" w:name="_Toc61651564"/>
      <w:r w:rsidRPr="00C07A77">
        <w:rPr>
          <w:rFonts w:ascii="Times New Roman" w:hAnsi="Times New Roman" w:cs="Times New Roman"/>
          <w:color w:val="auto"/>
          <w:sz w:val="22"/>
          <w:szCs w:val="22"/>
        </w:rPr>
        <w:t xml:space="preserve">Table </w:t>
      </w:r>
      <w:r w:rsidRPr="00C07A77">
        <w:rPr>
          <w:rFonts w:ascii="Times New Roman" w:hAnsi="Times New Roman" w:cs="Times New Roman"/>
          <w:color w:val="auto"/>
          <w:sz w:val="22"/>
          <w:szCs w:val="22"/>
        </w:rPr>
        <w:fldChar w:fldCharType="begin"/>
      </w:r>
      <w:r w:rsidRPr="00C07A77">
        <w:rPr>
          <w:rFonts w:ascii="Times New Roman" w:hAnsi="Times New Roman" w:cs="Times New Roman"/>
          <w:color w:val="auto"/>
          <w:sz w:val="22"/>
          <w:szCs w:val="22"/>
        </w:rPr>
        <w:instrText xml:space="preserve"> SEQ Table \* ARABIC </w:instrText>
      </w:r>
      <w:r w:rsidRPr="00C07A77">
        <w:rPr>
          <w:rFonts w:ascii="Times New Roman" w:hAnsi="Times New Roman" w:cs="Times New Roman"/>
          <w:color w:val="auto"/>
          <w:sz w:val="22"/>
          <w:szCs w:val="22"/>
        </w:rPr>
        <w:fldChar w:fldCharType="separate"/>
      </w:r>
      <w:r w:rsidRPr="00C07A77">
        <w:rPr>
          <w:rFonts w:ascii="Times New Roman" w:hAnsi="Times New Roman" w:cs="Times New Roman"/>
          <w:color w:val="auto"/>
          <w:sz w:val="22"/>
          <w:szCs w:val="22"/>
        </w:rPr>
        <w:t>61</w:t>
      </w:r>
      <w:r w:rsidRPr="00C07A77">
        <w:rPr>
          <w:rFonts w:ascii="Times New Roman" w:hAnsi="Times New Roman" w:cs="Times New Roman"/>
          <w:color w:val="auto"/>
          <w:sz w:val="22"/>
          <w:szCs w:val="22"/>
        </w:rPr>
        <w:fldChar w:fldCharType="end"/>
      </w:r>
      <w:r w:rsidRPr="00C07A77">
        <w:rPr>
          <w:rFonts w:ascii="Times New Roman" w:hAnsi="Times New Roman" w:cs="Times New Roman"/>
          <w:color w:val="auto"/>
          <w:sz w:val="22"/>
          <w:szCs w:val="22"/>
        </w:rPr>
        <w:t>: Compound Monthly Growth rate of</w:t>
      </w:r>
      <w:r w:rsidR="00C07A77" w:rsidRPr="00C07A77">
        <w:rPr>
          <w:rFonts w:ascii="Times New Roman" w:hAnsi="Times New Roman" w:cs="Times New Roman"/>
          <w:color w:val="auto"/>
          <w:sz w:val="22"/>
          <w:szCs w:val="22"/>
        </w:rPr>
        <w:t xml:space="preserve"> </w:t>
      </w:r>
      <w:r w:rsidR="00C07A77" w:rsidRPr="009B6B89">
        <w:rPr>
          <w:rFonts w:ascii="Times New Roman" w:hAnsi="Times New Roman" w:cs="Times New Roman"/>
          <w:color w:val="auto"/>
          <w:sz w:val="22"/>
          <w:szCs w:val="22"/>
        </w:rPr>
        <w:t>United Commercial Bank</w:t>
      </w:r>
      <w:bookmarkEnd w:id="301"/>
    </w:p>
    <w:p w:rsidR="001D7ED7" w:rsidRDefault="00DA448F" w:rsidP="00DA448F">
      <w:pPr>
        <w:pStyle w:val="Caption"/>
        <w:jc w:val="center"/>
        <w:rPr>
          <w:b w:val="0"/>
        </w:rPr>
      </w:pPr>
      <w:r>
        <w:rPr>
          <w:noProof/>
        </w:rPr>
        <w:drawing>
          <wp:inline distT="0" distB="0" distL="0" distR="0" wp14:anchorId="3FFCECA2" wp14:editId="650EC71C">
            <wp:extent cx="5486400" cy="3200400"/>
            <wp:effectExtent l="0" t="0" r="19050" b="1905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rsidR="00500D0E" w:rsidRDefault="001D7ED7" w:rsidP="00C07A77">
      <w:pPr>
        <w:pStyle w:val="Caption"/>
        <w:jc w:val="center"/>
        <w:rPr>
          <w:b w:val="0"/>
        </w:rPr>
      </w:pPr>
      <w:bookmarkStart w:id="302" w:name="_Toc61651501"/>
      <w:r w:rsidRPr="00C07A77">
        <w:rPr>
          <w:rFonts w:ascii="Times New Roman" w:hAnsi="Times New Roman" w:cs="Times New Roman"/>
          <w:color w:val="auto"/>
          <w:sz w:val="22"/>
          <w:szCs w:val="22"/>
        </w:rPr>
        <w:t xml:space="preserve">Graph </w:t>
      </w:r>
      <w:r w:rsidRPr="00C07A77">
        <w:rPr>
          <w:rFonts w:ascii="Times New Roman" w:hAnsi="Times New Roman" w:cs="Times New Roman"/>
          <w:color w:val="auto"/>
          <w:sz w:val="22"/>
          <w:szCs w:val="22"/>
        </w:rPr>
        <w:fldChar w:fldCharType="begin"/>
      </w:r>
      <w:r w:rsidRPr="00C07A77">
        <w:rPr>
          <w:rFonts w:ascii="Times New Roman" w:hAnsi="Times New Roman" w:cs="Times New Roman"/>
          <w:color w:val="auto"/>
          <w:sz w:val="22"/>
          <w:szCs w:val="22"/>
        </w:rPr>
        <w:instrText xml:space="preserve"> SEQ Graph \* ARABIC </w:instrText>
      </w:r>
      <w:r w:rsidRPr="00C07A77">
        <w:rPr>
          <w:rFonts w:ascii="Times New Roman" w:hAnsi="Times New Roman" w:cs="Times New Roman"/>
          <w:color w:val="auto"/>
          <w:sz w:val="22"/>
          <w:szCs w:val="22"/>
        </w:rPr>
        <w:fldChar w:fldCharType="separate"/>
      </w:r>
      <w:r w:rsidRPr="00C07A77">
        <w:rPr>
          <w:rFonts w:ascii="Times New Roman" w:hAnsi="Times New Roman" w:cs="Times New Roman"/>
          <w:color w:val="auto"/>
          <w:sz w:val="22"/>
          <w:szCs w:val="22"/>
        </w:rPr>
        <w:t>58</w:t>
      </w:r>
      <w:r w:rsidRPr="00C07A77">
        <w:rPr>
          <w:rFonts w:ascii="Times New Roman" w:hAnsi="Times New Roman" w:cs="Times New Roman"/>
          <w:color w:val="auto"/>
          <w:sz w:val="22"/>
          <w:szCs w:val="22"/>
        </w:rPr>
        <w:fldChar w:fldCharType="end"/>
      </w:r>
      <w:r w:rsidRPr="00C07A77">
        <w:rPr>
          <w:rFonts w:ascii="Times New Roman" w:hAnsi="Times New Roman" w:cs="Times New Roman"/>
          <w:color w:val="auto"/>
          <w:sz w:val="22"/>
          <w:szCs w:val="22"/>
        </w:rPr>
        <w:t>: Compound Monthly Growth rate of</w:t>
      </w:r>
      <w:r w:rsidR="00C07A77" w:rsidRPr="00C07A77">
        <w:rPr>
          <w:rFonts w:ascii="Times New Roman" w:hAnsi="Times New Roman" w:cs="Times New Roman"/>
          <w:color w:val="auto"/>
          <w:sz w:val="22"/>
          <w:szCs w:val="22"/>
        </w:rPr>
        <w:t xml:space="preserve"> </w:t>
      </w:r>
      <w:r w:rsidR="00C07A77" w:rsidRPr="009B6B89">
        <w:rPr>
          <w:rFonts w:ascii="Times New Roman" w:hAnsi="Times New Roman" w:cs="Times New Roman"/>
          <w:color w:val="auto"/>
          <w:sz w:val="22"/>
          <w:szCs w:val="22"/>
        </w:rPr>
        <w:t>United Commercial Bank</w:t>
      </w:r>
      <w:bookmarkEnd w:id="302"/>
      <w:r w:rsidR="00C07A77">
        <w:rPr>
          <w:b w:val="0"/>
        </w:rPr>
        <w:t xml:space="preserve"> </w:t>
      </w:r>
    </w:p>
    <w:p w:rsidR="00500D0E" w:rsidRDefault="00500D0E" w:rsidP="00C07A77">
      <w:pPr>
        <w:pStyle w:val="Caption"/>
        <w:jc w:val="center"/>
        <w:rPr>
          <w:b w:val="0"/>
        </w:rPr>
      </w:pPr>
    </w:p>
    <w:p w:rsidR="008A307A" w:rsidRDefault="00500D0E" w:rsidP="00500D0E">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rPr>
          <w:rFonts w:eastAsia="Times New Roman"/>
        </w:rPr>
      </w:pPr>
      <w:bookmarkStart w:id="303" w:name="_Toc62037742"/>
      <w:r w:rsidRPr="007F0461">
        <w:rPr>
          <w:rFonts w:eastAsia="Times New Roman"/>
        </w:rPr>
        <w:lastRenderedPageBreak/>
        <w:t>Uttara Bank:</w:t>
      </w:r>
      <w:bookmarkEnd w:id="303"/>
      <w:r w:rsidRPr="007F0461">
        <w:rPr>
          <w:rFonts w:eastAsia="Times New Roman"/>
        </w:rPr>
        <w:t xml:space="preserve"> </w:t>
      </w:r>
    </w:p>
    <w:p w:rsidR="008A307A" w:rsidRDefault="008A307A" w:rsidP="008A307A">
      <w:pPr>
        <w:spacing w:after="0" w:line="288" w:lineRule="auto"/>
        <w:ind w:left="360"/>
        <w:rPr>
          <w:rFonts w:ascii="Times New Roman" w:eastAsia="Times New Roman" w:hAnsi="Times New Roman" w:cs="Times New Roman"/>
          <w:b/>
          <w:color w:val="000000"/>
        </w:rPr>
      </w:pPr>
    </w:p>
    <w:p w:rsidR="008A307A" w:rsidRPr="0023061F" w:rsidRDefault="008A307A" w:rsidP="00DB7269">
      <w:pPr>
        <w:spacing w:after="0" w:line="360" w:lineRule="auto"/>
        <w:ind w:left="360"/>
        <w:jc w:val="both"/>
        <w:rPr>
          <w:rFonts w:ascii="Times New Roman" w:hAnsi="Times New Roman" w:cs="Times New Roman"/>
          <w:sz w:val="24"/>
          <w:szCs w:val="24"/>
        </w:rPr>
      </w:pPr>
      <w:r w:rsidRPr="0023061F">
        <w:rPr>
          <w:rFonts w:ascii="Times New Roman" w:hAnsi="Times New Roman" w:cs="Times New Roman"/>
          <w:sz w:val="24"/>
          <w:szCs w:val="24"/>
        </w:rPr>
        <w:t xml:space="preserve">Both the table and graph of rate of return and absolute return show the same value. For </w:t>
      </w:r>
      <w:proofErr w:type="spellStart"/>
      <w:r w:rsidRPr="0023061F">
        <w:rPr>
          <w:rFonts w:ascii="Times New Roman" w:hAnsi="Times New Roman" w:cs="Times New Roman"/>
          <w:sz w:val="24"/>
          <w:szCs w:val="24"/>
        </w:rPr>
        <w:t>Pubali</w:t>
      </w:r>
      <w:proofErr w:type="spellEnd"/>
      <w:r w:rsidRPr="0023061F">
        <w:rPr>
          <w:rFonts w:ascii="Times New Roman" w:hAnsi="Times New Roman" w:cs="Times New Roman"/>
          <w:sz w:val="24"/>
          <w:szCs w:val="24"/>
        </w:rPr>
        <w:t xml:space="preserve"> Bank the value for 2017 is 31.74, 2018 is -6.54 and 2019 is -9.05. It means return for 2017 is positive and both years 2018 and 2019 are negative. On the other hand the holding period return show the return parentage for 2017 is 2.32, 2018 is 1.93 and 2019 is 1.87. That indicates positive return for all the three the year 2017, 2018 and 2019.</w:t>
      </w:r>
    </w:p>
    <w:p w:rsidR="008A307A" w:rsidRPr="0023061F" w:rsidRDefault="008A307A" w:rsidP="0023061F">
      <w:pPr>
        <w:spacing w:after="0" w:line="288" w:lineRule="auto"/>
        <w:ind w:left="360"/>
        <w:jc w:val="both"/>
        <w:rPr>
          <w:rFonts w:ascii="Times New Roman" w:hAnsi="Times New Roman" w:cs="Times New Roman"/>
          <w:sz w:val="24"/>
          <w:szCs w:val="24"/>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p w:rsidR="008A307A" w:rsidRDefault="008A307A" w:rsidP="008A307A">
      <w:pPr>
        <w:spacing w:after="0" w:line="288" w:lineRule="auto"/>
        <w:rPr>
          <w:rFonts w:ascii="Times New Roman" w:eastAsia="Times New Roman" w:hAnsi="Times New Roman" w:cs="Times New Roman"/>
          <w:b/>
          <w:color w:val="000000"/>
        </w:rPr>
      </w:pPr>
    </w:p>
    <w:tbl>
      <w:tblPr>
        <w:tblStyle w:val="LightShading"/>
        <w:tblW w:w="10737" w:type="dxa"/>
        <w:tblInd w:w="-525" w:type="dxa"/>
        <w:tblBorders>
          <w:top w:val="none" w:sz="0" w:space="0" w:color="auto"/>
          <w:bottom w:val="none" w:sz="0" w:space="0" w:color="auto"/>
        </w:tblBorders>
        <w:shd w:val="clear" w:color="auto" w:fill="B6DDE8" w:themeFill="accent5" w:themeFillTint="66"/>
        <w:tblLook w:val="04A0" w:firstRow="1" w:lastRow="0" w:firstColumn="1" w:lastColumn="0" w:noHBand="0" w:noVBand="1"/>
      </w:tblPr>
      <w:tblGrid>
        <w:gridCol w:w="1226"/>
        <w:gridCol w:w="1226"/>
        <w:gridCol w:w="1230"/>
        <w:gridCol w:w="1226"/>
        <w:gridCol w:w="1226"/>
        <w:gridCol w:w="1230"/>
        <w:gridCol w:w="1226"/>
        <w:gridCol w:w="1226"/>
        <w:gridCol w:w="921"/>
      </w:tblGrid>
      <w:tr w:rsidR="008A307A" w:rsidTr="008A307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682" w:type="dxa"/>
            <w:gridSpan w:val="3"/>
            <w:tcBorders>
              <w:top w:val="none" w:sz="0" w:space="0" w:color="auto"/>
              <w:left w:val="none" w:sz="0" w:space="0" w:color="auto"/>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Rate of Return</w:t>
            </w:r>
          </w:p>
        </w:tc>
        <w:tc>
          <w:tcPr>
            <w:tcW w:w="3682" w:type="dxa"/>
            <w:gridSpan w:val="3"/>
            <w:tcBorders>
              <w:top w:val="none" w:sz="0" w:space="0" w:color="auto"/>
              <w:left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Holding Period Return</w:t>
            </w:r>
          </w:p>
        </w:tc>
        <w:tc>
          <w:tcPr>
            <w:tcW w:w="3373" w:type="dxa"/>
            <w:gridSpan w:val="3"/>
            <w:tcBorders>
              <w:top w:val="none" w:sz="0" w:space="0" w:color="auto"/>
              <w:left w:val="single" w:sz="6" w:space="0" w:color="FFFFFF" w:themeColor="background1"/>
              <w:bottom w:val="single" w:sz="6" w:space="0" w:color="FFFFFF" w:themeColor="background1"/>
              <w:right w:val="none" w:sz="0" w:space="0" w:color="auto"/>
            </w:tcBorders>
            <w:vAlign w:val="center"/>
          </w:tcPr>
          <w:p w:rsidR="008A307A" w:rsidRPr="00F16803" w:rsidRDefault="008A307A" w:rsidP="008A307A">
            <w:pPr>
              <w:spacing w:line="288"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FFFFFF" w:themeColor="background1"/>
                <w:sz w:val="24"/>
                <w:szCs w:val="24"/>
              </w:rPr>
            </w:pPr>
            <w:r w:rsidRPr="00F16803">
              <w:rPr>
                <w:rFonts w:ascii="Cambria" w:hAnsi="Cambria" w:cs="Calibri"/>
                <w:bCs w:val="0"/>
                <w:color w:val="FFFFFF" w:themeColor="background1"/>
                <w:sz w:val="24"/>
                <w:szCs w:val="24"/>
              </w:rPr>
              <w:t>Absolute Return</w:t>
            </w:r>
          </w:p>
        </w:tc>
      </w:tr>
      <w:tr w:rsidR="008A307A" w:rsidTr="006269E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rPr>
                <w:rFonts w:ascii="Calibri" w:hAnsi="Calibri" w:cs="Calibri"/>
                <w:color w:val="FFFFFF" w:themeColor="background1"/>
              </w:rPr>
            </w:pPr>
            <w:r w:rsidRPr="00F16803">
              <w:rPr>
                <w:rFonts w:ascii="Calibri" w:hAnsi="Calibri" w:cs="Calibri"/>
                <w:bCs w:val="0"/>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943634" w:themeFill="accent2"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1230" w:type="dxa"/>
            <w:tcBorders>
              <w:top w:val="single" w:sz="6" w:space="0" w:color="FFFFFF" w:themeColor="background1"/>
              <w:bottom w:val="single" w:sz="6" w:space="0" w:color="FFFFFF" w:themeColor="background1"/>
              <w:right w:val="single" w:sz="6" w:space="0" w:color="FFFFFF" w:themeColor="background1"/>
            </w:tcBorders>
            <w:shd w:val="clear" w:color="auto" w:fill="5F497A" w:themeFill="accent4"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c>
          <w:tcPr>
            <w:tcW w:w="1226" w:type="dxa"/>
            <w:tcBorders>
              <w:top w:val="single" w:sz="6" w:space="0" w:color="FFFFFF" w:themeColor="background1"/>
              <w:left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2017</w:t>
            </w:r>
          </w:p>
        </w:tc>
        <w:tc>
          <w:tcPr>
            <w:tcW w:w="1226"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2018</w:t>
            </w:r>
          </w:p>
        </w:tc>
        <w:tc>
          <w:tcPr>
            <w:tcW w:w="921" w:type="dxa"/>
            <w:tcBorders>
              <w:top w:val="single" w:sz="6" w:space="0" w:color="FFFFFF" w:themeColor="background1"/>
              <w:bottom w:val="single" w:sz="6" w:space="0" w:color="FFFFFF" w:themeColor="background1"/>
            </w:tcBorders>
            <w:shd w:val="clear" w:color="auto" w:fill="31849B" w:themeFill="accent5" w:themeFillShade="BF"/>
            <w:vAlign w:val="center"/>
          </w:tcPr>
          <w:p w:rsidR="008A307A" w:rsidRPr="00F16803" w:rsidRDefault="008A307A" w:rsidP="008A307A">
            <w:pPr>
              <w:spacing w:line="28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F16803">
              <w:rPr>
                <w:rFonts w:ascii="Calibri" w:hAnsi="Calibri" w:cs="Calibri"/>
                <w:b/>
                <w:bCs/>
                <w:color w:val="FFFFFF" w:themeColor="background1"/>
              </w:rPr>
              <w:t>2019</w:t>
            </w:r>
          </w:p>
        </w:tc>
      </w:tr>
      <w:tr w:rsidR="008A307A" w:rsidTr="008A307A">
        <w:trPr>
          <w:trHeight w:val="432"/>
        </w:trPr>
        <w:tc>
          <w:tcPr>
            <w:cnfStyle w:val="001000000000" w:firstRow="0" w:lastRow="0" w:firstColumn="1" w:lastColumn="0" w:oddVBand="0" w:evenVBand="0" w:oddHBand="0" w:evenHBand="0" w:firstRowFirstColumn="0" w:firstRowLastColumn="0" w:lastRowFirstColumn="0" w:lastRowLastColumn="0"/>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rPr>
                <w:rFonts w:ascii="Calibri" w:hAnsi="Calibri" w:cs="Calibri"/>
                <w:color w:val="FFFFFF" w:themeColor="background1"/>
              </w:rPr>
            </w:pPr>
            <w:r w:rsidRPr="007F0461">
              <w:rPr>
                <w:rFonts w:ascii="Calibri" w:hAnsi="Calibri" w:cs="Calibri"/>
                <w:color w:val="FFFFFF" w:themeColor="background1"/>
              </w:rPr>
              <w:t>31.74</w:t>
            </w:r>
          </w:p>
        </w:tc>
        <w:tc>
          <w:tcPr>
            <w:tcW w:w="1226" w:type="dxa"/>
            <w:tcBorders>
              <w:top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-6.54</w:t>
            </w:r>
          </w:p>
        </w:tc>
        <w:tc>
          <w:tcPr>
            <w:tcW w:w="1230" w:type="dxa"/>
            <w:tcBorders>
              <w:top w:val="single" w:sz="6" w:space="0" w:color="FFFFFF" w:themeColor="background1"/>
              <w:right w:val="single" w:sz="6" w:space="0" w:color="FFFFFF" w:themeColor="background1"/>
            </w:tcBorders>
            <w:shd w:val="clear" w:color="auto" w:fill="943634" w:themeFill="accent2"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-9.05</w:t>
            </w:r>
          </w:p>
        </w:tc>
        <w:tc>
          <w:tcPr>
            <w:tcW w:w="1226" w:type="dxa"/>
            <w:tcBorders>
              <w:top w:val="single" w:sz="6" w:space="0" w:color="FFFFFF" w:themeColor="background1"/>
              <w:lef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2.32</w:t>
            </w:r>
          </w:p>
        </w:tc>
        <w:tc>
          <w:tcPr>
            <w:tcW w:w="1226" w:type="dxa"/>
            <w:tcBorders>
              <w:top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1.93</w:t>
            </w:r>
          </w:p>
        </w:tc>
        <w:tc>
          <w:tcPr>
            <w:tcW w:w="1230" w:type="dxa"/>
            <w:tcBorders>
              <w:top w:val="single" w:sz="6" w:space="0" w:color="FFFFFF" w:themeColor="background1"/>
              <w:right w:val="single" w:sz="6" w:space="0" w:color="FFFFFF" w:themeColor="background1"/>
            </w:tcBorders>
            <w:shd w:val="clear" w:color="auto" w:fill="5F497A" w:themeFill="accent4" w:themeFillShade="BF"/>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1.87</w:t>
            </w:r>
          </w:p>
        </w:tc>
        <w:tc>
          <w:tcPr>
            <w:tcW w:w="1226" w:type="dxa"/>
            <w:tcBorders>
              <w:top w:val="single" w:sz="6" w:space="0" w:color="FFFFFF" w:themeColor="background1"/>
              <w:left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31.74</w:t>
            </w:r>
          </w:p>
        </w:tc>
        <w:tc>
          <w:tcPr>
            <w:tcW w:w="1226"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-6.54</w:t>
            </w:r>
          </w:p>
        </w:tc>
        <w:tc>
          <w:tcPr>
            <w:tcW w:w="921" w:type="dxa"/>
            <w:tcBorders>
              <w:top w:val="single" w:sz="6" w:space="0" w:color="FFFFFF" w:themeColor="background1"/>
            </w:tcBorders>
            <w:vAlign w:val="center"/>
          </w:tcPr>
          <w:p w:rsidR="008A307A" w:rsidRPr="007F0461" w:rsidRDefault="008A307A" w:rsidP="008A307A">
            <w:pPr>
              <w:spacing w:line="28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rPr>
            </w:pPr>
            <w:r w:rsidRPr="007F0461">
              <w:rPr>
                <w:rFonts w:ascii="Calibri" w:hAnsi="Calibri" w:cs="Calibri"/>
                <w:b/>
                <w:color w:val="FFFFFF" w:themeColor="background1"/>
              </w:rPr>
              <w:t>-9.05</w:t>
            </w:r>
          </w:p>
        </w:tc>
      </w:tr>
    </w:tbl>
    <w:p w:rsidR="008A307A" w:rsidRDefault="008A307A" w:rsidP="008A307A">
      <w:pPr>
        <w:spacing w:after="0" w:line="288" w:lineRule="auto"/>
        <w:rPr>
          <w:rFonts w:ascii="Times New Roman" w:eastAsia="Times New Roman" w:hAnsi="Times New Roman" w:cs="Times New Roman"/>
          <w:b/>
          <w:color w:val="000000"/>
        </w:rPr>
      </w:pPr>
    </w:p>
    <w:p w:rsidR="008A307A" w:rsidRPr="009B6B89" w:rsidRDefault="00285003" w:rsidP="009B6B89">
      <w:pPr>
        <w:pStyle w:val="Caption"/>
        <w:jc w:val="center"/>
        <w:rPr>
          <w:rFonts w:ascii="Times New Roman" w:hAnsi="Times New Roman" w:cs="Times New Roman"/>
          <w:color w:val="auto"/>
          <w:sz w:val="22"/>
          <w:szCs w:val="22"/>
        </w:rPr>
      </w:pPr>
      <w:bookmarkStart w:id="304" w:name="_Toc57290072"/>
      <w:bookmarkStart w:id="305" w:name="_Toc57290393"/>
      <w:bookmarkStart w:id="306" w:name="_Toc61651565"/>
      <w:r w:rsidRPr="009B6B89">
        <w:rPr>
          <w:rFonts w:ascii="Times New Roman" w:hAnsi="Times New Roman" w:cs="Times New Roman"/>
          <w:color w:val="auto"/>
          <w:sz w:val="22"/>
          <w:szCs w:val="22"/>
        </w:rPr>
        <w:t xml:space="preserve">Table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Table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62</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Uttara Bank</w:t>
      </w:r>
      <w:bookmarkEnd w:id="304"/>
      <w:bookmarkEnd w:id="305"/>
      <w:bookmarkEnd w:id="306"/>
    </w:p>
    <w:p w:rsidR="008A307A" w:rsidRDefault="008A307A" w:rsidP="008A307A">
      <w:pPr>
        <w:spacing w:after="0" w:line="288" w:lineRule="auto"/>
        <w:rPr>
          <w:rFonts w:ascii="Times New Roman" w:eastAsia="Times New Roman" w:hAnsi="Times New Roman" w:cs="Times New Roman"/>
          <w:b/>
          <w:color w:val="000000"/>
        </w:rPr>
      </w:pPr>
    </w:p>
    <w:p w:rsidR="008A307A" w:rsidRPr="0060556C" w:rsidRDefault="008A307A" w:rsidP="008A307A">
      <w:pPr>
        <w:spacing w:after="0" w:line="288" w:lineRule="auto"/>
        <w:rPr>
          <w:rFonts w:ascii="Times New Roman" w:eastAsia="Times New Roman" w:hAnsi="Times New Roman" w:cs="Times New Roman"/>
          <w:b/>
          <w:color w:val="000000"/>
        </w:rPr>
      </w:pPr>
      <w:r>
        <w:rPr>
          <w:b/>
          <w:noProof/>
        </w:rPr>
        <w:drawing>
          <wp:anchor distT="0" distB="0" distL="114300" distR="114300" simplePos="0" relativeHeight="251754496" behindDoc="0" locked="0" layoutInCell="1" allowOverlap="1" wp14:anchorId="02F96939" wp14:editId="35466056">
            <wp:simplePos x="0" y="0"/>
            <wp:positionH relativeFrom="column">
              <wp:posOffset>1876425</wp:posOffset>
            </wp:positionH>
            <wp:positionV relativeFrom="paragraph">
              <wp:posOffset>167005</wp:posOffset>
            </wp:positionV>
            <wp:extent cx="2286000" cy="1828800"/>
            <wp:effectExtent l="0" t="0" r="19050" b="19050"/>
            <wp:wrapSquare wrapText="bothSides"/>
            <wp:docPr id="201" name="Chart 2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53472" behindDoc="0" locked="0" layoutInCell="1" allowOverlap="1" wp14:anchorId="67EA98A9" wp14:editId="2DEF7EEF">
            <wp:simplePos x="0" y="0"/>
            <wp:positionH relativeFrom="column">
              <wp:posOffset>-409575</wp:posOffset>
            </wp:positionH>
            <wp:positionV relativeFrom="paragraph">
              <wp:posOffset>162560</wp:posOffset>
            </wp:positionV>
            <wp:extent cx="2286000" cy="1828800"/>
            <wp:effectExtent l="0" t="0" r="19050" b="19050"/>
            <wp:wrapSquare wrapText="bothSides"/>
            <wp:docPr id="202" name="Chart 2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55520" behindDoc="0" locked="0" layoutInCell="1" allowOverlap="1" wp14:anchorId="57E5741C" wp14:editId="18A4357C">
            <wp:simplePos x="0" y="0"/>
            <wp:positionH relativeFrom="column">
              <wp:posOffset>4114800</wp:posOffset>
            </wp:positionH>
            <wp:positionV relativeFrom="paragraph">
              <wp:posOffset>162560</wp:posOffset>
            </wp:positionV>
            <wp:extent cx="2286000" cy="1828800"/>
            <wp:effectExtent l="0" t="0" r="19050" b="19050"/>
            <wp:wrapSquare wrapText="bothSides"/>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14:sizeRelH relativeFrom="page">
              <wp14:pctWidth>0</wp14:pctWidth>
            </wp14:sizeRelH>
            <wp14:sizeRelV relativeFrom="page">
              <wp14:pctHeight>0</wp14:pctHeight>
            </wp14:sizeRelV>
          </wp:anchor>
        </w:drawing>
      </w:r>
    </w:p>
    <w:p w:rsidR="00DA448F" w:rsidRDefault="00285003" w:rsidP="009B6B89">
      <w:pPr>
        <w:pStyle w:val="Caption"/>
        <w:jc w:val="center"/>
        <w:rPr>
          <w:rFonts w:ascii="Times New Roman" w:hAnsi="Times New Roman" w:cs="Times New Roman"/>
          <w:color w:val="auto"/>
          <w:sz w:val="22"/>
          <w:szCs w:val="22"/>
        </w:rPr>
      </w:pPr>
      <w:bookmarkStart w:id="307" w:name="_Toc57290102"/>
      <w:bookmarkStart w:id="308" w:name="_Toc57290237"/>
      <w:bookmarkStart w:id="309" w:name="_Toc61651502"/>
      <w:r w:rsidRPr="009B6B89">
        <w:rPr>
          <w:rFonts w:ascii="Times New Roman" w:hAnsi="Times New Roman" w:cs="Times New Roman"/>
          <w:color w:val="auto"/>
          <w:sz w:val="22"/>
          <w:szCs w:val="22"/>
        </w:rPr>
        <w:t xml:space="preserve">Graph </w:t>
      </w:r>
      <w:r w:rsidRPr="009B6B89">
        <w:rPr>
          <w:rFonts w:ascii="Times New Roman" w:hAnsi="Times New Roman" w:cs="Times New Roman"/>
          <w:color w:val="auto"/>
          <w:sz w:val="22"/>
          <w:szCs w:val="22"/>
        </w:rPr>
        <w:fldChar w:fldCharType="begin"/>
      </w:r>
      <w:r w:rsidRPr="009B6B89">
        <w:rPr>
          <w:rFonts w:ascii="Times New Roman" w:hAnsi="Times New Roman" w:cs="Times New Roman"/>
          <w:color w:val="auto"/>
          <w:sz w:val="22"/>
          <w:szCs w:val="22"/>
        </w:rPr>
        <w:instrText xml:space="preserve"> SEQ Graph \* ARABIC </w:instrText>
      </w:r>
      <w:r w:rsidRPr="009B6B89">
        <w:rPr>
          <w:rFonts w:ascii="Times New Roman" w:hAnsi="Times New Roman" w:cs="Times New Roman"/>
          <w:color w:val="auto"/>
          <w:sz w:val="22"/>
          <w:szCs w:val="22"/>
        </w:rPr>
        <w:fldChar w:fldCharType="separate"/>
      </w:r>
      <w:r w:rsidR="001D7ED7">
        <w:rPr>
          <w:rFonts w:ascii="Times New Roman" w:hAnsi="Times New Roman" w:cs="Times New Roman"/>
          <w:noProof/>
          <w:color w:val="auto"/>
          <w:sz w:val="22"/>
          <w:szCs w:val="22"/>
        </w:rPr>
        <w:t>59</w:t>
      </w:r>
      <w:r w:rsidRPr="009B6B89">
        <w:rPr>
          <w:rFonts w:ascii="Times New Roman" w:hAnsi="Times New Roman" w:cs="Times New Roman"/>
          <w:color w:val="auto"/>
          <w:sz w:val="22"/>
          <w:szCs w:val="22"/>
        </w:rPr>
        <w:fldChar w:fldCharType="end"/>
      </w:r>
      <w:r w:rsidRPr="009B6B89">
        <w:rPr>
          <w:rFonts w:ascii="Times New Roman" w:hAnsi="Times New Roman" w:cs="Times New Roman"/>
          <w:color w:val="auto"/>
          <w:sz w:val="22"/>
          <w:szCs w:val="22"/>
        </w:rPr>
        <w:t>: Yearly returns of Uttara Bank</w:t>
      </w:r>
      <w:bookmarkEnd w:id="307"/>
      <w:bookmarkEnd w:id="308"/>
      <w:bookmarkEnd w:id="309"/>
    </w:p>
    <w:p w:rsidR="00E50681" w:rsidRDefault="00E50681">
      <w:pPr>
        <w:rPr>
          <w:rFonts w:ascii="Times New Roman" w:hAnsi="Times New Roman" w:cs="Times New Roman"/>
        </w:rPr>
      </w:pPr>
    </w:p>
    <w:p w:rsidR="00DA448F" w:rsidRDefault="00E50681" w:rsidP="00E50681">
      <w:pPr>
        <w:spacing w:line="360" w:lineRule="auto"/>
        <w:jc w:val="both"/>
        <w:rPr>
          <w:rFonts w:ascii="Times New Roman" w:hAnsi="Times New Roman" w:cs="Times New Roman"/>
          <w:b/>
          <w:bCs/>
        </w:rPr>
      </w:pPr>
      <w:r w:rsidRPr="00035EF2">
        <w:rPr>
          <w:rFonts w:ascii="Times New Roman" w:hAnsi="Times New Roman" w:cs="Times New Roman"/>
          <w:sz w:val="24"/>
          <w:szCs w:val="24"/>
        </w:rPr>
        <w:t xml:space="preserve">After getting the last three years holding period returns, absolute returns and rate of returns </w:t>
      </w:r>
      <w:r>
        <w:rPr>
          <w:rFonts w:ascii="Times New Roman" w:hAnsi="Times New Roman" w:cs="Times New Roman"/>
          <w:sz w:val="24"/>
          <w:szCs w:val="24"/>
        </w:rPr>
        <w:t xml:space="preserve">I </w:t>
      </w:r>
      <w:r w:rsidRPr="00035EF2">
        <w:rPr>
          <w:rFonts w:ascii="Times New Roman" w:hAnsi="Times New Roman" w:cs="Times New Roman"/>
          <w:sz w:val="24"/>
          <w:szCs w:val="24"/>
        </w:rPr>
        <w:t>find that investment on this bank was not profitable for investor. For more accurate results I choose year 2019   and calculate Compound monthly growth rate return. It helps to get more accurate results on 2019.</w:t>
      </w:r>
      <w:r>
        <w:rPr>
          <w:rFonts w:ascii="Times New Roman" w:hAnsi="Times New Roman" w:cs="Times New Roman"/>
          <w:sz w:val="24"/>
          <w:szCs w:val="24"/>
        </w:rPr>
        <w:t xml:space="preserve"> For better understand the results of Compound monthly growth rate age given: </w:t>
      </w:r>
      <w:r w:rsidR="00DA448F">
        <w:rPr>
          <w:rFonts w:ascii="Times New Roman" w:hAnsi="Times New Roman" w:cs="Times New Roman"/>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4510"/>
      </w:tblGrid>
      <w:tr w:rsidR="00DA448F" w:rsidTr="003F10CA">
        <w:trPr>
          <w:trHeight w:val="323"/>
          <w:jc w:val="center"/>
        </w:trPr>
        <w:tc>
          <w:tcPr>
            <w:tcW w:w="1363"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lastRenderedPageBreak/>
              <w:t>Months</w:t>
            </w:r>
          </w:p>
        </w:tc>
        <w:tc>
          <w:tcPr>
            <w:tcW w:w="4510" w:type="dxa"/>
            <w:tcBorders>
              <w:top w:val="single" w:sz="24" w:space="0" w:color="76923C" w:themeColor="accent3" w:themeShade="BF"/>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sz w:val="24"/>
                <w:szCs w:val="24"/>
              </w:rPr>
            </w:pPr>
            <w:r w:rsidRPr="00635AD5">
              <w:rPr>
                <w:rFonts w:ascii="Times New Roman" w:hAnsi="Times New Roman" w:cs="Times New Roman"/>
                <w:sz w:val="24"/>
                <w:szCs w:val="24"/>
              </w:rPr>
              <w:t>Compound Monthly Growth Rate (CMGR)</w:t>
            </w:r>
          </w:p>
        </w:tc>
      </w:tr>
      <w:tr w:rsidR="00DA448F" w:rsidTr="003F10CA">
        <w:trPr>
          <w:trHeight w:val="302"/>
          <w:jc w:val="center"/>
        </w:trPr>
        <w:tc>
          <w:tcPr>
            <w:tcW w:w="1363" w:type="dxa"/>
            <w:tcBorders>
              <w:top w:val="single" w:sz="24" w:space="0" w:color="76923C" w:themeColor="accent3" w:themeShade="BF"/>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January</w:t>
            </w:r>
          </w:p>
        </w:tc>
        <w:tc>
          <w:tcPr>
            <w:tcW w:w="4510" w:type="dxa"/>
            <w:tcBorders>
              <w:top w:val="single" w:sz="24" w:space="0" w:color="76923C" w:themeColor="accent3" w:themeShade="BF"/>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0.45%</w:t>
            </w:r>
          </w:p>
        </w:tc>
      </w:tr>
      <w:tr w:rsidR="00DA448F" w:rsidTr="003F10CA">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February</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-0.52%</w:t>
            </w:r>
          </w:p>
        </w:tc>
      </w:tr>
      <w:tr w:rsidR="00DA448F" w:rsidTr="003F10CA">
        <w:trPr>
          <w:trHeight w:val="323"/>
          <w:jc w:val="center"/>
        </w:trPr>
        <w:tc>
          <w:tcPr>
            <w:tcW w:w="1363" w:type="dxa"/>
            <w:tcBorders>
              <w:left w:val="single" w:sz="24" w:space="0" w:color="76923C" w:themeColor="accent3" w:themeShade="BF"/>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March</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0.17%</w:t>
            </w:r>
          </w:p>
        </w:tc>
      </w:tr>
      <w:tr w:rsidR="00DA448F" w:rsidTr="003F10CA">
        <w:trPr>
          <w:trHeight w:val="302"/>
          <w:jc w:val="center"/>
        </w:trPr>
        <w:tc>
          <w:tcPr>
            <w:tcW w:w="1363" w:type="dxa"/>
            <w:tcBorders>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April</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-0.45%</w:t>
            </w:r>
          </w:p>
        </w:tc>
      </w:tr>
      <w:tr w:rsidR="00DA448F" w:rsidTr="003F10CA">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May</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0.43%</w:t>
            </w:r>
          </w:p>
        </w:tc>
      </w:tr>
      <w:tr w:rsidR="00DA448F" w:rsidTr="003F10CA">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June</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-0.03%</w:t>
            </w:r>
          </w:p>
        </w:tc>
      </w:tr>
      <w:tr w:rsidR="00DA448F" w:rsidTr="003F10CA">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July</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0.06%</w:t>
            </w:r>
          </w:p>
        </w:tc>
      </w:tr>
      <w:tr w:rsidR="00DA448F" w:rsidTr="003F10CA">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August</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-0.18%</w:t>
            </w:r>
          </w:p>
        </w:tc>
      </w:tr>
      <w:tr w:rsidR="00DA448F" w:rsidTr="003F10CA">
        <w:trPr>
          <w:trHeight w:val="302"/>
          <w:jc w:val="center"/>
        </w:trPr>
        <w:tc>
          <w:tcPr>
            <w:tcW w:w="1363" w:type="dxa"/>
            <w:tcBorders>
              <w:left w:val="single" w:sz="24" w:space="0" w:color="76923C" w:themeColor="accent3" w:themeShade="BF"/>
              <w:right w:val="single" w:sz="24" w:space="0" w:color="76923C" w:themeColor="accent3" w:themeShade="BF"/>
            </w:tcBorders>
            <w:vAlign w:val="bottom"/>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September</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0.21%</w:t>
            </w:r>
          </w:p>
        </w:tc>
      </w:tr>
      <w:tr w:rsidR="00DA448F" w:rsidTr="003F10CA">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October</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0.09%</w:t>
            </w:r>
          </w:p>
        </w:tc>
      </w:tr>
      <w:tr w:rsidR="00DA448F" w:rsidTr="003F10CA">
        <w:trPr>
          <w:trHeight w:val="323"/>
          <w:jc w:val="center"/>
        </w:trPr>
        <w:tc>
          <w:tcPr>
            <w:tcW w:w="1363" w:type="dxa"/>
            <w:tcBorders>
              <w:left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November</w:t>
            </w:r>
          </w:p>
        </w:tc>
        <w:tc>
          <w:tcPr>
            <w:tcW w:w="4510" w:type="dxa"/>
            <w:tcBorders>
              <w:left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-0.24%</w:t>
            </w:r>
          </w:p>
        </w:tc>
      </w:tr>
      <w:tr w:rsidR="00DA448F" w:rsidTr="003F10CA">
        <w:trPr>
          <w:trHeight w:val="323"/>
          <w:jc w:val="center"/>
        </w:trPr>
        <w:tc>
          <w:tcPr>
            <w:tcW w:w="1363" w:type="dxa"/>
            <w:tcBorders>
              <w:left w:val="single" w:sz="24" w:space="0" w:color="76923C" w:themeColor="accent3" w:themeShade="BF"/>
              <w:bottom w:val="single" w:sz="24" w:space="0" w:color="76923C" w:themeColor="accent3" w:themeShade="BF"/>
              <w:right w:val="single" w:sz="24" w:space="0" w:color="76923C" w:themeColor="accent3" w:themeShade="BF"/>
            </w:tcBorders>
            <w:vAlign w:val="center"/>
          </w:tcPr>
          <w:p w:rsidR="00DA448F" w:rsidRPr="00635AD5" w:rsidRDefault="00DA448F" w:rsidP="003F10CA">
            <w:pPr>
              <w:jc w:val="center"/>
              <w:rPr>
                <w:rFonts w:ascii="Times New Roman" w:hAnsi="Times New Roman" w:cs="Times New Roman"/>
                <w:color w:val="000000"/>
                <w:sz w:val="24"/>
                <w:szCs w:val="24"/>
              </w:rPr>
            </w:pPr>
            <w:r w:rsidRPr="00635AD5">
              <w:rPr>
                <w:rFonts w:ascii="Times New Roman" w:hAnsi="Times New Roman" w:cs="Times New Roman"/>
                <w:color w:val="000000"/>
                <w:sz w:val="24"/>
                <w:szCs w:val="24"/>
              </w:rPr>
              <w:t>December</w:t>
            </w:r>
          </w:p>
        </w:tc>
        <w:tc>
          <w:tcPr>
            <w:tcW w:w="4510" w:type="dxa"/>
            <w:tcBorders>
              <w:left w:val="single" w:sz="24" w:space="0" w:color="76923C" w:themeColor="accent3" w:themeShade="BF"/>
              <w:bottom w:val="single" w:sz="24" w:space="0" w:color="76923C" w:themeColor="accent3" w:themeShade="BF"/>
              <w:right w:val="single" w:sz="24" w:space="0" w:color="76923C" w:themeColor="accent3" w:themeShade="BF"/>
            </w:tcBorders>
            <w:vAlign w:val="bottom"/>
          </w:tcPr>
          <w:p w:rsidR="00DA448F" w:rsidRPr="006D3AC6" w:rsidRDefault="00DA448F" w:rsidP="003F10CA">
            <w:pPr>
              <w:jc w:val="center"/>
              <w:rPr>
                <w:rFonts w:ascii="Times New Roman" w:hAnsi="Times New Roman" w:cs="Times New Roman"/>
                <w:color w:val="000000"/>
                <w:sz w:val="24"/>
                <w:szCs w:val="24"/>
              </w:rPr>
            </w:pPr>
            <w:r w:rsidRPr="006D3AC6">
              <w:rPr>
                <w:rFonts w:ascii="Times New Roman" w:hAnsi="Times New Roman" w:cs="Times New Roman"/>
                <w:color w:val="000000"/>
                <w:sz w:val="24"/>
                <w:szCs w:val="24"/>
              </w:rPr>
              <w:t>-0.27%</w:t>
            </w:r>
          </w:p>
        </w:tc>
      </w:tr>
    </w:tbl>
    <w:p w:rsidR="00DA448F" w:rsidRPr="00C07A77" w:rsidRDefault="001D7ED7" w:rsidP="00C07A77">
      <w:pPr>
        <w:pStyle w:val="Caption"/>
        <w:jc w:val="center"/>
        <w:rPr>
          <w:rFonts w:ascii="Times New Roman" w:hAnsi="Times New Roman" w:cs="Times New Roman"/>
          <w:color w:val="auto"/>
          <w:sz w:val="22"/>
          <w:szCs w:val="22"/>
        </w:rPr>
      </w:pPr>
      <w:bookmarkStart w:id="310" w:name="_Toc61651566"/>
      <w:r w:rsidRPr="00C07A77">
        <w:rPr>
          <w:rFonts w:ascii="Times New Roman" w:hAnsi="Times New Roman" w:cs="Times New Roman"/>
          <w:color w:val="auto"/>
          <w:sz w:val="22"/>
          <w:szCs w:val="22"/>
        </w:rPr>
        <w:t xml:space="preserve">Table </w:t>
      </w:r>
      <w:r w:rsidRPr="00C07A77">
        <w:rPr>
          <w:rFonts w:ascii="Times New Roman" w:hAnsi="Times New Roman" w:cs="Times New Roman"/>
          <w:color w:val="auto"/>
          <w:sz w:val="22"/>
          <w:szCs w:val="22"/>
        </w:rPr>
        <w:fldChar w:fldCharType="begin"/>
      </w:r>
      <w:r w:rsidRPr="00C07A77">
        <w:rPr>
          <w:rFonts w:ascii="Times New Roman" w:hAnsi="Times New Roman" w:cs="Times New Roman"/>
          <w:color w:val="auto"/>
          <w:sz w:val="22"/>
          <w:szCs w:val="22"/>
        </w:rPr>
        <w:instrText xml:space="preserve"> SEQ Table \* ARABIC </w:instrText>
      </w:r>
      <w:r w:rsidRPr="00C07A77">
        <w:rPr>
          <w:rFonts w:ascii="Times New Roman" w:hAnsi="Times New Roman" w:cs="Times New Roman"/>
          <w:color w:val="auto"/>
          <w:sz w:val="22"/>
          <w:szCs w:val="22"/>
        </w:rPr>
        <w:fldChar w:fldCharType="separate"/>
      </w:r>
      <w:r w:rsidRPr="00C07A77">
        <w:rPr>
          <w:rFonts w:ascii="Times New Roman" w:hAnsi="Times New Roman" w:cs="Times New Roman"/>
          <w:color w:val="auto"/>
          <w:sz w:val="22"/>
          <w:szCs w:val="22"/>
        </w:rPr>
        <w:t>63</w:t>
      </w:r>
      <w:r w:rsidRPr="00C07A77">
        <w:rPr>
          <w:rFonts w:ascii="Times New Roman" w:hAnsi="Times New Roman" w:cs="Times New Roman"/>
          <w:color w:val="auto"/>
          <w:sz w:val="22"/>
          <w:szCs w:val="22"/>
        </w:rPr>
        <w:fldChar w:fldCharType="end"/>
      </w:r>
      <w:r w:rsidRPr="00C07A77">
        <w:rPr>
          <w:rFonts w:ascii="Times New Roman" w:hAnsi="Times New Roman" w:cs="Times New Roman"/>
          <w:color w:val="auto"/>
          <w:sz w:val="22"/>
          <w:szCs w:val="22"/>
        </w:rPr>
        <w:t>: Compound Monthly Growth rate of</w:t>
      </w:r>
      <w:r w:rsidR="00C07A77" w:rsidRPr="00C07A77">
        <w:rPr>
          <w:rFonts w:ascii="Times New Roman" w:hAnsi="Times New Roman" w:cs="Times New Roman"/>
          <w:color w:val="auto"/>
          <w:sz w:val="22"/>
          <w:szCs w:val="22"/>
        </w:rPr>
        <w:t xml:space="preserve"> </w:t>
      </w:r>
      <w:r w:rsidR="00C07A77" w:rsidRPr="009B6B89">
        <w:rPr>
          <w:rFonts w:ascii="Times New Roman" w:hAnsi="Times New Roman" w:cs="Times New Roman"/>
          <w:color w:val="auto"/>
          <w:sz w:val="22"/>
          <w:szCs w:val="22"/>
        </w:rPr>
        <w:t>Uttara Bank</w:t>
      </w:r>
      <w:bookmarkEnd w:id="310"/>
    </w:p>
    <w:p w:rsidR="00DA448F" w:rsidRPr="00635AD5" w:rsidRDefault="00DA448F" w:rsidP="00DA448F">
      <w:pPr>
        <w:jc w:val="center"/>
      </w:pPr>
      <w:r>
        <w:rPr>
          <w:noProof/>
        </w:rPr>
        <w:drawing>
          <wp:inline distT="0" distB="0" distL="0" distR="0" wp14:anchorId="04C240D9" wp14:editId="2B3E771C">
            <wp:extent cx="5486400" cy="3200400"/>
            <wp:effectExtent l="0" t="0" r="19050" b="1905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B41770" w:rsidRDefault="001D7ED7" w:rsidP="00C07A77">
      <w:pPr>
        <w:pStyle w:val="Caption"/>
        <w:jc w:val="center"/>
        <w:rPr>
          <w:b w:val="0"/>
        </w:rPr>
      </w:pPr>
      <w:bookmarkStart w:id="311" w:name="_Toc61651503"/>
      <w:r w:rsidRPr="00C07A77">
        <w:rPr>
          <w:rFonts w:ascii="Times New Roman" w:hAnsi="Times New Roman" w:cs="Times New Roman"/>
          <w:color w:val="auto"/>
          <w:sz w:val="22"/>
          <w:szCs w:val="22"/>
        </w:rPr>
        <w:t xml:space="preserve">Graph </w:t>
      </w:r>
      <w:r w:rsidRPr="00C07A77">
        <w:rPr>
          <w:rFonts w:ascii="Times New Roman" w:hAnsi="Times New Roman" w:cs="Times New Roman"/>
          <w:color w:val="auto"/>
          <w:sz w:val="22"/>
          <w:szCs w:val="22"/>
        </w:rPr>
        <w:fldChar w:fldCharType="begin"/>
      </w:r>
      <w:r w:rsidRPr="00C07A77">
        <w:rPr>
          <w:rFonts w:ascii="Times New Roman" w:hAnsi="Times New Roman" w:cs="Times New Roman"/>
          <w:color w:val="auto"/>
          <w:sz w:val="22"/>
          <w:szCs w:val="22"/>
        </w:rPr>
        <w:instrText xml:space="preserve"> SEQ Graph \* ARABIC </w:instrText>
      </w:r>
      <w:r w:rsidRPr="00C07A77">
        <w:rPr>
          <w:rFonts w:ascii="Times New Roman" w:hAnsi="Times New Roman" w:cs="Times New Roman"/>
          <w:color w:val="auto"/>
          <w:sz w:val="22"/>
          <w:szCs w:val="22"/>
        </w:rPr>
        <w:fldChar w:fldCharType="separate"/>
      </w:r>
      <w:r w:rsidRPr="00C07A77">
        <w:rPr>
          <w:rFonts w:ascii="Times New Roman" w:hAnsi="Times New Roman" w:cs="Times New Roman"/>
          <w:color w:val="auto"/>
          <w:sz w:val="22"/>
          <w:szCs w:val="22"/>
        </w:rPr>
        <w:t>60</w:t>
      </w:r>
      <w:r w:rsidRPr="00C07A77">
        <w:rPr>
          <w:rFonts w:ascii="Times New Roman" w:hAnsi="Times New Roman" w:cs="Times New Roman"/>
          <w:color w:val="auto"/>
          <w:sz w:val="22"/>
          <w:szCs w:val="22"/>
        </w:rPr>
        <w:fldChar w:fldCharType="end"/>
      </w:r>
      <w:r w:rsidRPr="00C07A77">
        <w:rPr>
          <w:rFonts w:ascii="Times New Roman" w:hAnsi="Times New Roman" w:cs="Times New Roman"/>
          <w:color w:val="auto"/>
          <w:sz w:val="22"/>
          <w:szCs w:val="22"/>
        </w:rPr>
        <w:t>: Compound Monthly Growth rate of</w:t>
      </w:r>
      <w:r w:rsidR="00C07A77" w:rsidRPr="00C07A77">
        <w:rPr>
          <w:rFonts w:ascii="Times New Roman" w:hAnsi="Times New Roman" w:cs="Times New Roman"/>
          <w:color w:val="auto"/>
          <w:sz w:val="22"/>
          <w:szCs w:val="22"/>
        </w:rPr>
        <w:t xml:space="preserve"> </w:t>
      </w:r>
      <w:r w:rsidR="00C07A77" w:rsidRPr="009B6B89">
        <w:rPr>
          <w:rFonts w:ascii="Times New Roman" w:hAnsi="Times New Roman" w:cs="Times New Roman"/>
          <w:color w:val="auto"/>
          <w:sz w:val="22"/>
          <w:szCs w:val="22"/>
        </w:rPr>
        <w:t>Uttara Bank</w:t>
      </w:r>
      <w:bookmarkEnd w:id="311"/>
      <w:r w:rsidR="00C07A77">
        <w:rPr>
          <w:b w:val="0"/>
        </w:rPr>
        <w:t xml:space="preserve"> </w:t>
      </w:r>
    </w:p>
    <w:p w:rsidR="00B41770" w:rsidRDefault="00B41770" w:rsidP="00C07A77">
      <w:pPr>
        <w:pStyle w:val="Caption"/>
        <w:jc w:val="center"/>
        <w:rPr>
          <w:b w:val="0"/>
        </w:rPr>
      </w:pPr>
    </w:p>
    <w:p w:rsidR="008A307A" w:rsidRPr="000342DD" w:rsidRDefault="00B41770" w:rsidP="00B41770">
      <w:pPr>
        <w:pStyle w:val="Caption"/>
        <w:spacing w:line="360" w:lineRule="auto"/>
        <w:jc w:val="both"/>
        <w:rPr>
          <w:b w:val="0"/>
        </w:rPr>
      </w:pPr>
      <w:r w:rsidRPr="003C476A">
        <w:rPr>
          <w:rFonts w:ascii="Times New Roman" w:hAnsi="Times New Roman" w:cs="Times New Roman"/>
          <w:b w:val="0"/>
          <w:color w:val="auto"/>
          <w:sz w:val="24"/>
          <w:szCs w:val="24"/>
        </w:rPr>
        <w:t xml:space="preserve">After </w:t>
      </w:r>
      <w:r>
        <w:rPr>
          <w:rFonts w:ascii="Times New Roman" w:hAnsi="Times New Roman" w:cs="Times New Roman"/>
          <w:b w:val="0"/>
          <w:color w:val="auto"/>
          <w:sz w:val="24"/>
          <w:szCs w:val="24"/>
        </w:rPr>
        <w:t xml:space="preserve">calculate the return I find that, beginning of 2019 the compound growths rate is positive but over the period the compound growth rate were both positive and negative pattern. The negative return is higher than the positive return. So, I can say the return growth rate from this investment was risker. The return volatility explains that profit was less than the loss growth return rate. For More accurate results I calculate daily absolute returns which you found in calculation part also show the same results. The reason behind this scenario was decreasing stock value over the time. </w:t>
      </w:r>
      <w:r w:rsidR="008A307A">
        <w:rPr>
          <w:b w:val="0"/>
        </w:rPr>
        <w:br w:type="page"/>
      </w:r>
    </w:p>
    <w:p w:rsidR="008A307A" w:rsidRDefault="008A307A" w:rsidP="00FB1F30">
      <w:pPr>
        <w:pStyle w:val="Heading2"/>
      </w:pPr>
      <w:bookmarkStart w:id="312" w:name="_Toc20301562"/>
      <w:bookmarkStart w:id="313" w:name="_Toc62037743"/>
      <w:r w:rsidRPr="009D68E5">
        <w:lastRenderedPageBreak/>
        <w:t>Key understanding</w:t>
      </w:r>
      <w:bookmarkEnd w:id="312"/>
      <w:bookmarkEnd w:id="313"/>
    </w:p>
    <w:p w:rsidR="00FB1F30" w:rsidRPr="00FB1F30" w:rsidRDefault="00FB1F30" w:rsidP="00FB1F30"/>
    <w:p w:rsidR="008A307A" w:rsidRDefault="008A307A" w:rsidP="008A307A">
      <w:pPr>
        <w:spacing w:line="360" w:lineRule="auto"/>
        <w:jc w:val="both"/>
        <w:rPr>
          <w:rFonts w:ascii="Times New Roman" w:hAnsi="Times New Roman" w:cs="Times New Roman"/>
          <w:sz w:val="24"/>
          <w:szCs w:val="24"/>
        </w:rPr>
      </w:pPr>
      <w:r>
        <w:rPr>
          <w:rFonts w:ascii="Times New Roman" w:hAnsi="Times New Roman" w:cs="Times New Roman"/>
          <w:sz w:val="24"/>
          <w:szCs w:val="24"/>
        </w:rPr>
        <w:t>Stock market is a profitable sector for investors. There are different industries like textile industry, pharmaceutical industry, telecommunication industry, banking industry etc. But in this report we look through banking industry. By analyzing we try to understand how banking industry perform in stock market last three years. For analyzing, we use three important return behavior techniques. After analyzing I find some important points:</w:t>
      </w:r>
    </w:p>
    <w:p w:rsidR="008A307A" w:rsidRDefault="008A307A" w:rsidP="008A307A">
      <w:pPr>
        <w:spacing w:line="360" w:lineRule="auto"/>
        <w:jc w:val="both"/>
        <w:rPr>
          <w:rFonts w:ascii="Times New Roman" w:hAnsi="Times New Roman" w:cs="Times New Roman"/>
          <w:sz w:val="24"/>
          <w:szCs w:val="24"/>
        </w:rPr>
      </w:pPr>
      <w:r>
        <w:rPr>
          <w:rFonts w:ascii="Times New Roman" w:hAnsi="Times New Roman" w:cs="Times New Roman"/>
          <w:sz w:val="24"/>
          <w:szCs w:val="24"/>
        </w:rPr>
        <w:t>Based on rate of return and absolute return, in 2017 all banks return is positive. But two or three bank is show negative also. Based on rate of return and absolute return, in 2018 most of the banks show negative return but few of them are positive. Based on rate of return and absolute return, in 2019 all banks return is negative. Just few of them are positive. Based on holding period return, in 2017 all banks return is positive. But two or three bank is show negative also. Based on holding period return, in 2018 all banks return is positive. But two or three bank is show negative also. Based on holding period return, in 2019 most of the banks show positive return but few of them are positive.</w:t>
      </w:r>
    </w:p>
    <w:p w:rsidR="008A307A" w:rsidRPr="00D566F0" w:rsidRDefault="008A307A" w:rsidP="008A307A">
      <w:pPr>
        <w:pStyle w:val="ListParagraph"/>
        <w:numPr>
          <w:ilvl w:val="0"/>
          <w:numId w:val="37"/>
        </w:numPr>
        <w:spacing w:line="360" w:lineRule="auto"/>
        <w:jc w:val="both"/>
        <w:rPr>
          <w:rFonts w:ascii="Times New Roman" w:hAnsi="Times New Roman" w:cs="Times New Roman"/>
          <w:sz w:val="24"/>
          <w:szCs w:val="24"/>
        </w:rPr>
      </w:pPr>
      <w:r w:rsidRPr="00D566F0">
        <w:rPr>
          <w:rFonts w:ascii="Times New Roman" w:hAnsi="Times New Roman" w:cs="Times New Roman"/>
          <w:sz w:val="24"/>
          <w:szCs w:val="24"/>
        </w:rPr>
        <w:t>All banks stock returns decreeing year by year. Most of the stocks provide negative return.</w:t>
      </w:r>
    </w:p>
    <w:p w:rsidR="008A307A" w:rsidRDefault="008A307A" w:rsidP="008A307A">
      <w:pPr>
        <w:pStyle w:val="ListParagraph"/>
        <w:numPr>
          <w:ilvl w:val="0"/>
          <w:numId w:val="37"/>
        </w:numPr>
        <w:spacing w:line="360" w:lineRule="auto"/>
        <w:jc w:val="both"/>
        <w:rPr>
          <w:rFonts w:ascii="Times New Roman" w:hAnsi="Times New Roman" w:cs="Times New Roman"/>
          <w:sz w:val="24"/>
          <w:szCs w:val="24"/>
        </w:rPr>
      </w:pPr>
      <w:r w:rsidRPr="00D566F0">
        <w:rPr>
          <w:rFonts w:ascii="Times New Roman" w:hAnsi="Times New Roman" w:cs="Times New Roman"/>
          <w:sz w:val="24"/>
          <w:szCs w:val="24"/>
        </w:rPr>
        <w:t>Most of the banks are not paid dividend regularly</w:t>
      </w:r>
    </w:p>
    <w:p w:rsidR="00DB6445" w:rsidRPr="00D566F0" w:rsidRDefault="00DB6445" w:rsidP="008A307A">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Less focus on periodic return</w:t>
      </w:r>
    </w:p>
    <w:p w:rsidR="008A307A" w:rsidRPr="00D566F0" w:rsidRDefault="008A307A" w:rsidP="008A307A">
      <w:pPr>
        <w:pStyle w:val="ListParagraph"/>
        <w:numPr>
          <w:ilvl w:val="0"/>
          <w:numId w:val="37"/>
        </w:numPr>
        <w:spacing w:line="360" w:lineRule="auto"/>
        <w:jc w:val="both"/>
        <w:rPr>
          <w:rFonts w:ascii="Times New Roman" w:hAnsi="Times New Roman" w:cs="Times New Roman"/>
          <w:sz w:val="24"/>
          <w:szCs w:val="24"/>
        </w:rPr>
      </w:pPr>
      <w:r w:rsidRPr="00D566F0">
        <w:rPr>
          <w:rFonts w:ascii="Times New Roman" w:hAnsi="Times New Roman" w:cs="Times New Roman"/>
          <w:sz w:val="24"/>
          <w:szCs w:val="24"/>
        </w:rPr>
        <w:t>After analyzing holding period return, I understand that if investors hold the stocks for longer period it helps to decrease losses. Most of the time show positive return.</w:t>
      </w:r>
    </w:p>
    <w:p w:rsidR="008A307A" w:rsidRDefault="008A307A" w:rsidP="008A307A">
      <w:pPr>
        <w:pStyle w:val="ListParagraph"/>
        <w:numPr>
          <w:ilvl w:val="0"/>
          <w:numId w:val="37"/>
        </w:numPr>
        <w:spacing w:line="360" w:lineRule="auto"/>
        <w:jc w:val="both"/>
        <w:rPr>
          <w:rFonts w:ascii="Times New Roman" w:hAnsi="Times New Roman" w:cs="Times New Roman"/>
          <w:sz w:val="24"/>
          <w:szCs w:val="24"/>
        </w:rPr>
      </w:pPr>
      <w:r w:rsidRPr="00D566F0">
        <w:rPr>
          <w:rFonts w:ascii="Times New Roman" w:hAnsi="Times New Roman" w:cs="Times New Roman"/>
          <w:sz w:val="24"/>
          <w:szCs w:val="24"/>
        </w:rPr>
        <w:t>After analyzing rate of return and absolute return, investor need to focus on company’s Income statement, balance sheet and paying dividend pattern.</w:t>
      </w:r>
    </w:p>
    <w:p w:rsidR="00A927B2" w:rsidRDefault="00A927B2" w:rsidP="008A307A">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Lack of control from Bangladesh Bank.</w:t>
      </w:r>
    </w:p>
    <w:p w:rsidR="005D3758" w:rsidRPr="00D566F0" w:rsidRDefault="005D3758" w:rsidP="008A307A">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investor’s invest into banking sector was not an ideal sector on the basis of 2019 compound monthly growth rate return pattern. </w:t>
      </w:r>
    </w:p>
    <w:p w:rsidR="00A37C50" w:rsidRDefault="00A37C50" w:rsidP="00A37C50">
      <w:pPr>
        <w:pStyle w:val="Heading1"/>
      </w:pPr>
      <w:bookmarkStart w:id="314" w:name="_Toc62037744"/>
      <w:r>
        <w:t>CHAPTER V: CONCLUSIONS</w:t>
      </w:r>
      <w:bookmarkEnd w:id="314"/>
    </w:p>
    <w:p w:rsidR="00A37C50" w:rsidRDefault="00A37C50" w:rsidP="00A37C50"/>
    <w:p w:rsidR="00A37C50" w:rsidRPr="00741D9B" w:rsidRDefault="00A37C50" w:rsidP="00A37C50">
      <w:pPr>
        <w:spacing w:line="360" w:lineRule="auto"/>
        <w:jc w:val="both"/>
        <w:rPr>
          <w:rFonts w:ascii="Times New Roman" w:hAnsi="Times New Roman" w:cs="Times New Roman"/>
          <w:sz w:val="24"/>
          <w:szCs w:val="24"/>
        </w:rPr>
      </w:pPr>
      <w:r w:rsidRPr="00741D9B">
        <w:rPr>
          <w:rFonts w:ascii="Times New Roman" w:hAnsi="Times New Roman" w:cs="Times New Roman"/>
          <w:sz w:val="24"/>
          <w:szCs w:val="24"/>
        </w:rPr>
        <w:t xml:space="preserve">The capital market is market for securities. The primary role of the stock market is to raise long term funds for government, banks, and corporations while providing a platform for the </w:t>
      </w:r>
      <w:r w:rsidRPr="00741D9B">
        <w:rPr>
          <w:rFonts w:ascii="Times New Roman" w:hAnsi="Times New Roman" w:cs="Times New Roman"/>
          <w:sz w:val="24"/>
          <w:szCs w:val="24"/>
        </w:rPr>
        <w:lastRenderedPageBreak/>
        <w:t>trading of securities. In this report we focused on banking sector performance in stock market.</w:t>
      </w:r>
    </w:p>
    <w:p w:rsidR="00F53F56" w:rsidRDefault="00A37C50" w:rsidP="00A37C50">
      <w:pPr>
        <w:spacing w:line="360" w:lineRule="auto"/>
        <w:jc w:val="both"/>
        <w:rPr>
          <w:rFonts w:ascii="Times New Roman" w:hAnsi="Times New Roman" w:cs="Times New Roman"/>
          <w:sz w:val="24"/>
          <w:szCs w:val="24"/>
        </w:rPr>
      </w:pPr>
      <w:r w:rsidRPr="00741D9B">
        <w:rPr>
          <w:rFonts w:ascii="Times New Roman" w:hAnsi="Times New Roman" w:cs="Times New Roman"/>
          <w:sz w:val="24"/>
          <w:szCs w:val="24"/>
        </w:rPr>
        <w:t xml:space="preserve">The report helps to understand that whether the interest incomes of banking sector are increasing or decreasing compared to 2017, 2018 and 2019. </w:t>
      </w:r>
      <w:r w:rsidR="00F53F56">
        <w:rPr>
          <w:rFonts w:ascii="Times New Roman" w:hAnsi="Times New Roman" w:cs="Times New Roman"/>
          <w:sz w:val="24"/>
          <w:szCs w:val="24"/>
        </w:rPr>
        <w:t>Compare all 30 banks, there last</w:t>
      </w:r>
      <w:r w:rsidR="00911FC0">
        <w:rPr>
          <w:rFonts w:ascii="Times New Roman" w:hAnsi="Times New Roman" w:cs="Times New Roman"/>
          <w:sz w:val="24"/>
          <w:szCs w:val="24"/>
        </w:rPr>
        <w:t xml:space="preserve"> three years maximum holding period return was 3.29% on year 2017. Minimum holding period was 1.92% on year 2019. On the other hand rate of return and absolute return, maximum return was 129.72% on year 2017. Minimum return was -36.81% on year 2019. Th</w:t>
      </w:r>
      <w:r w:rsidR="00F53F56">
        <w:rPr>
          <w:rFonts w:ascii="Times New Roman" w:hAnsi="Times New Roman" w:cs="Times New Roman"/>
          <w:sz w:val="24"/>
          <w:szCs w:val="24"/>
        </w:rPr>
        <w:t>ere was a huge negative return.</w:t>
      </w:r>
      <w:r w:rsidR="00F53F56" w:rsidRPr="00741D9B">
        <w:rPr>
          <w:rFonts w:ascii="Times New Roman" w:hAnsi="Times New Roman" w:cs="Times New Roman"/>
          <w:sz w:val="24"/>
          <w:szCs w:val="24"/>
        </w:rPr>
        <w:t xml:space="preserve"> During</w:t>
      </w:r>
      <w:r w:rsidRPr="00741D9B">
        <w:rPr>
          <w:rFonts w:ascii="Times New Roman" w:hAnsi="Times New Roman" w:cs="Times New Roman"/>
          <w:sz w:val="24"/>
          <w:szCs w:val="24"/>
        </w:rPr>
        <w:t xml:space="preserve"> the time the growth rate of profit from continuing of the 30 listed banks also lower than the previous year. </w:t>
      </w:r>
      <w:r w:rsidR="00F53F56">
        <w:rPr>
          <w:rFonts w:ascii="Times New Roman" w:hAnsi="Times New Roman" w:cs="Times New Roman"/>
          <w:sz w:val="24"/>
          <w:szCs w:val="24"/>
        </w:rPr>
        <w:t xml:space="preserve">If </w:t>
      </w:r>
      <w:r w:rsidR="00C171A4">
        <w:rPr>
          <w:rFonts w:ascii="Times New Roman" w:hAnsi="Times New Roman" w:cs="Times New Roman"/>
          <w:sz w:val="24"/>
          <w:szCs w:val="24"/>
        </w:rPr>
        <w:t>we</w:t>
      </w:r>
      <w:r w:rsidR="00F53F56">
        <w:rPr>
          <w:rFonts w:ascii="Times New Roman" w:hAnsi="Times New Roman" w:cs="Times New Roman"/>
          <w:sz w:val="24"/>
          <w:szCs w:val="24"/>
        </w:rPr>
        <w:t xml:space="preserve"> see most recent year for monthly compound return, in 2019 </w:t>
      </w:r>
      <w:r w:rsidR="00C171A4">
        <w:rPr>
          <w:rFonts w:ascii="Times New Roman" w:hAnsi="Times New Roman" w:cs="Times New Roman"/>
          <w:sz w:val="24"/>
          <w:szCs w:val="24"/>
        </w:rPr>
        <w:t>we</w:t>
      </w:r>
      <w:r w:rsidR="00F53F56">
        <w:rPr>
          <w:rFonts w:ascii="Times New Roman" w:hAnsi="Times New Roman" w:cs="Times New Roman"/>
          <w:sz w:val="24"/>
          <w:szCs w:val="24"/>
        </w:rPr>
        <w:t xml:space="preserve"> find that highest monthly compound return was 2.43% and lowest monthly compound return was -1.61% on the same year.</w:t>
      </w:r>
    </w:p>
    <w:p w:rsidR="00A37C50" w:rsidRPr="00741D9B" w:rsidRDefault="00A37C50" w:rsidP="00A37C50">
      <w:pPr>
        <w:spacing w:line="360" w:lineRule="auto"/>
        <w:jc w:val="both"/>
        <w:rPr>
          <w:rFonts w:ascii="Times New Roman" w:hAnsi="Times New Roman" w:cs="Times New Roman"/>
          <w:sz w:val="24"/>
          <w:szCs w:val="24"/>
        </w:rPr>
      </w:pPr>
      <w:r w:rsidRPr="00741D9B">
        <w:rPr>
          <w:rFonts w:ascii="Times New Roman" w:hAnsi="Times New Roman" w:cs="Times New Roman"/>
          <w:sz w:val="24"/>
          <w:szCs w:val="24"/>
        </w:rPr>
        <w:t>Recent performance of banking sector was not as remarkable as it performed in the earlier years but they continued the overall trend of development of all the stakeholders related to banking industry and economy as well.</w:t>
      </w:r>
    </w:p>
    <w:p w:rsidR="00A37C50" w:rsidRPr="006A62DE" w:rsidRDefault="00A37C50" w:rsidP="00A37C50">
      <w:pPr>
        <w:spacing w:line="360" w:lineRule="auto"/>
        <w:jc w:val="both"/>
        <w:rPr>
          <w:rFonts w:ascii="Times New Roman" w:hAnsi="Times New Roman" w:cs="Times New Roman"/>
          <w:sz w:val="24"/>
          <w:szCs w:val="24"/>
        </w:rPr>
      </w:pPr>
      <w:r w:rsidRPr="00741D9B">
        <w:rPr>
          <w:rFonts w:ascii="Times New Roman" w:hAnsi="Times New Roman" w:cs="Times New Roman"/>
          <w:sz w:val="24"/>
          <w:szCs w:val="24"/>
        </w:rPr>
        <w:t>On the other hand in year 2015 and 2016 was great year for banking sector. But after 2017 the performance of banking sector was decreasing year by year.</w:t>
      </w:r>
      <w:r w:rsidRPr="00B13B03">
        <w:rPr>
          <w:rFonts w:ascii="Times New Roman" w:hAnsi="Times New Roman" w:cs="Times New Roman"/>
          <w:sz w:val="24"/>
          <w:szCs w:val="24"/>
        </w:rPr>
        <w:t xml:space="preserve"> The main reason behind this scenario was lack of market control. During 2018 and 2019 stock price of banks was decreasing daily basis. To improve this situation, Bangladesh bank can play a vital role to control the banking stocks performance.</w:t>
      </w:r>
      <w:r>
        <w:rPr>
          <w:rFonts w:ascii="Times New Roman" w:hAnsi="Times New Roman" w:cs="Times New Roman"/>
          <w:sz w:val="24"/>
          <w:szCs w:val="24"/>
        </w:rPr>
        <w:t xml:space="preserve"> Another important advice for the investor that they should hold the banks stocks for longer period of time it decrease the loss.</w:t>
      </w:r>
    </w:p>
    <w:p w:rsidR="00A37C50" w:rsidRDefault="00A37C50">
      <w:pPr>
        <w:rPr>
          <w:rFonts w:ascii="Times New Roman" w:eastAsiaTheme="majorEastAsia" w:hAnsi="Times New Roman" w:cs="Times New Roman"/>
          <w:b/>
          <w:bCs/>
          <w:color w:val="365F91" w:themeColor="accent1" w:themeShade="BF"/>
          <w:sz w:val="32"/>
          <w:szCs w:val="28"/>
        </w:rPr>
      </w:pPr>
      <w:r>
        <w:rPr>
          <w:rFonts w:cs="Times New Roman"/>
        </w:rPr>
        <w:br w:type="page"/>
      </w:r>
    </w:p>
    <w:p w:rsidR="008A307A" w:rsidRDefault="00BC0BB8" w:rsidP="00BC0BB8">
      <w:pPr>
        <w:pStyle w:val="Heading1"/>
        <w:rPr>
          <w:rFonts w:cs="Times New Roman"/>
        </w:rPr>
      </w:pPr>
      <w:bookmarkStart w:id="315" w:name="_Toc62037745"/>
      <w:r w:rsidRPr="00BC0BB8">
        <w:rPr>
          <w:rFonts w:cs="Times New Roman"/>
        </w:rPr>
        <w:lastRenderedPageBreak/>
        <w:t>CHAPTER V</w:t>
      </w:r>
      <w:r w:rsidR="00A37C50">
        <w:rPr>
          <w:rFonts w:cs="Times New Roman"/>
        </w:rPr>
        <w:t>I</w:t>
      </w:r>
      <w:r w:rsidRPr="00BC0BB8">
        <w:rPr>
          <w:rFonts w:cs="Times New Roman"/>
        </w:rPr>
        <w:t>: INTERNSHIP EXPERIENCE</w:t>
      </w:r>
      <w:bookmarkEnd w:id="315"/>
    </w:p>
    <w:p w:rsidR="00BC0BB8" w:rsidRDefault="00BC0BB8" w:rsidP="00BC0BB8"/>
    <w:p w:rsidR="00BC0BB8" w:rsidRPr="0008403D" w:rsidRDefault="00BC0BB8" w:rsidP="00BC0BB8">
      <w:pPr>
        <w:spacing w:line="360" w:lineRule="auto"/>
        <w:jc w:val="both"/>
        <w:rPr>
          <w:rFonts w:ascii="Times New Roman" w:hAnsi="Times New Roman" w:cs="Times New Roman"/>
          <w:sz w:val="24"/>
          <w:szCs w:val="24"/>
        </w:rPr>
      </w:pPr>
      <w:r w:rsidRPr="0008403D">
        <w:rPr>
          <w:rFonts w:ascii="Times New Roman" w:hAnsi="Times New Roman" w:cs="Times New Roman"/>
          <w:sz w:val="24"/>
          <w:szCs w:val="24"/>
        </w:rPr>
        <w:t xml:space="preserve">I felt particularly favored to get a chance to </w:t>
      </w:r>
      <w:r>
        <w:rPr>
          <w:rFonts w:ascii="Times New Roman" w:hAnsi="Times New Roman" w:cs="Times New Roman"/>
          <w:sz w:val="24"/>
          <w:szCs w:val="24"/>
        </w:rPr>
        <w:t>work</w:t>
      </w:r>
      <w:r w:rsidRPr="0008403D">
        <w:rPr>
          <w:rFonts w:ascii="Times New Roman" w:hAnsi="Times New Roman" w:cs="Times New Roman"/>
          <w:sz w:val="24"/>
          <w:szCs w:val="24"/>
        </w:rPr>
        <w:t xml:space="preserve"> as an </w:t>
      </w:r>
      <w:r>
        <w:rPr>
          <w:rFonts w:ascii="Times New Roman" w:hAnsi="Times New Roman" w:cs="Times New Roman"/>
          <w:sz w:val="24"/>
          <w:szCs w:val="24"/>
        </w:rPr>
        <w:t>assets management</w:t>
      </w:r>
      <w:r w:rsidRPr="0008403D">
        <w:rPr>
          <w:rFonts w:ascii="Times New Roman" w:hAnsi="Times New Roman" w:cs="Times New Roman"/>
          <w:sz w:val="24"/>
          <w:szCs w:val="24"/>
        </w:rPr>
        <w:t xml:space="preserve"> in Dhaka </w:t>
      </w:r>
      <w:r>
        <w:rPr>
          <w:rFonts w:ascii="Times New Roman" w:hAnsi="Times New Roman" w:cs="Times New Roman"/>
          <w:sz w:val="24"/>
          <w:szCs w:val="24"/>
        </w:rPr>
        <w:t>Stock Exchange</w:t>
      </w:r>
      <w:r w:rsidRPr="0008403D">
        <w:rPr>
          <w:rFonts w:ascii="Times New Roman" w:hAnsi="Times New Roman" w:cs="Times New Roman"/>
          <w:sz w:val="24"/>
          <w:szCs w:val="24"/>
        </w:rPr>
        <w:t xml:space="preserve"> Limited </w:t>
      </w:r>
      <w:r>
        <w:rPr>
          <w:rFonts w:ascii="Times New Roman" w:hAnsi="Times New Roman" w:cs="Times New Roman"/>
          <w:sz w:val="24"/>
          <w:szCs w:val="24"/>
        </w:rPr>
        <w:t xml:space="preserve">under Common service department. </w:t>
      </w:r>
      <w:r w:rsidRPr="0008403D">
        <w:rPr>
          <w:rFonts w:ascii="Times New Roman" w:hAnsi="Times New Roman" w:cs="Times New Roman"/>
          <w:sz w:val="24"/>
          <w:szCs w:val="24"/>
        </w:rPr>
        <w:t xml:space="preserve">At the point when I </w:t>
      </w:r>
      <w:r>
        <w:rPr>
          <w:rFonts w:ascii="Times New Roman" w:hAnsi="Times New Roman" w:cs="Times New Roman"/>
          <w:sz w:val="24"/>
          <w:szCs w:val="24"/>
        </w:rPr>
        <w:t xml:space="preserve">join the Dhaka Stock Market shift their office </w:t>
      </w:r>
      <w:proofErr w:type="spellStart"/>
      <w:r>
        <w:rPr>
          <w:rFonts w:ascii="Times New Roman" w:hAnsi="Times New Roman" w:cs="Times New Roman"/>
          <w:sz w:val="24"/>
          <w:szCs w:val="24"/>
        </w:rPr>
        <w:t>Motijheel</w:t>
      </w:r>
      <w:proofErr w:type="spellEnd"/>
      <w:r>
        <w:rPr>
          <w:rFonts w:ascii="Times New Roman" w:hAnsi="Times New Roman" w:cs="Times New Roman"/>
          <w:sz w:val="24"/>
          <w:szCs w:val="24"/>
        </w:rPr>
        <w:t xml:space="preserve"> to </w:t>
      </w:r>
      <w:proofErr w:type="spellStart"/>
      <w:r>
        <w:rPr>
          <w:rFonts w:ascii="Times New Roman" w:hAnsi="Times New Roman" w:cs="Times New Roman"/>
          <w:sz w:val="24"/>
          <w:szCs w:val="24"/>
        </w:rPr>
        <w:t>Nikunja</w:t>
      </w:r>
      <w:proofErr w:type="spellEnd"/>
      <w:r w:rsidRPr="0008403D">
        <w:rPr>
          <w:rFonts w:ascii="Times New Roman" w:hAnsi="Times New Roman" w:cs="Times New Roman"/>
          <w:sz w:val="24"/>
          <w:szCs w:val="24"/>
        </w:rPr>
        <w:t>. The span of my entry-level position was from 1</w:t>
      </w:r>
      <w:r w:rsidRPr="00701EA3">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Pr="0008403D">
        <w:rPr>
          <w:rFonts w:ascii="Times New Roman" w:hAnsi="Times New Roman" w:cs="Times New Roman"/>
          <w:sz w:val="24"/>
          <w:szCs w:val="24"/>
        </w:rPr>
        <w:t>October</w:t>
      </w:r>
      <w:r>
        <w:rPr>
          <w:rFonts w:ascii="Times New Roman" w:hAnsi="Times New Roman" w:cs="Times New Roman"/>
          <w:sz w:val="24"/>
          <w:szCs w:val="24"/>
        </w:rPr>
        <w:t xml:space="preserve"> 2019</w:t>
      </w:r>
      <w:r w:rsidRPr="0008403D">
        <w:rPr>
          <w:rFonts w:ascii="Times New Roman" w:hAnsi="Times New Roman" w:cs="Times New Roman"/>
          <w:sz w:val="24"/>
          <w:szCs w:val="24"/>
        </w:rPr>
        <w:t xml:space="preserve"> to </w:t>
      </w:r>
      <w:r>
        <w:rPr>
          <w:rFonts w:ascii="Times New Roman" w:hAnsi="Times New Roman" w:cs="Times New Roman"/>
          <w:sz w:val="24"/>
          <w:szCs w:val="24"/>
        </w:rPr>
        <w:t>28</w:t>
      </w:r>
      <w:r w:rsidRPr="00701EA3">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2020</w:t>
      </w:r>
      <w:r w:rsidRPr="0008403D">
        <w:rPr>
          <w:rFonts w:ascii="Times New Roman" w:hAnsi="Times New Roman" w:cs="Times New Roman"/>
          <w:sz w:val="24"/>
          <w:szCs w:val="24"/>
        </w:rPr>
        <w:t xml:space="preserve">. </w:t>
      </w:r>
      <w:r>
        <w:rPr>
          <w:rFonts w:ascii="Times New Roman" w:hAnsi="Times New Roman" w:cs="Times New Roman"/>
          <w:sz w:val="24"/>
          <w:szCs w:val="24"/>
        </w:rPr>
        <w:t xml:space="preserve">I am the primary assets management person for the department. All the colleagues and my superior are very much supportive. </w:t>
      </w:r>
    </w:p>
    <w:p w:rsidR="00BC0BB8" w:rsidRPr="00BC0BB8" w:rsidRDefault="00BC0BB8" w:rsidP="00BC0BB8">
      <w:pPr>
        <w:pStyle w:val="Heading2"/>
      </w:pPr>
      <w:bookmarkStart w:id="316" w:name="_Toc36981462"/>
      <w:bookmarkStart w:id="317" w:name="_Toc62037746"/>
      <w:r w:rsidRPr="00BC0BB8">
        <w:t>Position, duties, and responsibilities:</w:t>
      </w:r>
      <w:bookmarkEnd w:id="316"/>
      <w:bookmarkEnd w:id="317"/>
    </w:p>
    <w:p w:rsidR="00BC0BB8" w:rsidRPr="00CF5D69" w:rsidRDefault="00BC0BB8" w:rsidP="00BC0BB8"/>
    <w:p w:rsidR="00BC0BB8" w:rsidRPr="0008403D" w:rsidRDefault="00BC0BB8" w:rsidP="00BC0BB8">
      <w:pPr>
        <w:spacing w:line="360" w:lineRule="auto"/>
        <w:jc w:val="both"/>
        <w:rPr>
          <w:rFonts w:ascii="Times New Roman" w:hAnsi="Times New Roman" w:cs="Times New Roman"/>
          <w:sz w:val="24"/>
          <w:szCs w:val="24"/>
        </w:rPr>
      </w:pPr>
      <w:r>
        <w:rPr>
          <w:rFonts w:ascii="Times New Roman" w:hAnsi="Times New Roman" w:cs="Times New Roman"/>
          <w:sz w:val="24"/>
          <w:szCs w:val="24"/>
        </w:rPr>
        <w:t>I join as keeping assets management information in Dhaka Stock Limited under Common service Department. My key responsibility is book keeping of assets. After sell all the old and worthless assets keep updating the asset book for further process.</w:t>
      </w:r>
    </w:p>
    <w:p w:rsidR="00BC0BB8" w:rsidRPr="00BC0BB8" w:rsidRDefault="00BC0BB8" w:rsidP="00BC0BB8">
      <w:pPr>
        <w:pStyle w:val="Heading2"/>
      </w:pPr>
      <w:bookmarkStart w:id="318" w:name="_Toc36981463"/>
      <w:bookmarkStart w:id="319" w:name="_Toc62037747"/>
      <w:r w:rsidRPr="00BC0BB8">
        <w:t>Training:</w:t>
      </w:r>
      <w:bookmarkEnd w:id="318"/>
      <w:bookmarkEnd w:id="319"/>
    </w:p>
    <w:p w:rsidR="00BC0BB8" w:rsidRPr="00CF5D69" w:rsidRDefault="00BC0BB8" w:rsidP="00BC0BB8"/>
    <w:p w:rsidR="00BC0BB8" w:rsidRPr="0008403D" w:rsidRDefault="00BC0BB8" w:rsidP="00BC0BB8">
      <w:pPr>
        <w:spacing w:line="360" w:lineRule="auto"/>
        <w:jc w:val="both"/>
        <w:rPr>
          <w:rFonts w:ascii="Times New Roman" w:hAnsi="Times New Roman" w:cs="Times New Roman"/>
          <w:sz w:val="24"/>
          <w:szCs w:val="24"/>
        </w:rPr>
      </w:pPr>
      <w:r w:rsidRPr="0008403D">
        <w:rPr>
          <w:rFonts w:ascii="Times New Roman" w:hAnsi="Times New Roman" w:cs="Times New Roman"/>
          <w:sz w:val="24"/>
          <w:szCs w:val="24"/>
        </w:rPr>
        <w:t xml:space="preserve">I got some training on how the </w:t>
      </w:r>
      <w:r>
        <w:rPr>
          <w:rFonts w:ascii="Times New Roman" w:hAnsi="Times New Roman" w:cs="Times New Roman"/>
          <w:sz w:val="24"/>
          <w:szCs w:val="24"/>
        </w:rPr>
        <w:t>new purchased assets entry in assets management software, also how to eliminate worthless and selling assets from the assets management software.</w:t>
      </w:r>
    </w:p>
    <w:p w:rsidR="00BC0BB8" w:rsidRPr="00BC0BB8" w:rsidRDefault="00BC0BB8" w:rsidP="00BC0BB8">
      <w:pPr>
        <w:pStyle w:val="Heading2"/>
      </w:pPr>
      <w:bookmarkStart w:id="320" w:name="_Toc36981464"/>
      <w:bookmarkStart w:id="321" w:name="_Toc62037748"/>
      <w:r w:rsidRPr="00BC0BB8">
        <w:t>Contribution to departmental functions:</w:t>
      </w:r>
      <w:bookmarkEnd w:id="320"/>
      <w:bookmarkEnd w:id="321"/>
    </w:p>
    <w:p w:rsidR="00BC0BB8" w:rsidRPr="00CF5D69" w:rsidRDefault="00BC0BB8" w:rsidP="00BC0BB8"/>
    <w:p w:rsidR="00BC0BB8" w:rsidRPr="00F5522B" w:rsidRDefault="00BC0BB8" w:rsidP="00BC0BB8">
      <w:pPr>
        <w:spacing w:line="360" w:lineRule="auto"/>
        <w:jc w:val="both"/>
        <w:rPr>
          <w:rFonts w:ascii="Times New Roman" w:hAnsi="Times New Roman" w:cs="Times New Roman"/>
          <w:sz w:val="24"/>
          <w:szCs w:val="24"/>
        </w:rPr>
      </w:pPr>
      <w:r w:rsidRPr="0008403D">
        <w:rPr>
          <w:rFonts w:ascii="Times New Roman" w:hAnsi="Times New Roman" w:cs="Times New Roman"/>
          <w:sz w:val="24"/>
          <w:szCs w:val="24"/>
        </w:rPr>
        <w:t xml:space="preserve">I got some training through my work on my internship and I contribute my knowledge that knowledge I achieved from my University. My honorable teachers teach me so many things that help me a lot through the Internship. Because of the awareness of faculty members of United International University, I can able to know many rules and regulations about corporate before I going on corporate. For all of this, I can able to contribute a lot to the department of </w:t>
      </w:r>
      <w:r>
        <w:rPr>
          <w:rFonts w:ascii="Times New Roman" w:hAnsi="Times New Roman" w:cs="Times New Roman"/>
          <w:sz w:val="24"/>
          <w:szCs w:val="24"/>
        </w:rPr>
        <w:t>common service department in Dhaka Stock Exchange Limited</w:t>
      </w:r>
      <w:r w:rsidRPr="0008403D">
        <w:rPr>
          <w:rFonts w:ascii="Times New Roman" w:hAnsi="Times New Roman" w:cs="Times New Roman"/>
          <w:sz w:val="24"/>
          <w:szCs w:val="24"/>
        </w:rPr>
        <w:t>.</w:t>
      </w:r>
      <w:r w:rsidRPr="00F5522B">
        <w:rPr>
          <w:rFonts w:ascii="Times New Roman" w:hAnsi="Times New Roman" w:cs="Times New Roman"/>
          <w:sz w:val="24"/>
          <w:szCs w:val="24"/>
        </w:rPr>
        <w:t xml:space="preserve">  </w:t>
      </w:r>
    </w:p>
    <w:p w:rsidR="00BC0BB8" w:rsidRPr="00BC0BB8" w:rsidRDefault="00BC0BB8" w:rsidP="00BC0BB8">
      <w:pPr>
        <w:pStyle w:val="Heading2"/>
      </w:pPr>
      <w:bookmarkStart w:id="322" w:name="_Toc36981465"/>
      <w:bookmarkStart w:id="323" w:name="_Toc62037749"/>
      <w:r w:rsidRPr="00BC0BB8">
        <w:t>Evaluation:</w:t>
      </w:r>
      <w:bookmarkEnd w:id="322"/>
      <w:bookmarkEnd w:id="323"/>
    </w:p>
    <w:p w:rsidR="00BC0BB8" w:rsidRPr="00CF5D69" w:rsidRDefault="00BC0BB8" w:rsidP="00BC0BB8"/>
    <w:p w:rsidR="00BC0BB8" w:rsidRPr="004751F1" w:rsidRDefault="00BC0BB8" w:rsidP="00BC0BB8">
      <w:pPr>
        <w:spacing w:line="360" w:lineRule="auto"/>
        <w:jc w:val="both"/>
        <w:rPr>
          <w:rFonts w:ascii="Times New Roman" w:hAnsi="Times New Roman" w:cs="Times New Roman"/>
          <w:sz w:val="24"/>
          <w:szCs w:val="24"/>
        </w:rPr>
      </w:pPr>
      <w:r w:rsidRPr="0008403D">
        <w:rPr>
          <w:rFonts w:ascii="Times New Roman" w:hAnsi="Times New Roman" w:cs="Times New Roman"/>
          <w:sz w:val="24"/>
          <w:szCs w:val="24"/>
        </w:rPr>
        <w:t xml:space="preserve">After completing my </w:t>
      </w:r>
      <w:r>
        <w:rPr>
          <w:rFonts w:ascii="Times New Roman" w:hAnsi="Times New Roman" w:cs="Times New Roman"/>
          <w:sz w:val="24"/>
          <w:szCs w:val="24"/>
        </w:rPr>
        <w:t>six</w:t>
      </w:r>
      <w:r w:rsidRPr="0008403D">
        <w:rPr>
          <w:rFonts w:ascii="Times New Roman" w:hAnsi="Times New Roman" w:cs="Times New Roman"/>
          <w:sz w:val="24"/>
          <w:szCs w:val="24"/>
        </w:rPr>
        <w:t xml:space="preserve"> months Internship program I got so many new experiences about a corporate. Now I know how corporate people work. Though there is so much pressure all people of the corporate are happily working with the team. After completing my internship I think my patience level is increased.</w:t>
      </w:r>
      <w:r w:rsidRPr="004751F1">
        <w:rPr>
          <w:rFonts w:ascii="Times New Roman" w:hAnsi="Times New Roman" w:cs="Times New Roman"/>
          <w:sz w:val="24"/>
          <w:szCs w:val="24"/>
        </w:rPr>
        <w:t xml:space="preserve">  </w:t>
      </w:r>
    </w:p>
    <w:p w:rsidR="00BC0BB8" w:rsidRPr="00BC0BB8" w:rsidRDefault="00BC0BB8" w:rsidP="00BC0BB8">
      <w:pPr>
        <w:pStyle w:val="Heading2"/>
      </w:pPr>
      <w:bookmarkStart w:id="324" w:name="_Toc36981466"/>
      <w:bookmarkStart w:id="325" w:name="_Toc62037750"/>
      <w:r w:rsidRPr="00BC0BB8">
        <w:lastRenderedPageBreak/>
        <w:t>Skills applied:</w:t>
      </w:r>
      <w:bookmarkEnd w:id="324"/>
      <w:bookmarkEnd w:id="325"/>
    </w:p>
    <w:p w:rsidR="00BC0BB8" w:rsidRPr="00CF5D69" w:rsidRDefault="00BC0BB8" w:rsidP="00BC0BB8"/>
    <w:p w:rsidR="00BC0BB8" w:rsidRPr="004751F1" w:rsidRDefault="00BC0BB8" w:rsidP="00BC0BB8">
      <w:pPr>
        <w:spacing w:line="360" w:lineRule="auto"/>
        <w:jc w:val="both"/>
        <w:rPr>
          <w:rFonts w:ascii="Times New Roman" w:hAnsi="Times New Roman" w:cs="Times New Roman"/>
          <w:sz w:val="24"/>
          <w:szCs w:val="24"/>
        </w:rPr>
      </w:pPr>
      <w:r w:rsidRPr="0008403D">
        <w:rPr>
          <w:rFonts w:ascii="Times New Roman" w:hAnsi="Times New Roman" w:cs="Times New Roman"/>
          <w:sz w:val="24"/>
          <w:szCs w:val="24"/>
        </w:rPr>
        <w:t xml:space="preserve">I learn so many skills through my study life and I applied my achieved skills in my internship program on Dhaka </w:t>
      </w:r>
      <w:r>
        <w:rPr>
          <w:rFonts w:ascii="Times New Roman" w:hAnsi="Times New Roman" w:cs="Times New Roman"/>
          <w:sz w:val="24"/>
          <w:szCs w:val="24"/>
        </w:rPr>
        <w:t>Stock Exchange Limited</w:t>
      </w:r>
      <w:r w:rsidRPr="0008403D">
        <w:rPr>
          <w:rFonts w:ascii="Times New Roman" w:hAnsi="Times New Roman" w:cs="Times New Roman"/>
          <w:sz w:val="24"/>
          <w:szCs w:val="24"/>
        </w:rPr>
        <w:t>.</w:t>
      </w:r>
    </w:p>
    <w:p w:rsidR="00BC0BB8" w:rsidRPr="00BC0BB8" w:rsidRDefault="00BC0BB8" w:rsidP="00BC0BB8">
      <w:pPr>
        <w:pStyle w:val="Heading2"/>
      </w:pPr>
      <w:bookmarkStart w:id="326" w:name="_Toc36981467"/>
      <w:bookmarkStart w:id="327" w:name="_Toc62037751"/>
      <w:r w:rsidRPr="00BC0BB8">
        <w:t>New skills developed:</w:t>
      </w:r>
      <w:bookmarkEnd w:id="326"/>
      <w:bookmarkEnd w:id="327"/>
    </w:p>
    <w:p w:rsidR="00BC0BB8" w:rsidRPr="00CF5D69" w:rsidRDefault="00BC0BB8" w:rsidP="00BC0BB8"/>
    <w:p w:rsidR="00BC0BB8" w:rsidRPr="004751F1" w:rsidRDefault="00BC0BB8" w:rsidP="00BC0BB8">
      <w:pPr>
        <w:spacing w:line="360" w:lineRule="auto"/>
        <w:jc w:val="both"/>
        <w:rPr>
          <w:rFonts w:ascii="Times New Roman" w:hAnsi="Times New Roman" w:cs="Times New Roman"/>
          <w:sz w:val="24"/>
          <w:szCs w:val="24"/>
        </w:rPr>
      </w:pPr>
      <w:r>
        <w:rPr>
          <w:rFonts w:ascii="Times New Roman" w:hAnsi="Times New Roman" w:cs="Times New Roman"/>
          <w:sz w:val="24"/>
          <w:szCs w:val="24"/>
        </w:rPr>
        <w:t>Six</w:t>
      </w:r>
      <w:r w:rsidRPr="0008403D">
        <w:rPr>
          <w:rFonts w:ascii="Times New Roman" w:hAnsi="Times New Roman" w:cs="Times New Roman"/>
          <w:sz w:val="24"/>
          <w:szCs w:val="24"/>
        </w:rPr>
        <w:t xml:space="preserve"> months of the internship program on Dhaka </w:t>
      </w:r>
      <w:r>
        <w:rPr>
          <w:rFonts w:ascii="Times New Roman" w:hAnsi="Times New Roman" w:cs="Times New Roman"/>
          <w:sz w:val="24"/>
          <w:szCs w:val="24"/>
        </w:rPr>
        <w:t>Stock Exchange Limited</w:t>
      </w:r>
      <w:r w:rsidRPr="0008403D">
        <w:rPr>
          <w:rFonts w:ascii="Times New Roman" w:hAnsi="Times New Roman" w:cs="Times New Roman"/>
          <w:sz w:val="24"/>
          <w:szCs w:val="24"/>
        </w:rPr>
        <w:t xml:space="preserve"> </w:t>
      </w:r>
      <w:r>
        <w:rPr>
          <w:rFonts w:ascii="Times New Roman" w:hAnsi="Times New Roman" w:cs="Times New Roman"/>
          <w:sz w:val="24"/>
          <w:szCs w:val="24"/>
        </w:rPr>
        <w:t xml:space="preserve">I </w:t>
      </w:r>
      <w:r w:rsidRPr="0008403D">
        <w:rPr>
          <w:rFonts w:ascii="Times New Roman" w:hAnsi="Times New Roman" w:cs="Times New Roman"/>
          <w:sz w:val="24"/>
          <w:szCs w:val="24"/>
        </w:rPr>
        <w:t xml:space="preserve">developed </w:t>
      </w:r>
      <w:r>
        <w:rPr>
          <w:rFonts w:ascii="Times New Roman" w:hAnsi="Times New Roman" w:cs="Times New Roman"/>
          <w:sz w:val="24"/>
          <w:szCs w:val="24"/>
        </w:rPr>
        <w:t>some</w:t>
      </w:r>
      <w:r w:rsidRPr="0008403D">
        <w:rPr>
          <w:rFonts w:ascii="Times New Roman" w:hAnsi="Times New Roman" w:cs="Times New Roman"/>
          <w:sz w:val="24"/>
          <w:szCs w:val="24"/>
        </w:rPr>
        <w:t xml:space="preserve"> new skills. Now I know very well how the corporate culture, How to be present in a corporate, how to work with a team, how managers manage the works. I got those new skills practically. </w:t>
      </w:r>
    </w:p>
    <w:p w:rsidR="00BC0BB8" w:rsidRPr="00BC0BB8" w:rsidRDefault="00BC0BB8" w:rsidP="00BC0BB8">
      <w:pPr>
        <w:pStyle w:val="Heading2"/>
      </w:pPr>
      <w:bookmarkStart w:id="328" w:name="_Toc36981468"/>
      <w:bookmarkStart w:id="329" w:name="_Toc62037752"/>
      <w:r w:rsidRPr="00BC0BB8">
        <w:t>Application of academic knowledge:</w:t>
      </w:r>
      <w:bookmarkEnd w:id="328"/>
      <w:bookmarkEnd w:id="329"/>
    </w:p>
    <w:p w:rsidR="00BC0BB8" w:rsidRPr="00CF5D69" w:rsidRDefault="00BC0BB8" w:rsidP="00BC0BB8"/>
    <w:p w:rsidR="00BC0BB8" w:rsidRPr="0008403D" w:rsidRDefault="00BC0BB8" w:rsidP="00BC0BB8">
      <w:pPr>
        <w:spacing w:line="360" w:lineRule="auto"/>
        <w:jc w:val="both"/>
        <w:rPr>
          <w:rFonts w:ascii="Times New Roman" w:hAnsi="Times New Roman" w:cs="Times New Roman"/>
          <w:sz w:val="24"/>
          <w:szCs w:val="24"/>
        </w:rPr>
      </w:pPr>
      <w:r w:rsidRPr="0008403D">
        <w:rPr>
          <w:rFonts w:ascii="Times New Roman" w:hAnsi="Times New Roman" w:cs="Times New Roman"/>
          <w:sz w:val="24"/>
          <w:szCs w:val="24"/>
        </w:rPr>
        <w:t xml:space="preserve">I contribute my knowledge to Dhaka </w:t>
      </w:r>
      <w:r>
        <w:rPr>
          <w:rFonts w:ascii="Times New Roman" w:hAnsi="Times New Roman" w:cs="Times New Roman"/>
          <w:sz w:val="24"/>
          <w:szCs w:val="24"/>
        </w:rPr>
        <w:t>Stock Exchange Limited</w:t>
      </w:r>
      <w:r w:rsidRPr="0008403D">
        <w:rPr>
          <w:rFonts w:ascii="Times New Roman" w:hAnsi="Times New Roman" w:cs="Times New Roman"/>
          <w:sz w:val="24"/>
          <w:szCs w:val="24"/>
        </w:rPr>
        <w:t xml:space="preserve"> </w:t>
      </w:r>
      <w:r w:rsidR="00833A2F">
        <w:rPr>
          <w:rFonts w:ascii="Times New Roman" w:hAnsi="Times New Roman" w:cs="Times New Roman"/>
          <w:sz w:val="24"/>
          <w:szCs w:val="24"/>
        </w:rPr>
        <w:t>w</w:t>
      </w:r>
      <w:r w:rsidR="00833A2F" w:rsidRPr="0008403D">
        <w:rPr>
          <w:rFonts w:ascii="Times New Roman" w:hAnsi="Times New Roman" w:cs="Times New Roman"/>
          <w:sz w:val="24"/>
          <w:szCs w:val="24"/>
        </w:rPr>
        <w:t>hich</w:t>
      </w:r>
      <w:r w:rsidRPr="0008403D">
        <w:rPr>
          <w:rFonts w:ascii="Times New Roman" w:hAnsi="Times New Roman" w:cs="Times New Roman"/>
          <w:sz w:val="24"/>
          <w:szCs w:val="24"/>
        </w:rPr>
        <w:t xml:space="preserve"> knowledge I achieved from my University. My honorable teachers teach me so many things that help me a lot through the Internship. Because of the awareness of faculty members of United International University, I can able to know many rules and regulations about corporate before I going on corporate. For all of this, I can able to contribute a lot to </w:t>
      </w:r>
      <w:r>
        <w:rPr>
          <w:rFonts w:ascii="Times New Roman" w:hAnsi="Times New Roman" w:cs="Times New Roman"/>
          <w:sz w:val="24"/>
          <w:szCs w:val="24"/>
        </w:rPr>
        <w:t>Common service department on Dhaka Stock Exchange Limited</w:t>
      </w:r>
      <w:r w:rsidRPr="0008403D">
        <w:rPr>
          <w:rFonts w:ascii="Times New Roman" w:hAnsi="Times New Roman" w:cs="Times New Roman"/>
          <w:sz w:val="24"/>
          <w:szCs w:val="24"/>
        </w:rPr>
        <w:t>.</w:t>
      </w:r>
    </w:p>
    <w:p w:rsidR="00AC7EC4" w:rsidRDefault="00AC7EC4" w:rsidP="00A37C50">
      <w:r>
        <w:br w:type="page"/>
      </w:r>
    </w:p>
    <w:p w:rsidR="007505E1" w:rsidRDefault="007505E1" w:rsidP="00AC7EC4">
      <w:pPr>
        <w:pStyle w:val="Heading1"/>
        <w:sectPr w:rsidR="007505E1" w:rsidSect="007505E1">
          <w:headerReference w:type="default" r:id="rId151"/>
          <w:pgSz w:w="11909" w:h="16834" w:code="9"/>
          <w:pgMar w:top="1440" w:right="1440" w:bottom="1440" w:left="1440" w:header="720" w:footer="720" w:gutter="0"/>
          <w:pgNumType w:start="1"/>
          <w:cols w:space="720"/>
          <w:docGrid w:linePitch="360"/>
        </w:sectPr>
      </w:pPr>
    </w:p>
    <w:bookmarkStart w:id="330" w:name="_Toc62037753" w:displacedByCustomXml="next"/>
    <w:sdt>
      <w:sdtPr>
        <w:rPr>
          <w:rFonts w:asciiTheme="minorHAnsi" w:eastAsiaTheme="minorHAnsi" w:hAnsiTheme="minorHAnsi" w:cstheme="minorBidi"/>
          <w:b w:val="0"/>
          <w:bCs w:val="0"/>
          <w:color w:val="auto"/>
          <w:sz w:val="22"/>
          <w:szCs w:val="22"/>
        </w:rPr>
        <w:id w:val="335342390"/>
        <w:docPartObj>
          <w:docPartGallery w:val="Bibliographies"/>
          <w:docPartUnique/>
        </w:docPartObj>
      </w:sdtPr>
      <w:sdtEndPr/>
      <w:sdtContent>
        <w:p w:rsidR="00431E73" w:rsidRDefault="00431E73">
          <w:pPr>
            <w:pStyle w:val="Heading1"/>
          </w:pPr>
          <w:r>
            <w:t>References</w:t>
          </w:r>
          <w:bookmarkEnd w:id="330"/>
        </w:p>
        <w:p w:rsidR="00431E73" w:rsidRPr="00431E73" w:rsidRDefault="00431E73" w:rsidP="00431E73"/>
        <w:sdt>
          <w:sdtPr>
            <w:id w:val="111145805"/>
            <w:bibliography/>
          </w:sdtPr>
          <w:sdtEndPr/>
          <w:sdtContent>
            <w:p w:rsidR="00FA7B26" w:rsidRPr="00FA7B26" w:rsidRDefault="00431E73" w:rsidP="00FA7B26">
              <w:pPr>
                <w:pStyle w:val="Bibliography"/>
                <w:spacing w:line="360" w:lineRule="auto"/>
                <w:ind w:left="720" w:hanging="720"/>
                <w:rPr>
                  <w:rFonts w:ascii="Times New Roman" w:hAnsi="Times New Roman" w:cs="Times New Roman"/>
                  <w:noProof/>
                  <w:sz w:val="24"/>
                  <w:szCs w:val="24"/>
                </w:rPr>
              </w:pPr>
              <w:r w:rsidRPr="00FA7B26">
                <w:rPr>
                  <w:rFonts w:ascii="Times New Roman" w:hAnsi="Times New Roman" w:cs="Times New Roman"/>
                  <w:sz w:val="24"/>
                  <w:szCs w:val="24"/>
                </w:rPr>
                <w:fldChar w:fldCharType="begin"/>
              </w:r>
              <w:r w:rsidRPr="00FA7B26">
                <w:rPr>
                  <w:rFonts w:ascii="Times New Roman" w:hAnsi="Times New Roman" w:cs="Times New Roman"/>
                  <w:sz w:val="24"/>
                  <w:szCs w:val="24"/>
                </w:rPr>
                <w:instrText xml:space="preserve"> BIBLIOGRAPHY </w:instrText>
              </w:r>
              <w:r w:rsidRPr="00FA7B26">
                <w:rPr>
                  <w:rFonts w:ascii="Times New Roman" w:hAnsi="Times New Roman" w:cs="Times New Roman"/>
                  <w:sz w:val="24"/>
                  <w:szCs w:val="24"/>
                </w:rPr>
                <w:fldChar w:fldCharType="separate"/>
              </w:r>
              <w:r w:rsidR="00FA7B26" w:rsidRPr="00FA7B26">
                <w:rPr>
                  <w:rFonts w:ascii="Times New Roman" w:hAnsi="Times New Roman" w:cs="Times New Roman"/>
                  <w:i/>
                  <w:iCs/>
                  <w:noProof/>
                  <w:sz w:val="24"/>
                  <w:szCs w:val="24"/>
                </w:rPr>
                <w:t>Dhaka Stock Exchange</w:t>
              </w:r>
              <w:r w:rsidR="00FA7B26" w:rsidRPr="00FA7B26">
                <w:rPr>
                  <w:rFonts w:ascii="Times New Roman" w:hAnsi="Times New Roman" w:cs="Times New Roman"/>
                  <w:noProof/>
                  <w:sz w:val="24"/>
                  <w:szCs w:val="24"/>
                </w:rPr>
                <w:t>. (n.d.). Retrieved November 2020, from Dhaka Stock Exchange: https://www.dsebd.org/</w:t>
              </w:r>
            </w:p>
            <w:p w:rsidR="00FA7B26" w:rsidRPr="00FA7B26" w:rsidRDefault="00FA7B26" w:rsidP="00FA7B26">
              <w:pPr>
                <w:pStyle w:val="Bibliography"/>
                <w:spacing w:line="360" w:lineRule="auto"/>
                <w:ind w:left="720" w:hanging="720"/>
                <w:rPr>
                  <w:rFonts w:ascii="Times New Roman" w:hAnsi="Times New Roman" w:cs="Times New Roman"/>
                  <w:noProof/>
                  <w:sz w:val="24"/>
                  <w:szCs w:val="24"/>
                </w:rPr>
              </w:pPr>
              <w:r w:rsidRPr="00FA7B26">
                <w:rPr>
                  <w:rFonts w:ascii="Times New Roman" w:hAnsi="Times New Roman" w:cs="Times New Roman"/>
                  <w:noProof/>
                  <w:sz w:val="24"/>
                  <w:szCs w:val="24"/>
                </w:rPr>
                <w:t xml:space="preserve">Houston, B. (2017-2018). </w:t>
              </w:r>
              <w:r w:rsidRPr="00FA7B26">
                <w:rPr>
                  <w:rFonts w:ascii="Times New Roman" w:hAnsi="Times New Roman" w:cs="Times New Roman"/>
                  <w:i/>
                  <w:iCs/>
                  <w:noProof/>
                  <w:sz w:val="24"/>
                  <w:szCs w:val="24"/>
                </w:rPr>
                <w:t>fundamental of Financial Management.</w:t>
              </w:r>
              <w:r w:rsidRPr="00FA7B26">
                <w:rPr>
                  <w:rFonts w:ascii="Times New Roman" w:hAnsi="Times New Roman" w:cs="Times New Roman"/>
                  <w:noProof/>
                  <w:sz w:val="24"/>
                  <w:szCs w:val="24"/>
                </w:rPr>
                <w:t xml:space="preserve"> Cengage Learning.</w:t>
              </w:r>
            </w:p>
            <w:p w:rsidR="00FA7B26" w:rsidRPr="00FA7B26" w:rsidRDefault="00FA7B26" w:rsidP="00FA7B26">
              <w:pPr>
                <w:pStyle w:val="Bibliography"/>
                <w:spacing w:line="360" w:lineRule="auto"/>
                <w:ind w:left="720" w:hanging="720"/>
                <w:rPr>
                  <w:rFonts w:ascii="Times New Roman" w:hAnsi="Times New Roman" w:cs="Times New Roman"/>
                  <w:noProof/>
                  <w:sz w:val="24"/>
                  <w:szCs w:val="24"/>
                </w:rPr>
              </w:pPr>
              <w:r w:rsidRPr="00FA7B26">
                <w:rPr>
                  <w:rFonts w:ascii="Times New Roman" w:hAnsi="Times New Roman" w:cs="Times New Roman"/>
                  <w:i/>
                  <w:iCs/>
                  <w:noProof/>
                  <w:sz w:val="24"/>
                  <w:szCs w:val="24"/>
                </w:rPr>
                <w:t>Investing.com Stock Market Quotes &amp; Financial News</w:t>
              </w:r>
              <w:r w:rsidRPr="00FA7B26">
                <w:rPr>
                  <w:rFonts w:ascii="Times New Roman" w:hAnsi="Times New Roman" w:cs="Times New Roman"/>
                  <w:noProof/>
                  <w:sz w:val="24"/>
                  <w:szCs w:val="24"/>
                </w:rPr>
                <w:t>. (2007, August). Retrieved November 2020, from Investing.com: https://www.investing.com/</w:t>
              </w:r>
            </w:p>
            <w:p w:rsidR="00FA7B26" w:rsidRPr="00FA7B26" w:rsidRDefault="00FA7B26" w:rsidP="00FA7B26">
              <w:pPr>
                <w:pStyle w:val="Bibliography"/>
                <w:spacing w:line="360" w:lineRule="auto"/>
                <w:ind w:left="720" w:hanging="720"/>
                <w:rPr>
                  <w:rFonts w:ascii="Times New Roman" w:hAnsi="Times New Roman" w:cs="Times New Roman"/>
                  <w:noProof/>
                  <w:sz w:val="24"/>
                  <w:szCs w:val="24"/>
                </w:rPr>
              </w:pPr>
              <w:r w:rsidRPr="00FA7B26">
                <w:rPr>
                  <w:rFonts w:ascii="Times New Roman" w:hAnsi="Times New Roman" w:cs="Times New Roman"/>
                  <w:i/>
                  <w:iCs/>
                  <w:noProof/>
                  <w:sz w:val="24"/>
                  <w:szCs w:val="24"/>
                </w:rPr>
                <w:t>Investopedia</w:t>
              </w:r>
              <w:r w:rsidRPr="00FA7B26">
                <w:rPr>
                  <w:rFonts w:ascii="Times New Roman" w:hAnsi="Times New Roman" w:cs="Times New Roman"/>
                  <w:noProof/>
                  <w:sz w:val="24"/>
                  <w:szCs w:val="24"/>
                </w:rPr>
                <w:t>. (1999). Retrieved December 2, 2020, from investopedia: https://www.investopedia.com/</w:t>
              </w:r>
            </w:p>
            <w:p w:rsidR="00FA7B26" w:rsidRPr="00FA7B26" w:rsidRDefault="00FA7B26" w:rsidP="00FA7B26">
              <w:pPr>
                <w:pStyle w:val="Bibliography"/>
                <w:spacing w:line="360" w:lineRule="auto"/>
                <w:ind w:left="720" w:hanging="720"/>
                <w:rPr>
                  <w:rFonts w:ascii="Times New Roman" w:hAnsi="Times New Roman" w:cs="Times New Roman"/>
                  <w:noProof/>
                  <w:sz w:val="24"/>
                  <w:szCs w:val="24"/>
                </w:rPr>
              </w:pPr>
              <w:r w:rsidRPr="00FA7B26">
                <w:rPr>
                  <w:rFonts w:ascii="Times New Roman" w:hAnsi="Times New Roman" w:cs="Times New Roman"/>
                  <w:noProof/>
                  <w:sz w:val="24"/>
                  <w:szCs w:val="24"/>
                </w:rPr>
                <w:t xml:space="preserve">Marcus, B. K. (2018-2019). </w:t>
              </w:r>
              <w:r w:rsidRPr="00FA7B26">
                <w:rPr>
                  <w:rFonts w:ascii="Times New Roman" w:hAnsi="Times New Roman" w:cs="Times New Roman"/>
                  <w:i/>
                  <w:iCs/>
                  <w:noProof/>
                  <w:sz w:val="24"/>
                  <w:szCs w:val="24"/>
                </w:rPr>
                <w:t>Investments.</w:t>
              </w:r>
              <w:r w:rsidRPr="00FA7B26">
                <w:rPr>
                  <w:rFonts w:ascii="Times New Roman" w:hAnsi="Times New Roman" w:cs="Times New Roman"/>
                  <w:noProof/>
                  <w:sz w:val="24"/>
                  <w:szCs w:val="24"/>
                </w:rPr>
                <w:t xml:space="preserve"> McGraw Hill.</w:t>
              </w:r>
            </w:p>
            <w:p w:rsidR="00FA7B26" w:rsidRPr="00FA7B26" w:rsidRDefault="00FA7B26" w:rsidP="00FA7B26">
              <w:pPr>
                <w:pStyle w:val="Bibliography"/>
                <w:spacing w:line="360" w:lineRule="auto"/>
                <w:ind w:left="720" w:hanging="720"/>
                <w:rPr>
                  <w:rFonts w:ascii="Times New Roman" w:hAnsi="Times New Roman" w:cs="Times New Roman"/>
                  <w:noProof/>
                  <w:sz w:val="24"/>
                  <w:szCs w:val="24"/>
                </w:rPr>
              </w:pPr>
              <w:r w:rsidRPr="00FA7B26">
                <w:rPr>
                  <w:rFonts w:ascii="Times New Roman" w:hAnsi="Times New Roman" w:cs="Times New Roman"/>
                  <w:noProof/>
                  <w:sz w:val="24"/>
                  <w:szCs w:val="24"/>
                </w:rPr>
                <w:t xml:space="preserve">Penman, S. H. (2017-2018). </w:t>
              </w:r>
              <w:r w:rsidRPr="00FA7B26">
                <w:rPr>
                  <w:rFonts w:ascii="Times New Roman" w:hAnsi="Times New Roman" w:cs="Times New Roman"/>
                  <w:i/>
                  <w:iCs/>
                  <w:noProof/>
                  <w:sz w:val="24"/>
                  <w:szCs w:val="24"/>
                </w:rPr>
                <w:t>Financial Statement Analysis.</w:t>
              </w:r>
              <w:r w:rsidRPr="00FA7B26">
                <w:rPr>
                  <w:rFonts w:ascii="Times New Roman" w:hAnsi="Times New Roman" w:cs="Times New Roman"/>
                  <w:noProof/>
                  <w:sz w:val="24"/>
                  <w:szCs w:val="24"/>
                </w:rPr>
                <w:t xml:space="preserve"> McGraw Hill.</w:t>
              </w:r>
            </w:p>
            <w:p w:rsidR="00FA7B26" w:rsidRPr="00FA7B26" w:rsidRDefault="00FA7B26" w:rsidP="00FA7B26">
              <w:pPr>
                <w:pStyle w:val="Bibliography"/>
                <w:spacing w:line="360" w:lineRule="auto"/>
                <w:ind w:left="720" w:hanging="720"/>
                <w:rPr>
                  <w:rFonts w:ascii="Times New Roman" w:hAnsi="Times New Roman" w:cs="Times New Roman"/>
                  <w:noProof/>
                  <w:sz w:val="24"/>
                  <w:szCs w:val="24"/>
                </w:rPr>
              </w:pPr>
              <w:r w:rsidRPr="00FA7B26">
                <w:rPr>
                  <w:rFonts w:ascii="Times New Roman" w:hAnsi="Times New Roman" w:cs="Times New Roman"/>
                  <w:i/>
                  <w:iCs/>
                  <w:noProof/>
                  <w:sz w:val="24"/>
                  <w:szCs w:val="24"/>
                </w:rPr>
                <w:t>ResearchGate Find and share research</w:t>
              </w:r>
              <w:r w:rsidRPr="00FA7B26">
                <w:rPr>
                  <w:rFonts w:ascii="Times New Roman" w:hAnsi="Times New Roman" w:cs="Times New Roman"/>
                  <w:noProof/>
                  <w:sz w:val="24"/>
                  <w:szCs w:val="24"/>
                </w:rPr>
                <w:t>. (2008). Retrieved November 2020, from ResearchGate: https://www.researchgate.net/</w:t>
              </w:r>
            </w:p>
            <w:p w:rsidR="00431E73" w:rsidRDefault="00431E73" w:rsidP="00FA7B26">
              <w:pPr>
                <w:spacing w:line="360" w:lineRule="auto"/>
              </w:pPr>
              <w:r w:rsidRPr="00FA7B26">
                <w:rPr>
                  <w:rFonts w:ascii="Times New Roman" w:hAnsi="Times New Roman" w:cs="Times New Roman"/>
                  <w:b/>
                  <w:bCs/>
                  <w:noProof/>
                  <w:sz w:val="24"/>
                  <w:szCs w:val="24"/>
                </w:rPr>
                <w:fldChar w:fldCharType="end"/>
              </w:r>
            </w:p>
          </w:sdtContent>
        </w:sdt>
      </w:sdtContent>
    </w:sdt>
    <w:p w:rsidR="00B17049" w:rsidRPr="00BC0BB8" w:rsidRDefault="00B17049" w:rsidP="00BC0BB8"/>
    <w:sectPr w:rsidR="00B17049" w:rsidRPr="00BC0BB8" w:rsidSect="007505E1">
      <w:headerReference w:type="default" r:id="rId152"/>
      <w:pgSz w:w="12240" w:h="15840" w:code="1"/>
      <w:pgMar w:top="1440" w:right="1440" w:bottom="1440" w:left="1440" w:header="720" w:footer="720" w:gutter="0"/>
      <w:pgNumType w:fmt="upperRoman" w:start="1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B41" w:rsidRDefault="00810B41" w:rsidP="001C57FC">
      <w:pPr>
        <w:spacing w:after="0" w:line="240" w:lineRule="auto"/>
      </w:pPr>
      <w:r>
        <w:separator/>
      </w:r>
    </w:p>
  </w:endnote>
  <w:endnote w:type="continuationSeparator" w:id="0">
    <w:p w:rsidR="00810B41" w:rsidRDefault="00810B41" w:rsidP="001C5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228613"/>
      <w:docPartObj>
        <w:docPartGallery w:val="Page Numbers (Bottom of Page)"/>
        <w:docPartUnique/>
      </w:docPartObj>
    </w:sdtPr>
    <w:sdtEndPr>
      <w:rPr>
        <w:noProof/>
      </w:rPr>
    </w:sdtEndPr>
    <w:sdtContent>
      <w:p w:rsidR="009450D7" w:rsidRDefault="009450D7">
        <w:pPr>
          <w:pStyle w:val="Footer"/>
          <w:jc w:val="center"/>
        </w:pPr>
      </w:p>
      <w:p w:rsidR="009450D7" w:rsidRDefault="009450D7">
        <w:pPr>
          <w:pStyle w:val="Footer"/>
          <w:jc w:val="center"/>
        </w:pPr>
        <w:r>
          <w:fldChar w:fldCharType="begin"/>
        </w:r>
        <w:r>
          <w:instrText xml:space="preserve"> PAGE   \* MERGEFORMAT </w:instrText>
        </w:r>
        <w:r>
          <w:fldChar w:fldCharType="separate"/>
        </w:r>
        <w:r w:rsidR="00FF317D">
          <w:rPr>
            <w:noProof/>
          </w:rPr>
          <w:t>V</w:t>
        </w:r>
        <w:r>
          <w:rPr>
            <w:noProof/>
          </w:rPr>
          <w:fldChar w:fldCharType="end"/>
        </w:r>
      </w:p>
    </w:sdtContent>
  </w:sdt>
  <w:p w:rsidR="00ED3D30" w:rsidRDefault="00ED3D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B41" w:rsidRDefault="00810B41" w:rsidP="001C57FC">
      <w:pPr>
        <w:spacing w:after="0" w:line="240" w:lineRule="auto"/>
      </w:pPr>
      <w:r>
        <w:separator/>
      </w:r>
    </w:p>
  </w:footnote>
  <w:footnote w:type="continuationSeparator" w:id="0">
    <w:p w:rsidR="00810B41" w:rsidRDefault="00810B41" w:rsidP="001C5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D30" w:rsidRDefault="00ED3D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D30" w:rsidRDefault="00ED3D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2pt;height:9.2pt" o:bullet="t">
        <v:imagedata r:id="rId1" o:title="BD10301_"/>
      </v:shape>
    </w:pict>
  </w:numPicBullet>
  <w:numPicBullet w:numPicBulletId="1">
    <w:pict>
      <v:shape id="_x0000_i1033" type="#_x0000_t75" style="width:10.9pt;height:10.9pt" o:bullet="t">
        <v:imagedata r:id="rId2" o:title="BD14578_"/>
      </v:shape>
    </w:pict>
  </w:numPicBullet>
  <w:numPicBullet w:numPicBulletId="2">
    <w:pict>
      <v:shape id="_x0000_i1034" type="#_x0000_t75" style="width:9.2pt;height:9.2pt" o:bullet="t">
        <v:imagedata r:id="rId3" o:title="BD14582_"/>
      </v:shape>
    </w:pict>
  </w:numPicBullet>
  <w:abstractNum w:abstractNumId="0">
    <w:nsid w:val="00A15997"/>
    <w:multiLevelType w:val="hybridMultilevel"/>
    <w:tmpl w:val="A1BEA158"/>
    <w:lvl w:ilvl="0" w:tplc="4C886642">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490515"/>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7A6153"/>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B0360A"/>
    <w:multiLevelType w:val="hybridMultilevel"/>
    <w:tmpl w:val="1AB039CE"/>
    <w:lvl w:ilvl="0" w:tplc="4C886642">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860E33"/>
    <w:multiLevelType w:val="hybridMultilevel"/>
    <w:tmpl w:val="CC2C5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17526"/>
    <w:multiLevelType w:val="hybridMultilevel"/>
    <w:tmpl w:val="FDBE2BE0"/>
    <w:lvl w:ilvl="0" w:tplc="D82003B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660787"/>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CF69C9"/>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842660"/>
    <w:multiLevelType w:val="hybridMultilevel"/>
    <w:tmpl w:val="AEE06CE4"/>
    <w:lvl w:ilvl="0" w:tplc="EABCEF20">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04849C7"/>
    <w:multiLevelType w:val="hybridMultilevel"/>
    <w:tmpl w:val="4DA65E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59A780E"/>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B04A60"/>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8644D2"/>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6E2004"/>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3C7A68"/>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1A42C8"/>
    <w:multiLevelType w:val="hybridMultilevel"/>
    <w:tmpl w:val="4BBE079C"/>
    <w:lvl w:ilvl="0" w:tplc="4C886642">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A35C5F"/>
    <w:multiLevelType w:val="hybridMultilevel"/>
    <w:tmpl w:val="C42EB5A8"/>
    <w:lvl w:ilvl="0" w:tplc="EABCEF2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6D6FEE"/>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D874EB"/>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206FCC"/>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AF7C5C"/>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00794E"/>
    <w:multiLevelType w:val="hybridMultilevel"/>
    <w:tmpl w:val="CE20433C"/>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22026FB"/>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B268D8"/>
    <w:multiLevelType w:val="hybridMultilevel"/>
    <w:tmpl w:val="F474CC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8432E7D"/>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9CB515A"/>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AAF7E4B"/>
    <w:multiLevelType w:val="hybridMultilevel"/>
    <w:tmpl w:val="A69C2B88"/>
    <w:lvl w:ilvl="0" w:tplc="EABCEF2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422424"/>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4B347A"/>
    <w:multiLevelType w:val="hybridMultilevel"/>
    <w:tmpl w:val="B98CC106"/>
    <w:lvl w:ilvl="0" w:tplc="EABCEF2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4873997"/>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DA57DA"/>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193692"/>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7A606F"/>
    <w:multiLevelType w:val="hybridMultilevel"/>
    <w:tmpl w:val="827A2606"/>
    <w:lvl w:ilvl="0" w:tplc="4C886642">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13D5A93"/>
    <w:multiLevelType w:val="hybridMultilevel"/>
    <w:tmpl w:val="FCC8271E"/>
    <w:lvl w:ilvl="0" w:tplc="D82003BE">
      <w:start w:val="1"/>
      <w:numFmt w:val="bullet"/>
      <w:lvlText w:val=""/>
      <w:lvlPicBulletId w:val="2"/>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575E0514"/>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8336D6B"/>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6E6CB8"/>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D46E31"/>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3A40BD"/>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B36009"/>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E3393F"/>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8D28A7"/>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2F40A4"/>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8F0F72"/>
    <w:multiLevelType w:val="hybridMultilevel"/>
    <w:tmpl w:val="B6403ACA"/>
    <w:lvl w:ilvl="0" w:tplc="0E3C7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6"/>
  </w:num>
  <w:num w:numId="3">
    <w:abstractNumId w:val="36"/>
  </w:num>
  <w:num w:numId="4">
    <w:abstractNumId w:val="22"/>
  </w:num>
  <w:num w:numId="5">
    <w:abstractNumId w:val="43"/>
  </w:num>
  <w:num w:numId="6">
    <w:abstractNumId w:val="35"/>
  </w:num>
  <w:num w:numId="7">
    <w:abstractNumId w:val="17"/>
  </w:num>
  <w:num w:numId="8">
    <w:abstractNumId w:val="12"/>
  </w:num>
  <w:num w:numId="9">
    <w:abstractNumId w:val="7"/>
  </w:num>
  <w:num w:numId="10">
    <w:abstractNumId w:val="10"/>
  </w:num>
  <w:num w:numId="11">
    <w:abstractNumId w:val="37"/>
  </w:num>
  <w:num w:numId="12">
    <w:abstractNumId w:val="38"/>
  </w:num>
  <w:num w:numId="13">
    <w:abstractNumId w:val="2"/>
  </w:num>
  <w:num w:numId="14">
    <w:abstractNumId w:val="41"/>
  </w:num>
  <w:num w:numId="15">
    <w:abstractNumId w:val="18"/>
  </w:num>
  <w:num w:numId="16">
    <w:abstractNumId w:val="13"/>
  </w:num>
  <w:num w:numId="17">
    <w:abstractNumId w:val="29"/>
  </w:num>
  <w:num w:numId="18">
    <w:abstractNumId w:val="6"/>
  </w:num>
  <w:num w:numId="19">
    <w:abstractNumId w:val="39"/>
  </w:num>
  <w:num w:numId="20">
    <w:abstractNumId w:val="42"/>
  </w:num>
  <w:num w:numId="21">
    <w:abstractNumId w:val="31"/>
  </w:num>
  <w:num w:numId="22">
    <w:abstractNumId w:val="14"/>
  </w:num>
  <w:num w:numId="23">
    <w:abstractNumId w:val="27"/>
  </w:num>
  <w:num w:numId="24">
    <w:abstractNumId w:val="34"/>
  </w:num>
  <w:num w:numId="25">
    <w:abstractNumId w:val="1"/>
  </w:num>
  <w:num w:numId="26">
    <w:abstractNumId w:val="24"/>
  </w:num>
  <w:num w:numId="27">
    <w:abstractNumId w:val="19"/>
  </w:num>
  <w:num w:numId="28">
    <w:abstractNumId w:val="25"/>
  </w:num>
  <w:num w:numId="29">
    <w:abstractNumId w:val="20"/>
  </w:num>
  <w:num w:numId="30">
    <w:abstractNumId w:val="40"/>
  </w:num>
  <w:num w:numId="31">
    <w:abstractNumId w:val="11"/>
  </w:num>
  <w:num w:numId="32">
    <w:abstractNumId w:val="30"/>
  </w:num>
  <w:num w:numId="33">
    <w:abstractNumId w:val="9"/>
  </w:num>
  <w:num w:numId="34">
    <w:abstractNumId w:val="23"/>
  </w:num>
  <w:num w:numId="35">
    <w:abstractNumId w:val="3"/>
  </w:num>
  <w:num w:numId="36">
    <w:abstractNumId w:val="21"/>
  </w:num>
  <w:num w:numId="37">
    <w:abstractNumId w:val="32"/>
  </w:num>
  <w:num w:numId="38">
    <w:abstractNumId w:val="15"/>
  </w:num>
  <w:num w:numId="39">
    <w:abstractNumId w:val="4"/>
  </w:num>
  <w:num w:numId="40">
    <w:abstractNumId w:val="0"/>
  </w:num>
  <w:num w:numId="41">
    <w:abstractNumId w:val="8"/>
  </w:num>
  <w:num w:numId="42">
    <w:abstractNumId w:val="33"/>
  </w:num>
  <w:num w:numId="43">
    <w:abstractNumId w:val="26"/>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4DA"/>
    <w:rsid w:val="00012E89"/>
    <w:rsid w:val="00035029"/>
    <w:rsid w:val="00035EF2"/>
    <w:rsid w:val="000644A3"/>
    <w:rsid w:val="000842B1"/>
    <w:rsid w:val="00086840"/>
    <w:rsid w:val="000A04DA"/>
    <w:rsid w:val="000B1571"/>
    <w:rsid w:val="000B50B9"/>
    <w:rsid w:val="00107BB0"/>
    <w:rsid w:val="00114482"/>
    <w:rsid w:val="001427BC"/>
    <w:rsid w:val="0015418C"/>
    <w:rsid w:val="00190CF7"/>
    <w:rsid w:val="00193C8A"/>
    <w:rsid w:val="001A30AE"/>
    <w:rsid w:val="001B4D37"/>
    <w:rsid w:val="001C57FC"/>
    <w:rsid w:val="001D1698"/>
    <w:rsid w:val="001D33D5"/>
    <w:rsid w:val="001D6242"/>
    <w:rsid w:val="001D7ED7"/>
    <w:rsid w:val="001E042B"/>
    <w:rsid w:val="001E40C3"/>
    <w:rsid w:val="00200BDE"/>
    <w:rsid w:val="002021FC"/>
    <w:rsid w:val="0023061F"/>
    <w:rsid w:val="002448B5"/>
    <w:rsid w:val="00245300"/>
    <w:rsid w:val="00246C92"/>
    <w:rsid w:val="002706A1"/>
    <w:rsid w:val="00285003"/>
    <w:rsid w:val="002A322A"/>
    <w:rsid w:val="002B387D"/>
    <w:rsid w:val="002C5107"/>
    <w:rsid w:val="002D6DF1"/>
    <w:rsid w:val="002F58A6"/>
    <w:rsid w:val="00307BF3"/>
    <w:rsid w:val="0033187D"/>
    <w:rsid w:val="00337884"/>
    <w:rsid w:val="00357E81"/>
    <w:rsid w:val="00360884"/>
    <w:rsid w:val="00365ADA"/>
    <w:rsid w:val="0038117A"/>
    <w:rsid w:val="0038158C"/>
    <w:rsid w:val="00397860"/>
    <w:rsid w:val="003A3F0D"/>
    <w:rsid w:val="003B0E60"/>
    <w:rsid w:val="003B0EA8"/>
    <w:rsid w:val="003C0F47"/>
    <w:rsid w:val="003C476A"/>
    <w:rsid w:val="003D4546"/>
    <w:rsid w:val="003E2970"/>
    <w:rsid w:val="003F10CA"/>
    <w:rsid w:val="003F7E7A"/>
    <w:rsid w:val="00400BEC"/>
    <w:rsid w:val="00401E1A"/>
    <w:rsid w:val="00403D20"/>
    <w:rsid w:val="00412F6D"/>
    <w:rsid w:val="00416DAA"/>
    <w:rsid w:val="004217CE"/>
    <w:rsid w:val="00431E73"/>
    <w:rsid w:val="00434E21"/>
    <w:rsid w:val="00482960"/>
    <w:rsid w:val="0048503C"/>
    <w:rsid w:val="004969D0"/>
    <w:rsid w:val="004B4764"/>
    <w:rsid w:val="004D64D2"/>
    <w:rsid w:val="004F5733"/>
    <w:rsid w:val="00500D0E"/>
    <w:rsid w:val="00505F2A"/>
    <w:rsid w:val="00521C6B"/>
    <w:rsid w:val="0053081F"/>
    <w:rsid w:val="00541225"/>
    <w:rsid w:val="00573349"/>
    <w:rsid w:val="00581A3A"/>
    <w:rsid w:val="005963A2"/>
    <w:rsid w:val="005A1BED"/>
    <w:rsid w:val="005B6886"/>
    <w:rsid w:val="005C375B"/>
    <w:rsid w:val="005C4C57"/>
    <w:rsid w:val="005D16C7"/>
    <w:rsid w:val="005D2F20"/>
    <w:rsid w:val="005D3758"/>
    <w:rsid w:val="006051A7"/>
    <w:rsid w:val="006269EC"/>
    <w:rsid w:val="00627D24"/>
    <w:rsid w:val="00632075"/>
    <w:rsid w:val="00632CAA"/>
    <w:rsid w:val="00633406"/>
    <w:rsid w:val="006548D2"/>
    <w:rsid w:val="0066185D"/>
    <w:rsid w:val="00664D28"/>
    <w:rsid w:val="006861ED"/>
    <w:rsid w:val="00695ED6"/>
    <w:rsid w:val="006A4ABB"/>
    <w:rsid w:val="006A62DE"/>
    <w:rsid w:val="006A6AE9"/>
    <w:rsid w:val="006C27C0"/>
    <w:rsid w:val="006C4ADF"/>
    <w:rsid w:val="006D7648"/>
    <w:rsid w:val="006F1AAA"/>
    <w:rsid w:val="00730F8C"/>
    <w:rsid w:val="0073588B"/>
    <w:rsid w:val="00741D9B"/>
    <w:rsid w:val="00747765"/>
    <w:rsid w:val="007505E1"/>
    <w:rsid w:val="00753C22"/>
    <w:rsid w:val="00793E39"/>
    <w:rsid w:val="007A7557"/>
    <w:rsid w:val="007A79BF"/>
    <w:rsid w:val="007B08E6"/>
    <w:rsid w:val="007B3E34"/>
    <w:rsid w:val="007E0037"/>
    <w:rsid w:val="007E4851"/>
    <w:rsid w:val="008053CE"/>
    <w:rsid w:val="00807AFE"/>
    <w:rsid w:val="00810B41"/>
    <w:rsid w:val="00812FB1"/>
    <w:rsid w:val="00813F7D"/>
    <w:rsid w:val="00816C07"/>
    <w:rsid w:val="00824B15"/>
    <w:rsid w:val="00833A2F"/>
    <w:rsid w:val="0085260B"/>
    <w:rsid w:val="008665F8"/>
    <w:rsid w:val="00870407"/>
    <w:rsid w:val="00871241"/>
    <w:rsid w:val="0088567F"/>
    <w:rsid w:val="008A307A"/>
    <w:rsid w:val="008C32DC"/>
    <w:rsid w:val="008C367A"/>
    <w:rsid w:val="00905E64"/>
    <w:rsid w:val="00911FC0"/>
    <w:rsid w:val="00914D52"/>
    <w:rsid w:val="009158A0"/>
    <w:rsid w:val="00934C26"/>
    <w:rsid w:val="00940BD9"/>
    <w:rsid w:val="009450D7"/>
    <w:rsid w:val="00947D9B"/>
    <w:rsid w:val="00956CDE"/>
    <w:rsid w:val="00961CA6"/>
    <w:rsid w:val="009639C2"/>
    <w:rsid w:val="009700FB"/>
    <w:rsid w:val="00994D5C"/>
    <w:rsid w:val="009A6F6D"/>
    <w:rsid w:val="009B2DE0"/>
    <w:rsid w:val="009B6B89"/>
    <w:rsid w:val="009B7CA6"/>
    <w:rsid w:val="00A15023"/>
    <w:rsid w:val="00A241F4"/>
    <w:rsid w:val="00A37C50"/>
    <w:rsid w:val="00A4482E"/>
    <w:rsid w:val="00A61654"/>
    <w:rsid w:val="00A626D0"/>
    <w:rsid w:val="00A657BD"/>
    <w:rsid w:val="00A927B2"/>
    <w:rsid w:val="00A95DB6"/>
    <w:rsid w:val="00AC7EC4"/>
    <w:rsid w:val="00AD0912"/>
    <w:rsid w:val="00AE2171"/>
    <w:rsid w:val="00AE459F"/>
    <w:rsid w:val="00AE611A"/>
    <w:rsid w:val="00B10DE5"/>
    <w:rsid w:val="00B13B03"/>
    <w:rsid w:val="00B17049"/>
    <w:rsid w:val="00B25916"/>
    <w:rsid w:val="00B3216C"/>
    <w:rsid w:val="00B41770"/>
    <w:rsid w:val="00B543D7"/>
    <w:rsid w:val="00B6536E"/>
    <w:rsid w:val="00B765D2"/>
    <w:rsid w:val="00B94906"/>
    <w:rsid w:val="00BA0709"/>
    <w:rsid w:val="00BA0E39"/>
    <w:rsid w:val="00BA2D2F"/>
    <w:rsid w:val="00BB6B75"/>
    <w:rsid w:val="00BC0BB8"/>
    <w:rsid w:val="00BE33DB"/>
    <w:rsid w:val="00BF6CD0"/>
    <w:rsid w:val="00C07A77"/>
    <w:rsid w:val="00C07F3D"/>
    <w:rsid w:val="00C11325"/>
    <w:rsid w:val="00C171A4"/>
    <w:rsid w:val="00C3580F"/>
    <w:rsid w:val="00C42E79"/>
    <w:rsid w:val="00C473BA"/>
    <w:rsid w:val="00C51026"/>
    <w:rsid w:val="00C51982"/>
    <w:rsid w:val="00C7530F"/>
    <w:rsid w:val="00C84DED"/>
    <w:rsid w:val="00C85A30"/>
    <w:rsid w:val="00C85FD7"/>
    <w:rsid w:val="00C867B1"/>
    <w:rsid w:val="00CA164A"/>
    <w:rsid w:val="00CA1A3A"/>
    <w:rsid w:val="00CA35BB"/>
    <w:rsid w:val="00CB25C5"/>
    <w:rsid w:val="00CB4567"/>
    <w:rsid w:val="00CC4F3C"/>
    <w:rsid w:val="00CD15B7"/>
    <w:rsid w:val="00CF2E3E"/>
    <w:rsid w:val="00D1359A"/>
    <w:rsid w:val="00D23901"/>
    <w:rsid w:val="00D32117"/>
    <w:rsid w:val="00D348AF"/>
    <w:rsid w:val="00D46E9D"/>
    <w:rsid w:val="00D5268F"/>
    <w:rsid w:val="00D54168"/>
    <w:rsid w:val="00D71026"/>
    <w:rsid w:val="00D80308"/>
    <w:rsid w:val="00D812BB"/>
    <w:rsid w:val="00D84723"/>
    <w:rsid w:val="00D87050"/>
    <w:rsid w:val="00DA448F"/>
    <w:rsid w:val="00DA55CC"/>
    <w:rsid w:val="00DB1948"/>
    <w:rsid w:val="00DB6445"/>
    <w:rsid w:val="00DB7269"/>
    <w:rsid w:val="00DC7A93"/>
    <w:rsid w:val="00DD413B"/>
    <w:rsid w:val="00DF1B10"/>
    <w:rsid w:val="00DF33D7"/>
    <w:rsid w:val="00E00174"/>
    <w:rsid w:val="00E01905"/>
    <w:rsid w:val="00E03E84"/>
    <w:rsid w:val="00E50681"/>
    <w:rsid w:val="00E51B8B"/>
    <w:rsid w:val="00E55F0B"/>
    <w:rsid w:val="00E6694D"/>
    <w:rsid w:val="00E84DE3"/>
    <w:rsid w:val="00E87398"/>
    <w:rsid w:val="00E96E26"/>
    <w:rsid w:val="00EA0888"/>
    <w:rsid w:val="00EB0FB8"/>
    <w:rsid w:val="00EC3F7B"/>
    <w:rsid w:val="00ED1687"/>
    <w:rsid w:val="00ED1897"/>
    <w:rsid w:val="00ED3D30"/>
    <w:rsid w:val="00EE53AF"/>
    <w:rsid w:val="00EF123A"/>
    <w:rsid w:val="00EF4AAA"/>
    <w:rsid w:val="00F01097"/>
    <w:rsid w:val="00F03B47"/>
    <w:rsid w:val="00F46867"/>
    <w:rsid w:val="00F53F56"/>
    <w:rsid w:val="00F64913"/>
    <w:rsid w:val="00F66137"/>
    <w:rsid w:val="00F679BB"/>
    <w:rsid w:val="00F85C62"/>
    <w:rsid w:val="00F92302"/>
    <w:rsid w:val="00FA7B26"/>
    <w:rsid w:val="00FB0421"/>
    <w:rsid w:val="00FB1F30"/>
    <w:rsid w:val="00FF1391"/>
    <w:rsid w:val="00FF3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C0BB8"/>
    <w:pPr>
      <w:keepNext/>
      <w:keepLines/>
      <w:spacing w:before="480" w:after="0"/>
      <w:outlineLvl w:val="0"/>
    </w:pPr>
    <w:rPr>
      <w:rFonts w:ascii="Times New Roman" w:eastAsiaTheme="majorEastAsia" w:hAnsi="Times New Roman"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23061F"/>
    <w:pPr>
      <w:keepNext/>
      <w:keepLines/>
      <w:spacing w:before="200" w:after="0"/>
      <w:outlineLvl w:val="1"/>
    </w:pPr>
    <w:rPr>
      <w:rFonts w:ascii="Times New Roman" w:eastAsiaTheme="majorEastAsia" w:hAnsi="Times New Roman" w:cstheme="majorBidi"/>
      <w:b/>
      <w:bCs/>
      <w:color w:val="4F81BD"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12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225"/>
    <w:rPr>
      <w:rFonts w:ascii="Tahoma" w:hAnsi="Tahoma" w:cs="Tahoma"/>
      <w:sz w:val="16"/>
      <w:szCs w:val="16"/>
    </w:rPr>
  </w:style>
  <w:style w:type="character" w:customStyle="1" w:styleId="Heading1Char">
    <w:name w:val="Heading 1 Char"/>
    <w:basedOn w:val="DefaultParagraphFont"/>
    <w:link w:val="Heading1"/>
    <w:uiPriority w:val="9"/>
    <w:rsid w:val="00BC0BB8"/>
    <w:rPr>
      <w:rFonts w:ascii="Times New Roman" w:eastAsiaTheme="majorEastAsia" w:hAnsi="Times New Roman" w:cstheme="majorBidi"/>
      <w:b/>
      <w:bCs/>
      <w:color w:val="365F91" w:themeColor="accent1" w:themeShade="BF"/>
      <w:sz w:val="32"/>
      <w:szCs w:val="28"/>
    </w:rPr>
  </w:style>
  <w:style w:type="paragraph" w:styleId="ListParagraph">
    <w:name w:val="List Paragraph"/>
    <w:basedOn w:val="Normal"/>
    <w:uiPriority w:val="34"/>
    <w:qFormat/>
    <w:rsid w:val="00DA55CC"/>
    <w:pPr>
      <w:ind w:left="720"/>
      <w:contextualSpacing/>
    </w:pPr>
  </w:style>
  <w:style w:type="character" w:customStyle="1" w:styleId="Heading2Char">
    <w:name w:val="Heading 2 Char"/>
    <w:basedOn w:val="DefaultParagraphFont"/>
    <w:link w:val="Heading2"/>
    <w:uiPriority w:val="9"/>
    <w:rsid w:val="0023061F"/>
    <w:rPr>
      <w:rFonts w:ascii="Times New Roman" w:eastAsiaTheme="majorEastAsia" w:hAnsi="Times New Roman" w:cstheme="majorBidi"/>
      <w:b/>
      <w:bCs/>
      <w:color w:val="4F81BD" w:themeColor="accent1"/>
      <w:sz w:val="28"/>
      <w:szCs w:val="26"/>
    </w:rPr>
  </w:style>
  <w:style w:type="table" w:styleId="TableGrid">
    <w:name w:val="Table Grid"/>
    <w:basedOn w:val="TableNormal"/>
    <w:uiPriority w:val="59"/>
    <w:rsid w:val="00C51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Grid2"/>
    <w:uiPriority w:val="60"/>
    <w:rsid w:val="008A307A"/>
    <w:pPr>
      <w:spacing w:after="0" w:line="240" w:lineRule="auto"/>
    </w:pPr>
    <w:tblPr>
      <w:tblStyleRowBandSize w:val="1"/>
      <w:tblStyleColBandSize w:val="1"/>
      <w:tblBorders>
        <w:top w:val="single" w:sz="8" w:space="0" w:color="000000" w:themeColor="text1"/>
        <w:bottom w:val="single" w:sz="8" w:space="0" w:color="000000" w:themeColor="text1"/>
        <w:insideH w:val="none" w:sz="0" w:space="0" w:color="auto"/>
        <w:insideV w:val="none" w:sz="0" w:space="0" w:color="auto"/>
      </w:tblBorders>
    </w:tblPr>
    <w:tcPr>
      <w:shd w:val="clear" w:color="auto" w:fill="31849B" w:themeFill="accent5" w:themeFillShade="BF"/>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8A3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07A"/>
  </w:style>
  <w:style w:type="table" w:styleId="TableGrid2">
    <w:name w:val="Table Grid 2"/>
    <w:basedOn w:val="TableNormal"/>
    <w:uiPriority w:val="99"/>
    <w:semiHidden/>
    <w:unhideWhenUsed/>
    <w:rsid w:val="008A307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Footer">
    <w:name w:val="footer"/>
    <w:basedOn w:val="Normal"/>
    <w:link w:val="FooterChar"/>
    <w:uiPriority w:val="99"/>
    <w:unhideWhenUsed/>
    <w:rsid w:val="008A3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07A"/>
  </w:style>
  <w:style w:type="character" w:styleId="Hyperlink">
    <w:name w:val="Hyperlink"/>
    <w:basedOn w:val="DefaultParagraphFont"/>
    <w:uiPriority w:val="99"/>
    <w:unhideWhenUsed/>
    <w:rsid w:val="008A307A"/>
    <w:rPr>
      <w:color w:val="0000FF"/>
      <w:u w:val="single"/>
    </w:rPr>
  </w:style>
  <w:style w:type="paragraph" w:styleId="NoSpacing">
    <w:name w:val="No Spacing"/>
    <w:uiPriority w:val="1"/>
    <w:qFormat/>
    <w:rsid w:val="008A307A"/>
    <w:pPr>
      <w:spacing w:after="0" w:line="240" w:lineRule="auto"/>
    </w:pPr>
  </w:style>
  <w:style w:type="paragraph" w:styleId="Caption">
    <w:name w:val="caption"/>
    <w:basedOn w:val="Normal"/>
    <w:next w:val="Normal"/>
    <w:uiPriority w:val="35"/>
    <w:unhideWhenUsed/>
    <w:qFormat/>
    <w:rsid w:val="002F58A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C473BA"/>
    <w:pPr>
      <w:spacing w:after="0"/>
      <w:ind w:left="440" w:hanging="440"/>
    </w:pPr>
    <w:rPr>
      <w:rFonts w:cstheme="minorHAnsi"/>
      <w:caps/>
      <w:sz w:val="20"/>
      <w:szCs w:val="20"/>
    </w:rPr>
  </w:style>
  <w:style w:type="paragraph" w:styleId="TOCHeading">
    <w:name w:val="TOC Heading"/>
    <w:basedOn w:val="Heading1"/>
    <w:next w:val="Normal"/>
    <w:uiPriority w:val="39"/>
    <w:unhideWhenUsed/>
    <w:qFormat/>
    <w:rsid w:val="0073588B"/>
    <w:pPr>
      <w:outlineLvl w:val="9"/>
    </w:pPr>
    <w:rPr>
      <w:rFonts w:asciiTheme="majorHAnsi" w:hAnsiTheme="majorHAnsi"/>
      <w:sz w:val="28"/>
      <w:lang w:eastAsia="ja-JP"/>
    </w:rPr>
  </w:style>
  <w:style w:type="paragraph" w:styleId="TOC1">
    <w:name w:val="toc 1"/>
    <w:basedOn w:val="Normal"/>
    <w:next w:val="Normal"/>
    <w:autoRedefine/>
    <w:uiPriority w:val="39"/>
    <w:unhideWhenUsed/>
    <w:rsid w:val="0073588B"/>
    <w:pPr>
      <w:spacing w:after="100"/>
    </w:pPr>
  </w:style>
  <w:style w:type="paragraph" w:styleId="TOC2">
    <w:name w:val="toc 2"/>
    <w:basedOn w:val="Normal"/>
    <w:next w:val="Normal"/>
    <w:autoRedefine/>
    <w:uiPriority w:val="39"/>
    <w:unhideWhenUsed/>
    <w:rsid w:val="0073588B"/>
    <w:pPr>
      <w:spacing w:after="100"/>
      <w:ind w:left="220"/>
    </w:pPr>
  </w:style>
  <w:style w:type="paragraph" w:styleId="Bibliography">
    <w:name w:val="Bibliography"/>
    <w:basedOn w:val="Normal"/>
    <w:next w:val="Normal"/>
    <w:uiPriority w:val="37"/>
    <w:unhideWhenUsed/>
    <w:rsid w:val="00431E73"/>
  </w:style>
  <w:style w:type="character" w:styleId="PlaceholderText">
    <w:name w:val="Placeholder Text"/>
    <w:basedOn w:val="DefaultParagraphFont"/>
    <w:uiPriority w:val="99"/>
    <w:semiHidden/>
    <w:rsid w:val="00CC4F3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C0BB8"/>
    <w:pPr>
      <w:keepNext/>
      <w:keepLines/>
      <w:spacing w:before="480" w:after="0"/>
      <w:outlineLvl w:val="0"/>
    </w:pPr>
    <w:rPr>
      <w:rFonts w:ascii="Times New Roman" w:eastAsiaTheme="majorEastAsia" w:hAnsi="Times New Roman"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23061F"/>
    <w:pPr>
      <w:keepNext/>
      <w:keepLines/>
      <w:spacing w:before="200" w:after="0"/>
      <w:outlineLvl w:val="1"/>
    </w:pPr>
    <w:rPr>
      <w:rFonts w:ascii="Times New Roman" w:eastAsiaTheme="majorEastAsia" w:hAnsi="Times New Roman" w:cstheme="majorBidi"/>
      <w:b/>
      <w:bCs/>
      <w:color w:val="4F81BD"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12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225"/>
    <w:rPr>
      <w:rFonts w:ascii="Tahoma" w:hAnsi="Tahoma" w:cs="Tahoma"/>
      <w:sz w:val="16"/>
      <w:szCs w:val="16"/>
    </w:rPr>
  </w:style>
  <w:style w:type="character" w:customStyle="1" w:styleId="Heading1Char">
    <w:name w:val="Heading 1 Char"/>
    <w:basedOn w:val="DefaultParagraphFont"/>
    <w:link w:val="Heading1"/>
    <w:uiPriority w:val="9"/>
    <w:rsid w:val="00BC0BB8"/>
    <w:rPr>
      <w:rFonts w:ascii="Times New Roman" w:eastAsiaTheme="majorEastAsia" w:hAnsi="Times New Roman" w:cstheme="majorBidi"/>
      <w:b/>
      <w:bCs/>
      <w:color w:val="365F91" w:themeColor="accent1" w:themeShade="BF"/>
      <w:sz w:val="32"/>
      <w:szCs w:val="28"/>
    </w:rPr>
  </w:style>
  <w:style w:type="paragraph" w:styleId="ListParagraph">
    <w:name w:val="List Paragraph"/>
    <w:basedOn w:val="Normal"/>
    <w:uiPriority w:val="34"/>
    <w:qFormat/>
    <w:rsid w:val="00DA55CC"/>
    <w:pPr>
      <w:ind w:left="720"/>
      <w:contextualSpacing/>
    </w:pPr>
  </w:style>
  <w:style w:type="character" w:customStyle="1" w:styleId="Heading2Char">
    <w:name w:val="Heading 2 Char"/>
    <w:basedOn w:val="DefaultParagraphFont"/>
    <w:link w:val="Heading2"/>
    <w:uiPriority w:val="9"/>
    <w:rsid w:val="0023061F"/>
    <w:rPr>
      <w:rFonts w:ascii="Times New Roman" w:eastAsiaTheme="majorEastAsia" w:hAnsi="Times New Roman" w:cstheme="majorBidi"/>
      <w:b/>
      <w:bCs/>
      <w:color w:val="4F81BD" w:themeColor="accent1"/>
      <w:sz w:val="28"/>
      <w:szCs w:val="26"/>
    </w:rPr>
  </w:style>
  <w:style w:type="table" w:styleId="TableGrid">
    <w:name w:val="Table Grid"/>
    <w:basedOn w:val="TableNormal"/>
    <w:uiPriority w:val="59"/>
    <w:rsid w:val="00C51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Grid2"/>
    <w:uiPriority w:val="60"/>
    <w:rsid w:val="008A307A"/>
    <w:pPr>
      <w:spacing w:after="0" w:line="240" w:lineRule="auto"/>
    </w:pPr>
    <w:tblPr>
      <w:tblStyleRowBandSize w:val="1"/>
      <w:tblStyleColBandSize w:val="1"/>
      <w:tblBorders>
        <w:top w:val="single" w:sz="8" w:space="0" w:color="000000" w:themeColor="text1"/>
        <w:bottom w:val="single" w:sz="8" w:space="0" w:color="000000" w:themeColor="text1"/>
        <w:insideH w:val="none" w:sz="0" w:space="0" w:color="auto"/>
        <w:insideV w:val="none" w:sz="0" w:space="0" w:color="auto"/>
      </w:tblBorders>
    </w:tblPr>
    <w:tcPr>
      <w:shd w:val="clear" w:color="auto" w:fill="31849B" w:themeFill="accent5" w:themeFillShade="BF"/>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8A3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07A"/>
  </w:style>
  <w:style w:type="table" w:styleId="TableGrid2">
    <w:name w:val="Table Grid 2"/>
    <w:basedOn w:val="TableNormal"/>
    <w:uiPriority w:val="99"/>
    <w:semiHidden/>
    <w:unhideWhenUsed/>
    <w:rsid w:val="008A307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Footer">
    <w:name w:val="footer"/>
    <w:basedOn w:val="Normal"/>
    <w:link w:val="FooterChar"/>
    <w:uiPriority w:val="99"/>
    <w:unhideWhenUsed/>
    <w:rsid w:val="008A3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07A"/>
  </w:style>
  <w:style w:type="character" w:styleId="Hyperlink">
    <w:name w:val="Hyperlink"/>
    <w:basedOn w:val="DefaultParagraphFont"/>
    <w:uiPriority w:val="99"/>
    <w:unhideWhenUsed/>
    <w:rsid w:val="008A307A"/>
    <w:rPr>
      <w:color w:val="0000FF"/>
      <w:u w:val="single"/>
    </w:rPr>
  </w:style>
  <w:style w:type="paragraph" w:styleId="NoSpacing">
    <w:name w:val="No Spacing"/>
    <w:uiPriority w:val="1"/>
    <w:qFormat/>
    <w:rsid w:val="008A307A"/>
    <w:pPr>
      <w:spacing w:after="0" w:line="240" w:lineRule="auto"/>
    </w:pPr>
  </w:style>
  <w:style w:type="paragraph" w:styleId="Caption">
    <w:name w:val="caption"/>
    <w:basedOn w:val="Normal"/>
    <w:next w:val="Normal"/>
    <w:uiPriority w:val="35"/>
    <w:unhideWhenUsed/>
    <w:qFormat/>
    <w:rsid w:val="002F58A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C473BA"/>
    <w:pPr>
      <w:spacing w:after="0"/>
      <w:ind w:left="440" w:hanging="440"/>
    </w:pPr>
    <w:rPr>
      <w:rFonts w:cstheme="minorHAnsi"/>
      <w:caps/>
      <w:sz w:val="20"/>
      <w:szCs w:val="20"/>
    </w:rPr>
  </w:style>
  <w:style w:type="paragraph" w:styleId="TOCHeading">
    <w:name w:val="TOC Heading"/>
    <w:basedOn w:val="Heading1"/>
    <w:next w:val="Normal"/>
    <w:uiPriority w:val="39"/>
    <w:unhideWhenUsed/>
    <w:qFormat/>
    <w:rsid w:val="0073588B"/>
    <w:pPr>
      <w:outlineLvl w:val="9"/>
    </w:pPr>
    <w:rPr>
      <w:rFonts w:asciiTheme="majorHAnsi" w:hAnsiTheme="majorHAnsi"/>
      <w:sz w:val="28"/>
      <w:lang w:eastAsia="ja-JP"/>
    </w:rPr>
  </w:style>
  <w:style w:type="paragraph" w:styleId="TOC1">
    <w:name w:val="toc 1"/>
    <w:basedOn w:val="Normal"/>
    <w:next w:val="Normal"/>
    <w:autoRedefine/>
    <w:uiPriority w:val="39"/>
    <w:unhideWhenUsed/>
    <w:rsid w:val="0073588B"/>
    <w:pPr>
      <w:spacing w:after="100"/>
    </w:pPr>
  </w:style>
  <w:style w:type="paragraph" w:styleId="TOC2">
    <w:name w:val="toc 2"/>
    <w:basedOn w:val="Normal"/>
    <w:next w:val="Normal"/>
    <w:autoRedefine/>
    <w:uiPriority w:val="39"/>
    <w:unhideWhenUsed/>
    <w:rsid w:val="0073588B"/>
    <w:pPr>
      <w:spacing w:after="100"/>
      <w:ind w:left="220"/>
    </w:pPr>
  </w:style>
  <w:style w:type="paragraph" w:styleId="Bibliography">
    <w:name w:val="Bibliography"/>
    <w:basedOn w:val="Normal"/>
    <w:next w:val="Normal"/>
    <w:uiPriority w:val="37"/>
    <w:unhideWhenUsed/>
    <w:rsid w:val="00431E73"/>
  </w:style>
  <w:style w:type="character" w:styleId="PlaceholderText">
    <w:name w:val="Placeholder Text"/>
    <w:basedOn w:val="DefaultParagraphFont"/>
    <w:uiPriority w:val="99"/>
    <w:semiHidden/>
    <w:rsid w:val="00CC4F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630012">
      <w:bodyDiv w:val="1"/>
      <w:marLeft w:val="0"/>
      <w:marRight w:val="0"/>
      <w:marTop w:val="0"/>
      <w:marBottom w:val="0"/>
      <w:divBdr>
        <w:top w:val="none" w:sz="0" w:space="0" w:color="auto"/>
        <w:left w:val="none" w:sz="0" w:space="0" w:color="auto"/>
        <w:bottom w:val="none" w:sz="0" w:space="0" w:color="auto"/>
        <w:right w:val="none" w:sz="0" w:space="0" w:color="auto"/>
      </w:divBdr>
    </w:div>
    <w:div w:id="341979087">
      <w:bodyDiv w:val="1"/>
      <w:marLeft w:val="0"/>
      <w:marRight w:val="0"/>
      <w:marTop w:val="0"/>
      <w:marBottom w:val="0"/>
      <w:divBdr>
        <w:top w:val="none" w:sz="0" w:space="0" w:color="auto"/>
        <w:left w:val="none" w:sz="0" w:space="0" w:color="auto"/>
        <w:bottom w:val="none" w:sz="0" w:space="0" w:color="auto"/>
        <w:right w:val="none" w:sz="0" w:space="0" w:color="auto"/>
      </w:divBdr>
    </w:div>
    <w:div w:id="1368214572">
      <w:bodyDiv w:val="1"/>
      <w:marLeft w:val="0"/>
      <w:marRight w:val="0"/>
      <w:marTop w:val="0"/>
      <w:marBottom w:val="0"/>
      <w:divBdr>
        <w:top w:val="none" w:sz="0" w:space="0" w:color="auto"/>
        <w:left w:val="none" w:sz="0" w:space="0" w:color="auto"/>
        <w:bottom w:val="none" w:sz="0" w:space="0" w:color="auto"/>
        <w:right w:val="none" w:sz="0" w:space="0" w:color="auto"/>
      </w:divBdr>
    </w:div>
    <w:div w:id="211046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chart" Target="charts/chart87.xml"/><Relationship Id="rId21" Type="http://schemas.openxmlformats.org/officeDocument/2006/relationships/hyperlink" Target="https://en.wikipedia.org/wiki/Rate_of_return" TargetMode="External"/><Relationship Id="rId42" Type="http://schemas.openxmlformats.org/officeDocument/2006/relationships/chart" Target="charts/chart12.xml"/><Relationship Id="rId47" Type="http://schemas.openxmlformats.org/officeDocument/2006/relationships/chart" Target="charts/chart17.xml"/><Relationship Id="rId63" Type="http://schemas.openxmlformats.org/officeDocument/2006/relationships/chart" Target="charts/chart33.xml"/><Relationship Id="rId68" Type="http://schemas.openxmlformats.org/officeDocument/2006/relationships/chart" Target="charts/chart38.xml"/><Relationship Id="rId84" Type="http://schemas.openxmlformats.org/officeDocument/2006/relationships/chart" Target="charts/chart54.xml"/><Relationship Id="rId89" Type="http://schemas.openxmlformats.org/officeDocument/2006/relationships/chart" Target="charts/chart59.xml"/><Relationship Id="rId112" Type="http://schemas.openxmlformats.org/officeDocument/2006/relationships/chart" Target="charts/chart82.xml"/><Relationship Id="rId133" Type="http://schemas.openxmlformats.org/officeDocument/2006/relationships/chart" Target="charts/chart103.xml"/><Relationship Id="rId138" Type="http://schemas.openxmlformats.org/officeDocument/2006/relationships/chart" Target="charts/chart108.xml"/><Relationship Id="rId154" Type="http://schemas.openxmlformats.org/officeDocument/2006/relationships/theme" Target="theme/theme1.xml"/><Relationship Id="rId16" Type="http://schemas.openxmlformats.org/officeDocument/2006/relationships/hyperlink" Target="https://en.wikipedia.org/wiki/Absolute_investment_performance" TargetMode="External"/><Relationship Id="rId107" Type="http://schemas.openxmlformats.org/officeDocument/2006/relationships/chart" Target="charts/chart77.xml"/><Relationship Id="rId11" Type="http://schemas.openxmlformats.org/officeDocument/2006/relationships/image" Target="media/image6.png"/><Relationship Id="rId32" Type="http://schemas.openxmlformats.org/officeDocument/2006/relationships/chart" Target="charts/chart2.xml"/><Relationship Id="rId37" Type="http://schemas.openxmlformats.org/officeDocument/2006/relationships/chart" Target="charts/chart7.xml"/><Relationship Id="rId53" Type="http://schemas.openxmlformats.org/officeDocument/2006/relationships/chart" Target="charts/chart23.xml"/><Relationship Id="rId58" Type="http://schemas.openxmlformats.org/officeDocument/2006/relationships/chart" Target="charts/chart28.xml"/><Relationship Id="rId74" Type="http://schemas.openxmlformats.org/officeDocument/2006/relationships/chart" Target="charts/chart44.xml"/><Relationship Id="rId79" Type="http://schemas.openxmlformats.org/officeDocument/2006/relationships/chart" Target="charts/chart49.xml"/><Relationship Id="rId102" Type="http://schemas.openxmlformats.org/officeDocument/2006/relationships/chart" Target="charts/chart72.xml"/><Relationship Id="rId123" Type="http://schemas.openxmlformats.org/officeDocument/2006/relationships/chart" Target="charts/chart93.xml"/><Relationship Id="rId128" Type="http://schemas.openxmlformats.org/officeDocument/2006/relationships/chart" Target="charts/chart98.xml"/><Relationship Id="rId144" Type="http://schemas.openxmlformats.org/officeDocument/2006/relationships/chart" Target="charts/chart114.xml"/><Relationship Id="rId149" Type="http://schemas.openxmlformats.org/officeDocument/2006/relationships/chart" Target="charts/chart119.xml"/><Relationship Id="rId5" Type="http://schemas.openxmlformats.org/officeDocument/2006/relationships/settings" Target="settings.xml"/><Relationship Id="rId90" Type="http://schemas.openxmlformats.org/officeDocument/2006/relationships/chart" Target="charts/chart60.xml"/><Relationship Id="rId95" Type="http://schemas.openxmlformats.org/officeDocument/2006/relationships/chart" Target="charts/chart65.xml"/><Relationship Id="rId22" Type="http://schemas.openxmlformats.org/officeDocument/2006/relationships/hyperlink" Target="https://en.wikipedia.org/wiki/Relative_return" TargetMode="External"/><Relationship Id="rId27" Type="http://schemas.openxmlformats.org/officeDocument/2006/relationships/hyperlink" Target="https://en.wikipedia.org/wiki/Holding_period_return" TargetMode="External"/><Relationship Id="rId43" Type="http://schemas.openxmlformats.org/officeDocument/2006/relationships/chart" Target="charts/chart13.xml"/><Relationship Id="rId48" Type="http://schemas.openxmlformats.org/officeDocument/2006/relationships/chart" Target="charts/chart18.xml"/><Relationship Id="rId64" Type="http://schemas.openxmlformats.org/officeDocument/2006/relationships/chart" Target="charts/chart34.xml"/><Relationship Id="rId69" Type="http://schemas.openxmlformats.org/officeDocument/2006/relationships/chart" Target="charts/chart39.xml"/><Relationship Id="rId113" Type="http://schemas.openxmlformats.org/officeDocument/2006/relationships/chart" Target="charts/chart83.xml"/><Relationship Id="rId118" Type="http://schemas.openxmlformats.org/officeDocument/2006/relationships/chart" Target="charts/chart88.xml"/><Relationship Id="rId134" Type="http://schemas.openxmlformats.org/officeDocument/2006/relationships/chart" Target="charts/chart104.xml"/><Relationship Id="rId139" Type="http://schemas.openxmlformats.org/officeDocument/2006/relationships/chart" Target="charts/chart109.xml"/><Relationship Id="rId80" Type="http://schemas.openxmlformats.org/officeDocument/2006/relationships/chart" Target="charts/chart50.xml"/><Relationship Id="rId85" Type="http://schemas.openxmlformats.org/officeDocument/2006/relationships/chart" Target="charts/chart55.xml"/><Relationship Id="rId150" Type="http://schemas.openxmlformats.org/officeDocument/2006/relationships/chart" Target="charts/chart120.xml"/><Relationship Id="rId12" Type="http://schemas.openxmlformats.org/officeDocument/2006/relationships/image" Target="media/image7.png"/><Relationship Id="rId17" Type="http://schemas.openxmlformats.org/officeDocument/2006/relationships/hyperlink" Target="https://en.wikipedia.org/wiki/Absolute_return" TargetMode="External"/><Relationship Id="rId25" Type="http://schemas.openxmlformats.org/officeDocument/2006/relationships/hyperlink" Target="https://en.wikipedia.org/wiki/Rate_of_return" TargetMode="External"/><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chart" Target="charts/chart16.xml"/><Relationship Id="rId59" Type="http://schemas.openxmlformats.org/officeDocument/2006/relationships/chart" Target="charts/chart29.xml"/><Relationship Id="rId67" Type="http://schemas.openxmlformats.org/officeDocument/2006/relationships/chart" Target="charts/chart37.xml"/><Relationship Id="rId103" Type="http://schemas.openxmlformats.org/officeDocument/2006/relationships/chart" Target="charts/chart73.xml"/><Relationship Id="rId108" Type="http://schemas.openxmlformats.org/officeDocument/2006/relationships/chart" Target="charts/chart78.xml"/><Relationship Id="rId116" Type="http://schemas.openxmlformats.org/officeDocument/2006/relationships/chart" Target="charts/chart86.xml"/><Relationship Id="rId124" Type="http://schemas.openxmlformats.org/officeDocument/2006/relationships/chart" Target="charts/chart94.xml"/><Relationship Id="rId129" Type="http://schemas.openxmlformats.org/officeDocument/2006/relationships/chart" Target="charts/chart99.xml"/><Relationship Id="rId137" Type="http://schemas.openxmlformats.org/officeDocument/2006/relationships/chart" Target="charts/chart107.xml"/><Relationship Id="rId20" Type="http://schemas.openxmlformats.org/officeDocument/2006/relationships/hyperlink" Target="https://en.wikipedia.org/wiki/Internal_Rate_of_Return" TargetMode="External"/><Relationship Id="rId41" Type="http://schemas.openxmlformats.org/officeDocument/2006/relationships/chart" Target="charts/chart11.xml"/><Relationship Id="rId54" Type="http://schemas.openxmlformats.org/officeDocument/2006/relationships/chart" Target="charts/chart24.xml"/><Relationship Id="rId62" Type="http://schemas.openxmlformats.org/officeDocument/2006/relationships/chart" Target="charts/chart32.xml"/><Relationship Id="rId70" Type="http://schemas.openxmlformats.org/officeDocument/2006/relationships/chart" Target="charts/chart40.xml"/><Relationship Id="rId75" Type="http://schemas.openxmlformats.org/officeDocument/2006/relationships/chart" Target="charts/chart45.xml"/><Relationship Id="rId83" Type="http://schemas.openxmlformats.org/officeDocument/2006/relationships/chart" Target="charts/chart53.xml"/><Relationship Id="rId88" Type="http://schemas.openxmlformats.org/officeDocument/2006/relationships/chart" Target="charts/chart58.xml"/><Relationship Id="rId91" Type="http://schemas.openxmlformats.org/officeDocument/2006/relationships/chart" Target="charts/chart61.xml"/><Relationship Id="rId96" Type="http://schemas.openxmlformats.org/officeDocument/2006/relationships/chart" Target="charts/chart66.xml"/><Relationship Id="rId111" Type="http://schemas.openxmlformats.org/officeDocument/2006/relationships/chart" Target="charts/chart81.xml"/><Relationship Id="rId132" Type="http://schemas.openxmlformats.org/officeDocument/2006/relationships/chart" Target="charts/chart102.xml"/><Relationship Id="rId140" Type="http://schemas.openxmlformats.org/officeDocument/2006/relationships/chart" Target="charts/chart110.xml"/><Relationship Id="rId145" Type="http://schemas.openxmlformats.org/officeDocument/2006/relationships/chart" Target="charts/chart115.xml"/><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en.wikipedia.org/wiki/Simple_Dietz_Method" TargetMode="External"/><Relationship Id="rId28" Type="http://schemas.openxmlformats.org/officeDocument/2006/relationships/image" Target="media/image11.png"/><Relationship Id="rId36" Type="http://schemas.openxmlformats.org/officeDocument/2006/relationships/chart" Target="charts/chart6.xml"/><Relationship Id="rId49" Type="http://schemas.openxmlformats.org/officeDocument/2006/relationships/chart" Target="charts/chart19.xml"/><Relationship Id="rId57" Type="http://schemas.openxmlformats.org/officeDocument/2006/relationships/chart" Target="charts/chart27.xml"/><Relationship Id="rId106" Type="http://schemas.openxmlformats.org/officeDocument/2006/relationships/chart" Target="charts/chart76.xml"/><Relationship Id="rId114" Type="http://schemas.openxmlformats.org/officeDocument/2006/relationships/chart" Target="charts/chart84.xml"/><Relationship Id="rId119" Type="http://schemas.openxmlformats.org/officeDocument/2006/relationships/chart" Target="charts/chart89.xml"/><Relationship Id="rId127" Type="http://schemas.openxmlformats.org/officeDocument/2006/relationships/chart" Target="charts/chart97.xml"/><Relationship Id="rId10" Type="http://schemas.openxmlformats.org/officeDocument/2006/relationships/image" Target="media/image5.png"/><Relationship Id="rId31" Type="http://schemas.openxmlformats.org/officeDocument/2006/relationships/chart" Target="charts/chart1.xml"/><Relationship Id="rId44" Type="http://schemas.openxmlformats.org/officeDocument/2006/relationships/chart" Target="charts/chart14.xml"/><Relationship Id="rId52" Type="http://schemas.openxmlformats.org/officeDocument/2006/relationships/chart" Target="charts/chart22.xml"/><Relationship Id="rId60" Type="http://schemas.openxmlformats.org/officeDocument/2006/relationships/chart" Target="charts/chart30.xml"/><Relationship Id="rId65" Type="http://schemas.openxmlformats.org/officeDocument/2006/relationships/chart" Target="charts/chart35.xml"/><Relationship Id="rId73" Type="http://schemas.openxmlformats.org/officeDocument/2006/relationships/chart" Target="charts/chart43.xml"/><Relationship Id="rId78" Type="http://schemas.openxmlformats.org/officeDocument/2006/relationships/chart" Target="charts/chart48.xml"/><Relationship Id="rId81" Type="http://schemas.openxmlformats.org/officeDocument/2006/relationships/chart" Target="charts/chart51.xml"/><Relationship Id="rId86" Type="http://schemas.openxmlformats.org/officeDocument/2006/relationships/chart" Target="charts/chart56.xml"/><Relationship Id="rId94" Type="http://schemas.openxmlformats.org/officeDocument/2006/relationships/chart" Target="charts/chart64.xml"/><Relationship Id="rId99" Type="http://schemas.openxmlformats.org/officeDocument/2006/relationships/chart" Target="charts/chart69.xml"/><Relationship Id="rId101" Type="http://schemas.openxmlformats.org/officeDocument/2006/relationships/chart" Target="charts/chart71.xml"/><Relationship Id="rId122" Type="http://schemas.openxmlformats.org/officeDocument/2006/relationships/chart" Target="charts/chart92.xml"/><Relationship Id="rId130" Type="http://schemas.openxmlformats.org/officeDocument/2006/relationships/chart" Target="charts/chart100.xml"/><Relationship Id="rId135" Type="http://schemas.openxmlformats.org/officeDocument/2006/relationships/chart" Target="charts/chart105.xml"/><Relationship Id="rId143" Type="http://schemas.openxmlformats.org/officeDocument/2006/relationships/chart" Target="charts/chart113.xml"/><Relationship Id="rId148" Type="http://schemas.openxmlformats.org/officeDocument/2006/relationships/chart" Target="charts/chart118.xml"/><Relationship Id="rId15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hyperlink" Target="https://en.wikipedia.org/wiki/Holding_period_return" TargetMode="External"/><Relationship Id="rId39" Type="http://schemas.openxmlformats.org/officeDocument/2006/relationships/chart" Target="charts/chart9.xml"/><Relationship Id="rId109" Type="http://schemas.openxmlformats.org/officeDocument/2006/relationships/chart" Target="charts/chart79.xml"/><Relationship Id="rId34" Type="http://schemas.openxmlformats.org/officeDocument/2006/relationships/chart" Target="charts/chart4.xml"/><Relationship Id="rId50" Type="http://schemas.openxmlformats.org/officeDocument/2006/relationships/chart" Target="charts/chart20.xml"/><Relationship Id="rId55" Type="http://schemas.openxmlformats.org/officeDocument/2006/relationships/chart" Target="charts/chart25.xml"/><Relationship Id="rId76" Type="http://schemas.openxmlformats.org/officeDocument/2006/relationships/chart" Target="charts/chart46.xml"/><Relationship Id="rId97" Type="http://schemas.openxmlformats.org/officeDocument/2006/relationships/chart" Target="charts/chart67.xml"/><Relationship Id="rId104" Type="http://schemas.openxmlformats.org/officeDocument/2006/relationships/chart" Target="charts/chart74.xml"/><Relationship Id="rId120" Type="http://schemas.openxmlformats.org/officeDocument/2006/relationships/chart" Target="charts/chart90.xml"/><Relationship Id="rId125" Type="http://schemas.openxmlformats.org/officeDocument/2006/relationships/chart" Target="charts/chart95.xml"/><Relationship Id="rId141" Type="http://schemas.openxmlformats.org/officeDocument/2006/relationships/chart" Target="charts/chart111.xml"/><Relationship Id="rId146" Type="http://schemas.openxmlformats.org/officeDocument/2006/relationships/chart" Target="charts/chart116.xml"/><Relationship Id="rId7" Type="http://schemas.openxmlformats.org/officeDocument/2006/relationships/footnotes" Target="footnotes.xml"/><Relationship Id="rId71" Type="http://schemas.openxmlformats.org/officeDocument/2006/relationships/chart" Target="charts/chart41.xml"/><Relationship Id="rId92" Type="http://schemas.openxmlformats.org/officeDocument/2006/relationships/chart" Target="charts/chart62.xm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yperlink" Target="https://en.wikipedia.org/wiki/Time-weighted_return" TargetMode="External"/><Relationship Id="rId40" Type="http://schemas.openxmlformats.org/officeDocument/2006/relationships/chart" Target="charts/chart10.xml"/><Relationship Id="rId45" Type="http://schemas.openxmlformats.org/officeDocument/2006/relationships/chart" Target="charts/chart15.xml"/><Relationship Id="rId66" Type="http://schemas.openxmlformats.org/officeDocument/2006/relationships/chart" Target="charts/chart36.xml"/><Relationship Id="rId87" Type="http://schemas.openxmlformats.org/officeDocument/2006/relationships/chart" Target="charts/chart57.xml"/><Relationship Id="rId110" Type="http://schemas.openxmlformats.org/officeDocument/2006/relationships/chart" Target="charts/chart80.xml"/><Relationship Id="rId115" Type="http://schemas.openxmlformats.org/officeDocument/2006/relationships/chart" Target="charts/chart85.xml"/><Relationship Id="rId131" Type="http://schemas.openxmlformats.org/officeDocument/2006/relationships/chart" Target="charts/chart101.xml"/><Relationship Id="rId136" Type="http://schemas.openxmlformats.org/officeDocument/2006/relationships/chart" Target="charts/chart106.xml"/><Relationship Id="rId61" Type="http://schemas.openxmlformats.org/officeDocument/2006/relationships/chart" Target="charts/chart31.xml"/><Relationship Id="rId82" Type="http://schemas.openxmlformats.org/officeDocument/2006/relationships/chart" Target="charts/chart52.xml"/><Relationship Id="rId152" Type="http://schemas.openxmlformats.org/officeDocument/2006/relationships/header" Target="header2.xml"/><Relationship Id="rId19" Type="http://schemas.openxmlformats.org/officeDocument/2006/relationships/hyperlink" Target="https://en.wikipedia.org/wiki/Modified_Dietz_Method" TargetMode="External"/><Relationship Id="rId14" Type="http://schemas.openxmlformats.org/officeDocument/2006/relationships/image" Target="media/image9.png"/><Relationship Id="rId30" Type="http://schemas.openxmlformats.org/officeDocument/2006/relationships/hyperlink" Target="https://en.wikipedia.org/wiki/Absolute_return" TargetMode="External"/><Relationship Id="rId35" Type="http://schemas.openxmlformats.org/officeDocument/2006/relationships/chart" Target="charts/chart5.xml"/><Relationship Id="rId56" Type="http://schemas.openxmlformats.org/officeDocument/2006/relationships/chart" Target="charts/chart26.xml"/><Relationship Id="rId77" Type="http://schemas.openxmlformats.org/officeDocument/2006/relationships/chart" Target="charts/chart47.xml"/><Relationship Id="rId100" Type="http://schemas.openxmlformats.org/officeDocument/2006/relationships/chart" Target="charts/chart70.xml"/><Relationship Id="rId105" Type="http://schemas.openxmlformats.org/officeDocument/2006/relationships/chart" Target="charts/chart75.xml"/><Relationship Id="rId126" Type="http://schemas.openxmlformats.org/officeDocument/2006/relationships/chart" Target="charts/chart96.xml"/><Relationship Id="rId147" Type="http://schemas.openxmlformats.org/officeDocument/2006/relationships/chart" Target="charts/chart117.xml"/><Relationship Id="rId8" Type="http://schemas.openxmlformats.org/officeDocument/2006/relationships/endnotes" Target="endnotes.xml"/><Relationship Id="rId51" Type="http://schemas.openxmlformats.org/officeDocument/2006/relationships/chart" Target="charts/chart21.xml"/><Relationship Id="rId72" Type="http://schemas.openxmlformats.org/officeDocument/2006/relationships/chart" Target="charts/chart42.xml"/><Relationship Id="rId93" Type="http://schemas.openxmlformats.org/officeDocument/2006/relationships/chart" Target="charts/chart63.xml"/><Relationship Id="rId98" Type="http://schemas.openxmlformats.org/officeDocument/2006/relationships/chart" Target="charts/chart68.xml"/><Relationship Id="rId121" Type="http://schemas.openxmlformats.org/officeDocument/2006/relationships/chart" Target="charts/chart91.xml"/><Relationship Id="rId142" Type="http://schemas.openxmlformats.org/officeDocument/2006/relationships/chart" Target="charts/chart112.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2.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Excel_Worksheet43.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Excel_Worksheet44.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Microsoft_Excel_Worksheet45.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Microsoft_Excel_Worksheet46.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Microsoft_Excel_Worksheet48.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9.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50.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Microsoft_Excel_Worksheet51.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Microsoft_Excel_Worksheet52.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Microsoft_Excel_Worksheet53.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Microsoft_Excel_Worksheet54.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Microsoft_Excel_Worksheet55.xlsx"/></Relationships>
</file>

<file path=word/charts/_rels/chart56.xml.rels><?xml version="1.0" encoding="UTF-8" standalone="yes"?>
<Relationships xmlns="http://schemas.openxmlformats.org/package/2006/relationships"><Relationship Id="rId1" Type="http://schemas.openxmlformats.org/officeDocument/2006/relationships/package" Target="../embeddings/Microsoft_Excel_Worksheet56.xlsx"/></Relationships>
</file>

<file path=word/charts/_rels/chart57.xml.rels><?xml version="1.0" encoding="UTF-8" standalone="yes"?>
<Relationships xmlns="http://schemas.openxmlformats.org/package/2006/relationships"><Relationship Id="rId1" Type="http://schemas.openxmlformats.org/officeDocument/2006/relationships/package" Target="../embeddings/Microsoft_Excel_Worksheet57.xlsx"/></Relationships>
</file>

<file path=word/charts/_rels/chart58.xml.rels><?xml version="1.0" encoding="UTF-8" standalone="yes"?>
<Relationships xmlns="http://schemas.openxmlformats.org/package/2006/relationships"><Relationship Id="rId1" Type="http://schemas.openxmlformats.org/officeDocument/2006/relationships/package" Target="../embeddings/Microsoft_Excel_Worksheet58.xlsx"/></Relationships>
</file>

<file path=word/charts/_rels/chart59.xml.rels><?xml version="1.0" encoding="UTF-8" standalone="yes"?>
<Relationships xmlns="http://schemas.openxmlformats.org/package/2006/relationships"><Relationship Id="rId1" Type="http://schemas.openxmlformats.org/officeDocument/2006/relationships/package" Target="../embeddings/Microsoft_Excel_Worksheet59.xlsx"/></Relationships>
</file>

<file path=word/charts/_rels/chart60.xml.rels><?xml version="1.0" encoding="UTF-8" standalone="yes"?>
<Relationships xmlns="http://schemas.openxmlformats.org/package/2006/relationships"><Relationship Id="rId1" Type="http://schemas.openxmlformats.org/officeDocument/2006/relationships/package" Target="../embeddings/Microsoft_Excel_Worksheet60.xlsx"/></Relationships>
</file>

<file path=word/charts/_rels/chart61.xml.rels><?xml version="1.0" encoding="UTF-8" standalone="yes"?>
<Relationships xmlns="http://schemas.openxmlformats.org/package/2006/relationships"><Relationship Id="rId1" Type="http://schemas.openxmlformats.org/officeDocument/2006/relationships/package" Target="../embeddings/Microsoft_Excel_Worksheet61.xlsx"/></Relationships>
</file>

<file path=word/charts/_rels/chart62.xml.rels><?xml version="1.0" encoding="UTF-8" standalone="yes"?>
<Relationships xmlns="http://schemas.openxmlformats.org/package/2006/relationships"><Relationship Id="rId1" Type="http://schemas.openxmlformats.org/officeDocument/2006/relationships/package" Target="../embeddings/Microsoft_Excel_Worksheet62.xlsx"/></Relationships>
</file>

<file path=word/charts/_rels/chart63.xml.rels><?xml version="1.0" encoding="UTF-8" standalone="yes"?>
<Relationships xmlns="http://schemas.openxmlformats.org/package/2006/relationships"><Relationship Id="rId1" Type="http://schemas.openxmlformats.org/officeDocument/2006/relationships/package" Target="../embeddings/Microsoft_Excel_Worksheet63.xlsx"/></Relationships>
</file>

<file path=word/charts/_rels/chart64.xml.rels><?xml version="1.0" encoding="UTF-8" standalone="yes"?>
<Relationships xmlns="http://schemas.openxmlformats.org/package/2006/relationships"><Relationship Id="rId1" Type="http://schemas.openxmlformats.org/officeDocument/2006/relationships/package" Target="../embeddings/Microsoft_Excel_Worksheet64.xlsx"/></Relationships>
</file>

<file path=word/charts/_rels/chart65.xml.rels><?xml version="1.0" encoding="UTF-8" standalone="yes"?>
<Relationships xmlns="http://schemas.openxmlformats.org/package/2006/relationships"><Relationship Id="rId1" Type="http://schemas.openxmlformats.org/officeDocument/2006/relationships/package" Target="../embeddings/Microsoft_Excel_Worksheet65.xlsx"/></Relationships>
</file>

<file path=word/charts/_rels/chart66.xml.rels><?xml version="1.0" encoding="UTF-8" standalone="yes"?>
<Relationships xmlns="http://schemas.openxmlformats.org/package/2006/relationships"><Relationship Id="rId1" Type="http://schemas.openxmlformats.org/officeDocument/2006/relationships/package" Target="../embeddings/Microsoft_Excel_Worksheet66.xlsx"/></Relationships>
</file>

<file path=word/charts/_rels/chart67.xml.rels><?xml version="1.0" encoding="UTF-8" standalone="yes"?>
<Relationships xmlns="http://schemas.openxmlformats.org/package/2006/relationships"><Relationship Id="rId1" Type="http://schemas.openxmlformats.org/officeDocument/2006/relationships/package" Target="../embeddings/Microsoft_Excel_Worksheet67.xlsx"/></Relationships>
</file>

<file path=word/charts/_rels/chart68.xml.rels><?xml version="1.0" encoding="UTF-8" standalone="yes"?>
<Relationships xmlns="http://schemas.openxmlformats.org/package/2006/relationships"><Relationship Id="rId1" Type="http://schemas.openxmlformats.org/officeDocument/2006/relationships/package" Target="../embeddings/Microsoft_Excel_Worksheet68.xlsx"/></Relationships>
</file>

<file path=word/charts/_rels/chart69.xml.rels><?xml version="1.0" encoding="UTF-8" standalone="yes"?>
<Relationships xmlns="http://schemas.openxmlformats.org/package/2006/relationships"><Relationship Id="rId1" Type="http://schemas.openxmlformats.org/officeDocument/2006/relationships/package" Target="../embeddings/Microsoft_Excel_Worksheet69.xlsx"/></Relationships>
</file>

<file path=word/charts/_rels/chart70.xml.rels><?xml version="1.0" encoding="UTF-8" standalone="yes"?>
<Relationships xmlns="http://schemas.openxmlformats.org/package/2006/relationships"><Relationship Id="rId1" Type="http://schemas.openxmlformats.org/officeDocument/2006/relationships/package" Target="../embeddings/Microsoft_Excel_Worksheet70.xlsx"/></Relationships>
</file>

<file path=word/charts/_rels/chart71.xml.rels><?xml version="1.0" encoding="UTF-8" standalone="yes"?>
<Relationships xmlns="http://schemas.openxmlformats.org/package/2006/relationships"><Relationship Id="rId1" Type="http://schemas.openxmlformats.org/officeDocument/2006/relationships/package" Target="../embeddings/Microsoft_Excel_Worksheet71.xlsx"/></Relationships>
</file>

<file path=word/charts/_rels/chart72.xml.rels><?xml version="1.0" encoding="UTF-8" standalone="yes"?>
<Relationships xmlns="http://schemas.openxmlformats.org/package/2006/relationships"><Relationship Id="rId1" Type="http://schemas.openxmlformats.org/officeDocument/2006/relationships/package" Target="../embeddings/Microsoft_Excel_Worksheet72.xlsx"/></Relationships>
</file>

<file path=word/charts/_rels/chart73.xml.rels><?xml version="1.0" encoding="UTF-8" standalone="yes"?>
<Relationships xmlns="http://schemas.openxmlformats.org/package/2006/relationships"><Relationship Id="rId1" Type="http://schemas.openxmlformats.org/officeDocument/2006/relationships/package" Target="../embeddings/Microsoft_Excel_Worksheet73.xlsx"/></Relationships>
</file>

<file path=word/charts/_rels/chart74.xml.rels><?xml version="1.0" encoding="UTF-8" standalone="yes"?>
<Relationships xmlns="http://schemas.openxmlformats.org/package/2006/relationships"><Relationship Id="rId1" Type="http://schemas.openxmlformats.org/officeDocument/2006/relationships/package" Target="../embeddings/Microsoft_Excel_Worksheet74.xlsx"/></Relationships>
</file>

<file path=word/charts/_rels/chart75.xml.rels><?xml version="1.0" encoding="UTF-8" standalone="yes"?>
<Relationships xmlns="http://schemas.openxmlformats.org/package/2006/relationships"><Relationship Id="rId1" Type="http://schemas.openxmlformats.org/officeDocument/2006/relationships/package" Target="../embeddings/Microsoft_Excel_Worksheet75.xlsx"/></Relationships>
</file>

<file path=word/charts/_rels/chart76.xml.rels><?xml version="1.0" encoding="UTF-8" standalone="yes"?>
<Relationships xmlns="http://schemas.openxmlformats.org/package/2006/relationships"><Relationship Id="rId1" Type="http://schemas.openxmlformats.org/officeDocument/2006/relationships/package" Target="../embeddings/Microsoft_Excel_Worksheet76.xlsx"/></Relationships>
</file>

<file path=word/charts/_rels/chart77.xml.rels><?xml version="1.0" encoding="UTF-8" standalone="yes"?>
<Relationships xmlns="http://schemas.openxmlformats.org/package/2006/relationships"><Relationship Id="rId1" Type="http://schemas.openxmlformats.org/officeDocument/2006/relationships/package" Target="../embeddings/Microsoft_Excel_Worksheet77.xlsx"/></Relationships>
</file>

<file path=word/charts/_rels/chart78.xml.rels><?xml version="1.0" encoding="UTF-8" standalone="yes"?>
<Relationships xmlns="http://schemas.openxmlformats.org/package/2006/relationships"><Relationship Id="rId1" Type="http://schemas.openxmlformats.org/officeDocument/2006/relationships/package" Target="../embeddings/Microsoft_Excel_Worksheet78.xlsx"/></Relationships>
</file>

<file path=word/charts/_rels/chart79.xml.rels><?xml version="1.0" encoding="UTF-8" standalone="yes"?>
<Relationships xmlns="http://schemas.openxmlformats.org/package/2006/relationships"><Relationship Id="rId1" Type="http://schemas.openxmlformats.org/officeDocument/2006/relationships/package" Target="../embeddings/Microsoft_Excel_Worksheet79.xlsx"/></Relationships>
</file>

<file path=word/charts/_rels/chart80.xml.rels><?xml version="1.0" encoding="UTF-8" standalone="yes"?>
<Relationships xmlns="http://schemas.openxmlformats.org/package/2006/relationships"><Relationship Id="rId1" Type="http://schemas.openxmlformats.org/officeDocument/2006/relationships/package" Target="../embeddings/Microsoft_Excel_Worksheet80.xlsx"/></Relationships>
</file>

<file path=word/charts/_rels/chart81.xml.rels><?xml version="1.0" encoding="UTF-8" standalone="yes"?>
<Relationships xmlns="http://schemas.openxmlformats.org/package/2006/relationships"><Relationship Id="rId1" Type="http://schemas.openxmlformats.org/officeDocument/2006/relationships/package" Target="../embeddings/Microsoft_Excel_Worksheet81.xlsx"/></Relationships>
</file>

<file path=word/charts/_rels/chart82.xml.rels><?xml version="1.0" encoding="UTF-8" standalone="yes"?>
<Relationships xmlns="http://schemas.openxmlformats.org/package/2006/relationships"><Relationship Id="rId1" Type="http://schemas.openxmlformats.org/officeDocument/2006/relationships/package" Target="../embeddings/Microsoft_Excel_Worksheet82.xlsx"/></Relationships>
</file>

<file path=word/charts/_rels/chart83.xml.rels><?xml version="1.0" encoding="UTF-8" standalone="yes"?>
<Relationships xmlns="http://schemas.openxmlformats.org/package/2006/relationships"><Relationship Id="rId1" Type="http://schemas.openxmlformats.org/officeDocument/2006/relationships/package" Target="../embeddings/Microsoft_Excel_Worksheet83.xlsx"/></Relationships>
</file>

<file path=word/charts/_rels/chart84.xml.rels><?xml version="1.0" encoding="UTF-8" standalone="yes"?>
<Relationships xmlns="http://schemas.openxmlformats.org/package/2006/relationships"><Relationship Id="rId1" Type="http://schemas.openxmlformats.org/officeDocument/2006/relationships/package" Target="../embeddings/Microsoft_Excel_Worksheet84.xlsx"/></Relationships>
</file>

<file path=word/charts/_rels/chart85.xml.rels><?xml version="1.0" encoding="UTF-8" standalone="yes"?>
<Relationships xmlns="http://schemas.openxmlformats.org/package/2006/relationships"><Relationship Id="rId1" Type="http://schemas.openxmlformats.org/officeDocument/2006/relationships/package" Target="../embeddings/Microsoft_Excel_Worksheet85.xlsx"/></Relationships>
</file>

<file path=word/charts/_rels/chart86.xml.rels><?xml version="1.0" encoding="UTF-8" standalone="yes"?>
<Relationships xmlns="http://schemas.openxmlformats.org/package/2006/relationships"><Relationship Id="rId1" Type="http://schemas.openxmlformats.org/officeDocument/2006/relationships/package" Target="../embeddings/Microsoft_Excel_Worksheet86.xlsx"/></Relationships>
</file>

<file path=word/charts/_rels/chart87.xml.rels><?xml version="1.0" encoding="UTF-8" standalone="yes"?>
<Relationships xmlns="http://schemas.openxmlformats.org/package/2006/relationships"><Relationship Id="rId1" Type="http://schemas.openxmlformats.org/officeDocument/2006/relationships/package" Target="../embeddings/Microsoft_Excel_Worksheet87.xlsx"/></Relationships>
</file>

<file path=word/charts/_rels/chart88.xml.rels><?xml version="1.0" encoding="UTF-8" standalone="yes"?>
<Relationships xmlns="http://schemas.openxmlformats.org/package/2006/relationships"><Relationship Id="rId1" Type="http://schemas.openxmlformats.org/officeDocument/2006/relationships/package" Target="../embeddings/Microsoft_Excel_Worksheet88.xlsx"/></Relationships>
</file>

<file path=word/charts/_rels/chart89.xml.rels><?xml version="1.0" encoding="UTF-8" standalone="yes"?>
<Relationships xmlns="http://schemas.openxmlformats.org/package/2006/relationships"><Relationship Id="rId1" Type="http://schemas.openxmlformats.org/officeDocument/2006/relationships/package" Target="../embeddings/Microsoft_Excel_Worksheet89.xlsx"/></Relationships>
</file>

<file path=word/charts/_rels/chart90.xml.rels><?xml version="1.0" encoding="UTF-8" standalone="yes"?>
<Relationships xmlns="http://schemas.openxmlformats.org/package/2006/relationships"><Relationship Id="rId1" Type="http://schemas.openxmlformats.org/officeDocument/2006/relationships/package" Target="../embeddings/Microsoft_Excel_Worksheet90.xlsx"/></Relationships>
</file>

<file path=word/charts/_rels/chart91.xml.rels><?xml version="1.0" encoding="UTF-8" standalone="yes"?>
<Relationships xmlns="http://schemas.openxmlformats.org/package/2006/relationships"><Relationship Id="rId1" Type="http://schemas.openxmlformats.org/officeDocument/2006/relationships/package" Target="../embeddings/Microsoft_Excel_Worksheet91.xlsx"/></Relationships>
</file>

<file path=word/charts/_rels/chart92.xml.rels><?xml version="1.0" encoding="UTF-8" standalone="yes"?>
<Relationships xmlns="http://schemas.openxmlformats.org/package/2006/relationships"><Relationship Id="rId1" Type="http://schemas.openxmlformats.org/officeDocument/2006/relationships/package" Target="../embeddings/Microsoft_Excel_Worksheet92.xlsx"/></Relationships>
</file>

<file path=word/charts/_rels/chart93.xml.rels><?xml version="1.0" encoding="UTF-8" standalone="yes"?>
<Relationships xmlns="http://schemas.openxmlformats.org/package/2006/relationships"><Relationship Id="rId1" Type="http://schemas.openxmlformats.org/officeDocument/2006/relationships/package" Target="../embeddings/Microsoft_Excel_Worksheet93.xlsx"/></Relationships>
</file>

<file path=word/charts/_rels/chart94.xml.rels><?xml version="1.0" encoding="UTF-8" standalone="yes"?>
<Relationships xmlns="http://schemas.openxmlformats.org/package/2006/relationships"><Relationship Id="rId1" Type="http://schemas.openxmlformats.org/officeDocument/2006/relationships/package" Target="../embeddings/Microsoft_Excel_Worksheet94.xlsx"/></Relationships>
</file>

<file path=word/charts/_rels/chart95.xml.rels><?xml version="1.0" encoding="UTF-8" standalone="yes"?>
<Relationships xmlns="http://schemas.openxmlformats.org/package/2006/relationships"><Relationship Id="rId1" Type="http://schemas.openxmlformats.org/officeDocument/2006/relationships/package" Target="../embeddings/Microsoft_Excel_Worksheet95.xlsx"/></Relationships>
</file>

<file path=word/charts/_rels/chart96.xml.rels><?xml version="1.0" encoding="UTF-8" standalone="yes"?>
<Relationships xmlns="http://schemas.openxmlformats.org/package/2006/relationships"><Relationship Id="rId1" Type="http://schemas.openxmlformats.org/officeDocument/2006/relationships/package" Target="../embeddings/Microsoft_Excel_Worksheet96.xlsx"/></Relationships>
</file>

<file path=word/charts/_rels/chart97.xml.rels><?xml version="1.0" encoding="UTF-8" standalone="yes"?>
<Relationships xmlns="http://schemas.openxmlformats.org/package/2006/relationships"><Relationship Id="rId1" Type="http://schemas.openxmlformats.org/officeDocument/2006/relationships/package" Target="../embeddings/Microsoft_Excel_Worksheet97.xlsx"/></Relationships>
</file>

<file path=word/charts/_rels/chart98.xml.rels><?xml version="1.0" encoding="UTF-8" standalone="yes"?>
<Relationships xmlns="http://schemas.openxmlformats.org/package/2006/relationships"><Relationship Id="rId1" Type="http://schemas.openxmlformats.org/officeDocument/2006/relationships/package" Target="../embeddings/Microsoft_Excel_Worksheet98.xlsx"/></Relationships>
</file>

<file path=word/charts/_rels/chart99.xml.rels><?xml version="1.0" encoding="UTF-8" standalone="yes"?>
<Relationships xmlns="http://schemas.openxmlformats.org/package/2006/relationships"><Relationship Id="rId1" Type="http://schemas.openxmlformats.org/officeDocument/2006/relationships/package" Target="../embeddings/Microsoft_Excel_Worksheet99.xlsx"/></Relationships>
</file>

<file path=word/charts/_rels/chart100.xml.rels><?xml version="1.0" encoding="UTF-8" standalone="yes"?>
<Relationships xmlns="http://schemas.openxmlformats.org/package/2006/relationships"><Relationship Id="rId1" Type="http://schemas.openxmlformats.org/officeDocument/2006/relationships/package" Target="../embeddings/Microsoft_Excel_Worksheet100.xlsx"/></Relationships>
</file>

<file path=word/charts/_rels/chart101.xml.rels><?xml version="1.0" encoding="UTF-8" standalone="yes"?>
<Relationships xmlns="http://schemas.openxmlformats.org/package/2006/relationships"><Relationship Id="rId1" Type="http://schemas.openxmlformats.org/officeDocument/2006/relationships/package" Target="../embeddings/Microsoft_Excel_Worksheet101.xlsx"/></Relationships>
</file>

<file path=word/charts/_rels/chart102.xml.rels><?xml version="1.0" encoding="UTF-8" standalone="yes"?>
<Relationships xmlns="http://schemas.openxmlformats.org/package/2006/relationships"><Relationship Id="rId1" Type="http://schemas.openxmlformats.org/officeDocument/2006/relationships/package" Target="../embeddings/Microsoft_Excel_Worksheet102.xlsx"/></Relationships>
</file>

<file path=word/charts/_rels/chart103.xml.rels><?xml version="1.0" encoding="UTF-8" standalone="yes"?>
<Relationships xmlns="http://schemas.openxmlformats.org/package/2006/relationships"><Relationship Id="rId1" Type="http://schemas.openxmlformats.org/officeDocument/2006/relationships/package" Target="../embeddings/Microsoft_Excel_Worksheet103.xlsx"/></Relationships>
</file>

<file path=word/charts/_rels/chart104.xml.rels><?xml version="1.0" encoding="UTF-8" standalone="yes"?>
<Relationships xmlns="http://schemas.openxmlformats.org/package/2006/relationships"><Relationship Id="rId1" Type="http://schemas.openxmlformats.org/officeDocument/2006/relationships/package" Target="../embeddings/Microsoft_Excel_Worksheet104.xlsx"/></Relationships>
</file>

<file path=word/charts/_rels/chart105.xml.rels><?xml version="1.0" encoding="UTF-8" standalone="yes"?>
<Relationships xmlns="http://schemas.openxmlformats.org/package/2006/relationships"><Relationship Id="rId1" Type="http://schemas.openxmlformats.org/officeDocument/2006/relationships/package" Target="../embeddings/Microsoft_Excel_Worksheet105.xlsx"/></Relationships>
</file>

<file path=word/charts/_rels/chart106.xml.rels><?xml version="1.0" encoding="UTF-8" standalone="yes"?>
<Relationships xmlns="http://schemas.openxmlformats.org/package/2006/relationships"><Relationship Id="rId1" Type="http://schemas.openxmlformats.org/officeDocument/2006/relationships/package" Target="../embeddings/Microsoft_Excel_Worksheet106.xlsx"/></Relationships>
</file>

<file path=word/charts/_rels/chart107.xml.rels><?xml version="1.0" encoding="UTF-8" standalone="yes"?>
<Relationships xmlns="http://schemas.openxmlformats.org/package/2006/relationships"><Relationship Id="rId1" Type="http://schemas.openxmlformats.org/officeDocument/2006/relationships/package" Target="../embeddings/Microsoft_Excel_Worksheet107.xlsx"/></Relationships>
</file>

<file path=word/charts/_rels/chart108.xml.rels><?xml version="1.0" encoding="UTF-8" standalone="yes"?>
<Relationships xmlns="http://schemas.openxmlformats.org/package/2006/relationships"><Relationship Id="rId1" Type="http://schemas.openxmlformats.org/officeDocument/2006/relationships/package" Target="../embeddings/Microsoft_Excel_Worksheet108.xlsx"/></Relationships>
</file>

<file path=word/charts/_rels/chart109.xml.rels><?xml version="1.0" encoding="UTF-8" standalone="yes"?>
<Relationships xmlns="http://schemas.openxmlformats.org/package/2006/relationships"><Relationship Id="rId1" Type="http://schemas.openxmlformats.org/officeDocument/2006/relationships/package" Target="../embeddings/Microsoft_Excel_Worksheet109.xlsx"/></Relationships>
</file>

<file path=word/charts/_rels/chart110.xml.rels><?xml version="1.0" encoding="UTF-8" standalone="yes"?>
<Relationships xmlns="http://schemas.openxmlformats.org/package/2006/relationships"><Relationship Id="rId1" Type="http://schemas.openxmlformats.org/officeDocument/2006/relationships/package" Target="../embeddings/Microsoft_Excel_Worksheet110.xlsx"/></Relationships>
</file>

<file path=word/charts/_rels/chart111.xml.rels><?xml version="1.0" encoding="UTF-8" standalone="yes"?>
<Relationships xmlns="http://schemas.openxmlformats.org/package/2006/relationships"><Relationship Id="rId1" Type="http://schemas.openxmlformats.org/officeDocument/2006/relationships/package" Target="../embeddings/Microsoft_Excel_Worksheet111.xlsx"/></Relationships>
</file>

<file path=word/charts/_rels/chart112.xml.rels><?xml version="1.0" encoding="UTF-8" standalone="yes"?>
<Relationships xmlns="http://schemas.openxmlformats.org/package/2006/relationships"><Relationship Id="rId1" Type="http://schemas.openxmlformats.org/officeDocument/2006/relationships/package" Target="../embeddings/Microsoft_Excel_Worksheet112.xlsx"/></Relationships>
</file>

<file path=word/charts/_rels/chart113.xml.rels><?xml version="1.0" encoding="UTF-8" standalone="yes"?>
<Relationships xmlns="http://schemas.openxmlformats.org/package/2006/relationships"><Relationship Id="rId1" Type="http://schemas.openxmlformats.org/officeDocument/2006/relationships/package" Target="../embeddings/Microsoft_Excel_Worksheet113.xlsx"/></Relationships>
</file>

<file path=word/charts/_rels/chart114.xml.rels><?xml version="1.0" encoding="UTF-8" standalone="yes"?>
<Relationships xmlns="http://schemas.openxmlformats.org/package/2006/relationships"><Relationship Id="rId1" Type="http://schemas.openxmlformats.org/officeDocument/2006/relationships/package" Target="../embeddings/Microsoft_Excel_Worksheet114.xlsx"/></Relationships>
</file>

<file path=word/charts/_rels/chart115.xml.rels><?xml version="1.0" encoding="UTF-8" standalone="yes"?>
<Relationships xmlns="http://schemas.openxmlformats.org/package/2006/relationships"><Relationship Id="rId1" Type="http://schemas.openxmlformats.org/officeDocument/2006/relationships/package" Target="../embeddings/Microsoft_Excel_Worksheet115.xlsx"/></Relationships>
</file>

<file path=word/charts/_rels/chart116.xml.rels><?xml version="1.0" encoding="UTF-8" standalone="yes"?>
<Relationships xmlns="http://schemas.openxmlformats.org/package/2006/relationships"><Relationship Id="rId1" Type="http://schemas.openxmlformats.org/officeDocument/2006/relationships/package" Target="../embeddings/Microsoft_Excel_Worksheet116.xlsx"/></Relationships>
</file>

<file path=word/charts/_rels/chart117.xml.rels><?xml version="1.0" encoding="UTF-8" standalone="yes"?>
<Relationships xmlns="http://schemas.openxmlformats.org/package/2006/relationships"><Relationship Id="rId1" Type="http://schemas.openxmlformats.org/officeDocument/2006/relationships/package" Target="../embeddings/Microsoft_Excel_Worksheet117.xlsx"/></Relationships>
</file>

<file path=word/charts/_rels/chart118.xml.rels><?xml version="1.0" encoding="UTF-8" standalone="yes"?>
<Relationships xmlns="http://schemas.openxmlformats.org/package/2006/relationships"><Relationship Id="rId1" Type="http://schemas.openxmlformats.org/officeDocument/2006/relationships/package" Target="../embeddings/Microsoft_Excel_Worksheet118.xlsx"/></Relationships>
</file>

<file path=word/charts/_rels/chart119.xml.rels><?xml version="1.0" encoding="UTF-8" standalone="yes"?>
<Relationships xmlns="http://schemas.openxmlformats.org/package/2006/relationships"><Relationship Id="rId1" Type="http://schemas.openxmlformats.org/officeDocument/2006/relationships/package" Target="../embeddings/Microsoft_Excel_Worksheet119.xlsx"/></Relationships>
</file>

<file path=word/charts/_rels/chart120.xml.rels><?xml version="1.0" encoding="UTF-8" standalone="yes"?>
<Relationships xmlns="http://schemas.openxmlformats.org/package/2006/relationships"><Relationship Id="rId1" Type="http://schemas.openxmlformats.org/officeDocument/2006/relationships/package" Target="../embeddings/Microsoft_Excel_Worksheet12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7.0000000000000007E-2</c:v>
                </c:pt>
                <c:pt idx="1">
                  <c:v>-0.37</c:v>
                </c:pt>
                <c:pt idx="2">
                  <c:v>-0.37</c:v>
                </c:pt>
              </c:numCache>
            </c:numRef>
          </c:val>
        </c:ser>
        <c:dLbls>
          <c:showLegendKey val="0"/>
          <c:showVal val="0"/>
          <c:showCatName val="0"/>
          <c:showSerName val="0"/>
          <c:showPercent val="0"/>
          <c:showBubbleSize val="0"/>
        </c:dLbls>
        <c:gapWidth val="150"/>
        <c:axId val="166279040"/>
        <c:axId val="2696320"/>
      </c:barChart>
      <c:catAx>
        <c:axId val="166279040"/>
        <c:scaling>
          <c:orientation val="minMax"/>
        </c:scaling>
        <c:delete val="0"/>
        <c:axPos val="b"/>
        <c:numFmt formatCode="General" sourceLinked="1"/>
        <c:majorTickMark val="out"/>
        <c:minorTickMark val="none"/>
        <c:tickLblPos val="nextTo"/>
        <c:txPr>
          <a:bodyPr/>
          <a:lstStyle/>
          <a:p>
            <a:pPr>
              <a:defRPr b="1"/>
            </a:pPr>
            <a:endParaRPr lang="en-US"/>
          </a:p>
        </c:txPr>
        <c:crossAx val="2696320"/>
        <c:crosses val="autoZero"/>
        <c:auto val="1"/>
        <c:lblAlgn val="ctr"/>
        <c:lblOffset val="100"/>
        <c:noMultiLvlLbl val="0"/>
      </c:catAx>
      <c:valAx>
        <c:axId val="2696320"/>
        <c:scaling>
          <c:orientation val="minMax"/>
        </c:scaling>
        <c:delete val="0"/>
        <c:axPos val="l"/>
        <c:majorGridlines/>
        <c:numFmt formatCode="General" sourceLinked="1"/>
        <c:majorTickMark val="out"/>
        <c:minorTickMark val="none"/>
        <c:tickLblPos val="nextTo"/>
        <c:crossAx val="166279040"/>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6.74</c:v>
                </c:pt>
                <c:pt idx="1">
                  <c:v>-37.159999999999997</c:v>
                </c:pt>
                <c:pt idx="2">
                  <c:v>-36.81</c:v>
                </c:pt>
              </c:numCache>
            </c:numRef>
          </c:val>
        </c:ser>
        <c:dLbls>
          <c:showLegendKey val="0"/>
          <c:showVal val="0"/>
          <c:showCatName val="0"/>
          <c:showSerName val="0"/>
          <c:showPercent val="0"/>
          <c:showBubbleSize val="0"/>
        </c:dLbls>
        <c:gapWidth val="150"/>
        <c:axId val="2713472"/>
        <c:axId val="2715008"/>
      </c:barChart>
      <c:catAx>
        <c:axId val="2713472"/>
        <c:scaling>
          <c:orientation val="minMax"/>
        </c:scaling>
        <c:delete val="0"/>
        <c:axPos val="b"/>
        <c:numFmt formatCode="General" sourceLinked="1"/>
        <c:majorTickMark val="out"/>
        <c:minorTickMark val="none"/>
        <c:tickLblPos val="nextTo"/>
        <c:txPr>
          <a:bodyPr/>
          <a:lstStyle/>
          <a:p>
            <a:pPr>
              <a:defRPr b="1"/>
            </a:pPr>
            <a:endParaRPr lang="en-US"/>
          </a:p>
        </c:txPr>
        <c:crossAx val="2715008"/>
        <c:crosses val="autoZero"/>
        <c:auto val="1"/>
        <c:lblAlgn val="ctr"/>
        <c:lblOffset val="100"/>
        <c:noMultiLvlLbl val="0"/>
      </c:catAx>
      <c:valAx>
        <c:axId val="2715008"/>
        <c:scaling>
          <c:orientation val="minMax"/>
        </c:scaling>
        <c:delete val="0"/>
        <c:axPos val="l"/>
        <c:majorGridlines/>
        <c:numFmt formatCode="General" sourceLinked="1"/>
        <c:majorTickMark val="out"/>
        <c:minorTickMark val="none"/>
        <c:tickLblPos val="nextTo"/>
        <c:crossAx val="271347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6.74</c:v>
                </c:pt>
                <c:pt idx="1">
                  <c:v>-37.159999999999997</c:v>
                </c:pt>
                <c:pt idx="2">
                  <c:v>-36.81</c:v>
                </c:pt>
              </c:numCache>
            </c:numRef>
          </c:val>
        </c:ser>
        <c:dLbls>
          <c:showLegendKey val="0"/>
          <c:showVal val="0"/>
          <c:showCatName val="0"/>
          <c:showSerName val="0"/>
          <c:showPercent val="0"/>
          <c:showBubbleSize val="0"/>
        </c:dLbls>
        <c:gapWidth val="150"/>
        <c:axId val="2691072"/>
        <c:axId val="2692608"/>
      </c:barChart>
      <c:catAx>
        <c:axId val="2691072"/>
        <c:scaling>
          <c:orientation val="minMax"/>
        </c:scaling>
        <c:delete val="0"/>
        <c:axPos val="b"/>
        <c:numFmt formatCode="General" sourceLinked="1"/>
        <c:majorTickMark val="out"/>
        <c:minorTickMark val="none"/>
        <c:tickLblPos val="nextTo"/>
        <c:txPr>
          <a:bodyPr/>
          <a:lstStyle/>
          <a:p>
            <a:pPr>
              <a:defRPr b="1"/>
            </a:pPr>
            <a:endParaRPr lang="en-US"/>
          </a:p>
        </c:txPr>
        <c:crossAx val="2692608"/>
        <c:crosses val="autoZero"/>
        <c:auto val="1"/>
        <c:lblAlgn val="ctr"/>
        <c:lblOffset val="100"/>
        <c:noMultiLvlLbl val="0"/>
      </c:catAx>
      <c:valAx>
        <c:axId val="2692608"/>
        <c:scaling>
          <c:orientation val="minMax"/>
        </c:scaling>
        <c:delete val="0"/>
        <c:axPos val="l"/>
        <c:majorGridlines/>
        <c:numFmt formatCode="General" sourceLinked="1"/>
        <c:majorTickMark val="out"/>
        <c:minorTickMark val="none"/>
        <c:tickLblPos val="nextTo"/>
        <c:crossAx val="2691072"/>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7"/>
              <c:layout>
                <c:manualLayout>
                  <c:x val="3.9351851851851853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6.1000000000000004E-3</c:v>
                </c:pt>
                <c:pt idx="1">
                  <c:v>-4.1000000000000003E-3</c:v>
                </c:pt>
                <c:pt idx="2">
                  <c:v>-2.0999999999999999E-3</c:v>
                </c:pt>
                <c:pt idx="3">
                  <c:v>-5.8999999999999999E-3</c:v>
                </c:pt>
                <c:pt idx="4">
                  <c:v>3.3E-3</c:v>
                </c:pt>
                <c:pt idx="5">
                  <c:v>-1.6000000000000001E-3</c:v>
                </c:pt>
                <c:pt idx="6">
                  <c:v>-8.8000000000000005E-3</c:v>
                </c:pt>
                <c:pt idx="7">
                  <c:v>-8.9999999999999998E-4</c:v>
                </c:pt>
                <c:pt idx="8">
                  <c:v>-4.0000000000000001E-3</c:v>
                </c:pt>
                <c:pt idx="9">
                  <c:v>-3.0999999999999999E-3</c:v>
                </c:pt>
                <c:pt idx="10">
                  <c:v>0</c:v>
                </c:pt>
                <c:pt idx="11">
                  <c:v>0</c:v>
                </c:pt>
              </c:numCache>
            </c:numRef>
          </c:val>
        </c:ser>
        <c:dLbls>
          <c:showLegendKey val="0"/>
          <c:showVal val="1"/>
          <c:showCatName val="0"/>
          <c:showSerName val="0"/>
          <c:showPercent val="0"/>
          <c:showBubbleSize val="0"/>
        </c:dLbls>
        <c:gapWidth val="75"/>
        <c:axId val="114668288"/>
        <c:axId val="114670976"/>
      </c:barChart>
      <c:catAx>
        <c:axId val="11466828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14670976"/>
        <c:crosses val="autoZero"/>
        <c:auto val="1"/>
        <c:lblAlgn val="ctr"/>
        <c:lblOffset val="100"/>
        <c:noMultiLvlLbl val="0"/>
      </c:catAx>
      <c:valAx>
        <c:axId val="114670976"/>
        <c:scaling>
          <c:orientation val="minMax"/>
        </c:scaling>
        <c:delete val="0"/>
        <c:axPos val="b"/>
        <c:numFmt formatCode="0.00%" sourceLinked="1"/>
        <c:majorTickMark val="none"/>
        <c:minorTickMark val="none"/>
        <c:tickLblPos val="nextTo"/>
        <c:crossAx val="11466828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2.25</c:v>
                </c:pt>
                <c:pt idx="1">
                  <c:v>1.32</c:v>
                </c:pt>
                <c:pt idx="2">
                  <c:v>1.24</c:v>
                </c:pt>
              </c:numCache>
            </c:numRef>
          </c:val>
        </c:ser>
        <c:dLbls>
          <c:showLegendKey val="0"/>
          <c:showVal val="0"/>
          <c:showCatName val="0"/>
          <c:showSerName val="0"/>
          <c:showPercent val="0"/>
          <c:showBubbleSize val="0"/>
        </c:dLbls>
        <c:gapWidth val="150"/>
        <c:axId val="125533568"/>
        <c:axId val="125535360"/>
      </c:barChart>
      <c:catAx>
        <c:axId val="125533568"/>
        <c:scaling>
          <c:orientation val="minMax"/>
        </c:scaling>
        <c:delete val="0"/>
        <c:axPos val="b"/>
        <c:numFmt formatCode="General" sourceLinked="1"/>
        <c:majorTickMark val="out"/>
        <c:minorTickMark val="none"/>
        <c:tickLblPos val="nextTo"/>
        <c:txPr>
          <a:bodyPr/>
          <a:lstStyle/>
          <a:p>
            <a:pPr>
              <a:defRPr b="1"/>
            </a:pPr>
            <a:endParaRPr lang="en-US"/>
          </a:p>
        </c:txPr>
        <c:crossAx val="125535360"/>
        <c:crosses val="autoZero"/>
        <c:auto val="1"/>
        <c:lblAlgn val="ctr"/>
        <c:lblOffset val="100"/>
        <c:noMultiLvlLbl val="0"/>
      </c:catAx>
      <c:valAx>
        <c:axId val="125535360"/>
        <c:scaling>
          <c:orientation val="minMax"/>
        </c:scaling>
        <c:delete val="0"/>
        <c:axPos val="l"/>
        <c:majorGridlines/>
        <c:numFmt formatCode="General" sourceLinked="1"/>
        <c:majorTickMark val="out"/>
        <c:minorTickMark val="none"/>
        <c:tickLblPos val="nextTo"/>
        <c:crossAx val="125533568"/>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24.86</c:v>
                </c:pt>
                <c:pt idx="1">
                  <c:v>-11.48</c:v>
                </c:pt>
                <c:pt idx="2">
                  <c:v>-22.7</c:v>
                </c:pt>
              </c:numCache>
            </c:numRef>
          </c:val>
        </c:ser>
        <c:dLbls>
          <c:showLegendKey val="0"/>
          <c:showVal val="0"/>
          <c:showCatName val="0"/>
          <c:showSerName val="0"/>
          <c:showPercent val="0"/>
          <c:showBubbleSize val="0"/>
        </c:dLbls>
        <c:gapWidth val="150"/>
        <c:axId val="2705280"/>
        <c:axId val="2706816"/>
      </c:barChart>
      <c:catAx>
        <c:axId val="2705280"/>
        <c:scaling>
          <c:orientation val="minMax"/>
        </c:scaling>
        <c:delete val="0"/>
        <c:axPos val="b"/>
        <c:numFmt formatCode="General" sourceLinked="1"/>
        <c:majorTickMark val="out"/>
        <c:minorTickMark val="none"/>
        <c:tickLblPos val="nextTo"/>
        <c:txPr>
          <a:bodyPr/>
          <a:lstStyle/>
          <a:p>
            <a:pPr>
              <a:defRPr b="1"/>
            </a:pPr>
            <a:endParaRPr lang="en-US"/>
          </a:p>
        </c:txPr>
        <c:crossAx val="2706816"/>
        <c:crosses val="autoZero"/>
        <c:auto val="1"/>
        <c:lblAlgn val="ctr"/>
        <c:lblOffset val="100"/>
        <c:noMultiLvlLbl val="0"/>
      </c:catAx>
      <c:valAx>
        <c:axId val="2706816"/>
        <c:scaling>
          <c:orientation val="minMax"/>
        </c:scaling>
        <c:delete val="0"/>
        <c:axPos val="l"/>
        <c:majorGridlines/>
        <c:numFmt formatCode="General" sourceLinked="1"/>
        <c:majorTickMark val="out"/>
        <c:minorTickMark val="none"/>
        <c:tickLblPos val="nextTo"/>
        <c:crossAx val="270528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24.86</c:v>
                </c:pt>
                <c:pt idx="1">
                  <c:v>-11.48</c:v>
                </c:pt>
                <c:pt idx="2">
                  <c:v>-22.7</c:v>
                </c:pt>
              </c:numCache>
            </c:numRef>
          </c:val>
        </c:ser>
        <c:dLbls>
          <c:showLegendKey val="0"/>
          <c:showVal val="0"/>
          <c:showCatName val="0"/>
          <c:showSerName val="0"/>
          <c:showPercent val="0"/>
          <c:showBubbleSize val="0"/>
        </c:dLbls>
        <c:gapWidth val="150"/>
        <c:axId val="125607936"/>
        <c:axId val="125609472"/>
      </c:barChart>
      <c:catAx>
        <c:axId val="125607936"/>
        <c:scaling>
          <c:orientation val="minMax"/>
        </c:scaling>
        <c:delete val="0"/>
        <c:axPos val="b"/>
        <c:numFmt formatCode="General" sourceLinked="1"/>
        <c:majorTickMark val="out"/>
        <c:minorTickMark val="none"/>
        <c:tickLblPos val="nextTo"/>
        <c:txPr>
          <a:bodyPr/>
          <a:lstStyle/>
          <a:p>
            <a:pPr>
              <a:defRPr b="1"/>
            </a:pPr>
            <a:endParaRPr lang="en-US"/>
          </a:p>
        </c:txPr>
        <c:crossAx val="125609472"/>
        <c:crosses val="autoZero"/>
        <c:auto val="1"/>
        <c:lblAlgn val="ctr"/>
        <c:lblOffset val="100"/>
        <c:noMultiLvlLbl val="0"/>
      </c:catAx>
      <c:valAx>
        <c:axId val="125609472"/>
        <c:scaling>
          <c:orientation val="minMax"/>
        </c:scaling>
        <c:delete val="0"/>
        <c:axPos val="l"/>
        <c:majorGridlines/>
        <c:numFmt formatCode="General" sourceLinked="1"/>
        <c:majorTickMark val="out"/>
        <c:minorTickMark val="none"/>
        <c:tickLblPos val="nextTo"/>
        <c:crossAx val="12560793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7"/>
              <c:layout>
                <c:manualLayout>
                  <c:x val="3.9351851851851853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9.2999999999999992E-3</c:v>
                </c:pt>
                <c:pt idx="1">
                  <c:v>-3.8E-3</c:v>
                </c:pt>
                <c:pt idx="2">
                  <c:v>-4.7999999999999996E-3</c:v>
                </c:pt>
                <c:pt idx="3">
                  <c:v>1.6000000000000001E-3</c:v>
                </c:pt>
                <c:pt idx="4">
                  <c:v>-6.7000000000000002E-3</c:v>
                </c:pt>
                <c:pt idx="5">
                  <c:v>4.0000000000000002E-4</c:v>
                </c:pt>
                <c:pt idx="6">
                  <c:v>1.2999999999999999E-3</c:v>
                </c:pt>
                <c:pt idx="7">
                  <c:v>5.0000000000000001E-4</c:v>
                </c:pt>
                <c:pt idx="8">
                  <c:v>3.0999999999999999E-3</c:v>
                </c:pt>
                <c:pt idx="9">
                  <c:v>-5.0000000000000001E-3</c:v>
                </c:pt>
                <c:pt idx="10">
                  <c:v>-3.3999999999999998E-3</c:v>
                </c:pt>
                <c:pt idx="11">
                  <c:v>1.5E-3</c:v>
                </c:pt>
              </c:numCache>
            </c:numRef>
          </c:val>
        </c:ser>
        <c:dLbls>
          <c:showLegendKey val="0"/>
          <c:showVal val="1"/>
          <c:showCatName val="0"/>
          <c:showSerName val="0"/>
          <c:showPercent val="0"/>
          <c:showBubbleSize val="0"/>
        </c:dLbls>
        <c:gapWidth val="75"/>
        <c:axId val="125960960"/>
        <c:axId val="125963648"/>
      </c:barChart>
      <c:catAx>
        <c:axId val="125960960"/>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5963648"/>
        <c:crosses val="autoZero"/>
        <c:auto val="1"/>
        <c:lblAlgn val="ctr"/>
        <c:lblOffset val="100"/>
        <c:noMultiLvlLbl val="0"/>
      </c:catAx>
      <c:valAx>
        <c:axId val="125963648"/>
        <c:scaling>
          <c:orientation val="minMax"/>
        </c:scaling>
        <c:delete val="0"/>
        <c:axPos val="b"/>
        <c:numFmt formatCode="0.00%" sourceLinked="1"/>
        <c:majorTickMark val="none"/>
        <c:minorTickMark val="none"/>
        <c:tickLblPos val="nextTo"/>
        <c:crossAx val="125960960"/>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0.33</c:v>
                </c:pt>
                <c:pt idx="1">
                  <c:v>-7.0000000000000007E-2</c:v>
                </c:pt>
                <c:pt idx="2">
                  <c:v>0.02</c:v>
                </c:pt>
              </c:numCache>
            </c:numRef>
          </c:val>
        </c:ser>
        <c:dLbls>
          <c:showLegendKey val="0"/>
          <c:showVal val="0"/>
          <c:showCatName val="0"/>
          <c:showSerName val="0"/>
          <c:showPercent val="0"/>
          <c:showBubbleSize val="0"/>
        </c:dLbls>
        <c:gapWidth val="150"/>
        <c:axId val="125627776"/>
        <c:axId val="126018688"/>
      </c:barChart>
      <c:catAx>
        <c:axId val="125627776"/>
        <c:scaling>
          <c:orientation val="minMax"/>
        </c:scaling>
        <c:delete val="0"/>
        <c:axPos val="b"/>
        <c:numFmt formatCode="General" sourceLinked="1"/>
        <c:majorTickMark val="out"/>
        <c:minorTickMark val="none"/>
        <c:tickLblPos val="nextTo"/>
        <c:txPr>
          <a:bodyPr/>
          <a:lstStyle/>
          <a:p>
            <a:pPr>
              <a:defRPr b="1"/>
            </a:pPr>
            <a:endParaRPr lang="en-US"/>
          </a:p>
        </c:txPr>
        <c:crossAx val="126018688"/>
        <c:crosses val="autoZero"/>
        <c:auto val="1"/>
        <c:lblAlgn val="ctr"/>
        <c:lblOffset val="100"/>
        <c:noMultiLvlLbl val="0"/>
      </c:catAx>
      <c:valAx>
        <c:axId val="126018688"/>
        <c:scaling>
          <c:orientation val="minMax"/>
        </c:scaling>
        <c:delete val="0"/>
        <c:axPos val="l"/>
        <c:majorGridlines/>
        <c:numFmt formatCode="General" sourceLinked="1"/>
        <c:majorTickMark val="out"/>
        <c:minorTickMark val="none"/>
        <c:tickLblPos val="nextTo"/>
        <c:crossAx val="125627776"/>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32.700000000000003</c:v>
                </c:pt>
                <c:pt idx="1">
                  <c:v>-6.95</c:v>
                </c:pt>
                <c:pt idx="2">
                  <c:v>2.19</c:v>
                </c:pt>
              </c:numCache>
            </c:numRef>
          </c:val>
        </c:ser>
        <c:dLbls>
          <c:showLegendKey val="0"/>
          <c:showVal val="0"/>
          <c:showCatName val="0"/>
          <c:showSerName val="0"/>
          <c:showPercent val="0"/>
          <c:showBubbleSize val="0"/>
        </c:dLbls>
        <c:gapWidth val="150"/>
        <c:axId val="126117760"/>
        <c:axId val="126119296"/>
      </c:barChart>
      <c:catAx>
        <c:axId val="126117760"/>
        <c:scaling>
          <c:orientation val="minMax"/>
        </c:scaling>
        <c:delete val="0"/>
        <c:axPos val="b"/>
        <c:numFmt formatCode="General" sourceLinked="1"/>
        <c:majorTickMark val="out"/>
        <c:minorTickMark val="none"/>
        <c:tickLblPos val="nextTo"/>
        <c:txPr>
          <a:bodyPr/>
          <a:lstStyle/>
          <a:p>
            <a:pPr>
              <a:defRPr b="1"/>
            </a:pPr>
            <a:endParaRPr lang="en-US"/>
          </a:p>
        </c:txPr>
        <c:crossAx val="126119296"/>
        <c:crosses val="autoZero"/>
        <c:auto val="1"/>
        <c:lblAlgn val="ctr"/>
        <c:lblOffset val="100"/>
        <c:noMultiLvlLbl val="0"/>
      </c:catAx>
      <c:valAx>
        <c:axId val="126119296"/>
        <c:scaling>
          <c:orientation val="minMax"/>
        </c:scaling>
        <c:delete val="0"/>
        <c:axPos val="l"/>
        <c:majorGridlines/>
        <c:numFmt formatCode="General" sourceLinked="1"/>
        <c:majorTickMark val="out"/>
        <c:minorTickMark val="none"/>
        <c:tickLblPos val="nextTo"/>
        <c:crossAx val="126117760"/>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32.700000000000003</c:v>
                </c:pt>
                <c:pt idx="1">
                  <c:v>-6.95</c:v>
                </c:pt>
                <c:pt idx="2">
                  <c:v>2.19</c:v>
                </c:pt>
              </c:numCache>
            </c:numRef>
          </c:val>
        </c:ser>
        <c:dLbls>
          <c:showLegendKey val="0"/>
          <c:showVal val="0"/>
          <c:showCatName val="0"/>
          <c:showSerName val="0"/>
          <c:showPercent val="0"/>
          <c:showBubbleSize val="0"/>
        </c:dLbls>
        <c:gapWidth val="150"/>
        <c:axId val="126242816"/>
        <c:axId val="126244352"/>
      </c:barChart>
      <c:catAx>
        <c:axId val="126242816"/>
        <c:scaling>
          <c:orientation val="minMax"/>
        </c:scaling>
        <c:delete val="0"/>
        <c:axPos val="b"/>
        <c:numFmt formatCode="General" sourceLinked="1"/>
        <c:majorTickMark val="out"/>
        <c:minorTickMark val="none"/>
        <c:tickLblPos val="nextTo"/>
        <c:txPr>
          <a:bodyPr/>
          <a:lstStyle/>
          <a:p>
            <a:pPr>
              <a:defRPr b="1"/>
            </a:pPr>
            <a:endParaRPr lang="en-US"/>
          </a:p>
        </c:txPr>
        <c:crossAx val="126244352"/>
        <c:crosses val="autoZero"/>
        <c:auto val="1"/>
        <c:lblAlgn val="ctr"/>
        <c:lblOffset val="100"/>
        <c:noMultiLvlLbl val="0"/>
      </c:catAx>
      <c:valAx>
        <c:axId val="126244352"/>
        <c:scaling>
          <c:orientation val="minMax"/>
        </c:scaling>
        <c:delete val="0"/>
        <c:axPos val="l"/>
        <c:majorGridlines/>
        <c:numFmt formatCode="General" sourceLinked="1"/>
        <c:majorTickMark val="out"/>
        <c:minorTickMark val="none"/>
        <c:tickLblPos val="nextTo"/>
        <c:crossAx val="12624281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3.5999999999999999E-3</c:v>
                </c:pt>
                <c:pt idx="1">
                  <c:v>-2.7000000000000001E-3</c:v>
                </c:pt>
                <c:pt idx="2">
                  <c:v>4.0000000000000002E-4</c:v>
                </c:pt>
                <c:pt idx="3">
                  <c:v>4.1000000000000003E-3</c:v>
                </c:pt>
                <c:pt idx="4">
                  <c:v>1.0200000000000001E-2</c:v>
                </c:pt>
                <c:pt idx="5">
                  <c:v>-1.01E-2</c:v>
                </c:pt>
                <c:pt idx="6">
                  <c:v>3.3E-3</c:v>
                </c:pt>
                <c:pt idx="7">
                  <c:v>0</c:v>
                </c:pt>
                <c:pt idx="8">
                  <c:v>6.3E-3</c:v>
                </c:pt>
                <c:pt idx="9">
                  <c:v>2.5999999999999999E-3</c:v>
                </c:pt>
                <c:pt idx="10">
                  <c:v>0</c:v>
                </c:pt>
                <c:pt idx="11">
                  <c:v>-6.6E-3</c:v>
                </c:pt>
              </c:numCache>
            </c:numRef>
          </c:val>
        </c:ser>
        <c:dLbls>
          <c:showLegendKey val="0"/>
          <c:showVal val="1"/>
          <c:showCatName val="0"/>
          <c:showSerName val="0"/>
          <c:showPercent val="0"/>
          <c:showBubbleSize val="0"/>
        </c:dLbls>
        <c:gapWidth val="75"/>
        <c:axId val="126256256"/>
        <c:axId val="126259200"/>
      </c:barChart>
      <c:catAx>
        <c:axId val="12625625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6259200"/>
        <c:crosses val="autoZero"/>
        <c:auto val="1"/>
        <c:lblAlgn val="ctr"/>
        <c:lblOffset val="100"/>
        <c:noMultiLvlLbl val="0"/>
      </c:catAx>
      <c:valAx>
        <c:axId val="126259200"/>
        <c:scaling>
          <c:orientation val="minMax"/>
        </c:scaling>
        <c:delete val="0"/>
        <c:axPos val="b"/>
        <c:numFmt formatCode="0.00%" sourceLinked="1"/>
        <c:majorTickMark val="none"/>
        <c:minorTickMark val="none"/>
        <c:tickLblPos val="nextTo"/>
        <c:crossAx val="12625625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1.59</c:v>
                </c:pt>
                <c:pt idx="1">
                  <c:v>-0.06</c:v>
                </c:pt>
                <c:pt idx="2">
                  <c:v>-0.16</c:v>
                </c:pt>
              </c:numCache>
            </c:numRef>
          </c:val>
        </c:ser>
        <c:dLbls>
          <c:showLegendKey val="0"/>
          <c:showVal val="0"/>
          <c:showCatName val="0"/>
          <c:showSerName val="0"/>
          <c:showPercent val="0"/>
          <c:showBubbleSize val="0"/>
        </c:dLbls>
        <c:gapWidth val="150"/>
        <c:axId val="126009344"/>
        <c:axId val="126010880"/>
      </c:barChart>
      <c:catAx>
        <c:axId val="126009344"/>
        <c:scaling>
          <c:orientation val="minMax"/>
        </c:scaling>
        <c:delete val="0"/>
        <c:axPos val="b"/>
        <c:numFmt formatCode="General" sourceLinked="1"/>
        <c:majorTickMark val="out"/>
        <c:minorTickMark val="none"/>
        <c:tickLblPos val="nextTo"/>
        <c:txPr>
          <a:bodyPr/>
          <a:lstStyle/>
          <a:p>
            <a:pPr>
              <a:defRPr b="1"/>
            </a:pPr>
            <a:endParaRPr lang="en-US"/>
          </a:p>
        </c:txPr>
        <c:crossAx val="126010880"/>
        <c:crosses val="autoZero"/>
        <c:auto val="1"/>
        <c:lblAlgn val="ctr"/>
        <c:lblOffset val="100"/>
        <c:noMultiLvlLbl val="0"/>
      </c:catAx>
      <c:valAx>
        <c:axId val="126010880"/>
        <c:scaling>
          <c:orientation val="minMax"/>
        </c:scaling>
        <c:delete val="0"/>
        <c:axPos val="l"/>
        <c:majorGridlines/>
        <c:numFmt formatCode="General" sourceLinked="1"/>
        <c:majorTickMark val="out"/>
        <c:minorTickMark val="none"/>
        <c:tickLblPos val="nextTo"/>
        <c:crossAx val="126009344"/>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92.11</c:v>
                </c:pt>
                <c:pt idx="1">
                  <c:v>-6.11</c:v>
                </c:pt>
                <c:pt idx="2">
                  <c:v>-16.350000000000001</c:v>
                </c:pt>
              </c:numCache>
            </c:numRef>
          </c:val>
        </c:ser>
        <c:dLbls>
          <c:showLegendKey val="0"/>
          <c:showVal val="0"/>
          <c:showCatName val="0"/>
          <c:showSerName val="0"/>
          <c:showPercent val="0"/>
          <c:showBubbleSize val="0"/>
        </c:dLbls>
        <c:gapWidth val="150"/>
        <c:axId val="126269696"/>
        <c:axId val="126427136"/>
      </c:barChart>
      <c:catAx>
        <c:axId val="126269696"/>
        <c:scaling>
          <c:orientation val="minMax"/>
        </c:scaling>
        <c:delete val="0"/>
        <c:axPos val="b"/>
        <c:numFmt formatCode="General" sourceLinked="1"/>
        <c:majorTickMark val="out"/>
        <c:minorTickMark val="none"/>
        <c:tickLblPos val="nextTo"/>
        <c:txPr>
          <a:bodyPr/>
          <a:lstStyle/>
          <a:p>
            <a:pPr>
              <a:defRPr b="1"/>
            </a:pPr>
            <a:endParaRPr lang="en-US"/>
          </a:p>
        </c:txPr>
        <c:crossAx val="126427136"/>
        <c:crosses val="autoZero"/>
        <c:auto val="1"/>
        <c:lblAlgn val="ctr"/>
        <c:lblOffset val="100"/>
        <c:noMultiLvlLbl val="0"/>
      </c:catAx>
      <c:valAx>
        <c:axId val="126427136"/>
        <c:scaling>
          <c:orientation val="minMax"/>
        </c:scaling>
        <c:delete val="0"/>
        <c:axPos val="l"/>
        <c:majorGridlines/>
        <c:numFmt formatCode="General" sourceLinked="1"/>
        <c:majorTickMark val="out"/>
        <c:minorTickMark val="none"/>
        <c:tickLblPos val="nextTo"/>
        <c:crossAx val="126269696"/>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92.11</c:v>
                </c:pt>
                <c:pt idx="1">
                  <c:v>-6.11</c:v>
                </c:pt>
                <c:pt idx="2">
                  <c:v>-16.350000000000001</c:v>
                </c:pt>
              </c:numCache>
            </c:numRef>
          </c:val>
        </c:ser>
        <c:dLbls>
          <c:showLegendKey val="0"/>
          <c:showVal val="0"/>
          <c:showCatName val="0"/>
          <c:showSerName val="0"/>
          <c:showPercent val="0"/>
          <c:showBubbleSize val="0"/>
        </c:dLbls>
        <c:gapWidth val="150"/>
        <c:axId val="126435712"/>
        <c:axId val="126437248"/>
      </c:barChart>
      <c:catAx>
        <c:axId val="126435712"/>
        <c:scaling>
          <c:orientation val="minMax"/>
        </c:scaling>
        <c:delete val="0"/>
        <c:axPos val="b"/>
        <c:numFmt formatCode="General" sourceLinked="1"/>
        <c:majorTickMark val="out"/>
        <c:minorTickMark val="none"/>
        <c:tickLblPos val="nextTo"/>
        <c:txPr>
          <a:bodyPr/>
          <a:lstStyle/>
          <a:p>
            <a:pPr>
              <a:defRPr b="1"/>
            </a:pPr>
            <a:endParaRPr lang="en-US"/>
          </a:p>
        </c:txPr>
        <c:crossAx val="126437248"/>
        <c:crosses val="autoZero"/>
        <c:auto val="1"/>
        <c:lblAlgn val="ctr"/>
        <c:lblOffset val="100"/>
        <c:noMultiLvlLbl val="0"/>
      </c:catAx>
      <c:valAx>
        <c:axId val="126437248"/>
        <c:scaling>
          <c:orientation val="minMax"/>
        </c:scaling>
        <c:delete val="0"/>
        <c:axPos val="l"/>
        <c:majorGridlines/>
        <c:numFmt formatCode="General" sourceLinked="1"/>
        <c:majorTickMark val="out"/>
        <c:minorTickMark val="none"/>
        <c:tickLblPos val="nextTo"/>
        <c:crossAx val="126435712"/>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11"/>
              <c:layout>
                <c:manualLayout>
                  <c:x val="5.787037037037037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3.8999999999999998E-3</c:v>
                </c:pt>
                <c:pt idx="1">
                  <c:v>2.8E-3</c:v>
                </c:pt>
                <c:pt idx="2">
                  <c:v>-4.1000000000000003E-3</c:v>
                </c:pt>
                <c:pt idx="3">
                  <c:v>-9.2999999999999992E-3</c:v>
                </c:pt>
                <c:pt idx="4">
                  <c:v>1.8E-3</c:v>
                </c:pt>
                <c:pt idx="5">
                  <c:v>2E-3</c:v>
                </c:pt>
                <c:pt idx="6">
                  <c:v>-2.7000000000000001E-3</c:v>
                </c:pt>
                <c:pt idx="7">
                  <c:v>-6.6E-3</c:v>
                </c:pt>
                <c:pt idx="8">
                  <c:v>4.8999999999999998E-3</c:v>
                </c:pt>
                <c:pt idx="9">
                  <c:v>-1.61E-2</c:v>
                </c:pt>
                <c:pt idx="10">
                  <c:v>8.8000000000000005E-3</c:v>
                </c:pt>
                <c:pt idx="11">
                  <c:v>-3.0999999999999999E-3</c:v>
                </c:pt>
              </c:numCache>
            </c:numRef>
          </c:val>
        </c:ser>
        <c:dLbls>
          <c:showLegendKey val="0"/>
          <c:showVal val="1"/>
          <c:showCatName val="0"/>
          <c:showSerName val="0"/>
          <c:showPercent val="0"/>
          <c:showBubbleSize val="0"/>
        </c:dLbls>
        <c:gapWidth val="75"/>
        <c:axId val="126530688"/>
        <c:axId val="126533632"/>
      </c:barChart>
      <c:catAx>
        <c:axId val="12653068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6533632"/>
        <c:crosses val="autoZero"/>
        <c:auto val="1"/>
        <c:lblAlgn val="ctr"/>
        <c:lblOffset val="100"/>
        <c:noMultiLvlLbl val="0"/>
      </c:catAx>
      <c:valAx>
        <c:axId val="126533632"/>
        <c:scaling>
          <c:orientation val="minMax"/>
        </c:scaling>
        <c:delete val="0"/>
        <c:axPos val="b"/>
        <c:numFmt formatCode="0.00%" sourceLinked="1"/>
        <c:majorTickMark val="none"/>
        <c:minorTickMark val="none"/>
        <c:tickLblPos val="nextTo"/>
        <c:crossAx val="12653068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2.99</c:v>
                </c:pt>
                <c:pt idx="1">
                  <c:v>1.56</c:v>
                </c:pt>
                <c:pt idx="2">
                  <c:v>0.25</c:v>
                </c:pt>
              </c:numCache>
            </c:numRef>
          </c:val>
        </c:ser>
        <c:dLbls>
          <c:showLegendKey val="0"/>
          <c:showVal val="0"/>
          <c:showCatName val="0"/>
          <c:showSerName val="0"/>
          <c:showPercent val="0"/>
          <c:showBubbleSize val="0"/>
        </c:dLbls>
        <c:gapWidth val="150"/>
        <c:axId val="126550016"/>
        <c:axId val="126551552"/>
      </c:barChart>
      <c:catAx>
        <c:axId val="126550016"/>
        <c:scaling>
          <c:orientation val="minMax"/>
        </c:scaling>
        <c:delete val="0"/>
        <c:axPos val="b"/>
        <c:numFmt formatCode="General" sourceLinked="1"/>
        <c:majorTickMark val="out"/>
        <c:minorTickMark val="none"/>
        <c:tickLblPos val="nextTo"/>
        <c:txPr>
          <a:bodyPr/>
          <a:lstStyle/>
          <a:p>
            <a:pPr>
              <a:defRPr b="1"/>
            </a:pPr>
            <a:endParaRPr lang="en-US"/>
          </a:p>
        </c:txPr>
        <c:crossAx val="126551552"/>
        <c:crosses val="autoZero"/>
        <c:auto val="1"/>
        <c:lblAlgn val="ctr"/>
        <c:lblOffset val="100"/>
        <c:noMultiLvlLbl val="0"/>
      </c:catAx>
      <c:valAx>
        <c:axId val="126551552"/>
        <c:scaling>
          <c:orientation val="minMax"/>
        </c:scaling>
        <c:delete val="0"/>
        <c:axPos val="l"/>
        <c:majorGridlines/>
        <c:numFmt formatCode="General" sourceLinked="1"/>
        <c:majorTickMark val="out"/>
        <c:minorTickMark val="none"/>
        <c:tickLblPos val="nextTo"/>
        <c:crossAx val="126550016"/>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58.77</c:v>
                </c:pt>
                <c:pt idx="1">
                  <c:v>-25.4</c:v>
                </c:pt>
                <c:pt idx="2">
                  <c:v>-32.24</c:v>
                </c:pt>
              </c:numCache>
            </c:numRef>
          </c:val>
        </c:ser>
        <c:dLbls>
          <c:showLegendKey val="0"/>
          <c:showVal val="0"/>
          <c:showCatName val="0"/>
          <c:showSerName val="0"/>
          <c:showPercent val="0"/>
          <c:showBubbleSize val="0"/>
        </c:dLbls>
        <c:gapWidth val="150"/>
        <c:axId val="126379904"/>
        <c:axId val="126381440"/>
      </c:barChart>
      <c:catAx>
        <c:axId val="126379904"/>
        <c:scaling>
          <c:orientation val="minMax"/>
        </c:scaling>
        <c:delete val="0"/>
        <c:axPos val="b"/>
        <c:numFmt formatCode="General" sourceLinked="1"/>
        <c:majorTickMark val="out"/>
        <c:minorTickMark val="none"/>
        <c:tickLblPos val="nextTo"/>
        <c:txPr>
          <a:bodyPr/>
          <a:lstStyle/>
          <a:p>
            <a:pPr>
              <a:defRPr b="1"/>
            </a:pPr>
            <a:endParaRPr lang="en-US"/>
          </a:p>
        </c:txPr>
        <c:crossAx val="126381440"/>
        <c:crosses val="autoZero"/>
        <c:auto val="1"/>
        <c:lblAlgn val="ctr"/>
        <c:lblOffset val="100"/>
        <c:noMultiLvlLbl val="0"/>
      </c:catAx>
      <c:valAx>
        <c:axId val="126381440"/>
        <c:scaling>
          <c:orientation val="minMax"/>
        </c:scaling>
        <c:delete val="0"/>
        <c:axPos val="l"/>
        <c:majorGridlines/>
        <c:numFmt formatCode="General" sourceLinked="1"/>
        <c:majorTickMark val="out"/>
        <c:minorTickMark val="none"/>
        <c:tickLblPos val="nextTo"/>
        <c:crossAx val="126379904"/>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58.77</c:v>
                </c:pt>
                <c:pt idx="1">
                  <c:v>-25.4</c:v>
                </c:pt>
                <c:pt idx="2">
                  <c:v>-32.24</c:v>
                </c:pt>
              </c:numCache>
            </c:numRef>
          </c:val>
        </c:ser>
        <c:dLbls>
          <c:showLegendKey val="0"/>
          <c:showVal val="0"/>
          <c:showCatName val="0"/>
          <c:showSerName val="0"/>
          <c:showPercent val="0"/>
          <c:showBubbleSize val="0"/>
        </c:dLbls>
        <c:gapWidth val="150"/>
        <c:axId val="126664704"/>
        <c:axId val="126666240"/>
      </c:barChart>
      <c:catAx>
        <c:axId val="126664704"/>
        <c:scaling>
          <c:orientation val="minMax"/>
        </c:scaling>
        <c:delete val="0"/>
        <c:axPos val="b"/>
        <c:numFmt formatCode="General" sourceLinked="1"/>
        <c:majorTickMark val="out"/>
        <c:minorTickMark val="none"/>
        <c:tickLblPos val="nextTo"/>
        <c:txPr>
          <a:bodyPr/>
          <a:lstStyle/>
          <a:p>
            <a:pPr>
              <a:defRPr b="1"/>
            </a:pPr>
            <a:endParaRPr lang="en-US"/>
          </a:p>
        </c:txPr>
        <c:crossAx val="126666240"/>
        <c:crosses val="autoZero"/>
        <c:auto val="1"/>
        <c:lblAlgn val="ctr"/>
        <c:lblOffset val="100"/>
        <c:noMultiLvlLbl val="0"/>
      </c:catAx>
      <c:valAx>
        <c:axId val="126666240"/>
        <c:scaling>
          <c:orientation val="minMax"/>
        </c:scaling>
        <c:delete val="0"/>
        <c:axPos val="l"/>
        <c:majorGridlines/>
        <c:numFmt formatCode="General" sourceLinked="1"/>
        <c:majorTickMark val="out"/>
        <c:minorTickMark val="none"/>
        <c:tickLblPos val="nextTo"/>
        <c:crossAx val="126664704"/>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11"/>
              <c:layout>
                <c:manualLayout>
                  <c:x val="5.787037037037037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5.0000000000000001E-3</c:v>
                </c:pt>
                <c:pt idx="1">
                  <c:v>-8.5000000000000006E-3</c:v>
                </c:pt>
                <c:pt idx="2">
                  <c:v>-7.1000000000000004E-3</c:v>
                </c:pt>
                <c:pt idx="3">
                  <c:v>-2.8999999999999998E-3</c:v>
                </c:pt>
                <c:pt idx="4">
                  <c:v>7.1999999999999998E-3</c:v>
                </c:pt>
                <c:pt idx="5">
                  <c:v>1.8E-3</c:v>
                </c:pt>
                <c:pt idx="6">
                  <c:v>1.1999999999999999E-3</c:v>
                </c:pt>
                <c:pt idx="7">
                  <c:v>-4.5999999999999999E-3</c:v>
                </c:pt>
                <c:pt idx="8">
                  <c:v>-6.4999999999999997E-3</c:v>
                </c:pt>
                <c:pt idx="9">
                  <c:v>-7.6E-3</c:v>
                </c:pt>
                <c:pt idx="10">
                  <c:v>1.5E-3</c:v>
                </c:pt>
                <c:pt idx="11">
                  <c:v>-8.6E-3</c:v>
                </c:pt>
              </c:numCache>
            </c:numRef>
          </c:val>
        </c:ser>
        <c:dLbls>
          <c:showLegendKey val="0"/>
          <c:showVal val="1"/>
          <c:showCatName val="0"/>
          <c:showSerName val="0"/>
          <c:showPercent val="0"/>
          <c:showBubbleSize val="0"/>
        </c:dLbls>
        <c:gapWidth val="75"/>
        <c:axId val="126677760"/>
        <c:axId val="126680448"/>
      </c:barChart>
      <c:catAx>
        <c:axId val="126677760"/>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6680448"/>
        <c:crosses val="autoZero"/>
        <c:auto val="1"/>
        <c:lblAlgn val="ctr"/>
        <c:lblOffset val="100"/>
        <c:noMultiLvlLbl val="0"/>
      </c:catAx>
      <c:valAx>
        <c:axId val="126680448"/>
        <c:scaling>
          <c:orientation val="minMax"/>
        </c:scaling>
        <c:delete val="0"/>
        <c:axPos val="b"/>
        <c:numFmt formatCode="0.00%" sourceLinked="1"/>
        <c:majorTickMark val="none"/>
        <c:minorTickMark val="none"/>
        <c:tickLblPos val="nextTo"/>
        <c:crossAx val="126677760"/>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0.98</c:v>
                </c:pt>
                <c:pt idx="1">
                  <c:v>-0.17</c:v>
                </c:pt>
                <c:pt idx="2">
                  <c:v>0.22</c:v>
                </c:pt>
              </c:numCache>
            </c:numRef>
          </c:val>
        </c:ser>
        <c:dLbls>
          <c:showLegendKey val="0"/>
          <c:showVal val="0"/>
          <c:showCatName val="0"/>
          <c:showSerName val="0"/>
          <c:showPercent val="0"/>
          <c:showBubbleSize val="0"/>
        </c:dLbls>
        <c:gapWidth val="150"/>
        <c:axId val="126696832"/>
        <c:axId val="126735488"/>
      </c:barChart>
      <c:catAx>
        <c:axId val="126696832"/>
        <c:scaling>
          <c:orientation val="minMax"/>
        </c:scaling>
        <c:delete val="0"/>
        <c:axPos val="b"/>
        <c:numFmt formatCode="General" sourceLinked="1"/>
        <c:majorTickMark val="out"/>
        <c:minorTickMark val="none"/>
        <c:tickLblPos val="nextTo"/>
        <c:txPr>
          <a:bodyPr/>
          <a:lstStyle/>
          <a:p>
            <a:pPr>
              <a:defRPr b="1"/>
            </a:pPr>
            <a:endParaRPr lang="en-US"/>
          </a:p>
        </c:txPr>
        <c:crossAx val="126735488"/>
        <c:crosses val="autoZero"/>
        <c:auto val="1"/>
        <c:lblAlgn val="ctr"/>
        <c:lblOffset val="100"/>
        <c:noMultiLvlLbl val="0"/>
      </c:catAx>
      <c:valAx>
        <c:axId val="126735488"/>
        <c:scaling>
          <c:orientation val="minMax"/>
        </c:scaling>
        <c:delete val="0"/>
        <c:axPos val="l"/>
        <c:majorGridlines/>
        <c:numFmt formatCode="General" sourceLinked="1"/>
        <c:majorTickMark val="out"/>
        <c:minorTickMark val="none"/>
        <c:tickLblPos val="nextTo"/>
        <c:crossAx val="126696832"/>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13.28</c:v>
                </c:pt>
                <c:pt idx="1">
                  <c:v>-16.8</c:v>
                </c:pt>
                <c:pt idx="2">
                  <c:v>-26.31</c:v>
                </c:pt>
              </c:numCache>
            </c:numRef>
          </c:val>
        </c:ser>
        <c:dLbls>
          <c:showLegendKey val="0"/>
          <c:showVal val="0"/>
          <c:showCatName val="0"/>
          <c:showSerName val="0"/>
          <c:showPercent val="0"/>
          <c:showBubbleSize val="0"/>
        </c:dLbls>
        <c:gapWidth val="150"/>
        <c:axId val="126756736"/>
        <c:axId val="126758272"/>
      </c:barChart>
      <c:catAx>
        <c:axId val="126756736"/>
        <c:scaling>
          <c:orientation val="minMax"/>
        </c:scaling>
        <c:delete val="0"/>
        <c:axPos val="b"/>
        <c:numFmt formatCode="General" sourceLinked="1"/>
        <c:majorTickMark val="out"/>
        <c:minorTickMark val="none"/>
        <c:tickLblPos val="nextTo"/>
        <c:txPr>
          <a:bodyPr/>
          <a:lstStyle/>
          <a:p>
            <a:pPr>
              <a:defRPr b="1"/>
            </a:pPr>
            <a:endParaRPr lang="en-US"/>
          </a:p>
        </c:txPr>
        <c:crossAx val="126758272"/>
        <c:crosses val="autoZero"/>
        <c:auto val="1"/>
        <c:lblAlgn val="ctr"/>
        <c:lblOffset val="100"/>
        <c:noMultiLvlLbl val="0"/>
      </c:catAx>
      <c:valAx>
        <c:axId val="126758272"/>
        <c:scaling>
          <c:orientation val="minMax"/>
        </c:scaling>
        <c:delete val="0"/>
        <c:axPos val="l"/>
        <c:majorGridlines/>
        <c:numFmt formatCode="General" sourceLinked="1"/>
        <c:majorTickMark val="out"/>
        <c:minorTickMark val="none"/>
        <c:tickLblPos val="nextTo"/>
        <c:crossAx val="126756736"/>
        <c:crosses val="autoZero"/>
        <c:crossBetween val="between"/>
      </c:valAx>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13.28</c:v>
                </c:pt>
                <c:pt idx="1">
                  <c:v>-16.8</c:v>
                </c:pt>
                <c:pt idx="2">
                  <c:v>-26.31</c:v>
                </c:pt>
              </c:numCache>
            </c:numRef>
          </c:val>
        </c:ser>
        <c:dLbls>
          <c:showLegendKey val="0"/>
          <c:showVal val="0"/>
          <c:showCatName val="0"/>
          <c:showSerName val="0"/>
          <c:showPercent val="0"/>
          <c:showBubbleSize val="0"/>
        </c:dLbls>
        <c:gapWidth val="150"/>
        <c:axId val="127217664"/>
        <c:axId val="127219200"/>
      </c:barChart>
      <c:catAx>
        <c:axId val="127217664"/>
        <c:scaling>
          <c:orientation val="minMax"/>
        </c:scaling>
        <c:delete val="0"/>
        <c:axPos val="b"/>
        <c:numFmt formatCode="General" sourceLinked="1"/>
        <c:majorTickMark val="out"/>
        <c:minorTickMark val="none"/>
        <c:tickLblPos val="nextTo"/>
        <c:txPr>
          <a:bodyPr/>
          <a:lstStyle/>
          <a:p>
            <a:pPr>
              <a:defRPr b="1"/>
            </a:pPr>
            <a:endParaRPr lang="en-US"/>
          </a:p>
        </c:txPr>
        <c:crossAx val="127219200"/>
        <c:crosses val="autoZero"/>
        <c:auto val="1"/>
        <c:lblAlgn val="ctr"/>
        <c:lblOffset val="100"/>
        <c:noMultiLvlLbl val="0"/>
      </c:catAx>
      <c:valAx>
        <c:axId val="127219200"/>
        <c:scaling>
          <c:orientation val="minMax"/>
        </c:scaling>
        <c:delete val="0"/>
        <c:axPos val="l"/>
        <c:majorGridlines/>
        <c:numFmt formatCode="General" sourceLinked="1"/>
        <c:majorTickMark val="out"/>
        <c:minorTickMark val="none"/>
        <c:tickLblPos val="nextTo"/>
        <c:crossAx val="127217664"/>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6"/>
              <c:layout>
                <c:manualLayout>
                  <c:x val="3.9351851851851853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4.8611111111111112E-2"/>
                  <c:y val="0"/>
                </c:manualLayout>
              </c:layout>
              <c:showLegendKey val="0"/>
              <c:showVal val="1"/>
              <c:showCatName val="0"/>
              <c:showSerName val="0"/>
              <c:showPercent val="0"/>
              <c:showBubbleSize val="0"/>
            </c:dLbl>
            <c:dLbl>
              <c:idx val="11"/>
              <c:layout>
                <c:manualLayout>
                  <c:x val="5.787037037037037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1.3899999999999999E-2</c:v>
                </c:pt>
                <c:pt idx="1">
                  <c:v>-5.0000000000000001E-3</c:v>
                </c:pt>
                <c:pt idx="2">
                  <c:v>-8.6999999999999994E-3</c:v>
                </c:pt>
                <c:pt idx="3">
                  <c:v>-2.3999999999999998E-3</c:v>
                </c:pt>
                <c:pt idx="4">
                  <c:v>9.9000000000000008E-3</c:v>
                </c:pt>
                <c:pt idx="5">
                  <c:v>-7.6E-3</c:v>
                </c:pt>
                <c:pt idx="6">
                  <c:v>-5.9999999999999995E-4</c:v>
                </c:pt>
                <c:pt idx="7">
                  <c:v>-4.4999999999999997E-3</c:v>
                </c:pt>
                <c:pt idx="8">
                  <c:v>1.2999999999999999E-3</c:v>
                </c:pt>
                <c:pt idx="9">
                  <c:v>-6.9999999999999999E-4</c:v>
                </c:pt>
                <c:pt idx="10">
                  <c:v>-2E-3</c:v>
                </c:pt>
                <c:pt idx="11">
                  <c:v>-3.3999999999999998E-3</c:v>
                </c:pt>
              </c:numCache>
            </c:numRef>
          </c:val>
        </c:ser>
        <c:dLbls>
          <c:showLegendKey val="0"/>
          <c:showVal val="1"/>
          <c:showCatName val="0"/>
          <c:showSerName val="0"/>
          <c:showPercent val="0"/>
          <c:showBubbleSize val="0"/>
        </c:dLbls>
        <c:gapWidth val="75"/>
        <c:axId val="127247104"/>
        <c:axId val="127249792"/>
      </c:barChart>
      <c:catAx>
        <c:axId val="127247104"/>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249792"/>
        <c:crosses val="autoZero"/>
        <c:auto val="1"/>
        <c:lblAlgn val="ctr"/>
        <c:lblOffset val="100"/>
        <c:noMultiLvlLbl val="0"/>
      </c:catAx>
      <c:valAx>
        <c:axId val="127249792"/>
        <c:scaling>
          <c:orientation val="minMax"/>
        </c:scaling>
        <c:delete val="0"/>
        <c:axPos val="b"/>
        <c:numFmt formatCode="0.00%" sourceLinked="1"/>
        <c:majorTickMark val="none"/>
        <c:minorTickMark val="none"/>
        <c:tickLblPos val="nextTo"/>
        <c:crossAx val="127247104"/>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3.29</c:v>
                </c:pt>
                <c:pt idx="1">
                  <c:v>1.24</c:v>
                </c:pt>
                <c:pt idx="2">
                  <c:v>0.2</c:v>
                </c:pt>
              </c:numCache>
            </c:numRef>
          </c:val>
        </c:ser>
        <c:dLbls>
          <c:showLegendKey val="0"/>
          <c:showVal val="0"/>
          <c:showCatName val="0"/>
          <c:showSerName val="0"/>
          <c:showPercent val="0"/>
          <c:showBubbleSize val="0"/>
        </c:dLbls>
        <c:gapWidth val="150"/>
        <c:axId val="126627200"/>
        <c:axId val="126780544"/>
      </c:barChart>
      <c:catAx>
        <c:axId val="126627200"/>
        <c:scaling>
          <c:orientation val="minMax"/>
        </c:scaling>
        <c:delete val="0"/>
        <c:axPos val="b"/>
        <c:numFmt formatCode="General" sourceLinked="1"/>
        <c:majorTickMark val="out"/>
        <c:minorTickMark val="none"/>
        <c:tickLblPos val="nextTo"/>
        <c:txPr>
          <a:bodyPr/>
          <a:lstStyle/>
          <a:p>
            <a:pPr>
              <a:defRPr b="1"/>
            </a:pPr>
            <a:endParaRPr lang="en-US"/>
          </a:p>
        </c:txPr>
        <c:crossAx val="126780544"/>
        <c:crosses val="autoZero"/>
        <c:auto val="1"/>
        <c:lblAlgn val="ctr"/>
        <c:lblOffset val="100"/>
        <c:noMultiLvlLbl val="0"/>
      </c:catAx>
      <c:valAx>
        <c:axId val="126780544"/>
        <c:scaling>
          <c:orientation val="minMax"/>
        </c:scaling>
        <c:delete val="0"/>
        <c:axPos val="l"/>
        <c:majorGridlines/>
        <c:numFmt formatCode="General" sourceLinked="1"/>
        <c:majorTickMark val="out"/>
        <c:minorTickMark val="none"/>
        <c:tickLblPos val="nextTo"/>
        <c:crossAx val="126627200"/>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28.87</c:v>
                </c:pt>
                <c:pt idx="1">
                  <c:v>4.41</c:v>
                </c:pt>
                <c:pt idx="2">
                  <c:v>19.55</c:v>
                </c:pt>
              </c:numCache>
            </c:numRef>
          </c:val>
        </c:ser>
        <c:dLbls>
          <c:showLegendKey val="0"/>
          <c:showVal val="0"/>
          <c:showCatName val="0"/>
          <c:showSerName val="0"/>
          <c:showPercent val="0"/>
          <c:showBubbleSize val="0"/>
        </c:dLbls>
        <c:gapWidth val="150"/>
        <c:axId val="127440768"/>
        <c:axId val="127442304"/>
      </c:barChart>
      <c:catAx>
        <c:axId val="127440768"/>
        <c:scaling>
          <c:orientation val="minMax"/>
        </c:scaling>
        <c:delete val="0"/>
        <c:axPos val="b"/>
        <c:numFmt formatCode="General" sourceLinked="1"/>
        <c:majorTickMark val="out"/>
        <c:minorTickMark val="none"/>
        <c:tickLblPos val="nextTo"/>
        <c:txPr>
          <a:bodyPr/>
          <a:lstStyle/>
          <a:p>
            <a:pPr>
              <a:defRPr b="1"/>
            </a:pPr>
            <a:endParaRPr lang="en-US"/>
          </a:p>
        </c:txPr>
        <c:crossAx val="127442304"/>
        <c:crosses val="autoZero"/>
        <c:auto val="1"/>
        <c:lblAlgn val="ctr"/>
        <c:lblOffset val="100"/>
        <c:noMultiLvlLbl val="0"/>
      </c:catAx>
      <c:valAx>
        <c:axId val="127442304"/>
        <c:scaling>
          <c:orientation val="minMax"/>
        </c:scaling>
        <c:delete val="0"/>
        <c:axPos val="l"/>
        <c:majorGridlines/>
        <c:numFmt formatCode="General" sourceLinked="1"/>
        <c:majorTickMark val="out"/>
        <c:minorTickMark val="none"/>
        <c:tickLblPos val="nextTo"/>
        <c:crossAx val="127440768"/>
        <c:crosses val="autoZero"/>
        <c:crossBetween val="between"/>
      </c:valAx>
    </c:plotArea>
    <c:legend>
      <c:legendPos val="r"/>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28.87</c:v>
                </c:pt>
                <c:pt idx="1">
                  <c:v>4.41</c:v>
                </c:pt>
                <c:pt idx="2">
                  <c:v>19.55</c:v>
                </c:pt>
              </c:numCache>
            </c:numRef>
          </c:val>
        </c:ser>
        <c:dLbls>
          <c:showLegendKey val="0"/>
          <c:showVal val="0"/>
          <c:showCatName val="0"/>
          <c:showSerName val="0"/>
          <c:showPercent val="0"/>
          <c:showBubbleSize val="0"/>
        </c:dLbls>
        <c:gapWidth val="150"/>
        <c:axId val="127311872"/>
        <c:axId val="127313408"/>
      </c:barChart>
      <c:catAx>
        <c:axId val="127311872"/>
        <c:scaling>
          <c:orientation val="minMax"/>
        </c:scaling>
        <c:delete val="0"/>
        <c:axPos val="b"/>
        <c:numFmt formatCode="General" sourceLinked="1"/>
        <c:majorTickMark val="out"/>
        <c:minorTickMark val="none"/>
        <c:tickLblPos val="nextTo"/>
        <c:txPr>
          <a:bodyPr/>
          <a:lstStyle/>
          <a:p>
            <a:pPr>
              <a:defRPr b="1"/>
            </a:pPr>
            <a:endParaRPr lang="en-US"/>
          </a:p>
        </c:txPr>
        <c:crossAx val="127313408"/>
        <c:crosses val="autoZero"/>
        <c:auto val="1"/>
        <c:lblAlgn val="ctr"/>
        <c:lblOffset val="100"/>
        <c:noMultiLvlLbl val="0"/>
      </c:catAx>
      <c:valAx>
        <c:axId val="127313408"/>
        <c:scaling>
          <c:orientation val="minMax"/>
        </c:scaling>
        <c:delete val="0"/>
        <c:axPos val="l"/>
        <c:majorGridlines/>
        <c:numFmt formatCode="General" sourceLinked="1"/>
        <c:majorTickMark val="out"/>
        <c:minorTickMark val="none"/>
        <c:tickLblPos val="nextTo"/>
        <c:crossAx val="127311872"/>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1.8E-3</c:v>
                </c:pt>
                <c:pt idx="1">
                  <c:v>1.54E-2</c:v>
                </c:pt>
                <c:pt idx="2">
                  <c:v>1.7500000000000002E-2</c:v>
                </c:pt>
                <c:pt idx="3">
                  <c:v>-1.15E-2</c:v>
                </c:pt>
                <c:pt idx="4">
                  <c:v>-7.6E-3</c:v>
                </c:pt>
                <c:pt idx="5">
                  <c:v>-5.9999999999999995E-4</c:v>
                </c:pt>
                <c:pt idx="6">
                  <c:v>-1E-4</c:v>
                </c:pt>
                <c:pt idx="7">
                  <c:v>-2.5999999999999999E-3</c:v>
                </c:pt>
                <c:pt idx="8">
                  <c:v>2.8999999999999998E-3</c:v>
                </c:pt>
                <c:pt idx="9">
                  <c:v>3.3E-3</c:v>
                </c:pt>
                <c:pt idx="10">
                  <c:v>-8.0000000000000004E-4</c:v>
                </c:pt>
                <c:pt idx="11">
                  <c:v>-1.5E-3</c:v>
                </c:pt>
              </c:numCache>
            </c:numRef>
          </c:val>
        </c:ser>
        <c:dLbls>
          <c:showLegendKey val="0"/>
          <c:showVal val="1"/>
          <c:showCatName val="0"/>
          <c:showSerName val="0"/>
          <c:showPercent val="0"/>
          <c:showBubbleSize val="0"/>
        </c:dLbls>
        <c:gapWidth val="75"/>
        <c:axId val="127480576"/>
        <c:axId val="127483264"/>
      </c:barChart>
      <c:catAx>
        <c:axId val="12748057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7483264"/>
        <c:crosses val="autoZero"/>
        <c:auto val="1"/>
        <c:lblAlgn val="ctr"/>
        <c:lblOffset val="100"/>
        <c:noMultiLvlLbl val="0"/>
      </c:catAx>
      <c:valAx>
        <c:axId val="127483264"/>
        <c:scaling>
          <c:orientation val="minMax"/>
        </c:scaling>
        <c:delete val="0"/>
        <c:axPos val="b"/>
        <c:numFmt formatCode="0.00%" sourceLinked="1"/>
        <c:majorTickMark val="none"/>
        <c:minorTickMark val="none"/>
        <c:tickLblPos val="nextTo"/>
        <c:crossAx val="12748057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2.52</c:v>
                </c:pt>
                <c:pt idx="1">
                  <c:v>1.82</c:v>
                </c:pt>
                <c:pt idx="2">
                  <c:v>1.74</c:v>
                </c:pt>
              </c:numCache>
            </c:numRef>
          </c:val>
        </c:ser>
        <c:dLbls>
          <c:showLegendKey val="0"/>
          <c:showVal val="0"/>
          <c:showCatName val="0"/>
          <c:showSerName val="0"/>
          <c:showPercent val="0"/>
          <c:showBubbleSize val="0"/>
        </c:dLbls>
        <c:gapWidth val="150"/>
        <c:axId val="127540608"/>
        <c:axId val="127542400"/>
      </c:barChart>
      <c:catAx>
        <c:axId val="127540608"/>
        <c:scaling>
          <c:orientation val="minMax"/>
        </c:scaling>
        <c:delete val="0"/>
        <c:axPos val="b"/>
        <c:numFmt formatCode="General" sourceLinked="1"/>
        <c:majorTickMark val="out"/>
        <c:minorTickMark val="none"/>
        <c:tickLblPos val="nextTo"/>
        <c:txPr>
          <a:bodyPr/>
          <a:lstStyle/>
          <a:p>
            <a:pPr>
              <a:defRPr b="1"/>
            </a:pPr>
            <a:endParaRPr lang="en-US"/>
          </a:p>
        </c:txPr>
        <c:crossAx val="127542400"/>
        <c:crosses val="autoZero"/>
        <c:auto val="1"/>
        <c:lblAlgn val="ctr"/>
        <c:lblOffset val="100"/>
        <c:noMultiLvlLbl val="0"/>
      </c:catAx>
      <c:valAx>
        <c:axId val="127542400"/>
        <c:scaling>
          <c:orientation val="minMax"/>
        </c:scaling>
        <c:delete val="0"/>
        <c:axPos val="l"/>
        <c:majorGridlines/>
        <c:numFmt formatCode="General" sourceLinked="1"/>
        <c:majorTickMark val="out"/>
        <c:minorTickMark val="none"/>
        <c:tickLblPos val="nextTo"/>
        <c:crossAx val="127540608"/>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61.62</c:v>
                </c:pt>
                <c:pt idx="1">
                  <c:v>-17.809999999999999</c:v>
                </c:pt>
                <c:pt idx="2">
                  <c:v>-7.55</c:v>
                </c:pt>
              </c:numCache>
            </c:numRef>
          </c:val>
        </c:ser>
        <c:dLbls>
          <c:showLegendKey val="0"/>
          <c:showVal val="0"/>
          <c:showCatName val="0"/>
          <c:showSerName val="0"/>
          <c:showPercent val="0"/>
          <c:showBubbleSize val="0"/>
        </c:dLbls>
        <c:gapWidth val="150"/>
        <c:axId val="126732160"/>
        <c:axId val="126733696"/>
      </c:barChart>
      <c:catAx>
        <c:axId val="126732160"/>
        <c:scaling>
          <c:orientation val="minMax"/>
        </c:scaling>
        <c:delete val="0"/>
        <c:axPos val="b"/>
        <c:numFmt formatCode="General" sourceLinked="1"/>
        <c:majorTickMark val="out"/>
        <c:minorTickMark val="none"/>
        <c:tickLblPos val="nextTo"/>
        <c:txPr>
          <a:bodyPr/>
          <a:lstStyle/>
          <a:p>
            <a:pPr>
              <a:defRPr b="1"/>
            </a:pPr>
            <a:endParaRPr lang="en-US"/>
          </a:p>
        </c:txPr>
        <c:crossAx val="126733696"/>
        <c:crosses val="autoZero"/>
        <c:auto val="1"/>
        <c:lblAlgn val="ctr"/>
        <c:lblOffset val="100"/>
        <c:noMultiLvlLbl val="0"/>
      </c:catAx>
      <c:valAx>
        <c:axId val="126733696"/>
        <c:scaling>
          <c:orientation val="minMax"/>
        </c:scaling>
        <c:delete val="0"/>
        <c:axPos val="l"/>
        <c:majorGridlines/>
        <c:numFmt formatCode="General" sourceLinked="1"/>
        <c:majorTickMark val="out"/>
        <c:minorTickMark val="none"/>
        <c:tickLblPos val="nextTo"/>
        <c:crossAx val="126732160"/>
        <c:crosses val="autoZero"/>
        <c:crossBetween val="between"/>
      </c:valAx>
    </c:plotArea>
    <c:legend>
      <c:legendPos val="r"/>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61.62</c:v>
                </c:pt>
                <c:pt idx="1">
                  <c:v>-17.809999999999999</c:v>
                </c:pt>
                <c:pt idx="2">
                  <c:v>-7.55</c:v>
                </c:pt>
              </c:numCache>
            </c:numRef>
          </c:val>
        </c:ser>
        <c:dLbls>
          <c:showLegendKey val="0"/>
          <c:showVal val="0"/>
          <c:showCatName val="0"/>
          <c:showSerName val="0"/>
          <c:showPercent val="0"/>
          <c:showBubbleSize val="0"/>
        </c:dLbls>
        <c:gapWidth val="150"/>
        <c:axId val="128118784"/>
        <c:axId val="128120320"/>
      </c:barChart>
      <c:catAx>
        <c:axId val="128118784"/>
        <c:scaling>
          <c:orientation val="minMax"/>
        </c:scaling>
        <c:delete val="0"/>
        <c:axPos val="b"/>
        <c:numFmt formatCode="General" sourceLinked="1"/>
        <c:majorTickMark val="out"/>
        <c:minorTickMark val="none"/>
        <c:tickLblPos val="nextTo"/>
        <c:txPr>
          <a:bodyPr/>
          <a:lstStyle/>
          <a:p>
            <a:pPr>
              <a:defRPr b="1"/>
            </a:pPr>
            <a:endParaRPr lang="en-US"/>
          </a:p>
        </c:txPr>
        <c:crossAx val="128120320"/>
        <c:crosses val="autoZero"/>
        <c:auto val="1"/>
        <c:lblAlgn val="ctr"/>
        <c:lblOffset val="100"/>
        <c:noMultiLvlLbl val="0"/>
      </c:catAx>
      <c:valAx>
        <c:axId val="128120320"/>
        <c:scaling>
          <c:orientation val="minMax"/>
        </c:scaling>
        <c:delete val="0"/>
        <c:axPos val="l"/>
        <c:majorGridlines/>
        <c:numFmt formatCode="General" sourceLinked="1"/>
        <c:majorTickMark val="out"/>
        <c:minorTickMark val="none"/>
        <c:tickLblPos val="nextTo"/>
        <c:crossAx val="128118784"/>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6.7999999999999996E-3</c:v>
                </c:pt>
                <c:pt idx="1">
                  <c:v>-1.5E-3</c:v>
                </c:pt>
                <c:pt idx="2">
                  <c:v>-2.2000000000000001E-3</c:v>
                </c:pt>
                <c:pt idx="3">
                  <c:v>6.4000000000000003E-3</c:v>
                </c:pt>
                <c:pt idx="4">
                  <c:v>1E-4</c:v>
                </c:pt>
                <c:pt idx="5">
                  <c:v>6.9999999999999999E-4</c:v>
                </c:pt>
                <c:pt idx="6">
                  <c:v>-6.9999999999999999E-4</c:v>
                </c:pt>
                <c:pt idx="7">
                  <c:v>-7.1999999999999998E-3</c:v>
                </c:pt>
                <c:pt idx="8">
                  <c:v>3.2000000000000002E-3</c:v>
                </c:pt>
                <c:pt idx="9">
                  <c:v>6.9999999999999999E-4</c:v>
                </c:pt>
                <c:pt idx="10">
                  <c:v>-2.8999999999999998E-3</c:v>
                </c:pt>
                <c:pt idx="11">
                  <c:v>-3.3999999999999998E-3</c:v>
                </c:pt>
              </c:numCache>
            </c:numRef>
          </c:val>
        </c:ser>
        <c:dLbls>
          <c:showLegendKey val="0"/>
          <c:showVal val="1"/>
          <c:showCatName val="0"/>
          <c:showSerName val="0"/>
          <c:showPercent val="0"/>
          <c:showBubbleSize val="0"/>
        </c:dLbls>
        <c:gapWidth val="75"/>
        <c:axId val="128271104"/>
        <c:axId val="128273792"/>
      </c:barChart>
      <c:catAx>
        <c:axId val="128271104"/>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8273792"/>
        <c:crosses val="autoZero"/>
        <c:auto val="1"/>
        <c:lblAlgn val="ctr"/>
        <c:lblOffset val="100"/>
        <c:noMultiLvlLbl val="0"/>
      </c:catAx>
      <c:valAx>
        <c:axId val="128273792"/>
        <c:scaling>
          <c:orientation val="minMax"/>
        </c:scaling>
        <c:delete val="0"/>
        <c:axPos val="b"/>
        <c:numFmt formatCode="0.00%" sourceLinked="1"/>
        <c:majorTickMark val="none"/>
        <c:minorTickMark val="none"/>
        <c:tickLblPos val="nextTo"/>
        <c:crossAx val="128271104"/>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1.67</c:v>
                </c:pt>
                <c:pt idx="1">
                  <c:v>0.99</c:v>
                </c:pt>
                <c:pt idx="2">
                  <c:v>0.78</c:v>
                </c:pt>
              </c:numCache>
            </c:numRef>
          </c:val>
        </c:ser>
        <c:dLbls>
          <c:showLegendKey val="0"/>
          <c:showVal val="0"/>
          <c:showCatName val="0"/>
          <c:showSerName val="0"/>
          <c:showPercent val="0"/>
          <c:showBubbleSize val="0"/>
        </c:dLbls>
        <c:gapWidth val="150"/>
        <c:axId val="128269696"/>
        <c:axId val="128332928"/>
      </c:barChart>
      <c:catAx>
        <c:axId val="128269696"/>
        <c:scaling>
          <c:orientation val="minMax"/>
        </c:scaling>
        <c:delete val="0"/>
        <c:axPos val="b"/>
        <c:numFmt formatCode="General" sourceLinked="1"/>
        <c:majorTickMark val="out"/>
        <c:minorTickMark val="none"/>
        <c:tickLblPos val="nextTo"/>
        <c:txPr>
          <a:bodyPr/>
          <a:lstStyle/>
          <a:p>
            <a:pPr>
              <a:defRPr b="1"/>
            </a:pPr>
            <a:endParaRPr lang="en-US"/>
          </a:p>
        </c:txPr>
        <c:crossAx val="128332928"/>
        <c:crosses val="autoZero"/>
        <c:auto val="1"/>
        <c:lblAlgn val="ctr"/>
        <c:lblOffset val="100"/>
        <c:noMultiLvlLbl val="0"/>
      </c:catAx>
      <c:valAx>
        <c:axId val="128332928"/>
        <c:scaling>
          <c:orientation val="minMax"/>
        </c:scaling>
        <c:delete val="0"/>
        <c:axPos val="l"/>
        <c:majorGridlines/>
        <c:numFmt formatCode="General" sourceLinked="1"/>
        <c:majorTickMark val="out"/>
        <c:minorTickMark val="none"/>
        <c:tickLblPos val="nextTo"/>
        <c:crossAx val="128269696"/>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17.010000000000002</c:v>
                </c:pt>
                <c:pt idx="1">
                  <c:v>-25.79</c:v>
                </c:pt>
                <c:pt idx="2">
                  <c:v>-21.71</c:v>
                </c:pt>
              </c:numCache>
            </c:numRef>
          </c:val>
        </c:ser>
        <c:dLbls>
          <c:showLegendKey val="0"/>
          <c:showVal val="0"/>
          <c:showCatName val="0"/>
          <c:showSerName val="0"/>
          <c:showPercent val="0"/>
          <c:showBubbleSize val="0"/>
        </c:dLbls>
        <c:gapWidth val="150"/>
        <c:axId val="128378752"/>
        <c:axId val="128380288"/>
      </c:barChart>
      <c:catAx>
        <c:axId val="128378752"/>
        <c:scaling>
          <c:orientation val="minMax"/>
        </c:scaling>
        <c:delete val="0"/>
        <c:axPos val="b"/>
        <c:numFmt formatCode="General" sourceLinked="1"/>
        <c:majorTickMark val="out"/>
        <c:minorTickMark val="none"/>
        <c:tickLblPos val="nextTo"/>
        <c:txPr>
          <a:bodyPr/>
          <a:lstStyle/>
          <a:p>
            <a:pPr>
              <a:defRPr b="1"/>
            </a:pPr>
            <a:endParaRPr lang="en-US"/>
          </a:p>
        </c:txPr>
        <c:crossAx val="128380288"/>
        <c:crosses val="autoZero"/>
        <c:auto val="1"/>
        <c:lblAlgn val="ctr"/>
        <c:lblOffset val="100"/>
        <c:noMultiLvlLbl val="0"/>
      </c:catAx>
      <c:valAx>
        <c:axId val="128380288"/>
        <c:scaling>
          <c:orientation val="minMax"/>
        </c:scaling>
        <c:delete val="0"/>
        <c:axPos val="l"/>
        <c:majorGridlines/>
        <c:numFmt formatCode="General" sourceLinked="1"/>
        <c:majorTickMark val="out"/>
        <c:minorTickMark val="none"/>
        <c:tickLblPos val="nextTo"/>
        <c:crossAx val="128378752"/>
        <c:crosses val="autoZero"/>
        <c:crossBetween val="between"/>
      </c:valAx>
    </c:plotArea>
    <c:legend>
      <c:legendPos val="r"/>
      <c:overlay val="0"/>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17.010000000000002</c:v>
                </c:pt>
                <c:pt idx="1">
                  <c:v>-25.79</c:v>
                </c:pt>
                <c:pt idx="2">
                  <c:v>-21.71</c:v>
                </c:pt>
              </c:numCache>
            </c:numRef>
          </c:val>
        </c:ser>
        <c:dLbls>
          <c:showLegendKey val="0"/>
          <c:showVal val="0"/>
          <c:showCatName val="0"/>
          <c:showSerName val="0"/>
          <c:showPercent val="0"/>
          <c:showBubbleSize val="0"/>
        </c:dLbls>
        <c:gapWidth val="150"/>
        <c:axId val="128081920"/>
        <c:axId val="128083456"/>
      </c:barChart>
      <c:catAx>
        <c:axId val="128081920"/>
        <c:scaling>
          <c:orientation val="minMax"/>
        </c:scaling>
        <c:delete val="0"/>
        <c:axPos val="b"/>
        <c:numFmt formatCode="General" sourceLinked="1"/>
        <c:majorTickMark val="out"/>
        <c:minorTickMark val="none"/>
        <c:tickLblPos val="nextTo"/>
        <c:txPr>
          <a:bodyPr/>
          <a:lstStyle/>
          <a:p>
            <a:pPr>
              <a:defRPr b="1"/>
            </a:pPr>
            <a:endParaRPr lang="en-US"/>
          </a:p>
        </c:txPr>
        <c:crossAx val="128083456"/>
        <c:crosses val="autoZero"/>
        <c:auto val="1"/>
        <c:lblAlgn val="ctr"/>
        <c:lblOffset val="100"/>
        <c:noMultiLvlLbl val="0"/>
      </c:catAx>
      <c:valAx>
        <c:axId val="128083456"/>
        <c:scaling>
          <c:orientation val="minMax"/>
        </c:scaling>
        <c:delete val="0"/>
        <c:axPos val="l"/>
        <c:majorGridlines/>
        <c:numFmt formatCode="General" sourceLinked="1"/>
        <c:majorTickMark val="out"/>
        <c:minorTickMark val="none"/>
        <c:tickLblPos val="nextTo"/>
        <c:crossAx val="128081920"/>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4.7000000000000002E-3</c:v>
                </c:pt>
                <c:pt idx="1">
                  <c:v>-4.7999999999999996E-3</c:v>
                </c:pt>
                <c:pt idx="2">
                  <c:v>-7.3000000000000001E-3</c:v>
                </c:pt>
                <c:pt idx="3">
                  <c:v>3.7000000000000002E-3</c:v>
                </c:pt>
                <c:pt idx="4">
                  <c:v>6.9999999999999999E-4</c:v>
                </c:pt>
                <c:pt idx="5">
                  <c:v>-2.2000000000000001E-3</c:v>
                </c:pt>
                <c:pt idx="6">
                  <c:v>-4.5999999999999999E-3</c:v>
                </c:pt>
                <c:pt idx="7">
                  <c:v>-2.3999999999999998E-3</c:v>
                </c:pt>
                <c:pt idx="8">
                  <c:v>3.2000000000000002E-3</c:v>
                </c:pt>
                <c:pt idx="9">
                  <c:v>-4.8999999999999998E-3</c:v>
                </c:pt>
                <c:pt idx="10">
                  <c:v>-8.0000000000000004E-4</c:v>
                </c:pt>
                <c:pt idx="11">
                  <c:v>0</c:v>
                </c:pt>
              </c:numCache>
            </c:numRef>
          </c:val>
        </c:ser>
        <c:dLbls>
          <c:showLegendKey val="0"/>
          <c:showVal val="1"/>
          <c:showCatName val="0"/>
          <c:showSerName val="0"/>
          <c:showPercent val="0"/>
          <c:showBubbleSize val="0"/>
        </c:dLbls>
        <c:gapWidth val="75"/>
        <c:axId val="128467712"/>
        <c:axId val="128470400"/>
      </c:barChart>
      <c:catAx>
        <c:axId val="128467712"/>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8470400"/>
        <c:crosses val="autoZero"/>
        <c:auto val="1"/>
        <c:lblAlgn val="ctr"/>
        <c:lblOffset val="100"/>
        <c:noMultiLvlLbl val="0"/>
      </c:catAx>
      <c:valAx>
        <c:axId val="128470400"/>
        <c:scaling>
          <c:orientation val="minMax"/>
        </c:scaling>
        <c:delete val="0"/>
        <c:axPos val="b"/>
        <c:numFmt formatCode="0.00%" sourceLinked="1"/>
        <c:majorTickMark val="none"/>
        <c:minorTickMark val="none"/>
        <c:tickLblPos val="nextTo"/>
        <c:crossAx val="128467712"/>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0.48</c:v>
                </c:pt>
                <c:pt idx="1">
                  <c:v>-0.15</c:v>
                </c:pt>
                <c:pt idx="2">
                  <c:v>-0.13</c:v>
                </c:pt>
              </c:numCache>
            </c:numRef>
          </c:val>
        </c:ser>
        <c:dLbls>
          <c:showLegendKey val="0"/>
          <c:showVal val="0"/>
          <c:showCatName val="0"/>
          <c:showSerName val="0"/>
          <c:showPercent val="0"/>
          <c:showBubbleSize val="0"/>
        </c:dLbls>
        <c:gapWidth val="150"/>
        <c:axId val="128499072"/>
        <c:axId val="128500864"/>
      </c:barChart>
      <c:catAx>
        <c:axId val="128499072"/>
        <c:scaling>
          <c:orientation val="minMax"/>
        </c:scaling>
        <c:delete val="0"/>
        <c:axPos val="b"/>
        <c:numFmt formatCode="General" sourceLinked="1"/>
        <c:majorTickMark val="out"/>
        <c:minorTickMark val="none"/>
        <c:tickLblPos val="nextTo"/>
        <c:txPr>
          <a:bodyPr/>
          <a:lstStyle/>
          <a:p>
            <a:pPr>
              <a:defRPr b="1"/>
            </a:pPr>
            <a:endParaRPr lang="en-US"/>
          </a:p>
        </c:txPr>
        <c:crossAx val="128500864"/>
        <c:crosses val="autoZero"/>
        <c:auto val="1"/>
        <c:lblAlgn val="ctr"/>
        <c:lblOffset val="100"/>
        <c:noMultiLvlLbl val="0"/>
      </c:catAx>
      <c:valAx>
        <c:axId val="128500864"/>
        <c:scaling>
          <c:orientation val="minMax"/>
        </c:scaling>
        <c:delete val="0"/>
        <c:axPos val="l"/>
        <c:majorGridlines/>
        <c:numFmt formatCode="General" sourceLinked="1"/>
        <c:majorTickMark val="out"/>
        <c:minorTickMark val="none"/>
        <c:tickLblPos val="nextTo"/>
        <c:crossAx val="128499072"/>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5.0199999999999996</c:v>
                </c:pt>
                <c:pt idx="1">
                  <c:v>-14.92</c:v>
                </c:pt>
                <c:pt idx="2">
                  <c:v>-12.5</c:v>
                </c:pt>
              </c:numCache>
            </c:numRef>
          </c:val>
        </c:ser>
        <c:dLbls>
          <c:showLegendKey val="0"/>
          <c:showVal val="0"/>
          <c:showCatName val="0"/>
          <c:showSerName val="0"/>
          <c:showPercent val="0"/>
          <c:showBubbleSize val="0"/>
        </c:dLbls>
        <c:gapWidth val="150"/>
        <c:axId val="128522112"/>
        <c:axId val="128523648"/>
      </c:barChart>
      <c:catAx>
        <c:axId val="128522112"/>
        <c:scaling>
          <c:orientation val="minMax"/>
        </c:scaling>
        <c:delete val="0"/>
        <c:axPos val="b"/>
        <c:numFmt formatCode="General" sourceLinked="1"/>
        <c:majorTickMark val="out"/>
        <c:minorTickMark val="none"/>
        <c:tickLblPos val="nextTo"/>
        <c:txPr>
          <a:bodyPr/>
          <a:lstStyle/>
          <a:p>
            <a:pPr>
              <a:defRPr b="1"/>
            </a:pPr>
            <a:endParaRPr lang="en-US"/>
          </a:p>
        </c:txPr>
        <c:crossAx val="128523648"/>
        <c:crosses val="autoZero"/>
        <c:auto val="1"/>
        <c:lblAlgn val="ctr"/>
        <c:lblOffset val="100"/>
        <c:noMultiLvlLbl val="0"/>
      </c:catAx>
      <c:valAx>
        <c:axId val="128523648"/>
        <c:scaling>
          <c:orientation val="minMax"/>
        </c:scaling>
        <c:delete val="0"/>
        <c:axPos val="l"/>
        <c:majorGridlines/>
        <c:numFmt formatCode="General" sourceLinked="1"/>
        <c:majorTickMark val="out"/>
        <c:minorTickMark val="none"/>
        <c:tickLblPos val="nextTo"/>
        <c:crossAx val="128522112"/>
        <c:crosses val="autoZero"/>
        <c:crossBetween val="between"/>
      </c:valAx>
    </c:plotArea>
    <c:legend>
      <c:legendPos val="r"/>
      <c:overlay val="0"/>
    </c:legend>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5.0199999999999996</c:v>
                </c:pt>
                <c:pt idx="1">
                  <c:v>-14.92</c:v>
                </c:pt>
                <c:pt idx="2">
                  <c:v>-12.5</c:v>
                </c:pt>
              </c:numCache>
            </c:numRef>
          </c:val>
        </c:ser>
        <c:dLbls>
          <c:showLegendKey val="0"/>
          <c:showVal val="0"/>
          <c:showCatName val="0"/>
          <c:showSerName val="0"/>
          <c:showPercent val="0"/>
          <c:showBubbleSize val="0"/>
        </c:dLbls>
        <c:gapWidth val="150"/>
        <c:axId val="128593920"/>
        <c:axId val="128595456"/>
      </c:barChart>
      <c:catAx>
        <c:axId val="128593920"/>
        <c:scaling>
          <c:orientation val="minMax"/>
        </c:scaling>
        <c:delete val="0"/>
        <c:axPos val="b"/>
        <c:numFmt formatCode="General" sourceLinked="1"/>
        <c:majorTickMark val="out"/>
        <c:minorTickMark val="none"/>
        <c:tickLblPos val="nextTo"/>
        <c:txPr>
          <a:bodyPr/>
          <a:lstStyle/>
          <a:p>
            <a:pPr>
              <a:defRPr b="1"/>
            </a:pPr>
            <a:endParaRPr lang="en-US"/>
          </a:p>
        </c:txPr>
        <c:crossAx val="128595456"/>
        <c:crosses val="autoZero"/>
        <c:auto val="1"/>
        <c:lblAlgn val="ctr"/>
        <c:lblOffset val="100"/>
        <c:noMultiLvlLbl val="0"/>
      </c:catAx>
      <c:valAx>
        <c:axId val="128595456"/>
        <c:scaling>
          <c:orientation val="minMax"/>
        </c:scaling>
        <c:delete val="0"/>
        <c:axPos val="l"/>
        <c:majorGridlines/>
        <c:numFmt formatCode="General" sourceLinked="1"/>
        <c:majorTickMark val="out"/>
        <c:minorTickMark val="none"/>
        <c:tickLblPos val="nextTo"/>
        <c:crossAx val="128593920"/>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9.4000000000000004E-3</c:v>
                </c:pt>
                <c:pt idx="1">
                  <c:v>-5.7000000000000002E-3</c:v>
                </c:pt>
                <c:pt idx="2">
                  <c:v>-8.6999999999999994E-3</c:v>
                </c:pt>
                <c:pt idx="3">
                  <c:v>5.4999999999999997E-3</c:v>
                </c:pt>
                <c:pt idx="4">
                  <c:v>8.0999999999999996E-3</c:v>
                </c:pt>
                <c:pt idx="5">
                  <c:v>-2.3E-3</c:v>
                </c:pt>
                <c:pt idx="6">
                  <c:v>-1.6000000000000001E-3</c:v>
                </c:pt>
                <c:pt idx="7">
                  <c:v>-3.3E-3</c:v>
                </c:pt>
                <c:pt idx="8">
                  <c:v>0</c:v>
                </c:pt>
                <c:pt idx="9">
                  <c:v>8.0000000000000004E-4</c:v>
                </c:pt>
                <c:pt idx="10">
                  <c:v>0</c:v>
                </c:pt>
                <c:pt idx="11">
                  <c:v>-4.8999999999999998E-3</c:v>
                </c:pt>
              </c:numCache>
            </c:numRef>
          </c:val>
        </c:ser>
        <c:dLbls>
          <c:showLegendKey val="0"/>
          <c:showVal val="1"/>
          <c:showCatName val="0"/>
          <c:showSerName val="0"/>
          <c:showPercent val="0"/>
          <c:showBubbleSize val="0"/>
        </c:dLbls>
        <c:gapWidth val="75"/>
        <c:axId val="128324352"/>
        <c:axId val="128327040"/>
      </c:barChart>
      <c:catAx>
        <c:axId val="128324352"/>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8327040"/>
        <c:crosses val="autoZero"/>
        <c:auto val="1"/>
        <c:lblAlgn val="ctr"/>
        <c:lblOffset val="100"/>
        <c:noMultiLvlLbl val="0"/>
      </c:catAx>
      <c:valAx>
        <c:axId val="128327040"/>
        <c:scaling>
          <c:orientation val="minMax"/>
        </c:scaling>
        <c:delete val="0"/>
        <c:axPos val="b"/>
        <c:numFmt formatCode="0.00%" sourceLinked="1"/>
        <c:majorTickMark val="none"/>
        <c:minorTickMark val="none"/>
        <c:tickLblPos val="nextTo"/>
        <c:crossAx val="128324352"/>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0.3</c:v>
                </c:pt>
                <c:pt idx="1">
                  <c:v>-0.24</c:v>
                </c:pt>
                <c:pt idx="2">
                  <c:v>-0.3</c:v>
                </c:pt>
              </c:numCache>
            </c:numRef>
          </c:val>
        </c:ser>
        <c:dLbls>
          <c:showLegendKey val="0"/>
          <c:showVal val="0"/>
          <c:showCatName val="0"/>
          <c:showSerName val="0"/>
          <c:showPercent val="0"/>
          <c:showBubbleSize val="0"/>
        </c:dLbls>
        <c:gapWidth val="150"/>
        <c:axId val="128322944"/>
        <c:axId val="128693376"/>
      </c:barChart>
      <c:catAx>
        <c:axId val="128322944"/>
        <c:scaling>
          <c:orientation val="minMax"/>
        </c:scaling>
        <c:delete val="0"/>
        <c:axPos val="b"/>
        <c:numFmt formatCode="General" sourceLinked="1"/>
        <c:majorTickMark val="out"/>
        <c:minorTickMark val="none"/>
        <c:tickLblPos val="nextTo"/>
        <c:txPr>
          <a:bodyPr/>
          <a:lstStyle/>
          <a:p>
            <a:pPr>
              <a:defRPr b="1"/>
            </a:pPr>
            <a:endParaRPr lang="en-US"/>
          </a:p>
        </c:txPr>
        <c:crossAx val="128693376"/>
        <c:crosses val="autoZero"/>
        <c:auto val="1"/>
        <c:lblAlgn val="ctr"/>
        <c:lblOffset val="100"/>
        <c:noMultiLvlLbl val="0"/>
      </c:catAx>
      <c:valAx>
        <c:axId val="128693376"/>
        <c:scaling>
          <c:orientation val="minMax"/>
        </c:scaling>
        <c:delete val="0"/>
        <c:axPos val="l"/>
        <c:majorGridlines/>
        <c:numFmt formatCode="General" sourceLinked="1"/>
        <c:majorTickMark val="out"/>
        <c:minorTickMark val="none"/>
        <c:tickLblPos val="nextTo"/>
        <c:crossAx val="128322944"/>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29.63</c:v>
                </c:pt>
                <c:pt idx="1">
                  <c:v>-23.81</c:v>
                </c:pt>
                <c:pt idx="2">
                  <c:v>-30.23</c:v>
                </c:pt>
              </c:numCache>
            </c:numRef>
          </c:val>
        </c:ser>
        <c:dLbls>
          <c:showLegendKey val="0"/>
          <c:showVal val="0"/>
          <c:showCatName val="0"/>
          <c:showSerName val="0"/>
          <c:showPercent val="0"/>
          <c:showBubbleSize val="0"/>
        </c:dLbls>
        <c:gapWidth val="150"/>
        <c:axId val="128726912"/>
        <c:axId val="128728448"/>
      </c:barChart>
      <c:catAx>
        <c:axId val="128726912"/>
        <c:scaling>
          <c:orientation val="minMax"/>
        </c:scaling>
        <c:delete val="0"/>
        <c:axPos val="b"/>
        <c:numFmt formatCode="General" sourceLinked="1"/>
        <c:majorTickMark val="out"/>
        <c:minorTickMark val="none"/>
        <c:tickLblPos val="nextTo"/>
        <c:txPr>
          <a:bodyPr/>
          <a:lstStyle/>
          <a:p>
            <a:pPr>
              <a:defRPr b="1"/>
            </a:pPr>
            <a:endParaRPr lang="en-US"/>
          </a:p>
        </c:txPr>
        <c:crossAx val="128728448"/>
        <c:crosses val="autoZero"/>
        <c:auto val="1"/>
        <c:lblAlgn val="ctr"/>
        <c:lblOffset val="100"/>
        <c:noMultiLvlLbl val="0"/>
      </c:catAx>
      <c:valAx>
        <c:axId val="128728448"/>
        <c:scaling>
          <c:orientation val="minMax"/>
        </c:scaling>
        <c:delete val="0"/>
        <c:axPos val="l"/>
        <c:majorGridlines/>
        <c:numFmt formatCode="General" sourceLinked="1"/>
        <c:majorTickMark val="out"/>
        <c:minorTickMark val="none"/>
        <c:tickLblPos val="nextTo"/>
        <c:crossAx val="128726912"/>
        <c:crosses val="autoZero"/>
        <c:crossBetween val="between"/>
      </c:valAx>
    </c:plotArea>
    <c:legend>
      <c:legendPos val="r"/>
      <c:overlay val="0"/>
    </c:legend>
    <c:plotVisOnly val="1"/>
    <c:dispBlanksAs val="gap"/>
    <c:showDLblsOverMax val="0"/>
  </c:chart>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29.63</c:v>
                </c:pt>
                <c:pt idx="1">
                  <c:v>-23.81</c:v>
                </c:pt>
                <c:pt idx="2">
                  <c:v>-30.23</c:v>
                </c:pt>
              </c:numCache>
            </c:numRef>
          </c:val>
        </c:ser>
        <c:dLbls>
          <c:showLegendKey val="0"/>
          <c:showVal val="0"/>
          <c:showCatName val="0"/>
          <c:showSerName val="0"/>
          <c:showPercent val="0"/>
          <c:showBubbleSize val="0"/>
        </c:dLbls>
        <c:gapWidth val="150"/>
        <c:axId val="128782336"/>
        <c:axId val="128783872"/>
      </c:barChart>
      <c:catAx>
        <c:axId val="128782336"/>
        <c:scaling>
          <c:orientation val="minMax"/>
        </c:scaling>
        <c:delete val="0"/>
        <c:axPos val="b"/>
        <c:numFmt formatCode="General" sourceLinked="1"/>
        <c:majorTickMark val="out"/>
        <c:minorTickMark val="none"/>
        <c:tickLblPos val="nextTo"/>
        <c:txPr>
          <a:bodyPr/>
          <a:lstStyle/>
          <a:p>
            <a:pPr>
              <a:defRPr b="1"/>
            </a:pPr>
            <a:endParaRPr lang="en-US"/>
          </a:p>
        </c:txPr>
        <c:crossAx val="128783872"/>
        <c:crosses val="autoZero"/>
        <c:auto val="1"/>
        <c:lblAlgn val="ctr"/>
        <c:lblOffset val="100"/>
        <c:noMultiLvlLbl val="0"/>
      </c:catAx>
      <c:valAx>
        <c:axId val="128783872"/>
        <c:scaling>
          <c:orientation val="minMax"/>
        </c:scaling>
        <c:delete val="0"/>
        <c:axPos val="l"/>
        <c:majorGridlines/>
        <c:numFmt formatCode="General" sourceLinked="1"/>
        <c:majorTickMark val="out"/>
        <c:minorTickMark val="none"/>
        <c:tickLblPos val="nextTo"/>
        <c:crossAx val="12878233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-1.2500000000000001E-2</c:v>
                </c:pt>
                <c:pt idx="1">
                  <c:v>-5.7000000000000002E-3</c:v>
                </c:pt>
                <c:pt idx="2">
                  <c:v>-2.0999999999999999E-3</c:v>
                </c:pt>
                <c:pt idx="3">
                  <c:v>2.0999999999999999E-3</c:v>
                </c:pt>
                <c:pt idx="4">
                  <c:v>2.0999999999999999E-3</c:v>
                </c:pt>
                <c:pt idx="5">
                  <c:v>0</c:v>
                </c:pt>
                <c:pt idx="6">
                  <c:v>-8.5000000000000006E-3</c:v>
                </c:pt>
                <c:pt idx="7">
                  <c:v>-7.0000000000000001E-3</c:v>
                </c:pt>
                <c:pt idx="8">
                  <c:v>4.5999999999999999E-3</c:v>
                </c:pt>
                <c:pt idx="9">
                  <c:v>-1.2E-2</c:v>
                </c:pt>
                <c:pt idx="10">
                  <c:v>-2.5999999999999999E-3</c:v>
                </c:pt>
                <c:pt idx="11">
                  <c:v>-5.4000000000000003E-3</c:v>
                </c:pt>
              </c:numCache>
            </c:numRef>
          </c:val>
        </c:ser>
        <c:dLbls>
          <c:showLegendKey val="0"/>
          <c:showVal val="1"/>
          <c:showCatName val="0"/>
          <c:showSerName val="0"/>
          <c:showPercent val="0"/>
          <c:showBubbleSize val="0"/>
        </c:dLbls>
        <c:gapWidth val="75"/>
        <c:axId val="128799488"/>
        <c:axId val="128802176"/>
      </c:barChart>
      <c:catAx>
        <c:axId val="12879948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28802176"/>
        <c:crosses val="autoZero"/>
        <c:auto val="1"/>
        <c:lblAlgn val="ctr"/>
        <c:lblOffset val="100"/>
        <c:noMultiLvlLbl val="0"/>
      </c:catAx>
      <c:valAx>
        <c:axId val="128802176"/>
        <c:scaling>
          <c:orientation val="minMax"/>
        </c:scaling>
        <c:delete val="0"/>
        <c:axPos val="b"/>
        <c:numFmt formatCode="0.00%" sourceLinked="1"/>
        <c:majorTickMark val="none"/>
        <c:minorTickMark val="none"/>
        <c:tickLblPos val="nextTo"/>
        <c:crossAx val="12879948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0.16</c:v>
                </c:pt>
                <c:pt idx="1">
                  <c:v>-0.26</c:v>
                </c:pt>
                <c:pt idx="2">
                  <c:v>-0.26</c:v>
                </c:pt>
              </c:numCache>
            </c:numRef>
          </c:val>
        </c:ser>
        <c:dLbls>
          <c:showLegendKey val="0"/>
          <c:showVal val="0"/>
          <c:showCatName val="0"/>
          <c:showSerName val="0"/>
          <c:showPercent val="0"/>
          <c:showBubbleSize val="0"/>
        </c:dLbls>
        <c:gapWidth val="150"/>
        <c:axId val="131181952"/>
        <c:axId val="131183744"/>
      </c:barChart>
      <c:catAx>
        <c:axId val="131181952"/>
        <c:scaling>
          <c:orientation val="minMax"/>
        </c:scaling>
        <c:delete val="0"/>
        <c:axPos val="b"/>
        <c:numFmt formatCode="General" sourceLinked="1"/>
        <c:majorTickMark val="out"/>
        <c:minorTickMark val="none"/>
        <c:tickLblPos val="nextTo"/>
        <c:txPr>
          <a:bodyPr/>
          <a:lstStyle/>
          <a:p>
            <a:pPr>
              <a:defRPr b="1"/>
            </a:pPr>
            <a:endParaRPr lang="en-US"/>
          </a:p>
        </c:txPr>
        <c:crossAx val="131183744"/>
        <c:crosses val="autoZero"/>
        <c:auto val="1"/>
        <c:lblAlgn val="ctr"/>
        <c:lblOffset val="100"/>
        <c:noMultiLvlLbl val="0"/>
      </c:catAx>
      <c:valAx>
        <c:axId val="131183744"/>
        <c:scaling>
          <c:orientation val="minMax"/>
        </c:scaling>
        <c:delete val="0"/>
        <c:axPos val="l"/>
        <c:majorGridlines/>
        <c:numFmt formatCode="General" sourceLinked="1"/>
        <c:majorTickMark val="out"/>
        <c:minorTickMark val="none"/>
        <c:tickLblPos val="nextTo"/>
        <c:crossAx val="131181952"/>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16.489999999999998</c:v>
                </c:pt>
                <c:pt idx="1">
                  <c:v>-26.45</c:v>
                </c:pt>
                <c:pt idx="2">
                  <c:v>-25.93</c:v>
                </c:pt>
              </c:numCache>
            </c:numRef>
          </c:val>
        </c:ser>
        <c:dLbls>
          <c:showLegendKey val="0"/>
          <c:showVal val="0"/>
          <c:showCatName val="0"/>
          <c:showSerName val="0"/>
          <c:showPercent val="0"/>
          <c:showBubbleSize val="0"/>
        </c:dLbls>
        <c:gapWidth val="150"/>
        <c:axId val="131270528"/>
        <c:axId val="131272064"/>
      </c:barChart>
      <c:catAx>
        <c:axId val="131270528"/>
        <c:scaling>
          <c:orientation val="minMax"/>
        </c:scaling>
        <c:delete val="0"/>
        <c:axPos val="b"/>
        <c:numFmt formatCode="General" sourceLinked="1"/>
        <c:majorTickMark val="out"/>
        <c:minorTickMark val="none"/>
        <c:tickLblPos val="nextTo"/>
        <c:txPr>
          <a:bodyPr/>
          <a:lstStyle/>
          <a:p>
            <a:pPr>
              <a:defRPr b="1"/>
            </a:pPr>
            <a:endParaRPr lang="en-US"/>
          </a:p>
        </c:txPr>
        <c:crossAx val="131272064"/>
        <c:crosses val="autoZero"/>
        <c:auto val="1"/>
        <c:lblAlgn val="ctr"/>
        <c:lblOffset val="100"/>
        <c:noMultiLvlLbl val="0"/>
      </c:catAx>
      <c:valAx>
        <c:axId val="131272064"/>
        <c:scaling>
          <c:orientation val="minMax"/>
        </c:scaling>
        <c:delete val="0"/>
        <c:axPos val="l"/>
        <c:majorGridlines/>
        <c:numFmt formatCode="General" sourceLinked="1"/>
        <c:majorTickMark val="out"/>
        <c:minorTickMark val="none"/>
        <c:tickLblPos val="nextTo"/>
        <c:crossAx val="131270528"/>
        <c:crosses val="autoZero"/>
        <c:crossBetween val="between"/>
      </c:valAx>
    </c:plotArea>
    <c:legend>
      <c:legendPos val="r"/>
      <c:overlay val="0"/>
    </c:legend>
    <c:plotVisOnly val="1"/>
    <c:dispBlanksAs val="gap"/>
    <c:showDLblsOverMax val="0"/>
  </c:chart>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16.489999999999998</c:v>
                </c:pt>
                <c:pt idx="1">
                  <c:v>-26.45</c:v>
                </c:pt>
                <c:pt idx="2">
                  <c:v>-25.93</c:v>
                </c:pt>
              </c:numCache>
            </c:numRef>
          </c:val>
        </c:ser>
        <c:dLbls>
          <c:showLegendKey val="0"/>
          <c:showVal val="0"/>
          <c:showCatName val="0"/>
          <c:showSerName val="0"/>
          <c:showPercent val="0"/>
          <c:showBubbleSize val="0"/>
        </c:dLbls>
        <c:gapWidth val="150"/>
        <c:axId val="131297280"/>
        <c:axId val="131298816"/>
      </c:barChart>
      <c:catAx>
        <c:axId val="131297280"/>
        <c:scaling>
          <c:orientation val="minMax"/>
        </c:scaling>
        <c:delete val="0"/>
        <c:axPos val="b"/>
        <c:numFmt formatCode="General" sourceLinked="1"/>
        <c:majorTickMark val="out"/>
        <c:minorTickMark val="none"/>
        <c:tickLblPos val="nextTo"/>
        <c:txPr>
          <a:bodyPr/>
          <a:lstStyle/>
          <a:p>
            <a:pPr>
              <a:defRPr b="1"/>
            </a:pPr>
            <a:endParaRPr lang="en-US"/>
          </a:p>
        </c:txPr>
        <c:crossAx val="131298816"/>
        <c:crosses val="autoZero"/>
        <c:auto val="1"/>
        <c:lblAlgn val="ctr"/>
        <c:lblOffset val="100"/>
        <c:noMultiLvlLbl val="0"/>
      </c:catAx>
      <c:valAx>
        <c:axId val="131298816"/>
        <c:scaling>
          <c:orientation val="minMax"/>
        </c:scaling>
        <c:delete val="0"/>
        <c:axPos val="l"/>
        <c:majorGridlines/>
        <c:numFmt formatCode="General" sourceLinked="1"/>
        <c:majorTickMark val="out"/>
        <c:minorTickMark val="none"/>
        <c:tickLblPos val="nextTo"/>
        <c:crossAx val="131297280"/>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2.07E-2</c:v>
                </c:pt>
                <c:pt idx="1">
                  <c:v>-6.7999999999999996E-3</c:v>
                </c:pt>
                <c:pt idx="2">
                  <c:v>-1.32E-2</c:v>
                </c:pt>
                <c:pt idx="3">
                  <c:v>-5.3E-3</c:v>
                </c:pt>
                <c:pt idx="4">
                  <c:v>1.3299999999999999E-2</c:v>
                </c:pt>
                <c:pt idx="5">
                  <c:v>-7.6E-3</c:v>
                </c:pt>
                <c:pt idx="6">
                  <c:v>-3.3E-3</c:v>
                </c:pt>
                <c:pt idx="7">
                  <c:v>-2.5000000000000001E-3</c:v>
                </c:pt>
                <c:pt idx="8">
                  <c:v>8.9999999999999998E-4</c:v>
                </c:pt>
                <c:pt idx="9">
                  <c:v>3.3999999999999998E-3</c:v>
                </c:pt>
                <c:pt idx="10">
                  <c:v>-2.5000000000000001E-3</c:v>
                </c:pt>
                <c:pt idx="11">
                  <c:v>-2.5000000000000001E-3</c:v>
                </c:pt>
              </c:numCache>
            </c:numRef>
          </c:val>
        </c:ser>
        <c:dLbls>
          <c:showLegendKey val="0"/>
          <c:showVal val="1"/>
          <c:showCatName val="0"/>
          <c:showSerName val="0"/>
          <c:showPercent val="0"/>
          <c:showBubbleSize val="0"/>
        </c:dLbls>
        <c:gapWidth val="75"/>
        <c:axId val="131330816"/>
        <c:axId val="131333504"/>
      </c:barChart>
      <c:catAx>
        <c:axId val="13133081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31333504"/>
        <c:crosses val="autoZero"/>
        <c:auto val="1"/>
        <c:lblAlgn val="ctr"/>
        <c:lblOffset val="100"/>
        <c:noMultiLvlLbl val="0"/>
      </c:catAx>
      <c:valAx>
        <c:axId val="131333504"/>
        <c:scaling>
          <c:orientation val="minMax"/>
        </c:scaling>
        <c:delete val="0"/>
        <c:axPos val="b"/>
        <c:numFmt formatCode="0.00%" sourceLinked="1"/>
        <c:majorTickMark val="none"/>
        <c:minorTickMark val="none"/>
        <c:tickLblPos val="nextTo"/>
        <c:crossAx val="13133081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0.81</c:v>
                </c:pt>
                <c:pt idx="1">
                  <c:v>0.71</c:v>
                </c:pt>
                <c:pt idx="2">
                  <c:v>0.7</c:v>
                </c:pt>
              </c:numCache>
            </c:numRef>
          </c:val>
        </c:ser>
        <c:dLbls>
          <c:showLegendKey val="0"/>
          <c:showVal val="0"/>
          <c:showCatName val="0"/>
          <c:showSerName val="0"/>
          <c:showPercent val="0"/>
          <c:showBubbleSize val="0"/>
        </c:dLbls>
        <c:gapWidth val="150"/>
        <c:axId val="131329408"/>
        <c:axId val="131413120"/>
      </c:barChart>
      <c:catAx>
        <c:axId val="131329408"/>
        <c:scaling>
          <c:orientation val="minMax"/>
        </c:scaling>
        <c:delete val="0"/>
        <c:axPos val="b"/>
        <c:numFmt formatCode="General" sourceLinked="1"/>
        <c:majorTickMark val="out"/>
        <c:minorTickMark val="none"/>
        <c:tickLblPos val="nextTo"/>
        <c:txPr>
          <a:bodyPr/>
          <a:lstStyle/>
          <a:p>
            <a:pPr>
              <a:defRPr b="1"/>
            </a:pPr>
            <a:endParaRPr lang="en-US"/>
          </a:p>
        </c:txPr>
        <c:crossAx val="131413120"/>
        <c:crosses val="autoZero"/>
        <c:auto val="1"/>
        <c:lblAlgn val="ctr"/>
        <c:lblOffset val="100"/>
        <c:noMultiLvlLbl val="0"/>
      </c:catAx>
      <c:valAx>
        <c:axId val="131413120"/>
        <c:scaling>
          <c:orientation val="minMax"/>
        </c:scaling>
        <c:delete val="0"/>
        <c:axPos val="l"/>
        <c:majorGridlines/>
        <c:numFmt formatCode="General" sourceLinked="1"/>
        <c:majorTickMark val="out"/>
        <c:minorTickMark val="none"/>
        <c:tickLblPos val="nextTo"/>
        <c:crossAx val="131329408"/>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-18.850000000000001</c:v>
                </c:pt>
                <c:pt idx="1">
                  <c:v>-29.03</c:v>
                </c:pt>
                <c:pt idx="2">
                  <c:v>-29.78</c:v>
                </c:pt>
              </c:numCache>
            </c:numRef>
          </c:val>
        </c:ser>
        <c:dLbls>
          <c:showLegendKey val="0"/>
          <c:showVal val="0"/>
          <c:showCatName val="0"/>
          <c:showSerName val="0"/>
          <c:showPercent val="0"/>
          <c:showBubbleSize val="0"/>
        </c:dLbls>
        <c:gapWidth val="150"/>
        <c:axId val="131483520"/>
        <c:axId val="131485056"/>
      </c:barChart>
      <c:catAx>
        <c:axId val="131483520"/>
        <c:scaling>
          <c:orientation val="minMax"/>
        </c:scaling>
        <c:delete val="0"/>
        <c:axPos val="b"/>
        <c:numFmt formatCode="General" sourceLinked="1"/>
        <c:majorTickMark val="out"/>
        <c:minorTickMark val="none"/>
        <c:tickLblPos val="nextTo"/>
        <c:txPr>
          <a:bodyPr/>
          <a:lstStyle/>
          <a:p>
            <a:pPr>
              <a:defRPr b="1"/>
            </a:pPr>
            <a:endParaRPr lang="en-US"/>
          </a:p>
        </c:txPr>
        <c:crossAx val="131485056"/>
        <c:crosses val="autoZero"/>
        <c:auto val="1"/>
        <c:lblAlgn val="ctr"/>
        <c:lblOffset val="100"/>
        <c:noMultiLvlLbl val="0"/>
      </c:catAx>
      <c:valAx>
        <c:axId val="131485056"/>
        <c:scaling>
          <c:orientation val="minMax"/>
        </c:scaling>
        <c:delete val="0"/>
        <c:axPos val="l"/>
        <c:majorGridlines/>
        <c:numFmt formatCode="General" sourceLinked="1"/>
        <c:majorTickMark val="out"/>
        <c:minorTickMark val="none"/>
        <c:tickLblPos val="nextTo"/>
        <c:crossAx val="131483520"/>
        <c:crosses val="autoZero"/>
        <c:crossBetween val="between"/>
      </c:valAx>
    </c:plotArea>
    <c:legend>
      <c:legendPos val="r"/>
      <c:overlay val="0"/>
    </c:legend>
    <c:plotVisOnly val="1"/>
    <c:dispBlanksAs val="gap"/>
    <c:showDLblsOverMax val="0"/>
  </c:chart>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-18.850000000000001</c:v>
                </c:pt>
                <c:pt idx="1">
                  <c:v>-29.03</c:v>
                </c:pt>
                <c:pt idx="2">
                  <c:v>-29.78</c:v>
                </c:pt>
              </c:numCache>
            </c:numRef>
          </c:val>
        </c:ser>
        <c:dLbls>
          <c:showLegendKey val="0"/>
          <c:showVal val="0"/>
          <c:showCatName val="0"/>
          <c:showSerName val="0"/>
          <c:showPercent val="0"/>
          <c:showBubbleSize val="0"/>
        </c:dLbls>
        <c:gapWidth val="150"/>
        <c:axId val="131514368"/>
        <c:axId val="131515904"/>
      </c:barChart>
      <c:catAx>
        <c:axId val="131514368"/>
        <c:scaling>
          <c:orientation val="minMax"/>
        </c:scaling>
        <c:delete val="0"/>
        <c:axPos val="b"/>
        <c:numFmt formatCode="General" sourceLinked="1"/>
        <c:majorTickMark val="out"/>
        <c:minorTickMark val="none"/>
        <c:tickLblPos val="nextTo"/>
        <c:txPr>
          <a:bodyPr/>
          <a:lstStyle/>
          <a:p>
            <a:pPr>
              <a:defRPr b="1"/>
            </a:pPr>
            <a:endParaRPr lang="en-US"/>
          </a:p>
        </c:txPr>
        <c:crossAx val="131515904"/>
        <c:crosses val="autoZero"/>
        <c:auto val="1"/>
        <c:lblAlgn val="ctr"/>
        <c:lblOffset val="100"/>
        <c:noMultiLvlLbl val="0"/>
      </c:catAx>
      <c:valAx>
        <c:axId val="131515904"/>
        <c:scaling>
          <c:orientation val="minMax"/>
        </c:scaling>
        <c:delete val="0"/>
        <c:axPos val="l"/>
        <c:majorGridlines/>
        <c:numFmt formatCode="General" sourceLinked="1"/>
        <c:majorTickMark val="out"/>
        <c:minorTickMark val="none"/>
        <c:tickLblPos val="nextTo"/>
        <c:crossAx val="13151436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2.3148148148148147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8.8000000000000005E-3</c:v>
                </c:pt>
                <c:pt idx="1">
                  <c:v>-2.8999999999999998E-3</c:v>
                </c:pt>
                <c:pt idx="2">
                  <c:v>1.9E-3</c:v>
                </c:pt>
                <c:pt idx="3">
                  <c:v>-3.8999999999999998E-3</c:v>
                </c:pt>
                <c:pt idx="4">
                  <c:v>-1.2999999999999999E-3</c:v>
                </c:pt>
                <c:pt idx="5">
                  <c:v>-4.4999999999999997E-3</c:v>
                </c:pt>
                <c:pt idx="6">
                  <c:v>-1.8E-3</c:v>
                </c:pt>
                <c:pt idx="7">
                  <c:v>-1.1000000000000001E-3</c:v>
                </c:pt>
                <c:pt idx="8">
                  <c:v>-3.0000000000000001E-3</c:v>
                </c:pt>
                <c:pt idx="9">
                  <c:v>-9.7999999999999997E-3</c:v>
                </c:pt>
                <c:pt idx="10">
                  <c:v>-4.0000000000000001E-3</c:v>
                </c:pt>
                <c:pt idx="11">
                  <c:v>3.5999999999999999E-3</c:v>
                </c:pt>
              </c:numCache>
            </c:numRef>
          </c:val>
        </c:ser>
        <c:dLbls>
          <c:showLegendKey val="0"/>
          <c:showVal val="1"/>
          <c:showCatName val="0"/>
          <c:showSerName val="0"/>
          <c:showPercent val="0"/>
          <c:showBubbleSize val="0"/>
        </c:dLbls>
        <c:gapWidth val="75"/>
        <c:axId val="132580096"/>
        <c:axId val="132582784"/>
      </c:barChart>
      <c:catAx>
        <c:axId val="13258009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32582784"/>
        <c:crosses val="autoZero"/>
        <c:auto val="1"/>
        <c:lblAlgn val="ctr"/>
        <c:lblOffset val="100"/>
        <c:noMultiLvlLbl val="0"/>
      </c:catAx>
      <c:valAx>
        <c:axId val="132582784"/>
        <c:scaling>
          <c:orientation val="minMax"/>
        </c:scaling>
        <c:delete val="0"/>
        <c:axPos val="b"/>
        <c:numFmt formatCode="0.00%" sourceLinked="1"/>
        <c:majorTickMark val="none"/>
        <c:minorTickMark val="none"/>
        <c:tickLblPos val="nextTo"/>
        <c:crossAx val="13258009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1.89</c:v>
                </c:pt>
                <c:pt idx="1">
                  <c:v>0.05</c:v>
                </c:pt>
                <c:pt idx="2">
                  <c:v>1.92</c:v>
                </c:pt>
              </c:numCache>
            </c:numRef>
          </c:val>
        </c:ser>
        <c:dLbls>
          <c:showLegendKey val="0"/>
          <c:showVal val="0"/>
          <c:showCatName val="0"/>
          <c:showSerName val="0"/>
          <c:showPercent val="0"/>
          <c:showBubbleSize val="0"/>
        </c:dLbls>
        <c:gapWidth val="150"/>
        <c:axId val="132623744"/>
        <c:axId val="135943296"/>
      </c:barChart>
      <c:catAx>
        <c:axId val="132623744"/>
        <c:scaling>
          <c:orientation val="minMax"/>
        </c:scaling>
        <c:delete val="0"/>
        <c:axPos val="b"/>
        <c:numFmt formatCode="General" sourceLinked="1"/>
        <c:majorTickMark val="out"/>
        <c:minorTickMark val="none"/>
        <c:tickLblPos val="nextTo"/>
        <c:txPr>
          <a:bodyPr/>
          <a:lstStyle/>
          <a:p>
            <a:pPr>
              <a:defRPr b="1"/>
            </a:pPr>
            <a:endParaRPr lang="en-US"/>
          </a:p>
        </c:txPr>
        <c:crossAx val="135943296"/>
        <c:crosses val="autoZero"/>
        <c:auto val="1"/>
        <c:lblAlgn val="ctr"/>
        <c:lblOffset val="100"/>
        <c:noMultiLvlLbl val="0"/>
      </c:catAx>
      <c:valAx>
        <c:axId val="135943296"/>
        <c:scaling>
          <c:orientation val="minMax"/>
        </c:scaling>
        <c:delete val="0"/>
        <c:axPos val="l"/>
        <c:majorGridlines/>
        <c:numFmt formatCode="General" sourceLinked="1"/>
        <c:majorTickMark val="out"/>
        <c:minorTickMark val="none"/>
        <c:tickLblPos val="nextTo"/>
        <c:crossAx val="132623744"/>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20.84</c:v>
                </c:pt>
                <c:pt idx="1">
                  <c:v>4.76</c:v>
                </c:pt>
                <c:pt idx="2">
                  <c:v>-7.96</c:v>
                </c:pt>
              </c:numCache>
            </c:numRef>
          </c:val>
        </c:ser>
        <c:dLbls>
          <c:showLegendKey val="0"/>
          <c:showVal val="0"/>
          <c:showCatName val="0"/>
          <c:showSerName val="0"/>
          <c:showPercent val="0"/>
          <c:showBubbleSize val="0"/>
        </c:dLbls>
        <c:gapWidth val="150"/>
        <c:axId val="135972736"/>
        <c:axId val="135974272"/>
      </c:barChart>
      <c:catAx>
        <c:axId val="135972736"/>
        <c:scaling>
          <c:orientation val="minMax"/>
        </c:scaling>
        <c:delete val="0"/>
        <c:axPos val="b"/>
        <c:numFmt formatCode="General" sourceLinked="1"/>
        <c:majorTickMark val="out"/>
        <c:minorTickMark val="none"/>
        <c:tickLblPos val="nextTo"/>
        <c:txPr>
          <a:bodyPr/>
          <a:lstStyle/>
          <a:p>
            <a:pPr>
              <a:defRPr b="1"/>
            </a:pPr>
            <a:endParaRPr lang="en-US"/>
          </a:p>
        </c:txPr>
        <c:crossAx val="135974272"/>
        <c:crosses val="autoZero"/>
        <c:auto val="1"/>
        <c:lblAlgn val="ctr"/>
        <c:lblOffset val="100"/>
        <c:noMultiLvlLbl val="0"/>
      </c:catAx>
      <c:valAx>
        <c:axId val="135974272"/>
        <c:scaling>
          <c:orientation val="minMax"/>
        </c:scaling>
        <c:delete val="0"/>
        <c:axPos val="l"/>
        <c:majorGridlines/>
        <c:numFmt formatCode="General" sourceLinked="1"/>
        <c:majorTickMark val="out"/>
        <c:minorTickMark val="none"/>
        <c:tickLblPos val="nextTo"/>
        <c:crossAx val="135972736"/>
        <c:crosses val="autoZero"/>
        <c:crossBetween val="between"/>
      </c:valAx>
    </c:plotArea>
    <c:legend>
      <c:legendPos val="r"/>
      <c:overlay val="0"/>
    </c:legend>
    <c:plotVisOnly val="1"/>
    <c:dispBlanksAs val="gap"/>
    <c:showDLblsOverMax val="0"/>
  </c:chart>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20.84</c:v>
                </c:pt>
                <c:pt idx="1">
                  <c:v>4.76</c:v>
                </c:pt>
                <c:pt idx="2">
                  <c:v>-7.96</c:v>
                </c:pt>
              </c:numCache>
            </c:numRef>
          </c:val>
        </c:ser>
        <c:dLbls>
          <c:showLegendKey val="0"/>
          <c:showVal val="0"/>
          <c:showCatName val="0"/>
          <c:showSerName val="0"/>
          <c:showPercent val="0"/>
          <c:showBubbleSize val="0"/>
        </c:dLbls>
        <c:gapWidth val="150"/>
        <c:axId val="136040448"/>
        <c:axId val="136041984"/>
      </c:barChart>
      <c:catAx>
        <c:axId val="136040448"/>
        <c:scaling>
          <c:orientation val="minMax"/>
        </c:scaling>
        <c:delete val="0"/>
        <c:axPos val="b"/>
        <c:numFmt formatCode="General" sourceLinked="1"/>
        <c:majorTickMark val="out"/>
        <c:minorTickMark val="none"/>
        <c:tickLblPos val="nextTo"/>
        <c:txPr>
          <a:bodyPr/>
          <a:lstStyle/>
          <a:p>
            <a:pPr>
              <a:defRPr b="1"/>
            </a:pPr>
            <a:endParaRPr lang="en-US"/>
          </a:p>
        </c:txPr>
        <c:crossAx val="136041984"/>
        <c:crosses val="autoZero"/>
        <c:auto val="1"/>
        <c:lblAlgn val="ctr"/>
        <c:lblOffset val="100"/>
        <c:noMultiLvlLbl val="0"/>
      </c:catAx>
      <c:valAx>
        <c:axId val="136041984"/>
        <c:scaling>
          <c:orientation val="minMax"/>
        </c:scaling>
        <c:delete val="0"/>
        <c:axPos val="l"/>
        <c:majorGridlines/>
        <c:numFmt formatCode="General" sourceLinked="1"/>
        <c:majorTickMark val="out"/>
        <c:minorTickMark val="none"/>
        <c:tickLblPos val="nextTo"/>
        <c:crossAx val="13604044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2.3148148148148147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8.8000000000000005E-3</c:v>
                </c:pt>
                <c:pt idx="1">
                  <c:v>0</c:v>
                </c:pt>
                <c:pt idx="2">
                  <c:v>-8.5000000000000006E-3</c:v>
                </c:pt>
                <c:pt idx="3">
                  <c:v>8.2000000000000007E-3</c:v>
                </c:pt>
                <c:pt idx="4">
                  <c:v>-4.4000000000000003E-3</c:v>
                </c:pt>
                <c:pt idx="5">
                  <c:v>5.0000000000000001E-4</c:v>
                </c:pt>
                <c:pt idx="6">
                  <c:v>0</c:v>
                </c:pt>
                <c:pt idx="7">
                  <c:v>-2.3999999999999998E-3</c:v>
                </c:pt>
                <c:pt idx="8">
                  <c:v>4.3E-3</c:v>
                </c:pt>
                <c:pt idx="9">
                  <c:v>1.9E-3</c:v>
                </c:pt>
                <c:pt idx="10">
                  <c:v>3.2000000000000002E-3</c:v>
                </c:pt>
                <c:pt idx="11">
                  <c:v>-3.5000000000000001E-3</c:v>
                </c:pt>
              </c:numCache>
            </c:numRef>
          </c:val>
        </c:ser>
        <c:dLbls>
          <c:showLegendKey val="0"/>
          <c:showVal val="1"/>
          <c:showCatName val="0"/>
          <c:showSerName val="0"/>
          <c:showPercent val="0"/>
          <c:showBubbleSize val="0"/>
        </c:dLbls>
        <c:gapWidth val="75"/>
        <c:axId val="136065792"/>
        <c:axId val="136068480"/>
      </c:barChart>
      <c:catAx>
        <c:axId val="136065792"/>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36068480"/>
        <c:crosses val="autoZero"/>
        <c:auto val="1"/>
        <c:lblAlgn val="ctr"/>
        <c:lblOffset val="100"/>
        <c:noMultiLvlLbl val="0"/>
      </c:catAx>
      <c:valAx>
        <c:axId val="136068480"/>
        <c:scaling>
          <c:orientation val="minMax"/>
        </c:scaling>
        <c:delete val="0"/>
        <c:axPos val="b"/>
        <c:numFmt formatCode="0.00%" sourceLinked="1"/>
        <c:majorTickMark val="none"/>
        <c:minorTickMark val="none"/>
        <c:tickLblPos val="nextTo"/>
        <c:crossAx val="136065792"/>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c:v>
                </c:pt>
                <c:pt idx="1">
                  <c:v>1.27</c:v>
                </c:pt>
                <c:pt idx="2">
                  <c:v>-0.2</c:v>
                </c:pt>
              </c:numCache>
            </c:numRef>
          </c:val>
        </c:ser>
        <c:dLbls>
          <c:showLegendKey val="0"/>
          <c:showVal val="0"/>
          <c:showCatName val="0"/>
          <c:showSerName val="0"/>
          <c:showPercent val="0"/>
          <c:showBubbleSize val="0"/>
        </c:dLbls>
        <c:gapWidth val="150"/>
        <c:axId val="131173760"/>
        <c:axId val="135996544"/>
      </c:barChart>
      <c:catAx>
        <c:axId val="131173760"/>
        <c:scaling>
          <c:orientation val="minMax"/>
        </c:scaling>
        <c:delete val="0"/>
        <c:axPos val="b"/>
        <c:numFmt formatCode="General" sourceLinked="1"/>
        <c:majorTickMark val="out"/>
        <c:minorTickMark val="none"/>
        <c:tickLblPos val="nextTo"/>
        <c:txPr>
          <a:bodyPr/>
          <a:lstStyle/>
          <a:p>
            <a:pPr>
              <a:defRPr b="1"/>
            </a:pPr>
            <a:endParaRPr lang="en-US"/>
          </a:p>
        </c:txPr>
        <c:crossAx val="135996544"/>
        <c:crosses val="autoZero"/>
        <c:auto val="1"/>
        <c:lblAlgn val="ctr"/>
        <c:lblOffset val="100"/>
        <c:noMultiLvlLbl val="0"/>
      </c:catAx>
      <c:valAx>
        <c:axId val="135996544"/>
        <c:scaling>
          <c:orientation val="minMax"/>
        </c:scaling>
        <c:delete val="0"/>
        <c:axPos val="l"/>
        <c:majorGridlines/>
        <c:numFmt formatCode="General" sourceLinked="1"/>
        <c:majorTickMark val="out"/>
        <c:minorTickMark val="none"/>
        <c:tickLblPos val="nextTo"/>
        <c:crossAx val="131173760"/>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57.49</c:v>
                </c:pt>
                <c:pt idx="1">
                  <c:v>-20.56</c:v>
                </c:pt>
                <c:pt idx="2">
                  <c:v>-19.68</c:v>
                </c:pt>
              </c:numCache>
            </c:numRef>
          </c:val>
        </c:ser>
        <c:dLbls>
          <c:showLegendKey val="0"/>
          <c:showVal val="0"/>
          <c:showCatName val="0"/>
          <c:showSerName val="0"/>
          <c:showPercent val="0"/>
          <c:showBubbleSize val="0"/>
        </c:dLbls>
        <c:gapWidth val="150"/>
        <c:axId val="136185728"/>
        <c:axId val="136187264"/>
      </c:barChart>
      <c:catAx>
        <c:axId val="136185728"/>
        <c:scaling>
          <c:orientation val="minMax"/>
        </c:scaling>
        <c:delete val="0"/>
        <c:axPos val="b"/>
        <c:numFmt formatCode="General" sourceLinked="1"/>
        <c:majorTickMark val="out"/>
        <c:minorTickMark val="none"/>
        <c:tickLblPos val="nextTo"/>
        <c:txPr>
          <a:bodyPr/>
          <a:lstStyle/>
          <a:p>
            <a:pPr>
              <a:defRPr b="1"/>
            </a:pPr>
            <a:endParaRPr lang="en-US"/>
          </a:p>
        </c:txPr>
        <c:crossAx val="136187264"/>
        <c:crosses val="autoZero"/>
        <c:auto val="1"/>
        <c:lblAlgn val="ctr"/>
        <c:lblOffset val="100"/>
        <c:noMultiLvlLbl val="0"/>
      </c:catAx>
      <c:valAx>
        <c:axId val="136187264"/>
        <c:scaling>
          <c:orientation val="minMax"/>
        </c:scaling>
        <c:delete val="0"/>
        <c:axPos val="l"/>
        <c:majorGridlines/>
        <c:numFmt formatCode="General" sourceLinked="1"/>
        <c:majorTickMark val="out"/>
        <c:minorTickMark val="none"/>
        <c:tickLblPos val="nextTo"/>
        <c:crossAx val="136185728"/>
        <c:crosses val="autoZero"/>
        <c:crossBetween val="between"/>
      </c:valAx>
    </c:plotArea>
    <c:legend>
      <c:legendPos val="r"/>
      <c:overlay val="0"/>
    </c:legend>
    <c:plotVisOnly val="1"/>
    <c:dispBlanksAs val="gap"/>
    <c:showDLblsOverMax val="0"/>
  </c:chart>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57.49</c:v>
                </c:pt>
                <c:pt idx="1">
                  <c:v>-20.56</c:v>
                </c:pt>
                <c:pt idx="2">
                  <c:v>-19.68</c:v>
                </c:pt>
              </c:numCache>
            </c:numRef>
          </c:val>
        </c:ser>
        <c:dLbls>
          <c:showLegendKey val="0"/>
          <c:showVal val="0"/>
          <c:showCatName val="0"/>
          <c:showSerName val="0"/>
          <c:showPercent val="0"/>
          <c:showBubbleSize val="0"/>
        </c:dLbls>
        <c:gapWidth val="150"/>
        <c:axId val="136142848"/>
        <c:axId val="136144384"/>
      </c:barChart>
      <c:catAx>
        <c:axId val="136142848"/>
        <c:scaling>
          <c:orientation val="minMax"/>
        </c:scaling>
        <c:delete val="0"/>
        <c:axPos val="b"/>
        <c:numFmt formatCode="General" sourceLinked="1"/>
        <c:majorTickMark val="out"/>
        <c:minorTickMark val="none"/>
        <c:tickLblPos val="nextTo"/>
        <c:txPr>
          <a:bodyPr/>
          <a:lstStyle/>
          <a:p>
            <a:pPr>
              <a:defRPr b="1"/>
            </a:pPr>
            <a:endParaRPr lang="en-US"/>
          </a:p>
        </c:txPr>
        <c:crossAx val="136144384"/>
        <c:crosses val="autoZero"/>
        <c:auto val="1"/>
        <c:lblAlgn val="ctr"/>
        <c:lblOffset val="100"/>
        <c:noMultiLvlLbl val="0"/>
      </c:catAx>
      <c:valAx>
        <c:axId val="136144384"/>
        <c:scaling>
          <c:orientation val="minMax"/>
        </c:scaling>
        <c:delete val="0"/>
        <c:axPos val="l"/>
        <c:majorGridlines/>
        <c:numFmt formatCode="General" sourceLinked="1"/>
        <c:majorTickMark val="out"/>
        <c:minorTickMark val="none"/>
        <c:tickLblPos val="nextTo"/>
        <c:crossAx val="13614284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2.3148148148148147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4.0000000000000001E-3</c:v>
                </c:pt>
                <c:pt idx="1">
                  <c:v>-7.4000000000000003E-3</c:v>
                </c:pt>
                <c:pt idx="2">
                  <c:v>-9.1000000000000004E-3</c:v>
                </c:pt>
                <c:pt idx="3">
                  <c:v>3.2000000000000002E-3</c:v>
                </c:pt>
                <c:pt idx="4">
                  <c:v>1.0999999999999999E-2</c:v>
                </c:pt>
                <c:pt idx="5">
                  <c:v>-8.8999999999999999E-3</c:v>
                </c:pt>
                <c:pt idx="6">
                  <c:v>3.0000000000000001E-3</c:v>
                </c:pt>
                <c:pt idx="7">
                  <c:v>-4.8999999999999998E-3</c:v>
                </c:pt>
                <c:pt idx="8">
                  <c:v>1.2999999999999999E-3</c:v>
                </c:pt>
                <c:pt idx="9">
                  <c:v>-3.0999999999999999E-3</c:v>
                </c:pt>
                <c:pt idx="10">
                  <c:v>3.8E-3</c:v>
                </c:pt>
                <c:pt idx="11">
                  <c:v>-7.7999999999999996E-3</c:v>
                </c:pt>
              </c:numCache>
            </c:numRef>
          </c:val>
        </c:ser>
        <c:dLbls>
          <c:showLegendKey val="0"/>
          <c:showVal val="1"/>
          <c:showCatName val="0"/>
          <c:showSerName val="0"/>
          <c:showPercent val="0"/>
          <c:showBubbleSize val="0"/>
        </c:dLbls>
        <c:gapWidth val="75"/>
        <c:axId val="136229632"/>
        <c:axId val="136232320"/>
      </c:barChart>
      <c:catAx>
        <c:axId val="136229632"/>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36232320"/>
        <c:crosses val="autoZero"/>
        <c:auto val="1"/>
        <c:lblAlgn val="ctr"/>
        <c:lblOffset val="100"/>
        <c:noMultiLvlLbl val="0"/>
      </c:catAx>
      <c:valAx>
        <c:axId val="136232320"/>
        <c:scaling>
          <c:orientation val="minMax"/>
        </c:scaling>
        <c:delete val="0"/>
        <c:axPos val="b"/>
        <c:numFmt formatCode="0.00%" sourceLinked="1"/>
        <c:majorTickMark val="none"/>
        <c:minorTickMark val="none"/>
        <c:tickLblPos val="nextTo"/>
        <c:crossAx val="136229632"/>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0.51</c:v>
                </c:pt>
                <c:pt idx="1">
                  <c:v>0.23</c:v>
                </c:pt>
                <c:pt idx="2">
                  <c:v>-0.19</c:v>
                </c:pt>
              </c:numCache>
            </c:numRef>
          </c:val>
        </c:ser>
        <c:dLbls>
          <c:showLegendKey val="0"/>
          <c:showVal val="0"/>
          <c:showCatName val="0"/>
          <c:showSerName val="0"/>
          <c:showPercent val="0"/>
          <c:showBubbleSize val="0"/>
        </c:dLbls>
        <c:gapWidth val="150"/>
        <c:axId val="136318336"/>
        <c:axId val="136324224"/>
      </c:barChart>
      <c:catAx>
        <c:axId val="136318336"/>
        <c:scaling>
          <c:orientation val="minMax"/>
        </c:scaling>
        <c:delete val="0"/>
        <c:axPos val="b"/>
        <c:numFmt formatCode="General" sourceLinked="1"/>
        <c:majorTickMark val="out"/>
        <c:minorTickMark val="none"/>
        <c:tickLblPos val="nextTo"/>
        <c:txPr>
          <a:bodyPr/>
          <a:lstStyle/>
          <a:p>
            <a:pPr>
              <a:defRPr b="1"/>
            </a:pPr>
            <a:endParaRPr lang="en-US"/>
          </a:p>
        </c:txPr>
        <c:crossAx val="136324224"/>
        <c:crosses val="autoZero"/>
        <c:auto val="1"/>
        <c:lblAlgn val="ctr"/>
        <c:lblOffset val="100"/>
        <c:noMultiLvlLbl val="0"/>
      </c:catAx>
      <c:valAx>
        <c:axId val="136324224"/>
        <c:scaling>
          <c:orientation val="minMax"/>
        </c:scaling>
        <c:delete val="0"/>
        <c:axPos val="l"/>
        <c:majorGridlines/>
        <c:numFmt formatCode="General" sourceLinked="1"/>
        <c:majorTickMark val="out"/>
        <c:minorTickMark val="none"/>
        <c:tickLblPos val="nextTo"/>
        <c:crossAx val="136318336"/>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50.71</c:v>
                </c:pt>
                <c:pt idx="1">
                  <c:v>23.39</c:v>
                </c:pt>
                <c:pt idx="2">
                  <c:v>-19.41</c:v>
                </c:pt>
              </c:numCache>
            </c:numRef>
          </c:val>
        </c:ser>
        <c:dLbls>
          <c:showLegendKey val="0"/>
          <c:showVal val="0"/>
          <c:showCatName val="0"/>
          <c:showSerName val="0"/>
          <c:showPercent val="0"/>
          <c:showBubbleSize val="0"/>
        </c:dLbls>
        <c:gapWidth val="150"/>
        <c:axId val="135939968"/>
        <c:axId val="135941504"/>
      </c:barChart>
      <c:catAx>
        <c:axId val="135939968"/>
        <c:scaling>
          <c:orientation val="minMax"/>
        </c:scaling>
        <c:delete val="0"/>
        <c:axPos val="b"/>
        <c:numFmt formatCode="General" sourceLinked="1"/>
        <c:majorTickMark val="out"/>
        <c:minorTickMark val="none"/>
        <c:tickLblPos val="nextTo"/>
        <c:txPr>
          <a:bodyPr/>
          <a:lstStyle/>
          <a:p>
            <a:pPr>
              <a:defRPr b="1"/>
            </a:pPr>
            <a:endParaRPr lang="en-US"/>
          </a:p>
        </c:txPr>
        <c:crossAx val="135941504"/>
        <c:crosses val="autoZero"/>
        <c:auto val="1"/>
        <c:lblAlgn val="ctr"/>
        <c:lblOffset val="100"/>
        <c:noMultiLvlLbl val="0"/>
      </c:catAx>
      <c:valAx>
        <c:axId val="135941504"/>
        <c:scaling>
          <c:orientation val="minMax"/>
        </c:scaling>
        <c:delete val="0"/>
        <c:axPos val="l"/>
        <c:majorGridlines/>
        <c:numFmt formatCode="General" sourceLinked="1"/>
        <c:majorTickMark val="out"/>
        <c:minorTickMark val="none"/>
        <c:tickLblPos val="nextTo"/>
        <c:crossAx val="135939968"/>
        <c:crosses val="autoZero"/>
        <c:crossBetween val="between"/>
      </c:valAx>
    </c:plotArea>
    <c:legend>
      <c:legendPos val="r"/>
      <c:overlay val="0"/>
    </c:legend>
    <c:plotVisOnly val="1"/>
    <c:dispBlanksAs val="gap"/>
    <c:showDLblsOverMax val="0"/>
  </c:chart>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50.71</c:v>
                </c:pt>
                <c:pt idx="1">
                  <c:v>23.39</c:v>
                </c:pt>
                <c:pt idx="2">
                  <c:v>-19.41</c:v>
                </c:pt>
              </c:numCache>
            </c:numRef>
          </c:val>
        </c:ser>
        <c:dLbls>
          <c:showLegendKey val="0"/>
          <c:showVal val="0"/>
          <c:showCatName val="0"/>
          <c:showSerName val="0"/>
          <c:showPercent val="0"/>
          <c:showBubbleSize val="0"/>
        </c:dLbls>
        <c:gapWidth val="150"/>
        <c:axId val="136409088"/>
        <c:axId val="136410624"/>
      </c:barChart>
      <c:catAx>
        <c:axId val="136409088"/>
        <c:scaling>
          <c:orientation val="minMax"/>
        </c:scaling>
        <c:delete val="0"/>
        <c:axPos val="b"/>
        <c:numFmt formatCode="General" sourceLinked="1"/>
        <c:majorTickMark val="out"/>
        <c:minorTickMark val="none"/>
        <c:tickLblPos val="nextTo"/>
        <c:txPr>
          <a:bodyPr/>
          <a:lstStyle/>
          <a:p>
            <a:pPr>
              <a:defRPr b="1"/>
            </a:pPr>
            <a:endParaRPr lang="en-US"/>
          </a:p>
        </c:txPr>
        <c:crossAx val="136410624"/>
        <c:crosses val="autoZero"/>
        <c:auto val="1"/>
        <c:lblAlgn val="ctr"/>
        <c:lblOffset val="100"/>
        <c:noMultiLvlLbl val="0"/>
      </c:catAx>
      <c:valAx>
        <c:axId val="136410624"/>
        <c:scaling>
          <c:orientation val="minMax"/>
        </c:scaling>
        <c:delete val="0"/>
        <c:axPos val="l"/>
        <c:majorGridlines/>
        <c:numFmt formatCode="General" sourceLinked="1"/>
        <c:majorTickMark val="out"/>
        <c:minorTickMark val="none"/>
        <c:tickLblPos val="nextTo"/>
        <c:crossAx val="13640908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3"/>
              <c:layout>
                <c:manualLayout>
                  <c:x val="1.6203703703703703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4.3981663750364539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1.9E-3</c:v>
                </c:pt>
                <c:pt idx="1">
                  <c:v>-8.2000000000000007E-3</c:v>
                </c:pt>
                <c:pt idx="2">
                  <c:v>2.5000000000000001E-3</c:v>
                </c:pt>
                <c:pt idx="3">
                  <c:v>-1.5E-3</c:v>
                </c:pt>
                <c:pt idx="4">
                  <c:v>2.7000000000000001E-3</c:v>
                </c:pt>
                <c:pt idx="5">
                  <c:v>4.7999999999999996E-3</c:v>
                </c:pt>
                <c:pt idx="6">
                  <c:v>-3.0000000000000001E-3</c:v>
                </c:pt>
                <c:pt idx="7">
                  <c:v>2.0000000000000001E-4</c:v>
                </c:pt>
                <c:pt idx="8">
                  <c:v>-1.8E-3</c:v>
                </c:pt>
                <c:pt idx="9">
                  <c:v>2E-3</c:v>
                </c:pt>
                <c:pt idx="10">
                  <c:v>-1.3899999999999999E-2</c:v>
                </c:pt>
                <c:pt idx="11">
                  <c:v>-8.3000000000000001E-3</c:v>
                </c:pt>
              </c:numCache>
            </c:numRef>
          </c:val>
        </c:ser>
        <c:dLbls>
          <c:showLegendKey val="0"/>
          <c:showVal val="1"/>
          <c:showCatName val="0"/>
          <c:showSerName val="0"/>
          <c:showPercent val="0"/>
          <c:showBubbleSize val="0"/>
        </c:dLbls>
        <c:gapWidth val="75"/>
        <c:axId val="136430336"/>
        <c:axId val="136433024"/>
      </c:barChart>
      <c:catAx>
        <c:axId val="13643033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36433024"/>
        <c:crosses val="autoZero"/>
        <c:auto val="1"/>
        <c:lblAlgn val="ctr"/>
        <c:lblOffset val="100"/>
        <c:noMultiLvlLbl val="0"/>
      </c:catAx>
      <c:valAx>
        <c:axId val="136433024"/>
        <c:scaling>
          <c:orientation val="minMax"/>
        </c:scaling>
        <c:delete val="0"/>
        <c:axPos val="b"/>
        <c:numFmt formatCode="0.00%" sourceLinked="1"/>
        <c:majorTickMark val="none"/>
        <c:minorTickMark val="none"/>
        <c:tickLblPos val="nextTo"/>
        <c:crossAx val="13643033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0.06</c:v>
                </c:pt>
                <c:pt idx="1">
                  <c:v>-0.2</c:v>
                </c:pt>
                <c:pt idx="2">
                  <c:v>-0.19</c:v>
                </c:pt>
              </c:numCache>
            </c:numRef>
          </c:val>
        </c:ser>
        <c:dLbls>
          <c:showLegendKey val="0"/>
          <c:showVal val="0"/>
          <c:showCatName val="0"/>
          <c:showSerName val="0"/>
          <c:showPercent val="0"/>
          <c:showBubbleSize val="0"/>
        </c:dLbls>
        <c:gapWidth val="150"/>
        <c:axId val="136424832"/>
        <c:axId val="154731648"/>
      </c:barChart>
      <c:catAx>
        <c:axId val="136424832"/>
        <c:scaling>
          <c:orientation val="minMax"/>
        </c:scaling>
        <c:delete val="0"/>
        <c:axPos val="b"/>
        <c:numFmt formatCode="General" sourceLinked="1"/>
        <c:majorTickMark val="out"/>
        <c:minorTickMark val="none"/>
        <c:tickLblPos val="nextTo"/>
        <c:txPr>
          <a:bodyPr/>
          <a:lstStyle/>
          <a:p>
            <a:pPr>
              <a:defRPr b="1"/>
            </a:pPr>
            <a:endParaRPr lang="en-US"/>
          </a:p>
        </c:txPr>
        <c:crossAx val="154731648"/>
        <c:crosses val="autoZero"/>
        <c:auto val="1"/>
        <c:lblAlgn val="ctr"/>
        <c:lblOffset val="100"/>
        <c:noMultiLvlLbl val="0"/>
      </c:catAx>
      <c:valAx>
        <c:axId val="154731648"/>
        <c:scaling>
          <c:orientation val="minMax"/>
        </c:scaling>
        <c:delete val="0"/>
        <c:axPos val="l"/>
        <c:majorGridlines/>
        <c:numFmt formatCode="General" sourceLinked="1"/>
        <c:majorTickMark val="out"/>
        <c:minorTickMark val="none"/>
        <c:tickLblPos val="nextTo"/>
        <c:crossAx val="136424832"/>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6.12</c:v>
                </c:pt>
                <c:pt idx="1">
                  <c:v>-19.899999999999999</c:v>
                </c:pt>
                <c:pt idx="2">
                  <c:v>-19.010000000000002</c:v>
                </c:pt>
              </c:numCache>
            </c:numRef>
          </c:val>
        </c:ser>
        <c:dLbls>
          <c:showLegendKey val="0"/>
          <c:showVal val="0"/>
          <c:showCatName val="0"/>
          <c:showSerName val="0"/>
          <c:showPercent val="0"/>
          <c:showBubbleSize val="0"/>
        </c:dLbls>
        <c:gapWidth val="150"/>
        <c:axId val="154765184"/>
        <c:axId val="154766720"/>
      </c:barChart>
      <c:catAx>
        <c:axId val="154765184"/>
        <c:scaling>
          <c:orientation val="minMax"/>
        </c:scaling>
        <c:delete val="0"/>
        <c:axPos val="b"/>
        <c:numFmt formatCode="General" sourceLinked="1"/>
        <c:majorTickMark val="out"/>
        <c:minorTickMark val="none"/>
        <c:tickLblPos val="nextTo"/>
        <c:txPr>
          <a:bodyPr/>
          <a:lstStyle/>
          <a:p>
            <a:pPr>
              <a:defRPr b="1"/>
            </a:pPr>
            <a:endParaRPr lang="en-US"/>
          </a:p>
        </c:txPr>
        <c:crossAx val="154766720"/>
        <c:crosses val="autoZero"/>
        <c:auto val="1"/>
        <c:lblAlgn val="ctr"/>
        <c:lblOffset val="100"/>
        <c:noMultiLvlLbl val="0"/>
      </c:catAx>
      <c:valAx>
        <c:axId val="154766720"/>
        <c:scaling>
          <c:orientation val="minMax"/>
        </c:scaling>
        <c:delete val="0"/>
        <c:axPos val="l"/>
        <c:majorGridlines/>
        <c:numFmt formatCode="General" sourceLinked="1"/>
        <c:majorTickMark val="out"/>
        <c:minorTickMark val="none"/>
        <c:tickLblPos val="nextTo"/>
        <c:crossAx val="154765184"/>
        <c:crosses val="autoZero"/>
        <c:crossBetween val="between"/>
      </c:valAx>
    </c:plotArea>
    <c:legend>
      <c:legendPos val="r"/>
      <c:overlay val="0"/>
    </c:legend>
    <c:plotVisOnly val="1"/>
    <c:dispBlanksAs val="gap"/>
    <c:showDLblsOverMax val="0"/>
  </c:chart>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6.12</c:v>
                </c:pt>
                <c:pt idx="1">
                  <c:v>-19.899999999999999</c:v>
                </c:pt>
                <c:pt idx="2">
                  <c:v>-19.010000000000002</c:v>
                </c:pt>
              </c:numCache>
            </c:numRef>
          </c:val>
        </c:ser>
        <c:dLbls>
          <c:showLegendKey val="0"/>
          <c:showVal val="0"/>
          <c:showCatName val="0"/>
          <c:showSerName val="0"/>
          <c:showPercent val="0"/>
          <c:showBubbleSize val="0"/>
        </c:dLbls>
        <c:gapWidth val="150"/>
        <c:axId val="136400896"/>
        <c:axId val="136402432"/>
      </c:barChart>
      <c:catAx>
        <c:axId val="136400896"/>
        <c:scaling>
          <c:orientation val="minMax"/>
        </c:scaling>
        <c:delete val="0"/>
        <c:axPos val="b"/>
        <c:numFmt formatCode="General" sourceLinked="1"/>
        <c:majorTickMark val="out"/>
        <c:minorTickMark val="none"/>
        <c:tickLblPos val="nextTo"/>
        <c:txPr>
          <a:bodyPr/>
          <a:lstStyle/>
          <a:p>
            <a:pPr>
              <a:defRPr b="1"/>
            </a:pPr>
            <a:endParaRPr lang="en-US"/>
          </a:p>
        </c:txPr>
        <c:crossAx val="136402432"/>
        <c:crosses val="autoZero"/>
        <c:auto val="1"/>
        <c:lblAlgn val="ctr"/>
        <c:lblOffset val="100"/>
        <c:noMultiLvlLbl val="0"/>
      </c:catAx>
      <c:valAx>
        <c:axId val="136402432"/>
        <c:scaling>
          <c:orientation val="minMax"/>
        </c:scaling>
        <c:delete val="0"/>
        <c:axPos val="l"/>
        <c:majorGridlines/>
        <c:numFmt formatCode="General" sourceLinked="1"/>
        <c:majorTickMark val="out"/>
        <c:minorTickMark val="none"/>
        <c:tickLblPos val="nextTo"/>
        <c:crossAx val="13640089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2.3148148148148147E-2"/>
                  <c:y val="0"/>
                </c:manualLayout>
              </c:layout>
              <c:showLegendKey val="0"/>
              <c:showVal val="1"/>
              <c:showCatName val="0"/>
              <c:showSerName val="0"/>
              <c:showPercent val="0"/>
              <c:showBubbleSize val="0"/>
            </c:dLbl>
            <c:dLbl>
              <c:idx val="3"/>
              <c:layout>
                <c:manualLayout>
                  <c:x val="1.6203703703703703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1.14E-2</c:v>
                </c:pt>
                <c:pt idx="1">
                  <c:v>-6.4000000000000003E-3</c:v>
                </c:pt>
                <c:pt idx="2">
                  <c:v>-8.8000000000000005E-3</c:v>
                </c:pt>
                <c:pt idx="3">
                  <c:v>-2.8E-3</c:v>
                </c:pt>
                <c:pt idx="4">
                  <c:v>9.7000000000000003E-3</c:v>
                </c:pt>
                <c:pt idx="5">
                  <c:v>-2.7000000000000001E-3</c:v>
                </c:pt>
                <c:pt idx="6">
                  <c:v>-3.8999999999999998E-3</c:v>
                </c:pt>
                <c:pt idx="7">
                  <c:v>-2.0999999999999999E-3</c:v>
                </c:pt>
                <c:pt idx="8">
                  <c:v>-1E-3</c:v>
                </c:pt>
                <c:pt idx="9">
                  <c:v>-2.0999999999999999E-3</c:v>
                </c:pt>
                <c:pt idx="10">
                  <c:v>5.3E-3</c:v>
                </c:pt>
                <c:pt idx="11">
                  <c:v>-2E-3</c:v>
                </c:pt>
              </c:numCache>
            </c:numRef>
          </c:val>
        </c:ser>
        <c:dLbls>
          <c:showLegendKey val="0"/>
          <c:showVal val="1"/>
          <c:showCatName val="0"/>
          <c:showSerName val="0"/>
          <c:showPercent val="0"/>
          <c:showBubbleSize val="0"/>
        </c:dLbls>
        <c:gapWidth val="75"/>
        <c:axId val="154862336"/>
        <c:axId val="154865024"/>
      </c:barChart>
      <c:catAx>
        <c:axId val="15486233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54865024"/>
        <c:crosses val="autoZero"/>
        <c:auto val="1"/>
        <c:lblAlgn val="ctr"/>
        <c:lblOffset val="100"/>
        <c:noMultiLvlLbl val="0"/>
      </c:catAx>
      <c:valAx>
        <c:axId val="154865024"/>
        <c:scaling>
          <c:orientation val="minMax"/>
        </c:scaling>
        <c:delete val="0"/>
        <c:axPos val="b"/>
        <c:numFmt formatCode="0.00%" sourceLinked="1"/>
        <c:majorTickMark val="none"/>
        <c:minorTickMark val="none"/>
        <c:tickLblPos val="nextTo"/>
        <c:crossAx val="15486233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1.59</c:v>
                </c:pt>
                <c:pt idx="1">
                  <c:v>1.25</c:v>
                </c:pt>
                <c:pt idx="2">
                  <c:v>0.24</c:v>
                </c:pt>
              </c:numCache>
            </c:numRef>
          </c:val>
        </c:ser>
        <c:dLbls>
          <c:showLegendKey val="0"/>
          <c:showVal val="0"/>
          <c:showCatName val="0"/>
          <c:showSerName val="0"/>
          <c:showPercent val="0"/>
          <c:showBubbleSize val="0"/>
        </c:dLbls>
        <c:gapWidth val="150"/>
        <c:axId val="154901888"/>
        <c:axId val="154903680"/>
      </c:barChart>
      <c:catAx>
        <c:axId val="154901888"/>
        <c:scaling>
          <c:orientation val="minMax"/>
        </c:scaling>
        <c:delete val="0"/>
        <c:axPos val="b"/>
        <c:numFmt formatCode="General" sourceLinked="1"/>
        <c:majorTickMark val="out"/>
        <c:minorTickMark val="none"/>
        <c:tickLblPos val="nextTo"/>
        <c:txPr>
          <a:bodyPr/>
          <a:lstStyle/>
          <a:p>
            <a:pPr>
              <a:defRPr b="1"/>
            </a:pPr>
            <a:endParaRPr lang="en-US"/>
          </a:p>
        </c:txPr>
        <c:crossAx val="154903680"/>
        <c:crosses val="autoZero"/>
        <c:auto val="1"/>
        <c:lblAlgn val="ctr"/>
        <c:lblOffset val="100"/>
        <c:noMultiLvlLbl val="0"/>
      </c:catAx>
      <c:valAx>
        <c:axId val="154903680"/>
        <c:scaling>
          <c:orientation val="minMax"/>
        </c:scaling>
        <c:delete val="0"/>
        <c:axPos val="l"/>
        <c:majorGridlines/>
        <c:numFmt formatCode="General" sourceLinked="1"/>
        <c:majorTickMark val="out"/>
        <c:minorTickMark val="none"/>
        <c:tickLblPos val="nextTo"/>
        <c:crossAx val="154901888"/>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-0.6</c:v>
                </c:pt>
                <c:pt idx="1">
                  <c:v>-5.35</c:v>
                </c:pt>
                <c:pt idx="2">
                  <c:v>-24.13</c:v>
                </c:pt>
              </c:numCache>
            </c:numRef>
          </c:val>
        </c:ser>
        <c:dLbls>
          <c:showLegendKey val="0"/>
          <c:showVal val="0"/>
          <c:showCatName val="0"/>
          <c:showSerName val="0"/>
          <c:showPercent val="0"/>
          <c:showBubbleSize val="0"/>
        </c:dLbls>
        <c:gapWidth val="150"/>
        <c:axId val="154924928"/>
        <c:axId val="154926464"/>
      </c:barChart>
      <c:catAx>
        <c:axId val="154924928"/>
        <c:scaling>
          <c:orientation val="minMax"/>
        </c:scaling>
        <c:delete val="0"/>
        <c:axPos val="b"/>
        <c:numFmt formatCode="General" sourceLinked="1"/>
        <c:majorTickMark val="out"/>
        <c:minorTickMark val="none"/>
        <c:tickLblPos val="nextTo"/>
        <c:txPr>
          <a:bodyPr/>
          <a:lstStyle/>
          <a:p>
            <a:pPr>
              <a:defRPr b="1"/>
            </a:pPr>
            <a:endParaRPr lang="en-US"/>
          </a:p>
        </c:txPr>
        <c:crossAx val="154926464"/>
        <c:crosses val="autoZero"/>
        <c:auto val="1"/>
        <c:lblAlgn val="ctr"/>
        <c:lblOffset val="100"/>
        <c:noMultiLvlLbl val="0"/>
      </c:catAx>
      <c:valAx>
        <c:axId val="154926464"/>
        <c:scaling>
          <c:orientation val="minMax"/>
        </c:scaling>
        <c:delete val="0"/>
        <c:axPos val="l"/>
        <c:majorGridlines/>
        <c:numFmt formatCode="General" sourceLinked="1"/>
        <c:majorTickMark val="out"/>
        <c:minorTickMark val="none"/>
        <c:tickLblPos val="nextTo"/>
        <c:crossAx val="154924928"/>
        <c:crosses val="autoZero"/>
        <c:crossBetween val="between"/>
      </c:valAx>
    </c:plotArea>
    <c:legend>
      <c:legendPos val="r"/>
      <c:overlay val="0"/>
    </c:legend>
    <c:plotVisOnly val="1"/>
    <c:dispBlanksAs val="gap"/>
    <c:showDLblsOverMax val="0"/>
  </c:chart>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-0.6</c:v>
                </c:pt>
                <c:pt idx="1">
                  <c:v>-5.35</c:v>
                </c:pt>
                <c:pt idx="2">
                  <c:v>-24.13</c:v>
                </c:pt>
              </c:numCache>
            </c:numRef>
          </c:val>
        </c:ser>
        <c:dLbls>
          <c:showLegendKey val="0"/>
          <c:showVal val="0"/>
          <c:showCatName val="0"/>
          <c:showSerName val="0"/>
          <c:showPercent val="0"/>
          <c:showBubbleSize val="0"/>
        </c:dLbls>
        <c:gapWidth val="150"/>
        <c:axId val="155074560"/>
        <c:axId val="155076096"/>
      </c:barChart>
      <c:catAx>
        <c:axId val="155074560"/>
        <c:scaling>
          <c:orientation val="minMax"/>
        </c:scaling>
        <c:delete val="0"/>
        <c:axPos val="b"/>
        <c:numFmt formatCode="General" sourceLinked="1"/>
        <c:majorTickMark val="out"/>
        <c:minorTickMark val="none"/>
        <c:tickLblPos val="nextTo"/>
        <c:txPr>
          <a:bodyPr/>
          <a:lstStyle/>
          <a:p>
            <a:pPr>
              <a:defRPr b="1"/>
            </a:pPr>
            <a:endParaRPr lang="en-US"/>
          </a:p>
        </c:txPr>
        <c:crossAx val="155076096"/>
        <c:crosses val="autoZero"/>
        <c:auto val="1"/>
        <c:lblAlgn val="ctr"/>
        <c:lblOffset val="100"/>
        <c:noMultiLvlLbl val="0"/>
      </c:catAx>
      <c:valAx>
        <c:axId val="155076096"/>
        <c:scaling>
          <c:orientation val="minMax"/>
        </c:scaling>
        <c:delete val="0"/>
        <c:axPos val="l"/>
        <c:majorGridlines/>
        <c:numFmt formatCode="General" sourceLinked="1"/>
        <c:majorTickMark val="out"/>
        <c:minorTickMark val="none"/>
        <c:tickLblPos val="nextTo"/>
        <c:crossAx val="155074560"/>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3"/>
              <c:layout>
                <c:manualLayout>
                  <c:x val="1.6203703703703703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2E-3</c:v>
                </c:pt>
                <c:pt idx="1">
                  <c:v>-1E-3</c:v>
                </c:pt>
                <c:pt idx="2">
                  <c:v>-3.0999999999999999E-3</c:v>
                </c:pt>
                <c:pt idx="3">
                  <c:v>-3.2000000000000002E-3</c:v>
                </c:pt>
                <c:pt idx="4">
                  <c:v>4.3E-3</c:v>
                </c:pt>
                <c:pt idx="5">
                  <c:v>-1.6999999999999999E-3</c:v>
                </c:pt>
                <c:pt idx="6">
                  <c:v>-5.0000000000000001E-4</c:v>
                </c:pt>
                <c:pt idx="7">
                  <c:v>-6.1999999999999998E-3</c:v>
                </c:pt>
                <c:pt idx="8">
                  <c:v>1.2999999999999999E-3</c:v>
                </c:pt>
                <c:pt idx="9">
                  <c:v>-5.1999999999999998E-3</c:v>
                </c:pt>
                <c:pt idx="10">
                  <c:v>-4.7000000000000002E-3</c:v>
                </c:pt>
                <c:pt idx="11">
                  <c:v>-2.8E-3</c:v>
                </c:pt>
              </c:numCache>
            </c:numRef>
          </c:val>
        </c:ser>
        <c:dLbls>
          <c:showLegendKey val="0"/>
          <c:showVal val="1"/>
          <c:showCatName val="0"/>
          <c:showSerName val="0"/>
          <c:showPercent val="0"/>
          <c:showBubbleSize val="0"/>
        </c:dLbls>
        <c:gapWidth val="75"/>
        <c:axId val="154821376"/>
        <c:axId val="154824064"/>
      </c:barChart>
      <c:catAx>
        <c:axId val="15482137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54824064"/>
        <c:crosses val="autoZero"/>
        <c:auto val="1"/>
        <c:lblAlgn val="ctr"/>
        <c:lblOffset val="100"/>
        <c:noMultiLvlLbl val="0"/>
      </c:catAx>
      <c:valAx>
        <c:axId val="154824064"/>
        <c:scaling>
          <c:orientation val="minMax"/>
        </c:scaling>
        <c:delete val="0"/>
        <c:axPos val="b"/>
        <c:numFmt formatCode="0.00%" sourceLinked="1"/>
        <c:majorTickMark val="none"/>
        <c:minorTickMark val="none"/>
        <c:tickLblPos val="nextTo"/>
        <c:crossAx val="15482137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1.59</c:v>
                </c:pt>
                <c:pt idx="1">
                  <c:v>1.02</c:v>
                </c:pt>
                <c:pt idx="2">
                  <c:v>0.64</c:v>
                </c:pt>
              </c:numCache>
            </c:numRef>
          </c:val>
        </c:ser>
        <c:dLbls>
          <c:showLegendKey val="0"/>
          <c:showVal val="0"/>
          <c:showCatName val="0"/>
          <c:showSerName val="0"/>
          <c:showPercent val="0"/>
          <c:showBubbleSize val="0"/>
        </c:dLbls>
        <c:gapWidth val="150"/>
        <c:axId val="154795392"/>
        <c:axId val="155305088"/>
      </c:barChart>
      <c:catAx>
        <c:axId val="154795392"/>
        <c:scaling>
          <c:orientation val="minMax"/>
        </c:scaling>
        <c:delete val="0"/>
        <c:axPos val="b"/>
        <c:numFmt formatCode="General" sourceLinked="1"/>
        <c:majorTickMark val="out"/>
        <c:minorTickMark val="none"/>
        <c:tickLblPos val="nextTo"/>
        <c:txPr>
          <a:bodyPr/>
          <a:lstStyle/>
          <a:p>
            <a:pPr>
              <a:defRPr b="1"/>
            </a:pPr>
            <a:endParaRPr lang="en-US"/>
          </a:p>
        </c:txPr>
        <c:crossAx val="155305088"/>
        <c:crosses val="autoZero"/>
        <c:auto val="1"/>
        <c:lblAlgn val="ctr"/>
        <c:lblOffset val="100"/>
        <c:noMultiLvlLbl val="0"/>
      </c:catAx>
      <c:valAx>
        <c:axId val="155305088"/>
        <c:scaling>
          <c:orientation val="minMax"/>
        </c:scaling>
        <c:delete val="0"/>
        <c:axPos val="l"/>
        <c:majorGridlines/>
        <c:numFmt formatCode="General" sourceLinked="1"/>
        <c:majorTickMark val="out"/>
        <c:minorTickMark val="none"/>
        <c:tickLblPos val="nextTo"/>
        <c:crossAx val="154795392"/>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29.43</c:v>
                </c:pt>
                <c:pt idx="1">
                  <c:v>-28.39</c:v>
                </c:pt>
                <c:pt idx="2">
                  <c:v>-35.97</c:v>
                </c:pt>
              </c:numCache>
            </c:numRef>
          </c:val>
        </c:ser>
        <c:dLbls>
          <c:showLegendKey val="0"/>
          <c:showVal val="0"/>
          <c:showCatName val="0"/>
          <c:showSerName val="0"/>
          <c:showPercent val="0"/>
          <c:showBubbleSize val="0"/>
        </c:dLbls>
        <c:gapWidth val="150"/>
        <c:axId val="155338624"/>
        <c:axId val="155340160"/>
      </c:barChart>
      <c:catAx>
        <c:axId val="155338624"/>
        <c:scaling>
          <c:orientation val="minMax"/>
        </c:scaling>
        <c:delete val="0"/>
        <c:axPos val="b"/>
        <c:numFmt formatCode="General" sourceLinked="1"/>
        <c:majorTickMark val="out"/>
        <c:minorTickMark val="none"/>
        <c:tickLblPos val="nextTo"/>
        <c:txPr>
          <a:bodyPr/>
          <a:lstStyle/>
          <a:p>
            <a:pPr>
              <a:defRPr b="1"/>
            </a:pPr>
            <a:endParaRPr lang="en-US"/>
          </a:p>
        </c:txPr>
        <c:crossAx val="155340160"/>
        <c:crosses val="autoZero"/>
        <c:auto val="1"/>
        <c:lblAlgn val="ctr"/>
        <c:lblOffset val="100"/>
        <c:noMultiLvlLbl val="0"/>
      </c:catAx>
      <c:valAx>
        <c:axId val="155340160"/>
        <c:scaling>
          <c:orientation val="minMax"/>
        </c:scaling>
        <c:delete val="0"/>
        <c:axPos val="l"/>
        <c:majorGridlines/>
        <c:numFmt formatCode="General" sourceLinked="1"/>
        <c:majorTickMark val="out"/>
        <c:minorTickMark val="none"/>
        <c:tickLblPos val="nextTo"/>
        <c:crossAx val="155338624"/>
        <c:crosses val="autoZero"/>
        <c:crossBetween val="between"/>
      </c:valAx>
    </c:plotArea>
    <c:legend>
      <c:legendPos val="r"/>
      <c:overlay val="0"/>
    </c:legend>
    <c:plotVisOnly val="1"/>
    <c:dispBlanksAs val="gap"/>
    <c:showDLblsOverMax val="0"/>
  </c:chart>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29.43</c:v>
                </c:pt>
                <c:pt idx="1">
                  <c:v>-28.39</c:v>
                </c:pt>
                <c:pt idx="2">
                  <c:v>-35.97</c:v>
                </c:pt>
              </c:numCache>
            </c:numRef>
          </c:val>
        </c:ser>
        <c:dLbls>
          <c:showLegendKey val="0"/>
          <c:showVal val="0"/>
          <c:showCatName val="0"/>
          <c:showSerName val="0"/>
          <c:showPercent val="0"/>
          <c:showBubbleSize val="0"/>
        </c:dLbls>
        <c:gapWidth val="150"/>
        <c:axId val="155362048"/>
        <c:axId val="155363584"/>
      </c:barChart>
      <c:catAx>
        <c:axId val="155362048"/>
        <c:scaling>
          <c:orientation val="minMax"/>
        </c:scaling>
        <c:delete val="0"/>
        <c:axPos val="b"/>
        <c:numFmt formatCode="General" sourceLinked="1"/>
        <c:majorTickMark val="out"/>
        <c:minorTickMark val="none"/>
        <c:tickLblPos val="nextTo"/>
        <c:txPr>
          <a:bodyPr/>
          <a:lstStyle/>
          <a:p>
            <a:pPr>
              <a:defRPr b="1"/>
            </a:pPr>
            <a:endParaRPr lang="en-US"/>
          </a:p>
        </c:txPr>
        <c:crossAx val="155363584"/>
        <c:crosses val="autoZero"/>
        <c:auto val="1"/>
        <c:lblAlgn val="ctr"/>
        <c:lblOffset val="100"/>
        <c:noMultiLvlLbl val="0"/>
      </c:catAx>
      <c:valAx>
        <c:axId val="155363584"/>
        <c:scaling>
          <c:orientation val="minMax"/>
        </c:scaling>
        <c:delete val="0"/>
        <c:axPos val="l"/>
        <c:majorGridlines/>
        <c:numFmt formatCode="General" sourceLinked="1"/>
        <c:majorTickMark val="out"/>
        <c:minorTickMark val="none"/>
        <c:tickLblPos val="nextTo"/>
        <c:crossAx val="15536204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1.3299999999999999E-2</c:v>
                </c:pt>
                <c:pt idx="1">
                  <c:v>-6.0000000000000001E-3</c:v>
                </c:pt>
                <c:pt idx="2">
                  <c:v>-1.0800000000000001E-2</c:v>
                </c:pt>
                <c:pt idx="3">
                  <c:v>-1.1999999999999999E-3</c:v>
                </c:pt>
                <c:pt idx="4">
                  <c:v>5.7999999999999996E-3</c:v>
                </c:pt>
                <c:pt idx="5">
                  <c:v>-2.0999999999999999E-3</c:v>
                </c:pt>
                <c:pt idx="6">
                  <c:v>-6.4999999999999997E-3</c:v>
                </c:pt>
                <c:pt idx="7">
                  <c:v>-5.4999999999999997E-3</c:v>
                </c:pt>
                <c:pt idx="8">
                  <c:v>0</c:v>
                </c:pt>
                <c:pt idx="9">
                  <c:v>-3.7000000000000002E-3</c:v>
                </c:pt>
                <c:pt idx="10">
                  <c:v>-2.3999999999999998E-3</c:v>
                </c:pt>
                <c:pt idx="11">
                  <c:v>-6.1999999999999998E-3</c:v>
                </c:pt>
              </c:numCache>
            </c:numRef>
          </c:val>
        </c:ser>
        <c:dLbls>
          <c:showLegendKey val="0"/>
          <c:showVal val="1"/>
          <c:showCatName val="0"/>
          <c:showSerName val="0"/>
          <c:showPercent val="0"/>
          <c:showBubbleSize val="0"/>
        </c:dLbls>
        <c:gapWidth val="75"/>
        <c:axId val="155411968"/>
        <c:axId val="155414912"/>
      </c:barChart>
      <c:catAx>
        <c:axId val="15541196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55414912"/>
        <c:crosses val="autoZero"/>
        <c:auto val="1"/>
        <c:lblAlgn val="ctr"/>
        <c:lblOffset val="100"/>
        <c:noMultiLvlLbl val="0"/>
      </c:catAx>
      <c:valAx>
        <c:axId val="155414912"/>
        <c:scaling>
          <c:orientation val="minMax"/>
        </c:scaling>
        <c:delete val="0"/>
        <c:axPos val="b"/>
        <c:numFmt formatCode="0.00%" sourceLinked="1"/>
        <c:majorTickMark val="none"/>
        <c:minorTickMark val="none"/>
        <c:tickLblPos val="nextTo"/>
        <c:crossAx val="15541196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1.1000000000000001</c:v>
                </c:pt>
                <c:pt idx="1">
                  <c:v>-7.0000000000000007E-2</c:v>
                </c:pt>
                <c:pt idx="2">
                  <c:v>-0.12</c:v>
                </c:pt>
              </c:numCache>
            </c:numRef>
          </c:val>
        </c:ser>
        <c:dLbls>
          <c:showLegendKey val="0"/>
          <c:showVal val="0"/>
          <c:showCatName val="0"/>
          <c:showSerName val="0"/>
          <c:showPercent val="0"/>
          <c:showBubbleSize val="0"/>
        </c:dLbls>
        <c:gapWidth val="150"/>
        <c:axId val="155513216"/>
        <c:axId val="155514752"/>
      </c:barChart>
      <c:catAx>
        <c:axId val="155513216"/>
        <c:scaling>
          <c:orientation val="minMax"/>
        </c:scaling>
        <c:delete val="0"/>
        <c:axPos val="b"/>
        <c:numFmt formatCode="General" sourceLinked="1"/>
        <c:majorTickMark val="out"/>
        <c:minorTickMark val="none"/>
        <c:tickLblPos val="nextTo"/>
        <c:txPr>
          <a:bodyPr/>
          <a:lstStyle/>
          <a:p>
            <a:pPr>
              <a:defRPr b="1"/>
            </a:pPr>
            <a:endParaRPr lang="en-US"/>
          </a:p>
        </c:txPr>
        <c:crossAx val="155514752"/>
        <c:crosses val="autoZero"/>
        <c:auto val="1"/>
        <c:lblAlgn val="ctr"/>
        <c:lblOffset val="100"/>
        <c:noMultiLvlLbl val="0"/>
      </c:catAx>
      <c:valAx>
        <c:axId val="155514752"/>
        <c:scaling>
          <c:orientation val="minMax"/>
        </c:scaling>
        <c:delete val="0"/>
        <c:axPos val="l"/>
        <c:majorGridlines/>
        <c:numFmt formatCode="General" sourceLinked="1"/>
        <c:majorTickMark val="out"/>
        <c:minorTickMark val="none"/>
        <c:tickLblPos val="nextTo"/>
        <c:crossAx val="155513216"/>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25.11</c:v>
                </c:pt>
                <c:pt idx="1">
                  <c:v>-7.21</c:v>
                </c:pt>
                <c:pt idx="2">
                  <c:v>-11.98</c:v>
                </c:pt>
              </c:numCache>
            </c:numRef>
          </c:val>
        </c:ser>
        <c:dLbls>
          <c:showLegendKey val="0"/>
          <c:showVal val="0"/>
          <c:showCatName val="0"/>
          <c:showSerName val="0"/>
          <c:showPercent val="0"/>
          <c:showBubbleSize val="0"/>
        </c:dLbls>
        <c:gapWidth val="150"/>
        <c:axId val="155540096"/>
        <c:axId val="155554176"/>
      </c:barChart>
      <c:catAx>
        <c:axId val="155540096"/>
        <c:scaling>
          <c:orientation val="minMax"/>
        </c:scaling>
        <c:delete val="0"/>
        <c:axPos val="b"/>
        <c:numFmt formatCode="General" sourceLinked="1"/>
        <c:majorTickMark val="out"/>
        <c:minorTickMark val="none"/>
        <c:tickLblPos val="nextTo"/>
        <c:txPr>
          <a:bodyPr/>
          <a:lstStyle/>
          <a:p>
            <a:pPr>
              <a:defRPr b="1"/>
            </a:pPr>
            <a:endParaRPr lang="en-US"/>
          </a:p>
        </c:txPr>
        <c:crossAx val="155554176"/>
        <c:crosses val="autoZero"/>
        <c:auto val="1"/>
        <c:lblAlgn val="ctr"/>
        <c:lblOffset val="100"/>
        <c:noMultiLvlLbl val="0"/>
      </c:catAx>
      <c:valAx>
        <c:axId val="155554176"/>
        <c:scaling>
          <c:orientation val="minMax"/>
        </c:scaling>
        <c:delete val="0"/>
        <c:axPos val="l"/>
        <c:majorGridlines/>
        <c:numFmt formatCode="General" sourceLinked="1"/>
        <c:majorTickMark val="out"/>
        <c:minorTickMark val="none"/>
        <c:tickLblPos val="nextTo"/>
        <c:crossAx val="155540096"/>
        <c:crosses val="autoZero"/>
        <c:crossBetween val="between"/>
      </c:valAx>
    </c:plotArea>
    <c:legend>
      <c:legendPos val="r"/>
      <c:overlay val="0"/>
    </c:legend>
    <c:plotVisOnly val="1"/>
    <c:dispBlanksAs val="gap"/>
    <c:showDLblsOverMax val="0"/>
  </c:chart>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25.11</c:v>
                </c:pt>
                <c:pt idx="1">
                  <c:v>-7.21</c:v>
                </c:pt>
                <c:pt idx="2">
                  <c:v>-11.98</c:v>
                </c:pt>
              </c:numCache>
            </c:numRef>
          </c:val>
        </c:ser>
        <c:dLbls>
          <c:showLegendKey val="0"/>
          <c:showVal val="0"/>
          <c:showCatName val="0"/>
          <c:showSerName val="0"/>
          <c:showPercent val="0"/>
          <c:showBubbleSize val="0"/>
        </c:dLbls>
        <c:gapWidth val="150"/>
        <c:axId val="155558656"/>
        <c:axId val="155560192"/>
      </c:barChart>
      <c:catAx>
        <c:axId val="155558656"/>
        <c:scaling>
          <c:orientation val="minMax"/>
        </c:scaling>
        <c:delete val="0"/>
        <c:axPos val="b"/>
        <c:numFmt formatCode="General" sourceLinked="1"/>
        <c:majorTickMark val="out"/>
        <c:minorTickMark val="none"/>
        <c:tickLblPos val="nextTo"/>
        <c:txPr>
          <a:bodyPr/>
          <a:lstStyle/>
          <a:p>
            <a:pPr>
              <a:defRPr b="1"/>
            </a:pPr>
            <a:endParaRPr lang="en-US"/>
          </a:p>
        </c:txPr>
        <c:crossAx val="155560192"/>
        <c:crosses val="autoZero"/>
        <c:auto val="1"/>
        <c:lblAlgn val="ctr"/>
        <c:lblOffset val="100"/>
        <c:noMultiLvlLbl val="0"/>
      </c:catAx>
      <c:valAx>
        <c:axId val="155560192"/>
        <c:scaling>
          <c:orientation val="minMax"/>
        </c:scaling>
        <c:delete val="0"/>
        <c:axPos val="l"/>
        <c:majorGridlines/>
        <c:numFmt formatCode="General" sourceLinked="1"/>
        <c:majorTickMark val="out"/>
        <c:minorTickMark val="none"/>
        <c:tickLblPos val="nextTo"/>
        <c:crossAx val="15555865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2.4299999999999999E-2</c:v>
                </c:pt>
                <c:pt idx="1">
                  <c:v>-3.3E-3</c:v>
                </c:pt>
                <c:pt idx="2">
                  <c:v>-1.34E-2</c:v>
                </c:pt>
                <c:pt idx="3">
                  <c:v>-6.3E-3</c:v>
                </c:pt>
                <c:pt idx="4">
                  <c:v>7.9000000000000008E-3</c:v>
                </c:pt>
                <c:pt idx="5">
                  <c:v>-4.1999999999999997E-3</c:v>
                </c:pt>
                <c:pt idx="6">
                  <c:v>-1.5E-3</c:v>
                </c:pt>
                <c:pt idx="7">
                  <c:v>-4.5999999999999999E-3</c:v>
                </c:pt>
                <c:pt idx="8">
                  <c:v>8.9999999999999993E-3</c:v>
                </c:pt>
                <c:pt idx="9">
                  <c:v>4.1999999999999997E-3</c:v>
                </c:pt>
                <c:pt idx="10">
                  <c:v>4.5999999999999999E-3</c:v>
                </c:pt>
                <c:pt idx="11">
                  <c:v>-7.7000000000000002E-3</c:v>
                </c:pt>
              </c:numCache>
            </c:numRef>
          </c:val>
        </c:ser>
        <c:dLbls>
          <c:showLegendKey val="0"/>
          <c:showVal val="1"/>
          <c:showCatName val="0"/>
          <c:showSerName val="0"/>
          <c:showPercent val="0"/>
          <c:showBubbleSize val="0"/>
        </c:dLbls>
        <c:gapWidth val="75"/>
        <c:axId val="155670016"/>
        <c:axId val="155722112"/>
      </c:barChart>
      <c:catAx>
        <c:axId val="15567001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55722112"/>
        <c:crosses val="autoZero"/>
        <c:auto val="1"/>
        <c:lblAlgn val="ctr"/>
        <c:lblOffset val="100"/>
        <c:noMultiLvlLbl val="0"/>
      </c:catAx>
      <c:valAx>
        <c:axId val="155722112"/>
        <c:scaling>
          <c:orientation val="minMax"/>
        </c:scaling>
        <c:delete val="0"/>
        <c:axPos val="b"/>
        <c:numFmt formatCode="0.00%" sourceLinked="1"/>
        <c:majorTickMark val="none"/>
        <c:minorTickMark val="none"/>
        <c:tickLblPos val="nextTo"/>
        <c:crossAx val="15567001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1.99</c:v>
                </c:pt>
                <c:pt idx="1">
                  <c:v>0.49</c:v>
                </c:pt>
                <c:pt idx="2">
                  <c:v>1.21</c:v>
                </c:pt>
              </c:numCache>
            </c:numRef>
          </c:val>
        </c:ser>
        <c:dLbls>
          <c:showLegendKey val="0"/>
          <c:showVal val="0"/>
          <c:showCatName val="0"/>
          <c:showSerName val="0"/>
          <c:showPercent val="0"/>
          <c:showBubbleSize val="0"/>
        </c:dLbls>
        <c:gapWidth val="150"/>
        <c:axId val="155750784"/>
        <c:axId val="155752320"/>
      </c:barChart>
      <c:catAx>
        <c:axId val="155750784"/>
        <c:scaling>
          <c:orientation val="minMax"/>
        </c:scaling>
        <c:delete val="0"/>
        <c:axPos val="b"/>
        <c:numFmt formatCode="General" sourceLinked="1"/>
        <c:majorTickMark val="out"/>
        <c:minorTickMark val="none"/>
        <c:tickLblPos val="nextTo"/>
        <c:txPr>
          <a:bodyPr/>
          <a:lstStyle/>
          <a:p>
            <a:pPr>
              <a:defRPr b="1"/>
            </a:pPr>
            <a:endParaRPr lang="en-US"/>
          </a:p>
        </c:txPr>
        <c:crossAx val="155752320"/>
        <c:crosses val="autoZero"/>
        <c:auto val="1"/>
        <c:lblAlgn val="ctr"/>
        <c:lblOffset val="100"/>
        <c:noMultiLvlLbl val="0"/>
      </c:catAx>
      <c:valAx>
        <c:axId val="155752320"/>
        <c:scaling>
          <c:orientation val="minMax"/>
        </c:scaling>
        <c:delete val="0"/>
        <c:axPos val="l"/>
        <c:majorGridlines/>
        <c:numFmt formatCode="General" sourceLinked="1"/>
        <c:majorTickMark val="out"/>
        <c:minorTickMark val="none"/>
        <c:tickLblPos val="nextTo"/>
        <c:crossAx val="155750784"/>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39.08</c:v>
                </c:pt>
                <c:pt idx="1">
                  <c:v>-14.9</c:v>
                </c:pt>
                <c:pt idx="2">
                  <c:v>-4.21</c:v>
                </c:pt>
              </c:numCache>
            </c:numRef>
          </c:val>
        </c:ser>
        <c:dLbls>
          <c:showLegendKey val="0"/>
          <c:showVal val="0"/>
          <c:showCatName val="0"/>
          <c:showSerName val="0"/>
          <c:showPercent val="0"/>
          <c:showBubbleSize val="0"/>
        </c:dLbls>
        <c:gapWidth val="150"/>
        <c:axId val="155830912"/>
        <c:axId val="155836800"/>
      </c:barChart>
      <c:catAx>
        <c:axId val="155830912"/>
        <c:scaling>
          <c:orientation val="minMax"/>
        </c:scaling>
        <c:delete val="0"/>
        <c:axPos val="b"/>
        <c:numFmt formatCode="General" sourceLinked="1"/>
        <c:majorTickMark val="out"/>
        <c:minorTickMark val="none"/>
        <c:tickLblPos val="nextTo"/>
        <c:txPr>
          <a:bodyPr/>
          <a:lstStyle/>
          <a:p>
            <a:pPr>
              <a:defRPr b="1"/>
            </a:pPr>
            <a:endParaRPr lang="en-US"/>
          </a:p>
        </c:txPr>
        <c:crossAx val="155836800"/>
        <c:crosses val="autoZero"/>
        <c:auto val="1"/>
        <c:lblAlgn val="ctr"/>
        <c:lblOffset val="100"/>
        <c:noMultiLvlLbl val="0"/>
      </c:catAx>
      <c:valAx>
        <c:axId val="155836800"/>
        <c:scaling>
          <c:orientation val="minMax"/>
        </c:scaling>
        <c:delete val="0"/>
        <c:axPos val="l"/>
        <c:majorGridlines/>
        <c:numFmt formatCode="General" sourceLinked="1"/>
        <c:majorTickMark val="out"/>
        <c:minorTickMark val="none"/>
        <c:tickLblPos val="nextTo"/>
        <c:crossAx val="155830912"/>
        <c:crosses val="autoZero"/>
        <c:crossBetween val="between"/>
      </c:valAx>
    </c:plotArea>
    <c:legend>
      <c:legendPos val="r"/>
      <c:overlay val="0"/>
    </c:legend>
    <c:plotVisOnly val="1"/>
    <c:dispBlanksAs val="gap"/>
    <c:showDLblsOverMax val="0"/>
  </c:chart>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39.08</c:v>
                </c:pt>
                <c:pt idx="1">
                  <c:v>-14.9</c:v>
                </c:pt>
                <c:pt idx="2">
                  <c:v>-4.21</c:v>
                </c:pt>
              </c:numCache>
            </c:numRef>
          </c:val>
        </c:ser>
        <c:dLbls>
          <c:showLegendKey val="0"/>
          <c:showVal val="0"/>
          <c:showCatName val="0"/>
          <c:showSerName val="0"/>
          <c:showPercent val="0"/>
          <c:showBubbleSize val="0"/>
        </c:dLbls>
        <c:gapWidth val="150"/>
        <c:axId val="155927296"/>
        <c:axId val="155928832"/>
      </c:barChart>
      <c:catAx>
        <c:axId val="155927296"/>
        <c:scaling>
          <c:orientation val="minMax"/>
        </c:scaling>
        <c:delete val="0"/>
        <c:axPos val="b"/>
        <c:numFmt formatCode="General" sourceLinked="1"/>
        <c:majorTickMark val="out"/>
        <c:minorTickMark val="none"/>
        <c:tickLblPos val="nextTo"/>
        <c:txPr>
          <a:bodyPr/>
          <a:lstStyle/>
          <a:p>
            <a:pPr>
              <a:defRPr b="1"/>
            </a:pPr>
            <a:endParaRPr lang="en-US"/>
          </a:p>
        </c:txPr>
        <c:crossAx val="155928832"/>
        <c:crosses val="autoZero"/>
        <c:auto val="1"/>
        <c:lblAlgn val="ctr"/>
        <c:lblOffset val="100"/>
        <c:noMultiLvlLbl val="0"/>
      </c:catAx>
      <c:valAx>
        <c:axId val="155928832"/>
        <c:scaling>
          <c:orientation val="minMax"/>
        </c:scaling>
        <c:delete val="0"/>
        <c:axPos val="l"/>
        <c:majorGridlines/>
        <c:numFmt formatCode="General" sourceLinked="1"/>
        <c:majorTickMark val="out"/>
        <c:minorTickMark val="none"/>
        <c:tickLblPos val="nextTo"/>
        <c:crossAx val="15592729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5.0000000000000001E-3</c:v>
                </c:pt>
                <c:pt idx="1">
                  <c:v>-5.4000000000000003E-3</c:v>
                </c:pt>
                <c:pt idx="2">
                  <c:v>-2.8E-3</c:v>
                </c:pt>
                <c:pt idx="3">
                  <c:v>-6.6E-3</c:v>
                </c:pt>
                <c:pt idx="4">
                  <c:v>0.01</c:v>
                </c:pt>
                <c:pt idx="5">
                  <c:v>8.9999999999999998E-4</c:v>
                </c:pt>
                <c:pt idx="6">
                  <c:v>4.4999999999999997E-3</c:v>
                </c:pt>
                <c:pt idx="7">
                  <c:v>-3.5000000000000001E-3</c:v>
                </c:pt>
                <c:pt idx="8">
                  <c:v>1.8E-3</c:v>
                </c:pt>
                <c:pt idx="9">
                  <c:v>0</c:v>
                </c:pt>
                <c:pt idx="10">
                  <c:v>-2.2000000000000001E-3</c:v>
                </c:pt>
                <c:pt idx="11">
                  <c:v>-2.7000000000000001E-3</c:v>
                </c:pt>
              </c:numCache>
            </c:numRef>
          </c:val>
        </c:ser>
        <c:dLbls>
          <c:showLegendKey val="0"/>
          <c:showVal val="1"/>
          <c:showCatName val="0"/>
          <c:showSerName val="0"/>
          <c:showPercent val="0"/>
          <c:showBubbleSize val="0"/>
        </c:dLbls>
        <c:gapWidth val="75"/>
        <c:axId val="155944448"/>
        <c:axId val="155959680"/>
      </c:barChart>
      <c:catAx>
        <c:axId val="15594444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55959680"/>
        <c:crosses val="autoZero"/>
        <c:auto val="1"/>
        <c:lblAlgn val="ctr"/>
        <c:lblOffset val="100"/>
        <c:noMultiLvlLbl val="0"/>
      </c:catAx>
      <c:valAx>
        <c:axId val="155959680"/>
        <c:scaling>
          <c:orientation val="minMax"/>
        </c:scaling>
        <c:delete val="0"/>
        <c:axPos val="b"/>
        <c:numFmt formatCode="0.00%" sourceLinked="1"/>
        <c:majorTickMark val="none"/>
        <c:minorTickMark val="none"/>
        <c:tickLblPos val="nextTo"/>
        <c:crossAx val="15594444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0.37</c:v>
                </c:pt>
                <c:pt idx="1">
                  <c:v>0.45</c:v>
                </c:pt>
                <c:pt idx="2">
                  <c:v>0.86</c:v>
                </c:pt>
              </c:numCache>
            </c:numRef>
          </c:val>
        </c:ser>
        <c:dLbls>
          <c:showLegendKey val="0"/>
          <c:showVal val="0"/>
          <c:showCatName val="0"/>
          <c:showSerName val="0"/>
          <c:showPercent val="0"/>
          <c:showBubbleSize val="0"/>
        </c:dLbls>
        <c:gapWidth val="150"/>
        <c:axId val="156295552"/>
        <c:axId val="156297088"/>
      </c:barChart>
      <c:catAx>
        <c:axId val="156295552"/>
        <c:scaling>
          <c:orientation val="minMax"/>
        </c:scaling>
        <c:delete val="0"/>
        <c:axPos val="b"/>
        <c:numFmt formatCode="General" sourceLinked="1"/>
        <c:majorTickMark val="out"/>
        <c:minorTickMark val="none"/>
        <c:tickLblPos val="nextTo"/>
        <c:txPr>
          <a:bodyPr/>
          <a:lstStyle/>
          <a:p>
            <a:pPr>
              <a:defRPr b="1"/>
            </a:pPr>
            <a:endParaRPr lang="en-US"/>
          </a:p>
        </c:txPr>
        <c:crossAx val="156297088"/>
        <c:crosses val="autoZero"/>
        <c:auto val="1"/>
        <c:lblAlgn val="ctr"/>
        <c:lblOffset val="100"/>
        <c:noMultiLvlLbl val="0"/>
      </c:catAx>
      <c:valAx>
        <c:axId val="156297088"/>
        <c:scaling>
          <c:orientation val="minMax"/>
        </c:scaling>
        <c:delete val="0"/>
        <c:axPos val="l"/>
        <c:majorGridlines/>
        <c:numFmt formatCode="General" sourceLinked="1"/>
        <c:majorTickMark val="out"/>
        <c:minorTickMark val="none"/>
        <c:tickLblPos val="nextTo"/>
        <c:crossAx val="156295552"/>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33.479999999999997</c:v>
                </c:pt>
                <c:pt idx="1">
                  <c:v>-3.18</c:v>
                </c:pt>
                <c:pt idx="2">
                  <c:v>-11.08</c:v>
                </c:pt>
              </c:numCache>
            </c:numRef>
          </c:val>
        </c:ser>
        <c:dLbls>
          <c:showLegendKey val="0"/>
          <c:showVal val="0"/>
          <c:showCatName val="0"/>
          <c:showSerName val="0"/>
          <c:showPercent val="0"/>
          <c:showBubbleSize val="0"/>
        </c:dLbls>
        <c:gapWidth val="150"/>
        <c:axId val="156330624"/>
        <c:axId val="156348800"/>
      </c:barChart>
      <c:catAx>
        <c:axId val="156330624"/>
        <c:scaling>
          <c:orientation val="minMax"/>
        </c:scaling>
        <c:delete val="0"/>
        <c:axPos val="b"/>
        <c:numFmt formatCode="General" sourceLinked="1"/>
        <c:majorTickMark val="out"/>
        <c:minorTickMark val="none"/>
        <c:tickLblPos val="nextTo"/>
        <c:txPr>
          <a:bodyPr/>
          <a:lstStyle/>
          <a:p>
            <a:pPr>
              <a:defRPr b="1"/>
            </a:pPr>
            <a:endParaRPr lang="en-US"/>
          </a:p>
        </c:txPr>
        <c:crossAx val="156348800"/>
        <c:crosses val="autoZero"/>
        <c:auto val="1"/>
        <c:lblAlgn val="ctr"/>
        <c:lblOffset val="100"/>
        <c:noMultiLvlLbl val="0"/>
      </c:catAx>
      <c:valAx>
        <c:axId val="156348800"/>
        <c:scaling>
          <c:orientation val="minMax"/>
        </c:scaling>
        <c:delete val="0"/>
        <c:axPos val="l"/>
        <c:majorGridlines/>
        <c:numFmt formatCode="General" sourceLinked="1"/>
        <c:majorTickMark val="out"/>
        <c:minorTickMark val="none"/>
        <c:tickLblPos val="nextTo"/>
        <c:crossAx val="156330624"/>
        <c:crosses val="autoZero"/>
        <c:crossBetween val="between"/>
      </c:valAx>
    </c:plotArea>
    <c:legend>
      <c:legendPos val="r"/>
      <c:overlay val="0"/>
    </c:legend>
    <c:plotVisOnly val="1"/>
    <c:dispBlanksAs val="gap"/>
    <c:showDLblsOverMax val="0"/>
  </c:chart>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33.479999999999997</c:v>
                </c:pt>
                <c:pt idx="1">
                  <c:v>-3.18</c:v>
                </c:pt>
                <c:pt idx="2">
                  <c:v>-11.08</c:v>
                </c:pt>
              </c:numCache>
            </c:numRef>
          </c:val>
        </c:ser>
        <c:dLbls>
          <c:showLegendKey val="0"/>
          <c:showVal val="0"/>
          <c:showCatName val="0"/>
          <c:showSerName val="0"/>
          <c:showPercent val="0"/>
          <c:showBubbleSize val="0"/>
        </c:dLbls>
        <c:gapWidth val="150"/>
        <c:axId val="156365568"/>
        <c:axId val="156367104"/>
      </c:barChart>
      <c:catAx>
        <c:axId val="156365568"/>
        <c:scaling>
          <c:orientation val="minMax"/>
        </c:scaling>
        <c:delete val="0"/>
        <c:axPos val="b"/>
        <c:numFmt formatCode="General" sourceLinked="1"/>
        <c:majorTickMark val="out"/>
        <c:minorTickMark val="none"/>
        <c:tickLblPos val="nextTo"/>
        <c:txPr>
          <a:bodyPr/>
          <a:lstStyle/>
          <a:p>
            <a:pPr>
              <a:defRPr b="1"/>
            </a:pPr>
            <a:endParaRPr lang="en-US"/>
          </a:p>
        </c:txPr>
        <c:crossAx val="156367104"/>
        <c:crosses val="autoZero"/>
        <c:auto val="1"/>
        <c:lblAlgn val="ctr"/>
        <c:lblOffset val="100"/>
        <c:noMultiLvlLbl val="0"/>
      </c:catAx>
      <c:valAx>
        <c:axId val="156367104"/>
        <c:scaling>
          <c:orientation val="minMax"/>
        </c:scaling>
        <c:delete val="0"/>
        <c:axPos val="l"/>
        <c:majorGridlines/>
        <c:numFmt formatCode="General" sourceLinked="1"/>
        <c:majorTickMark val="out"/>
        <c:minorTickMark val="none"/>
        <c:tickLblPos val="nextTo"/>
        <c:crossAx val="15636556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3.9351851851851853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4.0000000000000001E-3</c:v>
                </c:pt>
                <c:pt idx="1">
                  <c:v>8.9999999999999998E-4</c:v>
                </c:pt>
                <c:pt idx="2">
                  <c:v>-6.7999999999999996E-3</c:v>
                </c:pt>
                <c:pt idx="3">
                  <c:v>1.6000000000000001E-3</c:v>
                </c:pt>
                <c:pt idx="4">
                  <c:v>3.8999999999999998E-3</c:v>
                </c:pt>
                <c:pt idx="5">
                  <c:v>0</c:v>
                </c:pt>
                <c:pt idx="6">
                  <c:v>2.9999999999999997E-4</c:v>
                </c:pt>
                <c:pt idx="7">
                  <c:v>-4.1999999999999997E-3</c:v>
                </c:pt>
                <c:pt idx="8">
                  <c:v>-2.3E-3</c:v>
                </c:pt>
                <c:pt idx="9">
                  <c:v>5.5999999999999999E-3</c:v>
                </c:pt>
                <c:pt idx="10">
                  <c:v>-6.9999999999999999E-4</c:v>
                </c:pt>
                <c:pt idx="11">
                  <c:v>-4.7000000000000002E-3</c:v>
                </c:pt>
              </c:numCache>
            </c:numRef>
          </c:val>
        </c:ser>
        <c:dLbls>
          <c:showLegendKey val="0"/>
          <c:showVal val="1"/>
          <c:showCatName val="0"/>
          <c:showSerName val="0"/>
          <c:showPercent val="0"/>
          <c:showBubbleSize val="0"/>
        </c:dLbls>
        <c:gapWidth val="75"/>
        <c:axId val="160294400"/>
        <c:axId val="160375168"/>
      </c:barChart>
      <c:catAx>
        <c:axId val="160294400"/>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0375168"/>
        <c:crosses val="autoZero"/>
        <c:auto val="1"/>
        <c:lblAlgn val="ctr"/>
        <c:lblOffset val="100"/>
        <c:noMultiLvlLbl val="0"/>
      </c:catAx>
      <c:valAx>
        <c:axId val="160375168"/>
        <c:scaling>
          <c:orientation val="minMax"/>
        </c:scaling>
        <c:delete val="0"/>
        <c:axPos val="b"/>
        <c:numFmt formatCode="0.00%" sourceLinked="1"/>
        <c:majorTickMark val="none"/>
        <c:minorTickMark val="none"/>
        <c:tickLblPos val="nextTo"/>
        <c:crossAx val="160294400"/>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1.3</c:v>
                </c:pt>
                <c:pt idx="1">
                  <c:v>-0.24</c:v>
                </c:pt>
                <c:pt idx="2">
                  <c:v>-0.23</c:v>
                </c:pt>
              </c:numCache>
            </c:numRef>
          </c:val>
        </c:ser>
        <c:dLbls>
          <c:showLegendKey val="0"/>
          <c:showVal val="0"/>
          <c:showCatName val="0"/>
          <c:showSerName val="0"/>
          <c:showPercent val="0"/>
          <c:showBubbleSize val="0"/>
        </c:dLbls>
        <c:gapWidth val="150"/>
        <c:axId val="156262784"/>
        <c:axId val="156264320"/>
      </c:barChart>
      <c:catAx>
        <c:axId val="156262784"/>
        <c:scaling>
          <c:orientation val="minMax"/>
        </c:scaling>
        <c:delete val="0"/>
        <c:axPos val="b"/>
        <c:numFmt formatCode="General" sourceLinked="1"/>
        <c:majorTickMark val="out"/>
        <c:minorTickMark val="none"/>
        <c:tickLblPos val="nextTo"/>
        <c:txPr>
          <a:bodyPr/>
          <a:lstStyle/>
          <a:p>
            <a:pPr>
              <a:defRPr b="1"/>
            </a:pPr>
            <a:endParaRPr lang="en-US"/>
          </a:p>
        </c:txPr>
        <c:crossAx val="156264320"/>
        <c:crosses val="autoZero"/>
        <c:auto val="1"/>
        <c:lblAlgn val="ctr"/>
        <c:lblOffset val="100"/>
        <c:noMultiLvlLbl val="0"/>
      </c:catAx>
      <c:valAx>
        <c:axId val="156264320"/>
        <c:scaling>
          <c:orientation val="minMax"/>
        </c:scaling>
        <c:delete val="0"/>
        <c:axPos val="l"/>
        <c:majorGridlines/>
        <c:numFmt formatCode="General" sourceLinked="1"/>
        <c:majorTickMark val="out"/>
        <c:minorTickMark val="none"/>
        <c:tickLblPos val="nextTo"/>
        <c:crossAx val="156262784"/>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129.72</c:v>
                </c:pt>
                <c:pt idx="1">
                  <c:v>-24.24</c:v>
                </c:pt>
                <c:pt idx="2">
                  <c:v>-23.05</c:v>
                </c:pt>
              </c:numCache>
            </c:numRef>
          </c:val>
        </c:ser>
        <c:dLbls>
          <c:showLegendKey val="0"/>
          <c:showVal val="0"/>
          <c:showCatName val="0"/>
          <c:showSerName val="0"/>
          <c:showPercent val="0"/>
          <c:showBubbleSize val="0"/>
        </c:dLbls>
        <c:gapWidth val="150"/>
        <c:axId val="160483968"/>
        <c:axId val="160489856"/>
      </c:barChart>
      <c:catAx>
        <c:axId val="160483968"/>
        <c:scaling>
          <c:orientation val="minMax"/>
        </c:scaling>
        <c:delete val="0"/>
        <c:axPos val="b"/>
        <c:numFmt formatCode="General" sourceLinked="1"/>
        <c:majorTickMark val="out"/>
        <c:minorTickMark val="none"/>
        <c:tickLblPos val="nextTo"/>
        <c:txPr>
          <a:bodyPr/>
          <a:lstStyle/>
          <a:p>
            <a:pPr>
              <a:defRPr b="1"/>
            </a:pPr>
            <a:endParaRPr lang="en-US"/>
          </a:p>
        </c:txPr>
        <c:crossAx val="160489856"/>
        <c:crosses val="autoZero"/>
        <c:auto val="1"/>
        <c:lblAlgn val="ctr"/>
        <c:lblOffset val="100"/>
        <c:noMultiLvlLbl val="0"/>
      </c:catAx>
      <c:valAx>
        <c:axId val="160489856"/>
        <c:scaling>
          <c:orientation val="minMax"/>
        </c:scaling>
        <c:delete val="0"/>
        <c:axPos val="l"/>
        <c:majorGridlines/>
        <c:numFmt formatCode="General" sourceLinked="1"/>
        <c:majorTickMark val="out"/>
        <c:minorTickMark val="none"/>
        <c:tickLblPos val="nextTo"/>
        <c:crossAx val="160483968"/>
        <c:crosses val="autoZero"/>
        <c:crossBetween val="between"/>
      </c:valAx>
    </c:plotArea>
    <c:legend>
      <c:legendPos val="r"/>
      <c:overlay val="0"/>
    </c:legend>
    <c:plotVisOnly val="1"/>
    <c:dispBlanksAs val="gap"/>
    <c:showDLblsOverMax val="0"/>
  </c:chart>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129.72</c:v>
                </c:pt>
                <c:pt idx="1">
                  <c:v>-24.24</c:v>
                </c:pt>
                <c:pt idx="2">
                  <c:v>-23.05</c:v>
                </c:pt>
              </c:numCache>
            </c:numRef>
          </c:val>
        </c:ser>
        <c:dLbls>
          <c:showLegendKey val="0"/>
          <c:showVal val="0"/>
          <c:showCatName val="0"/>
          <c:showSerName val="0"/>
          <c:showPercent val="0"/>
          <c:showBubbleSize val="0"/>
        </c:dLbls>
        <c:gapWidth val="150"/>
        <c:axId val="160412416"/>
        <c:axId val="160413952"/>
      </c:barChart>
      <c:catAx>
        <c:axId val="160412416"/>
        <c:scaling>
          <c:orientation val="minMax"/>
        </c:scaling>
        <c:delete val="0"/>
        <c:axPos val="b"/>
        <c:numFmt formatCode="General" sourceLinked="1"/>
        <c:majorTickMark val="out"/>
        <c:minorTickMark val="none"/>
        <c:tickLblPos val="nextTo"/>
        <c:txPr>
          <a:bodyPr/>
          <a:lstStyle/>
          <a:p>
            <a:pPr>
              <a:defRPr b="1"/>
            </a:pPr>
            <a:endParaRPr lang="en-US"/>
          </a:p>
        </c:txPr>
        <c:crossAx val="160413952"/>
        <c:crosses val="autoZero"/>
        <c:auto val="1"/>
        <c:lblAlgn val="ctr"/>
        <c:lblOffset val="100"/>
        <c:noMultiLvlLbl val="0"/>
      </c:catAx>
      <c:valAx>
        <c:axId val="160413952"/>
        <c:scaling>
          <c:orientation val="minMax"/>
        </c:scaling>
        <c:delete val="0"/>
        <c:axPos val="l"/>
        <c:majorGridlines/>
        <c:numFmt formatCode="General" sourceLinked="1"/>
        <c:majorTickMark val="out"/>
        <c:minorTickMark val="none"/>
        <c:tickLblPos val="nextTo"/>
        <c:crossAx val="16041241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1.47E-2</c:v>
                </c:pt>
                <c:pt idx="1">
                  <c:v>-7.1000000000000004E-3</c:v>
                </c:pt>
                <c:pt idx="2">
                  <c:v>8.0000000000000002E-3</c:v>
                </c:pt>
                <c:pt idx="3">
                  <c:v>-6.4999999999999997E-3</c:v>
                </c:pt>
                <c:pt idx="4">
                  <c:v>9.9000000000000008E-3</c:v>
                </c:pt>
                <c:pt idx="5">
                  <c:v>-2.8E-3</c:v>
                </c:pt>
                <c:pt idx="6">
                  <c:v>-7.4999999999999997E-3</c:v>
                </c:pt>
                <c:pt idx="7">
                  <c:v>-1.1999999999999999E-3</c:v>
                </c:pt>
                <c:pt idx="8">
                  <c:v>5.0000000000000001E-4</c:v>
                </c:pt>
                <c:pt idx="9">
                  <c:v>-1.2800000000000001E-2</c:v>
                </c:pt>
                <c:pt idx="10">
                  <c:v>4.1999999999999997E-3</c:v>
                </c:pt>
                <c:pt idx="11">
                  <c:v>-3.0000000000000001E-3</c:v>
                </c:pt>
              </c:numCache>
            </c:numRef>
          </c:val>
        </c:ser>
        <c:dLbls>
          <c:showLegendKey val="0"/>
          <c:showVal val="1"/>
          <c:showCatName val="0"/>
          <c:showSerName val="0"/>
          <c:showPercent val="0"/>
          <c:showBubbleSize val="0"/>
        </c:dLbls>
        <c:gapWidth val="75"/>
        <c:axId val="161052160"/>
        <c:axId val="161071488"/>
      </c:barChart>
      <c:catAx>
        <c:axId val="161052160"/>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1071488"/>
        <c:crosses val="autoZero"/>
        <c:auto val="1"/>
        <c:lblAlgn val="ctr"/>
        <c:lblOffset val="100"/>
        <c:noMultiLvlLbl val="0"/>
      </c:catAx>
      <c:valAx>
        <c:axId val="161071488"/>
        <c:scaling>
          <c:orientation val="minMax"/>
        </c:scaling>
        <c:delete val="0"/>
        <c:axPos val="b"/>
        <c:numFmt formatCode="0.00%" sourceLinked="1"/>
        <c:majorTickMark val="none"/>
        <c:minorTickMark val="none"/>
        <c:tickLblPos val="nextTo"/>
        <c:crossAx val="161052160"/>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2.0099999999999998</c:v>
                </c:pt>
                <c:pt idx="1">
                  <c:v>0</c:v>
                </c:pt>
                <c:pt idx="2">
                  <c:v>-0.04</c:v>
                </c:pt>
              </c:numCache>
            </c:numRef>
          </c:val>
        </c:ser>
        <c:dLbls>
          <c:showLegendKey val="0"/>
          <c:showVal val="0"/>
          <c:showCatName val="0"/>
          <c:showSerName val="0"/>
          <c:showPercent val="0"/>
          <c:showBubbleSize val="0"/>
        </c:dLbls>
        <c:gapWidth val="150"/>
        <c:axId val="161132928"/>
        <c:axId val="161134464"/>
      </c:barChart>
      <c:catAx>
        <c:axId val="161132928"/>
        <c:scaling>
          <c:orientation val="minMax"/>
        </c:scaling>
        <c:delete val="0"/>
        <c:axPos val="b"/>
        <c:numFmt formatCode="General" sourceLinked="1"/>
        <c:majorTickMark val="out"/>
        <c:minorTickMark val="none"/>
        <c:tickLblPos val="nextTo"/>
        <c:txPr>
          <a:bodyPr/>
          <a:lstStyle/>
          <a:p>
            <a:pPr>
              <a:defRPr b="1"/>
            </a:pPr>
            <a:endParaRPr lang="en-US"/>
          </a:p>
        </c:txPr>
        <c:crossAx val="161134464"/>
        <c:crosses val="autoZero"/>
        <c:auto val="1"/>
        <c:lblAlgn val="ctr"/>
        <c:lblOffset val="100"/>
        <c:noMultiLvlLbl val="0"/>
      </c:catAx>
      <c:valAx>
        <c:axId val="161134464"/>
        <c:scaling>
          <c:orientation val="minMax"/>
        </c:scaling>
        <c:delete val="0"/>
        <c:axPos val="l"/>
        <c:majorGridlines/>
        <c:numFmt formatCode="General" sourceLinked="1"/>
        <c:majorTickMark val="out"/>
        <c:minorTickMark val="none"/>
        <c:tickLblPos val="nextTo"/>
        <c:crossAx val="161132928"/>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113.92</c:v>
                </c:pt>
                <c:pt idx="1">
                  <c:v>-0.13</c:v>
                </c:pt>
                <c:pt idx="2">
                  <c:v>-4.29</c:v>
                </c:pt>
              </c:numCache>
            </c:numRef>
          </c:val>
        </c:ser>
        <c:dLbls>
          <c:showLegendKey val="0"/>
          <c:showVal val="0"/>
          <c:showCatName val="0"/>
          <c:showSerName val="0"/>
          <c:showPercent val="0"/>
          <c:showBubbleSize val="0"/>
        </c:dLbls>
        <c:gapWidth val="150"/>
        <c:axId val="156288896"/>
        <c:axId val="156290432"/>
      </c:barChart>
      <c:catAx>
        <c:axId val="156288896"/>
        <c:scaling>
          <c:orientation val="minMax"/>
        </c:scaling>
        <c:delete val="0"/>
        <c:axPos val="b"/>
        <c:numFmt formatCode="General" sourceLinked="1"/>
        <c:majorTickMark val="out"/>
        <c:minorTickMark val="none"/>
        <c:tickLblPos val="nextTo"/>
        <c:txPr>
          <a:bodyPr/>
          <a:lstStyle/>
          <a:p>
            <a:pPr>
              <a:defRPr b="1"/>
            </a:pPr>
            <a:endParaRPr lang="en-US"/>
          </a:p>
        </c:txPr>
        <c:crossAx val="156290432"/>
        <c:crosses val="autoZero"/>
        <c:auto val="1"/>
        <c:lblAlgn val="ctr"/>
        <c:lblOffset val="100"/>
        <c:noMultiLvlLbl val="0"/>
      </c:catAx>
      <c:valAx>
        <c:axId val="156290432"/>
        <c:scaling>
          <c:orientation val="minMax"/>
        </c:scaling>
        <c:delete val="0"/>
        <c:axPos val="l"/>
        <c:majorGridlines/>
        <c:numFmt formatCode="General" sourceLinked="1"/>
        <c:majorTickMark val="out"/>
        <c:minorTickMark val="none"/>
        <c:tickLblPos val="nextTo"/>
        <c:crossAx val="156288896"/>
        <c:crosses val="autoZero"/>
        <c:crossBetween val="between"/>
      </c:valAx>
    </c:plotArea>
    <c:legend>
      <c:legendPos val="r"/>
      <c:overlay val="0"/>
    </c:legend>
    <c:plotVisOnly val="1"/>
    <c:dispBlanksAs val="gap"/>
    <c:showDLblsOverMax val="0"/>
  </c:chart>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113.92</c:v>
                </c:pt>
                <c:pt idx="1">
                  <c:v>-0.13</c:v>
                </c:pt>
                <c:pt idx="2">
                  <c:v>-4.29</c:v>
                </c:pt>
              </c:numCache>
            </c:numRef>
          </c:val>
        </c:ser>
        <c:dLbls>
          <c:showLegendKey val="0"/>
          <c:showVal val="0"/>
          <c:showCatName val="0"/>
          <c:showSerName val="0"/>
          <c:showPercent val="0"/>
          <c:showBubbleSize val="0"/>
        </c:dLbls>
        <c:gapWidth val="150"/>
        <c:axId val="161378304"/>
        <c:axId val="161379840"/>
      </c:barChart>
      <c:catAx>
        <c:axId val="161378304"/>
        <c:scaling>
          <c:orientation val="minMax"/>
        </c:scaling>
        <c:delete val="0"/>
        <c:axPos val="b"/>
        <c:numFmt formatCode="General" sourceLinked="1"/>
        <c:majorTickMark val="out"/>
        <c:minorTickMark val="none"/>
        <c:tickLblPos val="nextTo"/>
        <c:txPr>
          <a:bodyPr/>
          <a:lstStyle/>
          <a:p>
            <a:pPr>
              <a:defRPr b="1"/>
            </a:pPr>
            <a:endParaRPr lang="en-US"/>
          </a:p>
        </c:txPr>
        <c:crossAx val="161379840"/>
        <c:crosses val="autoZero"/>
        <c:auto val="1"/>
        <c:lblAlgn val="ctr"/>
        <c:lblOffset val="100"/>
        <c:noMultiLvlLbl val="0"/>
      </c:catAx>
      <c:valAx>
        <c:axId val="161379840"/>
        <c:scaling>
          <c:orientation val="minMax"/>
        </c:scaling>
        <c:delete val="0"/>
        <c:axPos val="l"/>
        <c:majorGridlines/>
        <c:numFmt formatCode="General" sourceLinked="1"/>
        <c:majorTickMark val="out"/>
        <c:minorTickMark val="none"/>
        <c:tickLblPos val="nextTo"/>
        <c:crossAx val="161378304"/>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2"/>
              <c:layout>
                <c:manualLayout>
                  <c:x val="3.4722222222222265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-4.1999999999999997E-3</c:v>
                </c:pt>
                <c:pt idx="1">
                  <c:v>-2.3999999999999998E-3</c:v>
                </c:pt>
                <c:pt idx="2">
                  <c:v>-1.6000000000000001E-3</c:v>
                </c:pt>
                <c:pt idx="3">
                  <c:v>-1.23E-2</c:v>
                </c:pt>
                <c:pt idx="4">
                  <c:v>1.1599999999999999E-2</c:v>
                </c:pt>
                <c:pt idx="5">
                  <c:v>1.6999999999999999E-3</c:v>
                </c:pt>
                <c:pt idx="6">
                  <c:v>-1E-3</c:v>
                </c:pt>
                <c:pt idx="7">
                  <c:v>-7.7000000000000002E-3</c:v>
                </c:pt>
                <c:pt idx="8">
                  <c:v>-2.2000000000000001E-3</c:v>
                </c:pt>
                <c:pt idx="9">
                  <c:v>7.7000000000000002E-3</c:v>
                </c:pt>
                <c:pt idx="10">
                  <c:v>5.1999999999999998E-3</c:v>
                </c:pt>
                <c:pt idx="11">
                  <c:v>-5.4999999999999997E-3</c:v>
                </c:pt>
              </c:numCache>
            </c:numRef>
          </c:val>
        </c:ser>
        <c:dLbls>
          <c:showLegendKey val="0"/>
          <c:showVal val="1"/>
          <c:showCatName val="0"/>
          <c:showSerName val="0"/>
          <c:showPercent val="0"/>
          <c:showBubbleSize val="0"/>
        </c:dLbls>
        <c:gapWidth val="75"/>
        <c:axId val="161391360"/>
        <c:axId val="161394048"/>
      </c:barChart>
      <c:catAx>
        <c:axId val="161391360"/>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1394048"/>
        <c:crosses val="autoZero"/>
        <c:auto val="1"/>
        <c:lblAlgn val="ctr"/>
        <c:lblOffset val="100"/>
        <c:noMultiLvlLbl val="0"/>
      </c:catAx>
      <c:valAx>
        <c:axId val="161394048"/>
        <c:scaling>
          <c:orientation val="minMax"/>
        </c:scaling>
        <c:delete val="0"/>
        <c:axPos val="b"/>
        <c:numFmt formatCode="0.00%" sourceLinked="1"/>
        <c:majorTickMark val="none"/>
        <c:minorTickMark val="none"/>
        <c:tickLblPos val="nextTo"/>
        <c:crossAx val="161391360"/>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1.93</c:v>
                </c:pt>
                <c:pt idx="1">
                  <c:v>-0.24</c:v>
                </c:pt>
                <c:pt idx="2">
                  <c:v>-0.12</c:v>
                </c:pt>
              </c:numCache>
            </c:numRef>
          </c:val>
        </c:ser>
        <c:dLbls>
          <c:showLegendKey val="0"/>
          <c:showVal val="0"/>
          <c:showCatName val="0"/>
          <c:showSerName val="0"/>
          <c:showPercent val="0"/>
          <c:showBubbleSize val="0"/>
        </c:dLbls>
        <c:gapWidth val="150"/>
        <c:axId val="161418624"/>
        <c:axId val="161551488"/>
      </c:barChart>
      <c:catAx>
        <c:axId val="161418624"/>
        <c:scaling>
          <c:orientation val="minMax"/>
        </c:scaling>
        <c:delete val="0"/>
        <c:axPos val="b"/>
        <c:numFmt formatCode="General" sourceLinked="1"/>
        <c:majorTickMark val="out"/>
        <c:minorTickMark val="none"/>
        <c:tickLblPos val="nextTo"/>
        <c:txPr>
          <a:bodyPr/>
          <a:lstStyle/>
          <a:p>
            <a:pPr>
              <a:defRPr b="1"/>
            </a:pPr>
            <a:endParaRPr lang="en-US"/>
          </a:p>
        </c:txPr>
        <c:crossAx val="161551488"/>
        <c:crosses val="autoZero"/>
        <c:auto val="1"/>
        <c:lblAlgn val="ctr"/>
        <c:lblOffset val="100"/>
        <c:noMultiLvlLbl val="0"/>
      </c:catAx>
      <c:valAx>
        <c:axId val="161551488"/>
        <c:scaling>
          <c:orientation val="minMax"/>
        </c:scaling>
        <c:delete val="0"/>
        <c:axPos val="l"/>
        <c:majorGridlines/>
        <c:numFmt formatCode="General" sourceLinked="1"/>
        <c:majorTickMark val="out"/>
        <c:minorTickMark val="none"/>
        <c:tickLblPos val="nextTo"/>
        <c:crossAx val="161418624"/>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10.96</c:v>
                </c:pt>
                <c:pt idx="1">
                  <c:v>-23.7</c:v>
                </c:pt>
                <c:pt idx="2">
                  <c:v>-11.75</c:v>
                </c:pt>
              </c:numCache>
            </c:numRef>
          </c:val>
        </c:ser>
        <c:dLbls>
          <c:showLegendKey val="0"/>
          <c:showVal val="0"/>
          <c:showCatName val="0"/>
          <c:showSerName val="0"/>
          <c:showPercent val="0"/>
          <c:showBubbleSize val="0"/>
        </c:dLbls>
        <c:gapWidth val="150"/>
        <c:axId val="161580928"/>
        <c:axId val="161582464"/>
      </c:barChart>
      <c:catAx>
        <c:axId val="161580928"/>
        <c:scaling>
          <c:orientation val="minMax"/>
        </c:scaling>
        <c:delete val="0"/>
        <c:axPos val="b"/>
        <c:numFmt formatCode="General" sourceLinked="1"/>
        <c:majorTickMark val="out"/>
        <c:minorTickMark val="none"/>
        <c:tickLblPos val="nextTo"/>
        <c:txPr>
          <a:bodyPr/>
          <a:lstStyle/>
          <a:p>
            <a:pPr>
              <a:defRPr b="1"/>
            </a:pPr>
            <a:endParaRPr lang="en-US"/>
          </a:p>
        </c:txPr>
        <c:crossAx val="161582464"/>
        <c:crosses val="autoZero"/>
        <c:auto val="1"/>
        <c:lblAlgn val="ctr"/>
        <c:lblOffset val="100"/>
        <c:noMultiLvlLbl val="0"/>
      </c:catAx>
      <c:valAx>
        <c:axId val="161582464"/>
        <c:scaling>
          <c:orientation val="minMax"/>
        </c:scaling>
        <c:delete val="0"/>
        <c:axPos val="l"/>
        <c:majorGridlines/>
        <c:numFmt formatCode="General" sourceLinked="1"/>
        <c:majorTickMark val="out"/>
        <c:minorTickMark val="none"/>
        <c:tickLblPos val="nextTo"/>
        <c:crossAx val="161580928"/>
        <c:crosses val="autoZero"/>
        <c:crossBetween val="between"/>
      </c:valAx>
    </c:plotArea>
    <c:legend>
      <c:legendPos val="r"/>
      <c:overlay val="0"/>
    </c:legend>
    <c:plotVisOnly val="1"/>
    <c:dispBlanksAs val="gap"/>
    <c:showDLblsOverMax val="0"/>
  </c:chart>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10.96</c:v>
                </c:pt>
                <c:pt idx="1">
                  <c:v>-23.7</c:v>
                </c:pt>
                <c:pt idx="2">
                  <c:v>-11.75</c:v>
                </c:pt>
              </c:numCache>
            </c:numRef>
          </c:val>
        </c:ser>
        <c:dLbls>
          <c:showLegendKey val="0"/>
          <c:showVal val="0"/>
          <c:showCatName val="0"/>
          <c:showSerName val="0"/>
          <c:showPercent val="0"/>
          <c:showBubbleSize val="0"/>
        </c:dLbls>
        <c:gapWidth val="150"/>
        <c:axId val="161783808"/>
        <c:axId val="161785344"/>
      </c:barChart>
      <c:catAx>
        <c:axId val="161783808"/>
        <c:scaling>
          <c:orientation val="minMax"/>
        </c:scaling>
        <c:delete val="0"/>
        <c:axPos val="b"/>
        <c:numFmt formatCode="General" sourceLinked="1"/>
        <c:majorTickMark val="out"/>
        <c:minorTickMark val="none"/>
        <c:tickLblPos val="nextTo"/>
        <c:txPr>
          <a:bodyPr/>
          <a:lstStyle/>
          <a:p>
            <a:pPr>
              <a:defRPr b="1"/>
            </a:pPr>
            <a:endParaRPr lang="en-US"/>
          </a:p>
        </c:txPr>
        <c:crossAx val="161785344"/>
        <c:crosses val="autoZero"/>
        <c:auto val="1"/>
        <c:lblAlgn val="ctr"/>
        <c:lblOffset val="100"/>
        <c:noMultiLvlLbl val="0"/>
      </c:catAx>
      <c:valAx>
        <c:axId val="161785344"/>
        <c:scaling>
          <c:orientation val="minMax"/>
        </c:scaling>
        <c:delete val="0"/>
        <c:axPos val="l"/>
        <c:majorGridlines/>
        <c:numFmt formatCode="General" sourceLinked="1"/>
        <c:majorTickMark val="out"/>
        <c:minorTickMark val="none"/>
        <c:tickLblPos val="nextTo"/>
        <c:crossAx val="16178380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2"/>
              <c:layout>
                <c:manualLayout>
                  <c:x val="3.4722222222222265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7.1000000000000004E-3</c:v>
                </c:pt>
                <c:pt idx="1">
                  <c:v>-4.5999999999999999E-3</c:v>
                </c:pt>
                <c:pt idx="2">
                  <c:v>-4.1999999999999997E-3</c:v>
                </c:pt>
                <c:pt idx="3">
                  <c:v>0</c:v>
                </c:pt>
                <c:pt idx="4">
                  <c:v>6.8999999999999999E-3</c:v>
                </c:pt>
                <c:pt idx="5">
                  <c:v>-1.6999999999999999E-3</c:v>
                </c:pt>
                <c:pt idx="6">
                  <c:v>-2.3E-3</c:v>
                </c:pt>
                <c:pt idx="7">
                  <c:v>1.1999999999999999E-3</c:v>
                </c:pt>
                <c:pt idx="8">
                  <c:v>-2.5000000000000001E-3</c:v>
                </c:pt>
                <c:pt idx="9">
                  <c:v>0</c:v>
                </c:pt>
                <c:pt idx="10">
                  <c:v>7.7000000000000002E-3</c:v>
                </c:pt>
                <c:pt idx="11">
                  <c:v>-7.0000000000000001E-3</c:v>
                </c:pt>
              </c:numCache>
            </c:numRef>
          </c:val>
        </c:ser>
        <c:dLbls>
          <c:showLegendKey val="0"/>
          <c:showVal val="1"/>
          <c:showCatName val="0"/>
          <c:showSerName val="0"/>
          <c:showPercent val="0"/>
          <c:showBubbleSize val="0"/>
        </c:dLbls>
        <c:gapWidth val="75"/>
        <c:axId val="164373248"/>
        <c:axId val="164375936"/>
      </c:barChart>
      <c:catAx>
        <c:axId val="16437324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4375936"/>
        <c:crosses val="autoZero"/>
        <c:auto val="1"/>
        <c:lblAlgn val="ctr"/>
        <c:lblOffset val="100"/>
        <c:noMultiLvlLbl val="0"/>
      </c:catAx>
      <c:valAx>
        <c:axId val="164375936"/>
        <c:scaling>
          <c:orientation val="minMax"/>
        </c:scaling>
        <c:delete val="0"/>
        <c:axPos val="b"/>
        <c:numFmt formatCode="0.00%" sourceLinked="1"/>
        <c:majorTickMark val="none"/>
        <c:minorTickMark val="none"/>
        <c:tickLblPos val="nextTo"/>
        <c:crossAx val="16437324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1.77</c:v>
                </c:pt>
                <c:pt idx="1">
                  <c:v>-0.11</c:v>
                </c:pt>
                <c:pt idx="2">
                  <c:v>-0.13</c:v>
                </c:pt>
              </c:numCache>
            </c:numRef>
          </c:val>
        </c:ser>
        <c:dLbls>
          <c:showLegendKey val="0"/>
          <c:showVal val="0"/>
          <c:showCatName val="0"/>
          <c:showSerName val="0"/>
          <c:showPercent val="0"/>
          <c:showBubbleSize val="0"/>
        </c:dLbls>
        <c:gapWidth val="150"/>
        <c:axId val="161467776"/>
        <c:axId val="161477760"/>
      </c:barChart>
      <c:catAx>
        <c:axId val="161467776"/>
        <c:scaling>
          <c:orientation val="minMax"/>
        </c:scaling>
        <c:delete val="0"/>
        <c:axPos val="b"/>
        <c:numFmt formatCode="General" sourceLinked="1"/>
        <c:majorTickMark val="out"/>
        <c:minorTickMark val="none"/>
        <c:tickLblPos val="nextTo"/>
        <c:txPr>
          <a:bodyPr/>
          <a:lstStyle/>
          <a:p>
            <a:pPr>
              <a:defRPr b="1"/>
            </a:pPr>
            <a:endParaRPr lang="en-US"/>
          </a:p>
        </c:txPr>
        <c:crossAx val="161477760"/>
        <c:crosses val="autoZero"/>
        <c:auto val="1"/>
        <c:lblAlgn val="ctr"/>
        <c:lblOffset val="100"/>
        <c:noMultiLvlLbl val="0"/>
      </c:catAx>
      <c:valAx>
        <c:axId val="161477760"/>
        <c:scaling>
          <c:orientation val="minMax"/>
        </c:scaling>
        <c:delete val="0"/>
        <c:axPos val="l"/>
        <c:majorGridlines/>
        <c:numFmt formatCode="General" sourceLinked="1"/>
        <c:majorTickMark val="out"/>
        <c:minorTickMark val="none"/>
        <c:tickLblPos val="nextTo"/>
        <c:crossAx val="161467776"/>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3.26</c:v>
                </c:pt>
                <c:pt idx="1">
                  <c:v>-11.17</c:v>
                </c:pt>
                <c:pt idx="2">
                  <c:v>-13.33</c:v>
                </c:pt>
              </c:numCache>
            </c:numRef>
          </c:val>
        </c:ser>
        <c:dLbls>
          <c:showLegendKey val="0"/>
          <c:showVal val="0"/>
          <c:showCatName val="0"/>
          <c:showSerName val="0"/>
          <c:showPercent val="0"/>
          <c:showBubbleSize val="0"/>
        </c:dLbls>
        <c:gapWidth val="150"/>
        <c:axId val="161773440"/>
        <c:axId val="161774976"/>
      </c:barChart>
      <c:catAx>
        <c:axId val="161773440"/>
        <c:scaling>
          <c:orientation val="minMax"/>
        </c:scaling>
        <c:delete val="0"/>
        <c:axPos val="b"/>
        <c:numFmt formatCode="General" sourceLinked="1"/>
        <c:majorTickMark val="out"/>
        <c:minorTickMark val="none"/>
        <c:tickLblPos val="nextTo"/>
        <c:txPr>
          <a:bodyPr/>
          <a:lstStyle/>
          <a:p>
            <a:pPr>
              <a:defRPr b="1"/>
            </a:pPr>
            <a:endParaRPr lang="en-US"/>
          </a:p>
        </c:txPr>
        <c:crossAx val="161774976"/>
        <c:crosses val="autoZero"/>
        <c:auto val="1"/>
        <c:lblAlgn val="ctr"/>
        <c:lblOffset val="100"/>
        <c:noMultiLvlLbl val="0"/>
      </c:catAx>
      <c:valAx>
        <c:axId val="161774976"/>
        <c:scaling>
          <c:orientation val="minMax"/>
        </c:scaling>
        <c:delete val="0"/>
        <c:axPos val="l"/>
        <c:majorGridlines/>
        <c:numFmt formatCode="General" sourceLinked="1"/>
        <c:majorTickMark val="out"/>
        <c:minorTickMark val="none"/>
        <c:tickLblPos val="nextTo"/>
        <c:crossAx val="161773440"/>
        <c:crosses val="autoZero"/>
        <c:crossBetween val="between"/>
      </c:valAx>
    </c:plotArea>
    <c:legend>
      <c:legendPos val="r"/>
      <c:overlay val="0"/>
    </c:legend>
    <c:plotVisOnly val="1"/>
    <c:dispBlanksAs val="gap"/>
    <c:showDLblsOverMax val="0"/>
  </c:chart>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3.26</c:v>
                </c:pt>
                <c:pt idx="1">
                  <c:v>-11.17</c:v>
                </c:pt>
                <c:pt idx="2">
                  <c:v>-13.33</c:v>
                </c:pt>
              </c:numCache>
            </c:numRef>
          </c:val>
        </c:ser>
        <c:dLbls>
          <c:showLegendKey val="0"/>
          <c:showVal val="0"/>
          <c:showCatName val="0"/>
          <c:showSerName val="0"/>
          <c:showPercent val="0"/>
          <c:showBubbleSize val="0"/>
        </c:dLbls>
        <c:gapWidth val="150"/>
        <c:axId val="164646912"/>
        <c:axId val="164648448"/>
      </c:barChart>
      <c:catAx>
        <c:axId val="164646912"/>
        <c:scaling>
          <c:orientation val="minMax"/>
        </c:scaling>
        <c:delete val="0"/>
        <c:axPos val="b"/>
        <c:numFmt formatCode="General" sourceLinked="1"/>
        <c:majorTickMark val="out"/>
        <c:minorTickMark val="none"/>
        <c:tickLblPos val="nextTo"/>
        <c:txPr>
          <a:bodyPr/>
          <a:lstStyle/>
          <a:p>
            <a:pPr>
              <a:defRPr b="1"/>
            </a:pPr>
            <a:endParaRPr lang="en-US"/>
          </a:p>
        </c:txPr>
        <c:crossAx val="164648448"/>
        <c:crosses val="autoZero"/>
        <c:auto val="1"/>
        <c:lblAlgn val="ctr"/>
        <c:lblOffset val="100"/>
        <c:noMultiLvlLbl val="0"/>
      </c:catAx>
      <c:valAx>
        <c:axId val="164648448"/>
        <c:scaling>
          <c:orientation val="minMax"/>
        </c:scaling>
        <c:delete val="0"/>
        <c:axPos val="l"/>
        <c:majorGridlines/>
        <c:numFmt formatCode="General" sourceLinked="1"/>
        <c:majorTickMark val="out"/>
        <c:minorTickMark val="none"/>
        <c:tickLblPos val="nextTo"/>
        <c:crossAx val="164646912"/>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2"/>
              <c:layout>
                <c:manualLayout>
                  <c:x val="3.4722222222222265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4.0000000000000001E-3</c:v>
                </c:pt>
                <c:pt idx="1">
                  <c:v>-3.0999999999999999E-3</c:v>
                </c:pt>
                <c:pt idx="2">
                  <c:v>-3.2000000000000002E-3</c:v>
                </c:pt>
                <c:pt idx="3">
                  <c:v>-1.6999999999999999E-3</c:v>
                </c:pt>
                <c:pt idx="4">
                  <c:v>8.0000000000000002E-3</c:v>
                </c:pt>
                <c:pt idx="5">
                  <c:v>-2.3999999999999998E-3</c:v>
                </c:pt>
                <c:pt idx="6">
                  <c:v>6.0000000000000001E-3</c:v>
                </c:pt>
                <c:pt idx="7">
                  <c:v>-6.0000000000000001E-3</c:v>
                </c:pt>
                <c:pt idx="8">
                  <c:v>1.1999999999999999E-3</c:v>
                </c:pt>
                <c:pt idx="9">
                  <c:v>-1.9E-3</c:v>
                </c:pt>
                <c:pt idx="10">
                  <c:v>0</c:v>
                </c:pt>
                <c:pt idx="11">
                  <c:v>1.1999999999999999E-3</c:v>
                </c:pt>
              </c:numCache>
            </c:numRef>
          </c:val>
        </c:ser>
        <c:dLbls>
          <c:showLegendKey val="0"/>
          <c:showVal val="1"/>
          <c:showCatName val="0"/>
          <c:showSerName val="0"/>
          <c:showPercent val="0"/>
          <c:showBubbleSize val="0"/>
        </c:dLbls>
        <c:gapWidth val="75"/>
        <c:axId val="164713216"/>
        <c:axId val="164715904"/>
      </c:barChart>
      <c:catAx>
        <c:axId val="164713216"/>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4715904"/>
        <c:crosses val="autoZero"/>
        <c:auto val="1"/>
        <c:lblAlgn val="ctr"/>
        <c:lblOffset val="100"/>
        <c:noMultiLvlLbl val="0"/>
      </c:catAx>
      <c:valAx>
        <c:axId val="164715904"/>
        <c:scaling>
          <c:orientation val="minMax"/>
        </c:scaling>
        <c:delete val="0"/>
        <c:axPos val="b"/>
        <c:numFmt formatCode="0.00%" sourceLinked="1"/>
        <c:majorTickMark val="none"/>
        <c:minorTickMark val="none"/>
        <c:tickLblPos val="nextTo"/>
        <c:crossAx val="16471321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0.62</c:v>
                </c:pt>
                <c:pt idx="1">
                  <c:v>-0.18</c:v>
                </c:pt>
                <c:pt idx="2">
                  <c:v>-0.17</c:v>
                </c:pt>
              </c:numCache>
            </c:numRef>
          </c:val>
        </c:ser>
        <c:dLbls>
          <c:showLegendKey val="0"/>
          <c:showVal val="0"/>
          <c:showCatName val="0"/>
          <c:showSerName val="0"/>
          <c:showPercent val="0"/>
          <c:showBubbleSize val="0"/>
        </c:dLbls>
        <c:gapWidth val="150"/>
        <c:axId val="164629888"/>
        <c:axId val="164750464"/>
      </c:barChart>
      <c:catAx>
        <c:axId val="164629888"/>
        <c:scaling>
          <c:orientation val="minMax"/>
        </c:scaling>
        <c:delete val="0"/>
        <c:axPos val="b"/>
        <c:numFmt formatCode="General" sourceLinked="1"/>
        <c:majorTickMark val="out"/>
        <c:minorTickMark val="none"/>
        <c:tickLblPos val="nextTo"/>
        <c:txPr>
          <a:bodyPr/>
          <a:lstStyle/>
          <a:p>
            <a:pPr>
              <a:defRPr b="1"/>
            </a:pPr>
            <a:endParaRPr lang="en-US"/>
          </a:p>
        </c:txPr>
        <c:crossAx val="164750464"/>
        <c:crosses val="autoZero"/>
        <c:auto val="1"/>
        <c:lblAlgn val="ctr"/>
        <c:lblOffset val="100"/>
        <c:noMultiLvlLbl val="0"/>
      </c:catAx>
      <c:valAx>
        <c:axId val="164750464"/>
        <c:scaling>
          <c:orientation val="minMax"/>
        </c:scaling>
        <c:delete val="0"/>
        <c:axPos val="l"/>
        <c:majorGridlines/>
        <c:numFmt formatCode="General" sourceLinked="1"/>
        <c:majorTickMark val="out"/>
        <c:minorTickMark val="none"/>
        <c:tickLblPos val="nextTo"/>
        <c:crossAx val="164629888"/>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18.760000000000002</c:v>
                </c:pt>
                <c:pt idx="1">
                  <c:v>-17.84</c:v>
                </c:pt>
                <c:pt idx="2">
                  <c:v>-17.03</c:v>
                </c:pt>
              </c:numCache>
            </c:numRef>
          </c:val>
        </c:ser>
        <c:dLbls>
          <c:showLegendKey val="0"/>
          <c:showVal val="0"/>
          <c:showCatName val="0"/>
          <c:showSerName val="0"/>
          <c:showPercent val="0"/>
          <c:showBubbleSize val="0"/>
        </c:dLbls>
        <c:gapWidth val="150"/>
        <c:axId val="164525952"/>
        <c:axId val="164527488"/>
      </c:barChart>
      <c:catAx>
        <c:axId val="164525952"/>
        <c:scaling>
          <c:orientation val="minMax"/>
        </c:scaling>
        <c:delete val="0"/>
        <c:axPos val="b"/>
        <c:numFmt formatCode="General" sourceLinked="1"/>
        <c:majorTickMark val="out"/>
        <c:minorTickMark val="none"/>
        <c:tickLblPos val="nextTo"/>
        <c:txPr>
          <a:bodyPr/>
          <a:lstStyle/>
          <a:p>
            <a:pPr>
              <a:defRPr b="1"/>
            </a:pPr>
            <a:endParaRPr lang="en-US"/>
          </a:p>
        </c:txPr>
        <c:crossAx val="164527488"/>
        <c:crosses val="autoZero"/>
        <c:auto val="1"/>
        <c:lblAlgn val="ctr"/>
        <c:lblOffset val="100"/>
        <c:noMultiLvlLbl val="0"/>
      </c:catAx>
      <c:valAx>
        <c:axId val="164527488"/>
        <c:scaling>
          <c:orientation val="minMax"/>
        </c:scaling>
        <c:delete val="0"/>
        <c:axPos val="l"/>
        <c:majorGridlines/>
        <c:numFmt formatCode="General" sourceLinked="1"/>
        <c:majorTickMark val="out"/>
        <c:minorTickMark val="none"/>
        <c:tickLblPos val="nextTo"/>
        <c:crossAx val="164525952"/>
        <c:crosses val="autoZero"/>
        <c:crossBetween val="between"/>
      </c:valAx>
    </c:plotArea>
    <c:legend>
      <c:legendPos val="r"/>
      <c:overlay val="0"/>
    </c:legend>
    <c:plotVisOnly val="1"/>
    <c:dispBlanksAs val="gap"/>
    <c:showDLblsOverMax val="0"/>
  </c:chart>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18.760000000000002</c:v>
                </c:pt>
                <c:pt idx="1">
                  <c:v>-17.84</c:v>
                </c:pt>
                <c:pt idx="2">
                  <c:v>-17.03</c:v>
                </c:pt>
              </c:numCache>
            </c:numRef>
          </c:val>
        </c:ser>
        <c:dLbls>
          <c:showLegendKey val="0"/>
          <c:showVal val="0"/>
          <c:showCatName val="0"/>
          <c:showSerName val="0"/>
          <c:showPercent val="0"/>
          <c:showBubbleSize val="0"/>
        </c:dLbls>
        <c:gapWidth val="150"/>
        <c:axId val="164872192"/>
        <c:axId val="164873728"/>
      </c:barChart>
      <c:catAx>
        <c:axId val="164872192"/>
        <c:scaling>
          <c:orientation val="minMax"/>
        </c:scaling>
        <c:delete val="0"/>
        <c:axPos val="b"/>
        <c:numFmt formatCode="General" sourceLinked="1"/>
        <c:majorTickMark val="out"/>
        <c:minorTickMark val="none"/>
        <c:tickLblPos val="nextTo"/>
        <c:txPr>
          <a:bodyPr/>
          <a:lstStyle/>
          <a:p>
            <a:pPr>
              <a:defRPr b="1"/>
            </a:pPr>
            <a:endParaRPr lang="en-US"/>
          </a:p>
        </c:txPr>
        <c:crossAx val="164873728"/>
        <c:crosses val="autoZero"/>
        <c:auto val="1"/>
        <c:lblAlgn val="ctr"/>
        <c:lblOffset val="100"/>
        <c:noMultiLvlLbl val="0"/>
      </c:catAx>
      <c:valAx>
        <c:axId val="164873728"/>
        <c:scaling>
          <c:orientation val="minMax"/>
        </c:scaling>
        <c:delete val="0"/>
        <c:axPos val="l"/>
        <c:majorGridlines/>
        <c:numFmt formatCode="General" sourceLinked="1"/>
        <c:majorTickMark val="out"/>
        <c:minorTickMark val="none"/>
        <c:tickLblPos val="nextTo"/>
        <c:crossAx val="164872192"/>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2"/>
              <c:layout>
                <c:manualLayout>
                  <c:x val="3.4722222222222265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6.6E-3</c:v>
                </c:pt>
                <c:pt idx="1">
                  <c:v>-5.3E-3</c:v>
                </c:pt>
                <c:pt idx="2">
                  <c:v>-4.7999999999999996E-3</c:v>
                </c:pt>
                <c:pt idx="3">
                  <c:v>3.3E-3</c:v>
                </c:pt>
                <c:pt idx="4">
                  <c:v>8.5000000000000006E-3</c:v>
                </c:pt>
                <c:pt idx="5">
                  <c:v>-3.3E-3</c:v>
                </c:pt>
                <c:pt idx="6">
                  <c:v>-7.9000000000000008E-3</c:v>
                </c:pt>
                <c:pt idx="7">
                  <c:v>8.9999999999999998E-4</c:v>
                </c:pt>
                <c:pt idx="8">
                  <c:v>0</c:v>
                </c:pt>
                <c:pt idx="9">
                  <c:v>-1.8E-3</c:v>
                </c:pt>
                <c:pt idx="10">
                  <c:v>-6.7000000000000002E-3</c:v>
                </c:pt>
                <c:pt idx="11">
                  <c:v>-8.9999999999999998E-4</c:v>
                </c:pt>
              </c:numCache>
            </c:numRef>
          </c:val>
        </c:ser>
        <c:dLbls>
          <c:showLegendKey val="0"/>
          <c:showVal val="1"/>
          <c:showCatName val="0"/>
          <c:showSerName val="0"/>
          <c:showPercent val="0"/>
          <c:showBubbleSize val="0"/>
        </c:dLbls>
        <c:gapWidth val="75"/>
        <c:axId val="164885248"/>
        <c:axId val="164887936"/>
      </c:barChart>
      <c:catAx>
        <c:axId val="16488524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4887936"/>
        <c:crosses val="autoZero"/>
        <c:auto val="1"/>
        <c:lblAlgn val="ctr"/>
        <c:lblOffset val="100"/>
        <c:noMultiLvlLbl val="0"/>
      </c:catAx>
      <c:valAx>
        <c:axId val="164887936"/>
        <c:scaling>
          <c:orientation val="minMax"/>
        </c:scaling>
        <c:delete val="0"/>
        <c:axPos val="b"/>
        <c:numFmt formatCode="0.00%" sourceLinked="1"/>
        <c:majorTickMark val="none"/>
        <c:minorTickMark val="none"/>
        <c:tickLblPos val="nextTo"/>
        <c:crossAx val="16488524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2.2000000000000002</c:v>
                </c:pt>
                <c:pt idx="1">
                  <c:v>1.67</c:v>
                </c:pt>
                <c:pt idx="2">
                  <c:v>-0.18</c:v>
                </c:pt>
              </c:numCache>
            </c:numRef>
          </c:val>
        </c:ser>
        <c:dLbls>
          <c:showLegendKey val="0"/>
          <c:showVal val="0"/>
          <c:showCatName val="0"/>
          <c:showSerName val="0"/>
          <c:showPercent val="0"/>
          <c:showBubbleSize val="0"/>
        </c:dLbls>
        <c:gapWidth val="150"/>
        <c:axId val="164982144"/>
        <c:axId val="164983936"/>
      </c:barChart>
      <c:catAx>
        <c:axId val="164982144"/>
        <c:scaling>
          <c:orientation val="minMax"/>
        </c:scaling>
        <c:delete val="0"/>
        <c:axPos val="b"/>
        <c:numFmt formatCode="General" sourceLinked="1"/>
        <c:majorTickMark val="out"/>
        <c:minorTickMark val="none"/>
        <c:tickLblPos val="nextTo"/>
        <c:txPr>
          <a:bodyPr/>
          <a:lstStyle/>
          <a:p>
            <a:pPr>
              <a:defRPr b="1"/>
            </a:pPr>
            <a:endParaRPr lang="en-US"/>
          </a:p>
        </c:txPr>
        <c:crossAx val="164983936"/>
        <c:crosses val="autoZero"/>
        <c:auto val="1"/>
        <c:lblAlgn val="ctr"/>
        <c:lblOffset val="100"/>
        <c:noMultiLvlLbl val="0"/>
      </c:catAx>
      <c:valAx>
        <c:axId val="164983936"/>
        <c:scaling>
          <c:orientation val="minMax"/>
        </c:scaling>
        <c:delete val="0"/>
        <c:axPos val="l"/>
        <c:majorGridlines/>
        <c:numFmt formatCode="General" sourceLinked="1"/>
        <c:majorTickMark val="out"/>
        <c:minorTickMark val="none"/>
        <c:tickLblPos val="nextTo"/>
        <c:crossAx val="164982144"/>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84.49</c:v>
                </c:pt>
                <c:pt idx="1">
                  <c:v>-14.7</c:v>
                </c:pt>
                <c:pt idx="2">
                  <c:v>-18.309999999999999</c:v>
                </c:pt>
              </c:numCache>
            </c:numRef>
          </c:val>
        </c:ser>
        <c:dLbls>
          <c:showLegendKey val="0"/>
          <c:showVal val="0"/>
          <c:showCatName val="0"/>
          <c:showSerName val="0"/>
          <c:showPercent val="0"/>
          <c:showBubbleSize val="0"/>
        </c:dLbls>
        <c:gapWidth val="150"/>
        <c:axId val="165001088"/>
        <c:axId val="165002624"/>
      </c:barChart>
      <c:catAx>
        <c:axId val="165001088"/>
        <c:scaling>
          <c:orientation val="minMax"/>
        </c:scaling>
        <c:delete val="0"/>
        <c:axPos val="b"/>
        <c:numFmt formatCode="General" sourceLinked="1"/>
        <c:majorTickMark val="out"/>
        <c:minorTickMark val="none"/>
        <c:tickLblPos val="nextTo"/>
        <c:txPr>
          <a:bodyPr/>
          <a:lstStyle/>
          <a:p>
            <a:pPr>
              <a:defRPr b="1"/>
            </a:pPr>
            <a:endParaRPr lang="en-US"/>
          </a:p>
        </c:txPr>
        <c:crossAx val="165002624"/>
        <c:crosses val="autoZero"/>
        <c:auto val="1"/>
        <c:lblAlgn val="ctr"/>
        <c:lblOffset val="100"/>
        <c:noMultiLvlLbl val="0"/>
      </c:catAx>
      <c:valAx>
        <c:axId val="165002624"/>
        <c:scaling>
          <c:orientation val="minMax"/>
        </c:scaling>
        <c:delete val="0"/>
        <c:axPos val="l"/>
        <c:majorGridlines/>
        <c:numFmt formatCode="General" sourceLinked="1"/>
        <c:majorTickMark val="out"/>
        <c:minorTickMark val="none"/>
        <c:tickLblPos val="nextTo"/>
        <c:crossAx val="165001088"/>
        <c:crosses val="autoZero"/>
        <c:crossBetween val="between"/>
      </c:valAx>
    </c:plotArea>
    <c:legend>
      <c:legendPos val="r"/>
      <c:overlay val="0"/>
    </c:legend>
    <c:plotVisOnly val="1"/>
    <c:dispBlanksAs val="gap"/>
    <c:showDLblsOverMax val="0"/>
  </c:chart>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84.49</c:v>
                </c:pt>
                <c:pt idx="1">
                  <c:v>-14.7</c:v>
                </c:pt>
                <c:pt idx="2">
                  <c:v>-18.309999999999999</c:v>
                </c:pt>
              </c:numCache>
            </c:numRef>
          </c:val>
        </c:ser>
        <c:dLbls>
          <c:showLegendKey val="0"/>
          <c:showVal val="0"/>
          <c:showCatName val="0"/>
          <c:showSerName val="0"/>
          <c:showPercent val="0"/>
          <c:showBubbleSize val="0"/>
        </c:dLbls>
        <c:gapWidth val="150"/>
        <c:axId val="164855808"/>
        <c:axId val="164857344"/>
      </c:barChart>
      <c:catAx>
        <c:axId val="164855808"/>
        <c:scaling>
          <c:orientation val="minMax"/>
        </c:scaling>
        <c:delete val="0"/>
        <c:axPos val="b"/>
        <c:numFmt formatCode="General" sourceLinked="1"/>
        <c:majorTickMark val="out"/>
        <c:minorTickMark val="none"/>
        <c:tickLblPos val="nextTo"/>
        <c:txPr>
          <a:bodyPr/>
          <a:lstStyle/>
          <a:p>
            <a:pPr>
              <a:defRPr b="1"/>
            </a:pPr>
            <a:endParaRPr lang="en-US"/>
          </a:p>
        </c:txPr>
        <c:crossAx val="164857344"/>
        <c:crosses val="autoZero"/>
        <c:auto val="1"/>
        <c:lblAlgn val="ctr"/>
        <c:lblOffset val="100"/>
        <c:noMultiLvlLbl val="0"/>
      </c:catAx>
      <c:valAx>
        <c:axId val="164857344"/>
        <c:scaling>
          <c:orientation val="minMax"/>
        </c:scaling>
        <c:delete val="0"/>
        <c:axPos val="l"/>
        <c:majorGridlines/>
        <c:numFmt formatCode="General" sourceLinked="1"/>
        <c:majorTickMark val="out"/>
        <c:minorTickMark val="none"/>
        <c:tickLblPos val="nextTo"/>
        <c:crossAx val="164855808"/>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2"/>
              <c:layout>
                <c:manualLayout>
                  <c:x val="3.4722222222222265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8.6E-3</c:v>
                </c:pt>
                <c:pt idx="1">
                  <c:v>-6.4000000000000003E-3</c:v>
                </c:pt>
                <c:pt idx="2">
                  <c:v>-1.37E-2</c:v>
                </c:pt>
                <c:pt idx="3">
                  <c:v>-2.0999999999999999E-3</c:v>
                </c:pt>
                <c:pt idx="4">
                  <c:v>2.29E-2</c:v>
                </c:pt>
                <c:pt idx="5">
                  <c:v>-3.3E-3</c:v>
                </c:pt>
                <c:pt idx="6">
                  <c:v>-1.8E-3</c:v>
                </c:pt>
                <c:pt idx="7">
                  <c:v>-3.2000000000000002E-3</c:v>
                </c:pt>
                <c:pt idx="8">
                  <c:v>-5.1000000000000004E-3</c:v>
                </c:pt>
                <c:pt idx="9">
                  <c:v>2.3E-3</c:v>
                </c:pt>
                <c:pt idx="10">
                  <c:v>-2.3E-3</c:v>
                </c:pt>
                <c:pt idx="11">
                  <c:v>-7.0000000000000001E-3</c:v>
                </c:pt>
              </c:numCache>
            </c:numRef>
          </c:val>
        </c:ser>
        <c:dLbls>
          <c:showLegendKey val="0"/>
          <c:showVal val="1"/>
          <c:showCatName val="0"/>
          <c:showSerName val="0"/>
          <c:showPercent val="0"/>
          <c:showBubbleSize val="0"/>
        </c:dLbls>
        <c:gapWidth val="75"/>
        <c:axId val="165114624"/>
        <c:axId val="165117312"/>
      </c:barChart>
      <c:catAx>
        <c:axId val="165114624"/>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5117312"/>
        <c:crosses val="autoZero"/>
        <c:auto val="1"/>
        <c:lblAlgn val="ctr"/>
        <c:lblOffset val="100"/>
        <c:noMultiLvlLbl val="0"/>
      </c:catAx>
      <c:valAx>
        <c:axId val="165117312"/>
        <c:scaling>
          <c:orientation val="minMax"/>
        </c:scaling>
        <c:delete val="0"/>
        <c:axPos val="b"/>
        <c:numFmt formatCode="0.00%" sourceLinked="1"/>
        <c:majorTickMark val="none"/>
        <c:minorTickMark val="none"/>
        <c:tickLblPos val="nextTo"/>
        <c:crossAx val="165114624"/>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1.52</c:v>
                </c:pt>
                <c:pt idx="1">
                  <c:v>0.72</c:v>
                </c:pt>
                <c:pt idx="2">
                  <c:v>-0.23</c:v>
                </c:pt>
              </c:numCache>
            </c:numRef>
          </c:val>
        </c:ser>
        <c:dLbls>
          <c:showLegendKey val="0"/>
          <c:showVal val="0"/>
          <c:showCatName val="0"/>
          <c:showSerName val="0"/>
          <c:showPercent val="0"/>
          <c:showBubbleSize val="0"/>
        </c:dLbls>
        <c:gapWidth val="150"/>
        <c:axId val="164842880"/>
        <c:axId val="165151872"/>
      </c:barChart>
      <c:catAx>
        <c:axId val="164842880"/>
        <c:scaling>
          <c:orientation val="minMax"/>
        </c:scaling>
        <c:delete val="0"/>
        <c:axPos val="b"/>
        <c:numFmt formatCode="General" sourceLinked="1"/>
        <c:majorTickMark val="out"/>
        <c:minorTickMark val="none"/>
        <c:tickLblPos val="nextTo"/>
        <c:txPr>
          <a:bodyPr/>
          <a:lstStyle/>
          <a:p>
            <a:pPr>
              <a:defRPr b="1"/>
            </a:pPr>
            <a:endParaRPr lang="en-US"/>
          </a:p>
        </c:txPr>
        <c:crossAx val="165151872"/>
        <c:crosses val="autoZero"/>
        <c:auto val="1"/>
        <c:lblAlgn val="ctr"/>
        <c:lblOffset val="100"/>
        <c:noMultiLvlLbl val="0"/>
      </c:catAx>
      <c:valAx>
        <c:axId val="165151872"/>
        <c:scaling>
          <c:orientation val="minMax"/>
        </c:scaling>
        <c:delete val="0"/>
        <c:axPos val="l"/>
        <c:majorGridlines/>
        <c:numFmt formatCode="General" sourceLinked="1"/>
        <c:majorTickMark val="out"/>
        <c:minorTickMark val="none"/>
        <c:tickLblPos val="nextTo"/>
        <c:crossAx val="164842880"/>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1.69</c:v>
                </c:pt>
                <c:pt idx="1">
                  <c:v>-19.239999999999998</c:v>
                </c:pt>
                <c:pt idx="2">
                  <c:v>-23.4</c:v>
                </c:pt>
              </c:numCache>
            </c:numRef>
          </c:val>
        </c:ser>
        <c:dLbls>
          <c:showLegendKey val="0"/>
          <c:showVal val="0"/>
          <c:showCatName val="0"/>
          <c:showSerName val="0"/>
          <c:showPercent val="0"/>
          <c:showBubbleSize val="0"/>
        </c:dLbls>
        <c:gapWidth val="150"/>
        <c:axId val="165296000"/>
        <c:axId val="165297536"/>
      </c:barChart>
      <c:catAx>
        <c:axId val="165296000"/>
        <c:scaling>
          <c:orientation val="minMax"/>
        </c:scaling>
        <c:delete val="0"/>
        <c:axPos val="b"/>
        <c:numFmt formatCode="General" sourceLinked="1"/>
        <c:majorTickMark val="out"/>
        <c:minorTickMark val="none"/>
        <c:tickLblPos val="nextTo"/>
        <c:txPr>
          <a:bodyPr/>
          <a:lstStyle/>
          <a:p>
            <a:pPr>
              <a:defRPr b="1"/>
            </a:pPr>
            <a:endParaRPr lang="en-US"/>
          </a:p>
        </c:txPr>
        <c:crossAx val="165297536"/>
        <c:crosses val="autoZero"/>
        <c:auto val="1"/>
        <c:lblAlgn val="ctr"/>
        <c:lblOffset val="100"/>
        <c:noMultiLvlLbl val="0"/>
      </c:catAx>
      <c:valAx>
        <c:axId val="165297536"/>
        <c:scaling>
          <c:orientation val="minMax"/>
        </c:scaling>
        <c:delete val="0"/>
        <c:axPos val="l"/>
        <c:majorGridlines/>
        <c:numFmt formatCode="General" sourceLinked="1"/>
        <c:majorTickMark val="out"/>
        <c:minorTickMark val="none"/>
        <c:tickLblPos val="nextTo"/>
        <c:crossAx val="165296000"/>
        <c:crosses val="autoZero"/>
        <c:crossBetween val="between"/>
      </c:valAx>
    </c:plotArea>
    <c:legend>
      <c:legendPos val="r"/>
      <c:overlay val="0"/>
    </c:legend>
    <c:plotVisOnly val="1"/>
    <c:dispBlanksAs val="gap"/>
    <c:showDLblsOverMax val="0"/>
  </c:chart>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1.69</c:v>
                </c:pt>
                <c:pt idx="1">
                  <c:v>-19.239999999999998</c:v>
                </c:pt>
                <c:pt idx="2">
                  <c:v>-23.4</c:v>
                </c:pt>
              </c:numCache>
            </c:numRef>
          </c:val>
        </c:ser>
        <c:dLbls>
          <c:showLegendKey val="0"/>
          <c:showVal val="0"/>
          <c:showCatName val="0"/>
          <c:showSerName val="0"/>
          <c:showPercent val="0"/>
          <c:showBubbleSize val="0"/>
        </c:dLbls>
        <c:gapWidth val="150"/>
        <c:axId val="165343232"/>
        <c:axId val="165344768"/>
      </c:barChart>
      <c:catAx>
        <c:axId val="165343232"/>
        <c:scaling>
          <c:orientation val="minMax"/>
        </c:scaling>
        <c:delete val="0"/>
        <c:axPos val="b"/>
        <c:numFmt formatCode="General" sourceLinked="1"/>
        <c:majorTickMark val="out"/>
        <c:minorTickMark val="none"/>
        <c:tickLblPos val="nextTo"/>
        <c:txPr>
          <a:bodyPr/>
          <a:lstStyle/>
          <a:p>
            <a:pPr>
              <a:defRPr b="1"/>
            </a:pPr>
            <a:endParaRPr lang="en-US"/>
          </a:p>
        </c:txPr>
        <c:crossAx val="165344768"/>
        <c:crosses val="autoZero"/>
        <c:auto val="1"/>
        <c:lblAlgn val="ctr"/>
        <c:lblOffset val="100"/>
        <c:noMultiLvlLbl val="0"/>
      </c:catAx>
      <c:valAx>
        <c:axId val="165344768"/>
        <c:scaling>
          <c:orientation val="minMax"/>
        </c:scaling>
        <c:delete val="0"/>
        <c:axPos val="l"/>
        <c:majorGridlines/>
        <c:numFmt formatCode="General" sourceLinked="1"/>
        <c:majorTickMark val="out"/>
        <c:minorTickMark val="none"/>
        <c:tickLblPos val="nextTo"/>
        <c:crossAx val="165343232"/>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2"/>
              <c:layout>
                <c:manualLayout>
                  <c:x val="3.4722222222222265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5.0000000000000001E-3</c:v>
                </c:pt>
                <c:pt idx="1">
                  <c:v>0</c:v>
                </c:pt>
                <c:pt idx="2">
                  <c:v>-3.2000000000000002E-3</c:v>
                </c:pt>
                <c:pt idx="3">
                  <c:v>0</c:v>
                </c:pt>
                <c:pt idx="4">
                  <c:v>3.7000000000000002E-3</c:v>
                </c:pt>
                <c:pt idx="5">
                  <c:v>-1.4E-3</c:v>
                </c:pt>
                <c:pt idx="6">
                  <c:v>-4.5999999999999999E-3</c:v>
                </c:pt>
                <c:pt idx="7">
                  <c:v>-3.8E-3</c:v>
                </c:pt>
                <c:pt idx="8">
                  <c:v>-3.3999999999999998E-3</c:v>
                </c:pt>
                <c:pt idx="9">
                  <c:v>1.6999999999999999E-3</c:v>
                </c:pt>
                <c:pt idx="10">
                  <c:v>-2.3E-3</c:v>
                </c:pt>
                <c:pt idx="11">
                  <c:v>-6.6E-3</c:v>
                </c:pt>
              </c:numCache>
            </c:numRef>
          </c:val>
        </c:ser>
        <c:dLbls>
          <c:showLegendKey val="0"/>
          <c:showVal val="1"/>
          <c:showCatName val="0"/>
          <c:showSerName val="0"/>
          <c:showPercent val="0"/>
          <c:showBubbleSize val="0"/>
        </c:dLbls>
        <c:gapWidth val="75"/>
        <c:axId val="165069568"/>
        <c:axId val="165072256"/>
      </c:barChart>
      <c:catAx>
        <c:axId val="165069568"/>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5072256"/>
        <c:crosses val="autoZero"/>
        <c:auto val="1"/>
        <c:lblAlgn val="ctr"/>
        <c:lblOffset val="100"/>
        <c:noMultiLvlLbl val="0"/>
      </c:catAx>
      <c:valAx>
        <c:axId val="165072256"/>
        <c:scaling>
          <c:orientation val="minMax"/>
        </c:scaling>
        <c:delete val="0"/>
        <c:axPos val="b"/>
        <c:numFmt formatCode="0.00%" sourceLinked="1"/>
        <c:majorTickMark val="none"/>
        <c:minorTickMark val="none"/>
        <c:tickLblPos val="nextTo"/>
        <c:crossAx val="16506956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plotArea>
      <c:layout/>
      <c:barChart>
        <c:barDir val="col"/>
        <c:grouping val="clustered"/>
        <c:varyColors val="0"/>
        <c:ser>
          <c:idx val="0"/>
          <c:order val="0"/>
          <c:tx>
            <c:strRef>
              <c:f>Sheet1!$B$1</c:f>
              <c:strCache>
                <c:ptCount val="1"/>
                <c:pt idx="0">
                  <c:v>Holding Period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2.3199999999999998</c:v>
                </c:pt>
                <c:pt idx="1">
                  <c:v>1.93</c:v>
                </c:pt>
                <c:pt idx="2">
                  <c:v>1.87</c:v>
                </c:pt>
              </c:numCache>
            </c:numRef>
          </c:val>
        </c:ser>
        <c:dLbls>
          <c:showLegendKey val="0"/>
          <c:showVal val="0"/>
          <c:showCatName val="0"/>
          <c:showSerName val="0"/>
          <c:showPercent val="0"/>
          <c:showBubbleSize val="0"/>
        </c:dLbls>
        <c:gapWidth val="150"/>
        <c:axId val="165571968"/>
        <c:axId val="165573760"/>
      </c:barChart>
      <c:catAx>
        <c:axId val="165571968"/>
        <c:scaling>
          <c:orientation val="minMax"/>
        </c:scaling>
        <c:delete val="0"/>
        <c:axPos val="b"/>
        <c:numFmt formatCode="General" sourceLinked="1"/>
        <c:majorTickMark val="out"/>
        <c:minorTickMark val="none"/>
        <c:tickLblPos val="nextTo"/>
        <c:txPr>
          <a:bodyPr/>
          <a:lstStyle/>
          <a:p>
            <a:pPr>
              <a:defRPr b="1"/>
            </a:pPr>
            <a:endParaRPr lang="en-US"/>
          </a:p>
        </c:txPr>
        <c:crossAx val="165573760"/>
        <c:crosses val="autoZero"/>
        <c:auto val="1"/>
        <c:lblAlgn val="ctr"/>
        <c:lblOffset val="100"/>
        <c:noMultiLvlLbl val="0"/>
      </c:catAx>
      <c:valAx>
        <c:axId val="165573760"/>
        <c:scaling>
          <c:orientation val="minMax"/>
        </c:scaling>
        <c:delete val="0"/>
        <c:axPos val="l"/>
        <c:majorGridlines/>
        <c:numFmt formatCode="General" sourceLinked="1"/>
        <c:majorTickMark val="out"/>
        <c:minorTickMark val="none"/>
        <c:tickLblPos val="nextTo"/>
        <c:crossAx val="165571968"/>
        <c:crosses val="autoZero"/>
        <c:crossBetween val="between"/>
      </c:valAx>
    </c:plotArea>
    <c:legend>
      <c:legendPos val="r"/>
      <c:legendEntry>
        <c:idx val="0"/>
        <c:txPr>
          <a:bodyPr/>
          <a:lstStyle/>
          <a:p>
            <a:pPr>
              <a:defRPr b="1"/>
            </a:pPr>
            <a:endParaRPr lang="en-US"/>
          </a:p>
        </c:txPr>
      </c:legendEntry>
      <c:overlay val="0"/>
    </c:legend>
    <c:plotVisOnly val="1"/>
    <c:dispBlanksAs val="gap"/>
    <c:showDLblsOverMax val="0"/>
  </c:chart>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plotArea>
      <c:layout/>
      <c:barChart>
        <c:barDir val="col"/>
        <c:grouping val="clustered"/>
        <c:varyColors val="0"/>
        <c:ser>
          <c:idx val="0"/>
          <c:order val="0"/>
          <c:tx>
            <c:strRef>
              <c:f>Sheet1!$B$1</c:f>
              <c:strCache>
                <c:ptCount val="1"/>
                <c:pt idx="0">
                  <c:v>Rate of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31.74</c:v>
                </c:pt>
                <c:pt idx="1">
                  <c:v>-6.54</c:v>
                </c:pt>
                <c:pt idx="2">
                  <c:v>-9.0500000000000007</c:v>
                </c:pt>
              </c:numCache>
            </c:numRef>
          </c:val>
        </c:ser>
        <c:dLbls>
          <c:showLegendKey val="0"/>
          <c:showVal val="0"/>
          <c:showCatName val="0"/>
          <c:showSerName val="0"/>
          <c:showPercent val="0"/>
          <c:showBubbleSize val="0"/>
        </c:dLbls>
        <c:gapWidth val="150"/>
        <c:axId val="165599104"/>
        <c:axId val="165600640"/>
      </c:barChart>
      <c:catAx>
        <c:axId val="165599104"/>
        <c:scaling>
          <c:orientation val="minMax"/>
        </c:scaling>
        <c:delete val="0"/>
        <c:axPos val="b"/>
        <c:numFmt formatCode="General" sourceLinked="1"/>
        <c:majorTickMark val="out"/>
        <c:minorTickMark val="none"/>
        <c:tickLblPos val="nextTo"/>
        <c:txPr>
          <a:bodyPr/>
          <a:lstStyle/>
          <a:p>
            <a:pPr>
              <a:defRPr b="1"/>
            </a:pPr>
            <a:endParaRPr lang="en-US"/>
          </a:p>
        </c:txPr>
        <c:crossAx val="165600640"/>
        <c:crosses val="autoZero"/>
        <c:auto val="1"/>
        <c:lblAlgn val="ctr"/>
        <c:lblOffset val="100"/>
        <c:noMultiLvlLbl val="0"/>
      </c:catAx>
      <c:valAx>
        <c:axId val="165600640"/>
        <c:scaling>
          <c:orientation val="minMax"/>
        </c:scaling>
        <c:delete val="0"/>
        <c:axPos val="l"/>
        <c:majorGridlines/>
        <c:numFmt formatCode="General" sourceLinked="1"/>
        <c:majorTickMark val="out"/>
        <c:minorTickMark val="none"/>
        <c:tickLblPos val="nextTo"/>
        <c:crossAx val="165599104"/>
        <c:crosses val="autoZero"/>
        <c:crossBetween val="between"/>
      </c:valAx>
    </c:plotArea>
    <c:legend>
      <c:legendPos val="r"/>
      <c:overlay val="0"/>
    </c:legend>
    <c:plotVisOnly val="1"/>
    <c:dispBlanksAs val="gap"/>
    <c:showDLblsOverMax val="0"/>
  </c:chart>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title>
      <c:overlay val="0"/>
    </c:title>
    <c:autoTitleDeleted val="0"/>
    <c:plotArea>
      <c:layout/>
      <c:barChart>
        <c:barDir val="col"/>
        <c:grouping val="clustered"/>
        <c:varyColors val="0"/>
        <c:ser>
          <c:idx val="0"/>
          <c:order val="0"/>
          <c:tx>
            <c:strRef>
              <c:f>Sheet1!$B$1</c:f>
              <c:strCache>
                <c:ptCount val="1"/>
                <c:pt idx="0">
                  <c:v>Absolute Return</c:v>
                </c:pt>
              </c:strCache>
            </c:strRef>
          </c:tx>
          <c:invertIfNegative val="0"/>
          <c:dLbls>
            <c:txPr>
              <a:bodyPr/>
              <a:lstStyle/>
              <a:p>
                <a:pPr>
                  <a:defRPr b="1"/>
                </a:pPr>
                <a:endParaRPr lang="en-US"/>
              </a:p>
            </c:txPr>
            <c:showLegendKey val="0"/>
            <c:showVal val="1"/>
            <c:showCatName val="0"/>
            <c:showSerName val="0"/>
            <c:showPercent val="0"/>
            <c:showBubbleSize val="0"/>
            <c:showLeaderLines val="0"/>
          </c:dLbls>
          <c:cat>
            <c:numRef>
              <c:f>Sheet1!$A$2:$A$4</c:f>
              <c:numCache>
                <c:formatCode>General</c:formatCode>
                <c:ptCount val="3"/>
                <c:pt idx="0">
                  <c:v>2017</c:v>
                </c:pt>
                <c:pt idx="1">
                  <c:v>2018</c:v>
                </c:pt>
                <c:pt idx="2">
                  <c:v>2019</c:v>
                </c:pt>
              </c:numCache>
            </c:numRef>
          </c:cat>
          <c:val>
            <c:numRef>
              <c:f>Sheet1!$B$2:$B$4</c:f>
              <c:numCache>
                <c:formatCode>General</c:formatCode>
                <c:ptCount val="3"/>
                <c:pt idx="0">
                  <c:v>31.74</c:v>
                </c:pt>
                <c:pt idx="1">
                  <c:v>-6.54</c:v>
                </c:pt>
                <c:pt idx="2">
                  <c:v>-9.0500000000000007</c:v>
                </c:pt>
              </c:numCache>
            </c:numRef>
          </c:val>
        </c:ser>
        <c:dLbls>
          <c:showLegendKey val="0"/>
          <c:showVal val="0"/>
          <c:showCatName val="0"/>
          <c:showSerName val="0"/>
          <c:showPercent val="0"/>
          <c:showBubbleSize val="0"/>
        </c:dLbls>
        <c:gapWidth val="150"/>
        <c:axId val="165687296"/>
        <c:axId val="165688832"/>
      </c:barChart>
      <c:catAx>
        <c:axId val="165687296"/>
        <c:scaling>
          <c:orientation val="minMax"/>
        </c:scaling>
        <c:delete val="0"/>
        <c:axPos val="b"/>
        <c:numFmt formatCode="General" sourceLinked="1"/>
        <c:majorTickMark val="out"/>
        <c:minorTickMark val="none"/>
        <c:tickLblPos val="nextTo"/>
        <c:txPr>
          <a:bodyPr/>
          <a:lstStyle/>
          <a:p>
            <a:pPr>
              <a:defRPr b="1"/>
            </a:pPr>
            <a:endParaRPr lang="en-US"/>
          </a:p>
        </c:txPr>
        <c:crossAx val="165688832"/>
        <c:crosses val="autoZero"/>
        <c:auto val="1"/>
        <c:lblAlgn val="ctr"/>
        <c:lblOffset val="100"/>
        <c:noMultiLvlLbl val="0"/>
      </c:catAx>
      <c:valAx>
        <c:axId val="165688832"/>
        <c:scaling>
          <c:orientation val="minMax"/>
        </c:scaling>
        <c:delete val="0"/>
        <c:axPos val="l"/>
        <c:majorGridlines/>
        <c:numFmt formatCode="General" sourceLinked="1"/>
        <c:majorTickMark val="out"/>
        <c:minorTickMark val="none"/>
        <c:tickLblPos val="nextTo"/>
        <c:crossAx val="165687296"/>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bar"/>
        <c:grouping val="clustered"/>
        <c:varyColors val="0"/>
        <c:ser>
          <c:idx val="0"/>
          <c:order val="0"/>
          <c:tx>
            <c:strRef>
              <c:f>Sheet1!$B$1</c:f>
              <c:strCache>
                <c:ptCount val="1"/>
                <c:pt idx="0">
                  <c:v>Compound Monthly Growth Rate (CMGR)</c:v>
                </c:pt>
              </c:strCache>
            </c:strRef>
          </c:tx>
          <c:invertIfNegative val="0"/>
          <c:dLbls>
            <c:dLbl>
              <c:idx val="1"/>
              <c:layout>
                <c:manualLayout>
                  <c:x val="4.166684893554972E-2"/>
                  <c:y val="0"/>
                </c:manualLayout>
              </c:layout>
              <c:showLegendKey val="0"/>
              <c:showVal val="1"/>
              <c:showCatName val="0"/>
              <c:showSerName val="0"/>
              <c:showPercent val="0"/>
              <c:showBubbleSize val="0"/>
            </c:dLbl>
            <c:dLbl>
              <c:idx val="2"/>
              <c:layout>
                <c:manualLayout>
                  <c:x val="3.4722222222222265E-2"/>
                  <c:y val="0"/>
                </c:manualLayout>
              </c:layout>
              <c:showLegendKey val="0"/>
              <c:showVal val="1"/>
              <c:showCatName val="0"/>
              <c:showSerName val="0"/>
              <c:showPercent val="0"/>
              <c:showBubbleSize val="0"/>
            </c:dLbl>
            <c:dLbl>
              <c:idx val="3"/>
              <c:layout>
                <c:manualLayout>
                  <c:x val="3.4722404491105238E-2"/>
                  <c:y val="0"/>
                </c:manualLayout>
              </c:layout>
              <c:showLegendKey val="0"/>
              <c:showVal val="1"/>
              <c:showCatName val="0"/>
              <c:showSerName val="0"/>
              <c:showPercent val="0"/>
              <c:showBubbleSize val="0"/>
            </c:dLbl>
            <c:dLbl>
              <c:idx val="5"/>
              <c:layout>
                <c:manualLayout>
                  <c:x val="6.018518518518514E-2"/>
                  <c:y val="0"/>
                </c:manualLayout>
              </c:layout>
              <c:showLegendKey val="0"/>
              <c:showVal val="1"/>
              <c:showCatName val="0"/>
              <c:showSerName val="0"/>
              <c:showPercent val="0"/>
              <c:showBubbleSize val="0"/>
            </c:dLbl>
            <c:dLbl>
              <c:idx val="6"/>
              <c:layout>
                <c:manualLayout>
                  <c:x val="6.2500182268883014E-2"/>
                  <c:y val="0"/>
                </c:manualLayout>
              </c:layout>
              <c:showLegendKey val="0"/>
              <c:showVal val="1"/>
              <c:showCatName val="0"/>
              <c:showSerName val="0"/>
              <c:showPercent val="0"/>
              <c:showBubbleSize val="0"/>
            </c:dLbl>
            <c:dLbl>
              <c:idx val="7"/>
              <c:layout>
                <c:manualLayout>
                  <c:x val="6.4814997083697867E-2"/>
                  <c:y val="0"/>
                </c:manualLayout>
              </c:layout>
              <c:showLegendKey val="0"/>
              <c:showVal val="1"/>
              <c:showCatName val="0"/>
              <c:showSerName val="0"/>
              <c:showPercent val="0"/>
              <c:showBubbleSize val="0"/>
            </c:dLbl>
            <c:dLbl>
              <c:idx val="8"/>
              <c:layout>
                <c:manualLayout>
                  <c:x val="8.1019065325167686E-2"/>
                  <c:y val="0"/>
                </c:manualLayout>
              </c:layout>
              <c:showLegendKey val="0"/>
              <c:showVal val="1"/>
              <c:showCatName val="0"/>
              <c:showSerName val="0"/>
              <c:showPercent val="0"/>
              <c:showBubbleSize val="0"/>
            </c:dLbl>
            <c:dLbl>
              <c:idx val="9"/>
              <c:layout>
                <c:manualLayout>
                  <c:x val="6.7129629629629636E-2"/>
                  <c:y val="0"/>
                </c:manualLayout>
              </c:layout>
              <c:showLegendKey val="0"/>
              <c:showVal val="1"/>
              <c:showCatName val="0"/>
              <c:showSerName val="0"/>
              <c:showPercent val="0"/>
              <c:showBubbleSize val="0"/>
            </c:dLbl>
            <c:dLbl>
              <c:idx val="10"/>
              <c:layout>
                <c:manualLayout>
                  <c:x val="0.11111147564887722"/>
                  <c:y val="0"/>
                </c:manualLayout>
              </c:layout>
              <c:showLegendKey val="0"/>
              <c:showVal val="1"/>
              <c:showCatName val="0"/>
              <c:showSerName val="0"/>
              <c:showPercent val="0"/>
              <c:showBubbleSize val="0"/>
            </c:dLbl>
            <c:dLbl>
              <c:idx val="11"/>
              <c:layout>
                <c:manualLayout>
                  <c:x val="7.6389071157771951E-2"/>
                  <c:y val="0"/>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0.00%</c:formatCode>
                <c:ptCount val="12"/>
                <c:pt idx="0">
                  <c:v>4.4999999999999997E-3</c:v>
                </c:pt>
                <c:pt idx="1">
                  <c:v>-5.1999999999999998E-3</c:v>
                </c:pt>
                <c:pt idx="2">
                  <c:v>1.6999999999999999E-3</c:v>
                </c:pt>
                <c:pt idx="3">
                  <c:v>-4.4999999999999997E-3</c:v>
                </c:pt>
                <c:pt idx="4">
                  <c:v>4.3E-3</c:v>
                </c:pt>
                <c:pt idx="5">
                  <c:v>-2.9999999999999997E-4</c:v>
                </c:pt>
                <c:pt idx="6">
                  <c:v>5.9999999999999995E-4</c:v>
                </c:pt>
                <c:pt idx="7">
                  <c:v>-1.8E-3</c:v>
                </c:pt>
                <c:pt idx="8">
                  <c:v>2.0999999999999999E-3</c:v>
                </c:pt>
                <c:pt idx="9">
                  <c:v>8.9999999999999998E-4</c:v>
                </c:pt>
                <c:pt idx="10">
                  <c:v>-2.3999999999999998E-3</c:v>
                </c:pt>
                <c:pt idx="11">
                  <c:v>-2.7000000000000001E-3</c:v>
                </c:pt>
              </c:numCache>
            </c:numRef>
          </c:val>
        </c:ser>
        <c:dLbls>
          <c:showLegendKey val="0"/>
          <c:showVal val="1"/>
          <c:showCatName val="0"/>
          <c:showSerName val="0"/>
          <c:showPercent val="0"/>
          <c:showBubbleSize val="0"/>
        </c:dLbls>
        <c:gapWidth val="75"/>
        <c:axId val="165729024"/>
        <c:axId val="165731712"/>
      </c:barChart>
      <c:catAx>
        <c:axId val="165729024"/>
        <c:scaling>
          <c:orientation val="minMax"/>
        </c:scaling>
        <c:delete val="0"/>
        <c:axPos val="l"/>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65731712"/>
        <c:crosses val="autoZero"/>
        <c:auto val="1"/>
        <c:lblAlgn val="ctr"/>
        <c:lblOffset val="100"/>
        <c:noMultiLvlLbl val="0"/>
      </c:catAx>
      <c:valAx>
        <c:axId val="165731712"/>
        <c:scaling>
          <c:orientation val="minMax"/>
        </c:scaling>
        <c:delete val="0"/>
        <c:axPos val="b"/>
        <c:numFmt formatCode="0.00%" sourceLinked="1"/>
        <c:majorTickMark val="none"/>
        <c:minorTickMark val="none"/>
        <c:tickLblPos val="nextTo"/>
        <c:crossAx val="165729024"/>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Bod19</b:Tag>
    <b:SourceType>Book</b:SourceType>
    <b:Guid>{377B66B1-BEAE-4AF0-952E-565C16225F10}</b:Guid>
    <b:Author>
      <b:Author>
        <b:NameList>
          <b:Person>
            <b:Last>Marcus</b:Last>
            <b:First>Bodie|</b:First>
            <b:Middle>Kane|</b:Middle>
          </b:Person>
        </b:NameList>
      </b:Author>
    </b:Author>
    <b:Title>Investments</b:Title>
    <b:Year>2018-2019</b:Year>
    <b:Publisher>McGraw Hill</b:Publisher>
    <b:RefOrder>2</b:RefOrder>
  </b:Source>
  <b:Source>
    <b:Tag>Bri18</b:Tag>
    <b:SourceType>Book</b:SourceType>
    <b:Guid>{A1B23E79-399F-4281-ADB1-A625E5BA4BF2}</b:Guid>
    <b:Author>
      <b:Author>
        <b:NameList>
          <b:Person>
            <b:Last>Houston</b:Last>
            <b:First>Brigham|</b:First>
          </b:Person>
        </b:NameList>
      </b:Author>
    </b:Author>
    <b:Title>fundamental of Financial Management</b:Title>
    <b:Year>2017-2018</b:Year>
    <b:Publisher>Cengage Learning</b:Publisher>
    <b:RefOrder>3</b:RefOrder>
  </b:Source>
  <b:Source>
    <b:Tag>Ste18</b:Tag>
    <b:SourceType>Book</b:SourceType>
    <b:Guid>{2FBF8753-0D74-4407-AAB7-38EA97643C8E}</b:Guid>
    <b:Author>
      <b:Author>
        <b:NameList>
          <b:Person>
            <b:Last>Penman</b:Last>
            <b:First>Stephen</b:First>
            <b:Middle>H.</b:Middle>
          </b:Person>
        </b:NameList>
      </b:Author>
    </b:Author>
    <b:Title>Financial Statement Analysis</b:Title>
    <b:Year>2017-2018</b:Year>
    <b:Publisher>McGraw Hill</b:Publisher>
    <b:RefOrder>4</b:RefOrder>
  </b:Source>
  <b:Source>
    <b:Tag>Dha20</b:Tag>
    <b:SourceType>InternetSite</b:SourceType>
    <b:Guid>{2C6FC75A-8CF6-4046-9581-C60EBC6C60FB}</b:Guid>
    <b:Title>Dhaka Stock Exchange</b:Title>
    <b:InternetSiteTitle>Dhaka Stock Exchange</b:InternetSiteTitle>
    <b:YearAccessed>2020</b:YearAccessed>
    <b:MonthAccessed>November</b:MonthAccessed>
    <b:URL>https://www.dsebd.org/</b:URL>
    <b:RefOrder>5</b:RefOrder>
  </b:Source>
  <b:Source>
    <b:Tag>Inv07</b:Tag>
    <b:SourceType>InternetSite</b:SourceType>
    <b:Guid>{7ACD3BA8-282A-4B9C-A572-772C69F18E80}</b:Guid>
    <b:Title>Investing.com Stock Market Quotes &amp; Financial News</b:Title>
    <b:InternetSiteTitle>Investing.com</b:InternetSiteTitle>
    <b:Year>2007</b:Year>
    <b:Month>August</b:Month>
    <b:YearAccessed>2020</b:YearAccessed>
    <b:MonthAccessed>November</b:MonthAccessed>
    <b:URL>https://www.investing.com/</b:URL>
    <b:RefOrder>6</b:RefOrder>
  </b:Source>
  <b:Source>
    <b:Tag>Res08</b:Tag>
    <b:SourceType>InternetSite</b:SourceType>
    <b:Guid>{C256EFB3-7696-4406-AAC5-471160E31EC4}</b:Guid>
    <b:Title>ResearchGate Find and share research</b:Title>
    <b:InternetSiteTitle>ResearchGate</b:InternetSiteTitle>
    <b:Year>2008</b:Year>
    <b:YearAccessed>2020</b:YearAccessed>
    <b:MonthAccessed>November</b:MonthAccessed>
    <b:URL>https://www.researchgate.net/</b:URL>
    <b:RefOrder>7</b:RefOrder>
  </b:Source>
  <b:Source>
    <b:Tag>Inv99</b:Tag>
    <b:SourceType>InternetSite</b:SourceType>
    <b:Guid>{65D381F2-512E-4E3D-AB59-FE9ABBFBBC36}</b:Guid>
    <b:Title>Investopedia</b:Title>
    <b:InternetSiteTitle>investopedia</b:InternetSiteTitle>
    <b:Year>1999</b:Year>
    <b:YearAccessed>2020</b:YearAccessed>
    <b:MonthAccessed>December</b:MonthAccessed>
    <b:DayAccessed>2</b:DayAccessed>
    <b:URL>https://www.investopedia.com/</b:URL>
    <b:RefOrder>1</b:RefOrder>
  </b:Source>
</b:Sources>
</file>

<file path=customXml/itemProps1.xml><?xml version="1.0" encoding="utf-8"?>
<ds:datastoreItem xmlns:ds="http://schemas.openxmlformats.org/officeDocument/2006/customXml" ds:itemID="{7BC60C7B-90D4-462C-A56E-EE991999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1</Pages>
  <Words>16374</Words>
  <Characters>93338</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Monti</cp:lastModifiedBy>
  <cp:revision>195</cp:revision>
  <dcterms:created xsi:type="dcterms:W3CDTF">2020-11-13T13:26:00Z</dcterms:created>
  <dcterms:modified xsi:type="dcterms:W3CDTF">2021-01-26T07:39:00Z</dcterms:modified>
</cp:coreProperties>
</file>