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cs="Times New Roman"/>
          <w:noProof/>
          <w:sz w:val="24"/>
          <w:szCs w:val="24"/>
        </w:rPr>
        <w:id w:val="310145183"/>
        <w:docPartObj>
          <w:docPartGallery w:val="Cover Pages"/>
          <w:docPartUnique/>
        </w:docPartObj>
      </w:sdtPr>
      <w:sdtEndPr/>
      <w:sdtContent>
        <w:p w14:paraId="3FD6130E" w14:textId="7BB1464E" w:rsidR="002C178D" w:rsidRDefault="00FE48B8">
          <w:pPr>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AE31B17" wp14:editId="0FD1BE41">
                    <wp:simplePos x="0" y="0"/>
                    <wp:positionH relativeFrom="column">
                      <wp:posOffset>-844453</wp:posOffset>
                    </wp:positionH>
                    <wp:positionV relativeFrom="paragraph">
                      <wp:posOffset>5555237</wp:posOffset>
                    </wp:positionV>
                    <wp:extent cx="3749610" cy="347240"/>
                    <wp:effectExtent l="0" t="0" r="22860" b="15240"/>
                    <wp:wrapNone/>
                    <wp:docPr id="8" name="Rectangle 8"/>
                    <wp:cNvGraphicFramePr/>
                    <a:graphic xmlns:a="http://schemas.openxmlformats.org/drawingml/2006/main">
                      <a:graphicData uri="http://schemas.microsoft.com/office/word/2010/wordprocessingShape">
                        <wps:wsp>
                          <wps:cNvSpPr/>
                          <wps:spPr>
                            <a:xfrm>
                              <a:off x="0" y="0"/>
                              <a:ext cx="3749610" cy="34724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C05A36" id="Rectangle 8" o:spid="_x0000_s1026" style="position:absolute;margin-left:-66.5pt;margin-top:437.4pt;width:295.25pt;height:2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" filled="f" strokecolor="#1f4d78 [1604]" strokeweight="1pt"/>
                </w:pict>
              </mc:Fallback>
            </mc:AlternateContent>
          </w:r>
          <w:r w:rsidR="002C178D" w:rsidRPr="00937CA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D0349F6" wp14:editId="72391EE8">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09"/>
                                  <w:gridCol w:w="5597"/>
                                </w:tblGrid>
                                <w:tr w:rsidR="002C178D" w14:paraId="546EA521" w14:textId="77777777">
                                  <w:trPr>
                                    <w:jc w:val="center"/>
                                  </w:trPr>
                                  <w:tc>
                                    <w:tcPr>
                                      <w:tcW w:w="2568" w:type="pct"/>
                                      <w:vAlign w:val="center"/>
                                    </w:tcPr>
                                    <w:p w14:paraId="4B812A94" w14:textId="77777777" w:rsidR="002C178D" w:rsidRPr="009B78DA" w:rsidRDefault="002C178D">
                                      <w:pPr>
                                        <w:jc w:val="right"/>
                                        <w:rPr>
                                          <w:rFonts w:ascii="Times New Roman" w:hAnsi="Times New Roman" w:cs="Times New Roman"/>
                                          <w:b/>
                                          <w:noProof/>
                                          <w:sz w:val="28"/>
                                          <w:szCs w:val="28"/>
                                        </w:rPr>
                                      </w:pPr>
                                      <w:r w:rsidRPr="009B78DA">
                                        <w:rPr>
                                          <w:rFonts w:ascii="Times New Roman" w:hAnsi="Times New Roman" w:cs="Times New Roman"/>
                                          <w:b/>
                                          <w:noProof/>
                                          <w:sz w:val="28"/>
                                          <w:szCs w:val="28"/>
                                        </w:rPr>
                                        <w:drawing>
                                          <wp:inline distT="0" distB="0" distL="0" distR="0" wp14:anchorId="0D4CEF5C" wp14:editId="5B8760D4">
                                            <wp:extent cx="3168650" cy="3184165"/>
                                            <wp:effectExtent l="0" t="0" r="0" b="0"/>
                                            <wp:docPr id="9" name="Picture 9" descr="C:\Users\User\Desktop\292e9592d54888be38faa61499e55a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92e9592d54888be38faa61499e55a5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2941" cy="3228673"/>
                                                    </a:xfrm>
                                                    <a:prstGeom prst="rect">
                                                      <a:avLst/>
                                                    </a:prstGeom>
                                                    <a:noFill/>
                                                    <a:ln>
                                                      <a:noFill/>
                                                    </a:ln>
                                                  </pic:spPr>
                                                </pic:pic>
                                              </a:graphicData>
                                            </a:graphic>
                                          </wp:inline>
                                        </w:drawing>
                                      </w:r>
                                    </w:p>
                                    <w:p w14:paraId="354B59A4" w14:textId="77777777" w:rsidR="002C178D" w:rsidRPr="009B78DA" w:rsidRDefault="002C178D">
                                      <w:pPr>
                                        <w:jc w:val="right"/>
                                        <w:rPr>
                                          <w:b/>
                                          <w:noProof/>
                                          <w:sz w:val="28"/>
                                          <w:szCs w:val="28"/>
                                        </w:rPr>
                                      </w:pPr>
                                    </w:p>
                                    <w:sdt>
                                      <w:sdtPr>
                                        <w:rPr>
                                          <w:b/>
                                          <w:i/>
                                          <w:color w:val="191919" w:themeColor="text1" w:themeTint="E6"/>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Title"/>
                                        <w:tag w:val=""/>
                                        <w:id w:val="-438379639"/>
                                        <w:showingPlcHdr/>
                                        <w:dataBinding w:prefixMappings="xmlns:ns0='http://purl.org/dc/elements/1.1/' xmlns:ns1='http://schemas.openxmlformats.org/package/2006/metadata/core-properties' " w:xpath="/ns1:coreProperties[1]/ns0:title[1]" w:storeItemID="{6C3C8BC8-F283-45AE-878A-BAB7291924A1}"/>
                                        <w:text/>
                                      </w:sdtPr>
                                      <w:sdtContent>
                                        <w:p w14:paraId="5906AD42" w14:textId="77777777" w:rsidR="00FE48B8" w:rsidRPr="009B78DA" w:rsidRDefault="00FE48B8" w:rsidP="00FE48B8">
                                          <w:pPr>
                                            <w:pStyle w:val="NoSpacing"/>
                                            <w:spacing w:line="312" w:lineRule="auto"/>
                                            <w:jc w:val="right"/>
                                            <w:rPr>
                                              <w:b/>
                                              <w:caps/>
                                              <w:color w:val="191919" w:themeColor="text1" w:themeTint="E6"/>
                                              <w:sz w:val="28"/>
                                              <w:szCs w:val="28"/>
                                            </w:rPr>
                                          </w:pPr>
                                          <w:r>
                                            <w:rPr>
                                              <w:b/>
                                              <w:i/>
                                              <w:color w:val="191919" w:themeColor="text1" w:themeTint="E6"/>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sdtContent>
                                    </w:sdt>
                                    <w:p w14:paraId="26BAB54E" w14:textId="2DF5FF52" w:rsidR="002C178D" w:rsidRPr="009B78DA" w:rsidRDefault="00FE48B8">
                                      <w:pPr>
                                        <w:jc w:val="right"/>
                                        <w:rPr>
                                          <w:b/>
                                          <w:sz w:val="28"/>
                                          <w:szCs w:val="28"/>
                                        </w:rPr>
                                      </w:pPr>
                                      <w:r>
                                        <w:rPr>
                                          <w:b/>
                                          <w:sz w:val="28"/>
                                          <w:szCs w:val="28"/>
                                        </w:rPr>
                                        <w:t>Quality Measurement of Insurance Industry</w:t>
                                      </w:r>
                                    </w:p>
                                    <w:sdt>
                                      <w:sdtPr>
                                        <w:rPr>
                                          <w:b/>
                                          <w:color w:val="000000" w:themeColor="text1"/>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62B2CF05" w14:textId="77777777" w:rsidR="002C178D" w:rsidRPr="009B78DA" w:rsidRDefault="002C178D" w:rsidP="00937CA9">
                                          <w:pPr>
                                            <w:jc w:val="right"/>
                                            <w:rPr>
                                              <w:b/>
                                            </w:rPr>
                                          </w:pPr>
                                          <w:r>
                                            <w:rPr>
                                              <w:b/>
                                              <w:color w:val="000000" w:themeColor="text1"/>
                                            </w:rPr>
                                            <w:t xml:space="preserve">     </w:t>
                                          </w:r>
                                        </w:p>
                                      </w:sdtContent>
                                    </w:sdt>
                                  </w:tc>
                                  <w:tc>
                                    <w:tcPr>
                                      <w:tcW w:w="2432" w:type="pct"/>
                                      <w:vAlign w:val="center"/>
                                    </w:tcPr>
                                    <w:p w14:paraId="66D9DBD6" w14:textId="53E15594" w:rsidR="00B8706A" w:rsidRPr="00AF3B8D" w:rsidRDefault="00B8706A" w:rsidP="00B8706A">
                                      <w:pPr>
                                        <w:jc w:val="both"/>
                                        <w:rPr>
                                          <w:b/>
                                          <w:color w:val="000000" w:themeColor="text1"/>
                                          <w:sz w:val="20"/>
                                          <w:szCs w:val="20"/>
                                        </w:rPr>
                                      </w:pPr>
                                      <w:sdt>
                                        <w:sdtPr>
                                          <w:rPr>
                                            <w:b/>
                                            <w:color w:val="000000" w:themeColor="text1"/>
                                            <w:sz w:val="20"/>
                                            <w:szCs w:val="20"/>
                                          </w:rPr>
                                          <w:alias w:val="Abstract"/>
                                          <w:tag w:val=""/>
                                          <w:id w:val="-920484474"/>
                                          <w:showingPlcHdr/>
                                          <w:dataBinding w:prefixMappings="xmlns:ns0='http://schemas.microsoft.com/office/2006/coverPageProps' " w:xpath="/ns0:CoverPageProperties[1]/ns0:Abstract[1]" w:storeItemID="{55AF091B-3C7A-41E3-B477-F2FDAA23CFDA}"/>
                                          <w:text/>
                                        </w:sdtPr>
                                        <w:sdtContent>
                                          <w:r>
                                            <w:rPr>
                                              <w:b/>
                                              <w:color w:val="000000" w:themeColor="text1"/>
                                              <w:sz w:val="20"/>
                                              <w:szCs w:val="20"/>
                                            </w:rPr>
                                            <w:t xml:space="preserve">     </w:t>
                                          </w:r>
                                        </w:sdtContent>
                                      </w:sdt>
                                      <w:r>
                                        <w:rPr>
                                          <w:b/>
                                          <w:color w:val="000000" w:themeColor="text1"/>
                                          <w:sz w:val="20"/>
                                          <w:szCs w:val="20"/>
                                        </w:rPr>
                                        <w:t xml:space="preserve"> </w:t>
                                      </w:r>
                                      <w:sdt>
                                        <w:sdtPr>
                                          <w:rPr>
                                            <w:b/>
                                            <w:color w:val="000000" w:themeColor="text1"/>
                                            <w:sz w:val="20"/>
                                            <w:szCs w:val="20"/>
                                          </w:rPr>
                                          <w:alias w:val="Abstract"/>
                                          <w:tag w:val=""/>
                                          <w:id w:val="-2036181933"/>
                                          <w:showingPlcHdr/>
                                          <w:dataBinding w:prefixMappings="xmlns:ns0='http://schemas.microsoft.com/office/2006/coverPageProps' " w:xpath="/ns0:CoverPageProperties[1]/ns0:Abstract[1]" w:storeItemID="{55AF091B-3C7A-41E3-B477-F2FDAA23CFDA}"/>
                                          <w:text/>
                                        </w:sdtPr>
                                        <w:sdtContent>
                                          <w:r>
                                            <w:rPr>
                                              <w:b/>
                                              <w:color w:val="000000" w:themeColor="text1"/>
                                              <w:sz w:val="20"/>
                                              <w:szCs w:val="20"/>
                                            </w:rPr>
                                            <w:t xml:space="preserve">     </w:t>
                                          </w:r>
                                        </w:sdtContent>
                                      </w:sdt>
                                    </w:p>
                                    <w:p w14:paraId="5DA2202A" w14:textId="6F186774" w:rsidR="00B8706A" w:rsidRDefault="00B8706A" w:rsidP="00B8706A">
                                      <w:pPr>
                                        <w:jc w:val="both"/>
                                        <w:rPr>
                                          <w:b/>
                                          <w:color w:val="000000" w:themeColor="text1"/>
                                          <w:sz w:val="20"/>
                                          <w:szCs w:val="20"/>
                                        </w:rPr>
                                      </w:pPr>
                                      <w:r>
                                        <w:rPr>
                                          <w:b/>
                                          <w:color w:val="000000" w:themeColor="text1"/>
                                          <w:sz w:val="20"/>
                                          <w:szCs w:val="20"/>
                                        </w:rPr>
                                        <w:t xml:space="preserve">Abstract: to determine overall risk management &amp; efficiency </w:t>
                                      </w:r>
                                      <w:r w:rsidR="000A104F">
                                        <w:rPr>
                                          <w:b/>
                                          <w:color w:val="000000" w:themeColor="text1"/>
                                          <w:sz w:val="20"/>
                                          <w:szCs w:val="20"/>
                                        </w:rPr>
                                        <w:t xml:space="preserve">in cost management, employee sufficiency, </w:t>
                                      </w:r>
                                      <w:r w:rsidR="00F473F7">
                                        <w:rPr>
                                          <w:b/>
                                          <w:color w:val="000000" w:themeColor="text1"/>
                                          <w:sz w:val="20"/>
                                          <w:szCs w:val="20"/>
                                        </w:rPr>
                                        <w:t xml:space="preserve">introduction of new insurance policies, customer satisfaction &amp; retention, alter or development of rules or policies, there is always a requirement of Quality measurement of Insurance Industry which is inevitable. Because this industry is giving financial protection/reimbursements to all kinds of people, this is needed to be </w:t>
                                      </w:r>
                                      <w:r w:rsidR="00FE48B8">
                                        <w:rPr>
                                          <w:b/>
                                          <w:color w:val="000000" w:themeColor="text1"/>
                                          <w:sz w:val="20"/>
                                          <w:szCs w:val="20"/>
                                        </w:rPr>
                                        <w:t>discussed</w:t>
                                      </w:r>
                                      <w:r w:rsidR="00F473F7">
                                        <w:rPr>
                                          <w:b/>
                                          <w:color w:val="000000" w:themeColor="text1"/>
                                          <w:sz w:val="20"/>
                                          <w:szCs w:val="20"/>
                                        </w:rPr>
                                        <w:t xml:space="preserve"> </w:t>
                                      </w:r>
                                      <w:r w:rsidR="00FE48B8">
                                        <w:rPr>
                                          <w:b/>
                                          <w:color w:val="000000" w:themeColor="text1"/>
                                          <w:sz w:val="20"/>
                                          <w:szCs w:val="20"/>
                                        </w:rPr>
                                        <w:t>elaborately</w:t>
                                      </w:r>
                                      <w:r w:rsidR="00F473F7">
                                        <w:rPr>
                                          <w:b/>
                                          <w:color w:val="000000" w:themeColor="text1"/>
                                          <w:sz w:val="20"/>
                                          <w:szCs w:val="20"/>
                                        </w:rPr>
                                        <w:t xml:space="preserve"> indeed.</w:t>
                                      </w:r>
                                    </w:p>
                                    <w:p w14:paraId="1645CFAB" w14:textId="77777777" w:rsidR="00FE48B8" w:rsidRDefault="00FE48B8" w:rsidP="00B8706A">
                                      <w:pPr>
                                        <w:jc w:val="both"/>
                                        <w:rPr>
                                          <w:b/>
                                          <w:color w:val="000000" w:themeColor="text1"/>
                                          <w:sz w:val="20"/>
                                          <w:szCs w:val="20"/>
                                        </w:rPr>
                                      </w:pPr>
                                    </w:p>
                                    <w:p w14:paraId="0F3C96C9" w14:textId="77777777" w:rsidR="00FE48B8" w:rsidRPr="00AF3B8D" w:rsidRDefault="00FE48B8" w:rsidP="00B8706A">
                                      <w:pPr>
                                        <w:jc w:val="both"/>
                                        <w:rPr>
                                          <w:b/>
                                          <w:color w:val="000000" w:themeColor="text1"/>
                                          <w:sz w:val="20"/>
                                          <w:szCs w:val="20"/>
                                        </w:rPr>
                                      </w:pPr>
                                    </w:p>
                                    <w:p w14:paraId="30DAC970" w14:textId="6C912FBC" w:rsidR="002C178D" w:rsidRPr="009B78DA" w:rsidRDefault="00B8706A" w:rsidP="00D1154B">
                                      <w:pPr>
                                        <w:pStyle w:val="NoSpacing"/>
                                        <w:rPr>
                                          <w:b/>
                                          <w:sz w:val="28"/>
                                          <w:szCs w:val="28"/>
                                        </w:rPr>
                                      </w:pPr>
                                      <w:r>
                                        <w:rPr>
                                          <w:b/>
                                          <w:sz w:val="28"/>
                                          <w:szCs w:val="28"/>
                                          <w:highlight w:val="lightGray"/>
                                        </w:rPr>
                                        <w:t xml:space="preserve"> </w:t>
                                      </w:r>
                                      <w:sdt>
                                        <w:sdtPr>
                                          <w:rPr>
                                            <w:b/>
                                            <w:sz w:val="28"/>
                                            <w:szCs w:val="28"/>
                                            <w:highlight w:val="lightGray"/>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D1154B">
                                            <w:rPr>
                                              <w:b/>
                                              <w:sz w:val="28"/>
                                              <w:szCs w:val="28"/>
                                              <w:highlight w:val="lightGray"/>
                                            </w:rPr>
                                            <w:t>Project Work on Insurance(Qualitative analysis)</w:t>
                                          </w:r>
                                        </w:sdtContent>
                                      </w:sdt>
                                    </w:p>
                                  </w:tc>
                                </w:tr>
                              </w:tbl>
                              <w:p w14:paraId="33C1BBDB" w14:textId="77777777" w:rsidR="002C178D" w:rsidRDefault="002C178D">
                                <w:bookmarkStart w:id="0" w:name="_GoBack"/>
                                <w:bookmarkEnd w:id="0"/>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D0349F6" id="_x0000_t202" coordsize="21600,21600" o:spt="202" path="m,l,21600r21600,l21600,xe">
                    <v:stroke joinstyle="miter"/>
                    <v:path gradientshapeok="t" o:connecttype="rect"/>
                  </v:shapetype>
                  <v:shape id="Text Box 138" o:spid="_x0000_s1026" type="#_x0000_t202" style="position:absolute;margin-left:0;margin-top:0;width:134.85pt;height:302.4pt;z-index:25166131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909"/>
                            <w:gridCol w:w="5597"/>
                          </w:tblGrid>
                          <w:tr w:rsidR="002C178D" w14:paraId="546EA521" w14:textId="77777777">
                            <w:trPr>
                              <w:jc w:val="center"/>
                            </w:trPr>
                            <w:tc>
                              <w:tcPr>
                                <w:tcW w:w="2568" w:type="pct"/>
                                <w:vAlign w:val="center"/>
                              </w:tcPr>
                              <w:p w14:paraId="4B812A94" w14:textId="77777777" w:rsidR="002C178D" w:rsidRPr="009B78DA" w:rsidRDefault="002C178D">
                                <w:pPr>
                                  <w:jc w:val="right"/>
                                  <w:rPr>
                                    <w:rFonts w:ascii="Times New Roman" w:hAnsi="Times New Roman" w:cs="Times New Roman"/>
                                    <w:b/>
                                    <w:noProof/>
                                    <w:sz w:val="28"/>
                                    <w:szCs w:val="28"/>
                                  </w:rPr>
                                </w:pPr>
                                <w:r w:rsidRPr="009B78DA">
                                  <w:rPr>
                                    <w:rFonts w:ascii="Times New Roman" w:hAnsi="Times New Roman" w:cs="Times New Roman"/>
                                    <w:b/>
                                    <w:noProof/>
                                    <w:sz w:val="28"/>
                                    <w:szCs w:val="28"/>
                                  </w:rPr>
                                  <w:drawing>
                                    <wp:inline distT="0" distB="0" distL="0" distR="0" wp14:anchorId="0D4CEF5C" wp14:editId="5B8760D4">
                                      <wp:extent cx="3168650" cy="3184165"/>
                                      <wp:effectExtent l="0" t="0" r="0" b="0"/>
                                      <wp:docPr id="9" name="Picture 9" descr="C:\Users\User\Desktop\292e9592d54888be38faa61499e55a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92e9592d54888be38faa61499e55a5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2941" cy="3228673"/>
                                              </a:xfrm>
                                              <a:prstGeom prst="rect">
                                                <a:avLst/>
                                              </a:prstGeom>
                                              <a:noFill/>
                                              <a:ln>
                                                <a:noFill/>
                                              </a:ln>
                                            </pic:spPr>
                                          </pic:pic>
                                        </a:graphicData>
                                      </a:graphic>
                                    </wp:inline>
                                  </w:drawing>
                                </w:r>
                              </w:p>
                              <w:p w14:paraId="354B59A4" w14:textId="77777777" w:rsidR="002C178D" w:rsidRPr="009B78DA" w:rsidRDefault="002C178D">
                                <w:pPr>
                                  <w:jc w:val="right"/>
                                  <w:rPr>
                                    <w:b/>
                                    <w:noProof/>
                                    <w:sz w:val="28"/>
                                    <w:szCs w:val="28"/>
                                  </w:rPr>
                                </w:pPr>
                              </w:p>
                              <w:sdt>
                                <w:sdtPr>
                                  <w:rPr>
                                    <w:b/>
                                    <w:i/>
                                    <w:color w:val="191919" w:themeColor="text1" w:themeTint="E6"/>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Title"/>
                                  <w:tag w:val=""/>
                                  <w:id w:val="-438379639"/>
                                  <w:showingPlcHdr/>
                                  <w:dataBinding w:prefixMappings="xmlns:ns0='http://purl.org/dc/elements/1.1/' xmlns:ns1='http://schemas.openxmlformats.org/package/2006/metadata/core-properties' " w:xpath="/ns1:coreProperties[1]/ns0:title[1]" w:storeItemID="{6C3C8BC8-F283-45AE-878A-BAB7291924A1}"/>
                                  <w:text/>
                                </w:sdtPr>
                                <w:sdtContent>
                                  <w:p w14:paraId="5906AD42" w14:textId="77777777" w:rsidR="00FE48B8" w:rsidRPr="009B78DA" w:rsidRDefault="00FE48B8" w:rsidP="00FE48B8">
                                    <w:pPr>
                                      <w:pStyle w:val="NoSpacing"/>
                                      <w:spacing w:line="312" w:lineRule="auto"/>
                                      <w:jc w:val="right"/>
                                      <w:rPr>
                                        <w:b/>
                                        <w:caps/>
                                        <w:color w:val="191919" w:themeColor="text1" w:themeTint="E6"/>
                                        <w:sz w:val="28"/>
                                        <w:szCs w:val="28"/>
                                      </w:rPr>
                                    </w:pPr>
                                    <w:r>
                                      <w:rPr>
                                        <w:b/>
                                        <w:i/>
                                        <w:color w:val="191919" w:themeColor="text1" w:themeTint="E6"/>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sdtContent>
                              </w:sdt>
                              <w:p w14:paraId="26BAB54E" w14:textId="2DF5FF52" w:rsidR="002C178D" w:rsidRPr="009B78DA" w:rsidRDefault="00FE48B8">
                                <w:pPr>
                                  <w:jc w:val="right"/>
                                  <w:rPr>
                                    <w:b/>
                                    <w:sz w:val="28"/>
                                    <w:szCs w:val="28"/>
                                  </w:rPr>
                                </w:pPr>
                                <w:r>
                                  <w:rPr>
                                    <w:b/>
                                    <w:sz w:val="28"/>
                                    <w:szCs w:val="28"/>
                                  </w:rPr>
                                  <w:t>Quality Measurement of Insurance Industry</w:t>
                                </w:r>
                              </w:p>
                              <w:sdt>
                                <w:sdtPr>
                                  <w:rPr>
                                    <w:b/>
                                    <w:color w:val="000000" w:themeColor="text1"/>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62B2CF05" w14:textId="77777777" w:rsidR="002C178D" w:rsidRPr="009B78DA" w:rsidRDefault="002C178D" w:rsidP="00937CA9">
                                    <w:pPr>
                                      <w:jc w:val="right"/>
                                      <w:rPr>
                                        <w:b/>
                                      </w:rPr>
                                    </w:pPr>
                                    <w:r>
                                      <w:rPr>
                                        <w:b/>
                                        <w:color w:val="000000" w:themeColor="text1"/>
                                      </w:rPr>
                                      <w:t xml:space="preserve">     </w:t>
                                    </w:r>
                                  </w:p>
                                </w:sdtContent>
                              </w:sdt>
                            </w:tc>
                            <w:tc>
                              <w:tcPr>
                                <w:tcW w:w="2432" w:type="pct"/>
                                <w:vAlign w:val="center"/>
                              </w:tcPr>
                              <w:p w14:paraId="66D9DBD6" w14:textId="53E15594" w:rsidR="00B8706A" w:rsidRPr="00AF3B8D" w:rsidRDefault="00B8706A" w:rsidP="00B8706A">
                                <w:pPr>
                                  <w:jc w:val="both"/>
                                  <w:rPr>
                                    <w:b/>
                                    <w:color w:val="000000" w:themeColor="text1"/>
                                    <w:sz w:val="20"/>
                                    <w:szCs w:val="20"/>
                                  </w:rPr>
                                </w:pPr>
                                <w:sdt>
                                  <w:sdtPr>
                                    <w:rPr>
                                      <w:b/>
                                      <w:color w:val="000000" w:themeColor="text1"/>
                                      <w:sz w:val="20"/>
                                      <w:szCs w:val="20"/>
                                    </w:rPr>
                                    <w:alias w:val="Abstract"/>
                                    <w:tag w:val=""/>
                                    <w:id w:val="-920484474"/>
                                    <w:showingPlcHdr/>
                                    <w:dataBinding w:prefixMappings="xmlns:ns0='http://schemas.microsoft.com/office/2006/coverPageProps' " w:xpath="/ns0:CoverPageProperties[1]/ns0:Abstract[1]" w:storeItemID="{55AF091B-3C7A-41E3-B477-F2FDAA23CFDA}"/>
                                    <w:text/>
                                  </w:sdtPr>
                                  <w:sdtContent>
                                    <w:r>
                                      <w:rPr>
                                        <w:b/>
                                        <w:color w:val="000000" w:themeColor="text1"/>
                                        <w:sz w:val="20"/>
                                        <w:szCs w:val="20"/>
                                      </w:rPr>
                                      <w:t xml:space="preserve">     </w:t>
                                    </w:r>
                                  </w:sdtContent>
                                </w:sdt>
                                <w:r>
                                  <w:rPr>
                                    <w:b/>
                                    <w:color w:val="000000" w:themeColor="text1"/>
                                    <w:sz w:val="20"/>
                                    <w:szCs w:val="20"/>
                                  </w:rPr>
                                  <w:t xml:space="preserve"> </w:t>
                                </w:r>
                                <w:sdt>
                                  <w:sdtPr>
                                    <w:rPr>
                                      <w:b/>
                                      <w:color w:val="000000" w:themeColor="text1"/>
                                      <w:sz w:val="20"/>
                                      <w:szCs w:val="20"/>
                                    </w:rPr>
                                    <w:alias w:val="Abstract"/>
                                    <w:tag w:val=""/>
                                    <w:id w:val="-2036181933"/>
                                    <w:showingPlcHdr/>
                                    <w:dataBinding w:prefixMappings="xmlns:ns0='http://schemas.microsoft.com/office/2006/coverPageProps' " w:xpath="/ns0:CoverPageProperties[1]/ns0:Abstract[1]" w:storeItemID="{55AF091B-3C7A-41E3-B477-F2FDAA23CFDA}"/>
                                    <w:text/>
                                  </w:sdtPr>
                                  <w:sdtContent>
                                    <w:r>
                                      <w:rPr>
                                        <w:b/>
                                        <w:color w:val="000000" w:themeColor="text1"/>
                                        <w:sz w:val="20"/>
                                        <w:szCs w:val="20"/>
                                      </w:rPr>
                                      <w:t xml:space="preserve">     </w:t>
                                    </w:r>
                                  </w:sdtContent>
                                </w:sdt>
                              </w:p>
                              <w:p w14:paraId="5DA2202A" w14:textId="6F186774" w:rsidR="00B8706A" w:rsidRDefault="00B8706A" w:rsidP="00B8706A">
                                <w:pPr>
                                  <w:jc w:val="both"/>
                                  <w:rPr>
                                    <w:b/>
                                    <w:color w:val="000000" w:themeColor="text1"/>
                                    <w:sz w:val="20"/>
                                    <w:szCs w:val="20"/>
                                  </w:rPr>
                                </w:pPr>
                                <w:r>
                                  <w:rPr>
                                    <w:b/>
                                    <w:color w:val="000000" w:themeColor="text1"/>
                                    <w:sz w:val="20"/>
                                    <w:szCs w:val="20"/>
                                  </w:rPr>
                                  <w:t xml:space="preserve">Abstract: to determine overall risk management &amp; efficiency </w:t>
                                </w:r>
                                <w:r w:rsidR="000A104F">
                                  <w:rPr>
                                    <w:b/>
                                    <w:color w:val="000000" w:themeColor="text1"/>
                                    <w:sz w:val="20"/>
                                    <w:szCs w:val="20"/>
                                  </w:rPr>
                                  <w:t xml:space="preserve">in cost management, employee sufficiency, </w:t>
                                </w:r>
                                <w:r w:rsidR="00F473F7">
                                  <w:rPr>
                                    <w:b/>
                                    <w:color w:val="000000" w:themeColor="text1"/>
                                    <w:sz w:val="20"/>
                                    <w:szCs w:val="20"/>
                                  </w:rPr>
                                  <w:t xml:space="preserve">introduction of new insurance policies, customer satisfaction &amp; retention, alter or development of rules or policies, there is always a requirement of Quality measurement of Insurance Industry which is inevitable. Because this industry is giving financial protection/reimbursements to all kinds of people, this is needed to be </w:t>
                                </w:r>
                                <w:r w:rsidR="00FE48B8">
                                  <w:rPr>
                                    <w:b/>
                                    <w:color w:val="000000" w:themeColor="text1"/>
                                    <w:sz w:val="20"/>
                                    <w:szCs w:val="20"/>
                                  </w:rPr>
                                  <w:t>discussed</w:t>
                                </w:r>
                                <w:r w:rsidR="00F473F7">
                                  <w:rPr>
                                    <w:b/>
                                    <w:color w:val="000000" w:themeColor="text1"/>
                                    <w:sz w:val="20"/>
                                    <w:szCs w:val="20"/>
                                  </w:rPr>
                                  <w:t xml:space="preserve"> </w:t>
                                </w:r>
                                <w:r w:rsidR="00FE48B8">
                                  <w:rPr>
                                    <w:b/>
                                    <w:color w:val="000000" w:themeColor="text1"/>
                                    <w:sz w:val="20"/>
                                    <w:szCs w:val="20"/>
                                  </w:rPr>
                                  <w:t>elaborately</w:t>
                                </w:r>
                                <w:r w:rsidR="00F473F7">
                                  <w:rPr>
                                    <w:b/>
                                    <w:color w:val="000000" w:themeColor="text1"/>
                                    <w:sz w:val="20"/>
                                    <w:szCs w:val="20"/>
                                  </w:rPr>
                                  <w:t xml:space="preserve"> indeed.</w:t>
                                </w:r>
                              </w:p>
                              <w:p w14:paraId="1645CFAB" w14:textId="77777777" w:rsidR="00FE48B8" w:rsidRDefault="00FE48B8" w:rsidP="00B8706A">
                                <w:pPr>
                                  <w:jc w:val="both"/>
                                  <w:rPr>
                                    <w:b/>
                                    <w:color w:val="000000" w:themeColor="text1"/>
                                    <w:sz w:val="20"/>
                                    <w:szCs w:val="20"/>
                                  </w:rPr>
                                </w:pPr>
                              </w:p>
                              <w:p w14:paraId="0F3C96C9" w14:textId="77777777" w:rsidR="00FE48B8" w:rsidRPr="00AF3B8D" w:rsidRDefault="00FE48B8" w:rsidP="00B8706A">
                                <w:pPr>
                                  <w:jc w:val="both"/>
                                  <w:rPr>
                                    <w:b/>
                                    <w:color w:val="000000" w:themeColor="text1"/>
                                    <w:sz w:val="20"/>
                                    <w:szCs w:val="20"/>
                                  </w:rPr>
                                </w:pPr>
                              </w:p>
                              <w:p w14:paraId="30DAC970" w14:textId="6C912FBC" w:rsidR="002C178D" w:rsidRPr="009B78DA" w:rsidRDefault="00B8706A" w:rsidP="00D1154B">
                                <w:pPr>
                                  <w:pStyle w:val="NoSpacing"/>
                                  <w:rPr>
                                    <w:b/>
                                    <w:sz w:val="28"/>
                                    <w:szCs w:val="28"/>
                                  </w:rPr>
                                </w:pPr>
                                <w:r>
                                  <w:rPr>
                                    <w:b/>
                                    <w:sz w:val="28"/>
                                    <w:szCs w:val="28"/>
                                    <w:highlight w:val="lightGray"/>
                                  </w:rPr>
                                  <w:t xml:space="preserve"> </w:t>
                                </w:r>
                                <w:sdt>
                                  <w:sdtPr>
                                    <w:rPr>
                                      <w:b/>
                                      <w:sz w:val="28"/>
                                      <w:szCs w:val="28"/>
                                      <w:highlight w:val="lightGray"/>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D1154B">
                                      <w:rPr>
                                        <w:b/>
                                        <w:sz w:val="28"/>
                                        <w:szCs w:val="28"/>
                                        <w:highlight w:val="lightGray"/>
                                      </w:rPr>
                                      <w:t>Project Work on Insurance(Qualitative analysis)</w:t>
                                    </w:r>
                                  </w:sdtContent>
                                </w:sdt>
                              </w:p>
                            </w:tc>
                          </w:tr>
                        </w:tbl>
                        <w:p w14:paraId="33C1BBDB" w14:textId="77777777" w:rsidR="002C178D" w:rsidRDefault="002C178D">
                          <w:bookmarkStart w:id="1" w:name="_GoBack"/>
                          <w:bookmarkEnd w:id="1"/>
                        </w:p>
                      </w:txbxContent>
                    </v:textbox>
                    <w10:wrap anchorx="page" anchory="page"/>
                  </v:shape>
                </w:pict>
              </mc:Fallback>
            </mc:AlternateContent>
          </w:r>
          <w:r w:rsidR="002C178D">
            <w:rPr>
              <w:rFonts w:ascii="Times New Roman" w:hAnsi="Times New Roman" w:cs="Times New Roman"/>
              <w:noProof/>
              <w:sz w:val="24"/>
              <w:szCs w:val="24"/>
            </w:rPr>
            <w:br w:type="page"/>
          </w:r>
        </w:p>
      </w:sdtContent>
    </w:sdt>
    <w:p w14:paraId="12A5DA14" w14:textId="77777777" w:rsidR="002C178D" w:rsidRDefault="002C178D" w:rsidP="00E13104">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660288" behindDoc="0" locked="0" layoutInCell="1" allowOverlap="1" wp14:anchorId="1463A17F" wp14:editId="4D373850">
                <wp:simplePos x="0" y="0"/>
                <wp:positionH relativeFrom="page">
                  <wp:posOffset>22860</wp:posOffset>
                </wp:positionH>
                <wp:positionV relativeFrom="paragraph">
                  <wp:posOffset>-922020</wp:posOffset>
                </wp:positionV>
                <wp:extent cx="7726680" cy="708660"/>
                <wp:effectExtent l="0" t="0" r="26670" b="15240"/>
                <wp:wrapNone/>
                <wp:docPr id="13" name="Rectangle 13"/>
                <wp:cNvGraphicFramePr/>
                <a:graphic xmlns:a="http://schemas.openxmlformats.org/drawingml/2006/main">
                  <a:graphicData uri="http://schemas.microsoft.com/office/word/2010/wordprocessingShape">
                    <wps:wsp>
                      <wps:cNvSpPr/>
                      <wps:spPr>
                        <a:xfrm>
                          <a:off x="0" y="0"/>
                          <a:ext cx="7726680" cy="70866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6E7635" id="Rectangle 13" o:spid="_x0000_s1026" style="position:absolute;margin-left:1.8pt;margin-top:-72.6pt;width:608.4pt;height:55.8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" fillcolor="#ed7d31 [3205]" strokecolor="#1f4d78 [1604]" strokeweight="1pt">
                <w10:wrap anchorx="page"/>
              </v: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A783139" wp14:editId="50054194">
                <wp:simplePos x="0" y="0"/>
                <wp:positionH relativeFrom="column">
                  <wp:posOffset>878186</wp:posOffset>
                </wp:positionH>
                <wp:positionV relativeFrom="paragraph">
                  <wp:posOffset>-425513</wp:posOffset>
                </wp:positionV>
                <wp:extent cx="3947311" cy="2643612"/>
                <wp:effectExtent l="0" t="0" r="15240" b="23495"/>
                <wp:wrapNone/>
                <wp:docPr id="5" name="Rectangle 5"/>
                <wp:cNvGraphicFramePr/>
                <a:graphic xmlns:a="http://schemas.openxmlformats.org/drawingml/2006/main">
                  <a:graphicData uri="http://schemas.microsoft.com/office/word/2010/wordprocessingShape">
                    <wps:wsp>
                      <wps:cNvSpPr/>
                      <wps:spPr>
                        <a:xfrm>
                          <a:off x="0" y="0"/>
                          <a:ext cx="3947311" cy="2643612"/>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08DEED" id="Rectangle 5" o:spid="_x0000_s1026" style="position:absolute;margin-left:69.15pt;margin-top:-33.5pt;width:310.8pt;height:208.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" filled="f" strokecolor="white [3212]" strokeweight="1pt"/>
            </w:pict>
          </mc:Fallback>
        </mc:AlternateContent>
      </w:r>
    </w:p>
    <w:p w14:paraId="7FABEA82" w14:textId="77777777" w:rsidR="002C178D" w:rsidRDefault="002C178D" w:rsidP="00F17417">
      <w:pPr>
        <w:jc w:val="center"/>
        <w:rPr>
          <w:rFonts w:ascii="Times New Roman" w:hAnsi="Times New Roman" w:cs="Times New Roman"/>
          <w:b/>
          <w:sz w:val="36"/>
          <w:szCs w:val="36"/>
        </w:rPr>
      </w:pPr>
      <w:r>
        <w:rPr>
          <w:noProof/>
        </w:rPr>
        <w:drawing>
          <wp:inline distT="0" distB="0" distL="0" distR="0" wp14:anchorId="74B1BDDA" wp14:editId="61CD5465">
            <wp:extent cx="2743200" cy="2082339"/>
            <wp:effectExtent l="0" t="0" r="0" b="0"/>
            <wp:docPr id="6" name="Picture 6"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ted International University (UIU) | Top Ranked Private Univers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1296" cy="2134030"/>
                    </a:xfrm>
                    <a:prstGeom prst="rect">
                      <a:avLst/>
                    </a:prstGeom>
                    <a:noFill/>
                    <a:ln>
                      <a:noFill/>
                    </a:ln>
                  </pic:spPr>
                </pic:pic>
              </a:graphicData>
            </a:graphic>
          </wp:inline>
        </w:drawing>
      </w:r>
    </w:p>
    <w:p w14:paraId="015074BE" w14:textId="77777777" w:rsidR="002C178D" w:rsidRPr="0072503A" w:rsidRDefault="002C178D" w:rsidP="003F785F">
      <w:pPr>
        <w:rPr>
          <w:rFonts w:ascii="Times New Roman" w:hAnsi="Times New Roman" w:cs="Times New Roman"/>
          <w:b/>
          <w:sz w:val="40"/>
          <w:szCs w:val="40"/>
        </w:rPr>
      </w:pPr>
      <w:r>
        <w:rPr>
          <w:rFonts w:ascii="Times New Roman" w:hAnsi="Times New Roman" w:cs="Times New Roman"/>
          <w:b/>
          <w:sz w:val="36"/>
          <w:szCs w:val="36"/>
        </w:rPr>
        <w:t xml:space="preserve">                       </w:t>
      </w:r>
      <w:r w:rsidRPr="0072503A">
        <w:rPr>
          <w:rFonts w:ascii="Times New Roman" w:hAnsi="Times New Roman" w:cs="Times New Roman"/>
          <w:b/>
          <w:sz w:val="40"/>
          <w:szCs w:val="40"/>
        </w:rPr>
        <w:t>United International University</w:t>
      </w:r>
    </w:p>
    <w:p w14:paraId="069B45B7" w14:textId="77777777"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Submission of Project Work</w:t>
      </w:r>
    </w:p>
    <w:p w14:paraId="0DCE22CD" w14:textId="77777777" w:rsidR="002C178D" w:rsidRDefault="002C178D" w:rsidP="0072503A">
      <w:pPr>
        <w:tabs>
          <w:tab w:val="left" w:pos="2496"/>
          <w:tab w:val="center" w:pos="4680"/>
        </w:tabs>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Report On:</w:t>
      </w:r>
    </w:p>
    <w:p w14:paraId="3819BC9E" w14:textId="77777777"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“Quality measurement of Insurance Industry”</w:t>
      </w:r>
    </w:p>
    <w:p w14:paraId="4E65BF10" w14:textId="77777777" w:rsidR="002C178D" w:rsidRPr="00964E89" w:rsidRDefault="002C178D" w:rsidP="00F17417">
      <w:pPr>
        <w:jc w:val="center"/>
        <w:rPr>
          <w:rFonts w:ascii="Times New Roman" w:hAnsi="Times New Roman" w:cs="Times New Roman"/>
          <w:b/>
          <w:sz w:val="32"/>
          <w:szCs w:val="32"/>
          <w:u w:val="single"/>
        </w:rPr>
      </w:pPr>
      <w:r w:rsidRPr="00964E89">
        <w:rPr>
          <w:rFonts w:ascii="Times New Roman" w:hAnsi="Times New Roman" w:cs="Times New Roman"/>
          <w:b/>
          <w:sz w:val="32"/>
          <w:szCs w:val="32"/>
          <w:u w:val="single"/>
        </w:rPr>
        <w:t>Submitted to</w:t>
      </w:r>
    </w:p>
    <w:p w14:paraId="305FA7AC" w14:textId="77777777" w:rsidR="002C178D" w:rsidRPr="00F17417" w:rsidRDefault="002C178D" w:rsidP="00F17417">
      <w:pPr>
        <w:jc w:val="center"/>
        <w:rPr>
          <w:rFonts w:ascii="Times New Roman" w:hAnsi="Times New Roman" w:cs="Times New Roman"/>
          <w:sz w:val="32"/>
          <w:szCs w:val="32"/>
        </w:rPr>
      </w:pPr>
      <w:r>
        <w:rPr>
          <w:rFonts w:ascii="Times New Roman" w:hAnsi="Times New Roman" w:cs="Times New Roman"/>
          <w:sz w:val="32"/>
          <w:szCs w:val="32"/>
        </w:rPr>
        <w:t xml:space="preserve"> Ms. </w:t>
      </w:r>
      <w:r w:rsidRPr="00F17417">
        <w:rPr>
          <w:rFonts w:ascii="Times New Roman" w:hAnsi="Times New Roman" w:cs="Times New Roman"/>
          <w:sz w:val="32"/>
          <w:szCs w:val="32"/>
        </w:rPr>
        <w:t>Nusrat Farzana</w:t>
      </w:r>
      <w:r>
        <w:rPr>
          <w:rFonts w:ascii="Times New Roman" w:hAnsi="Times New Roman" w:cs="Times New Roman"/>
          <w:sz w:val="32"/>
          <w:szCs w:val="32"/>
        </w:rPr>
        <w:t xml:space="preserve"> </w:t>
      </w:r>
    </w:p>
    <w:p w14:paraId="60B049AC" w14:textId="77777777" w:rsidR="002C178D" w:rsidRPr="00F17417" w:rsidRDefault="002C178D" w:rsidP="00F17417">
      <w:pPr>
        <w:jc w:val="center"/>
        <w:rPr>
          <w:rFonts w:ascii="Times New Roman" w:hAnsi="Times New Roman" w:cs="Times New Roman"/>
          <w:sz w:val="32"/>
          <w:szCs w:val="32"/>
        </w:rPr>
      </w:pPr>
      <w:r w:rsidRPr="00F17417">
        <w:rPr>
          <w:rFonts w:ascii="Times New Roman" w:hAnsi="Times New Roman" w:cs="Times New Roman"/>
          <w:sz w:val="32"/>
          <w:szCs w:val="32"/>
        </w:rPr>
        <w:t>Assistant Professor</w:t>
      </w:r>
    </w:p>
    <w:p w14:paraId="660743AB" w14:textId="77777777" w:rsidR="002C178D" w:rsidRPr="00F17417" w:rsidRDefault="002C178D" w:rsidP="00F17417">
      <w:pPr>
        <w:jc w:val="center"/>
        <w:rPr>
          <w:rFonts w:ascii="Times New Roman" w:hAnsi="Times New Roman" w:cs="Times New Roman"/>
          <w:sz w:val="28"/>
          <w:szCs w:val="28"/>
        </w:rPr>
      </w:pPr>
      <w:r w:rsidRPr="00F17417">
        <w:rPr>
          <w:rFonts w:ascii="Times New Roman" w:hAnsi="Times New Roman" w:cs="Times New Roman"/>
          <w:sz w:val="28"/>
          <w:szCs w:val="28"/>
        </w:rPr>
        <w:t>School of Business &amp; Economics</w:t>
      </w:r>
    </w:p>
    <w:p w14:paraId="3FBBDE73" w14:textId="77777777" w:rsidR="002C178D" w:rsidRPr="00F17417" w:rsidRDefault="002C178D" w:rsidP="00F17417">
      <w:pPr>
        <w:jc w:val="center"/>
        <w:rPr>
          <w:rFonts w:ascii="Times New Roman" w:hAnsi="Times New Roman" w:cs="Times New Roman"/>
          <w:sz w:val="28"/>
          <w:szCs w:val="28"/>
        </w:rPr>
      </w:pPr>
      <w:r w:rsidRPr="00F17417">
        <w:rPr>
          <w:rFonts w:ascii="Times New Roman" w:hAnsi="Times New Roman" w:cs="Times New Roman"/>
          <w:sz w:val="28"/>
          <w:szCs w:val="28"/>
        </w:rPr>
        <w:t>United International University</w:t>
      </w:r>
    </w:p>
    <w:p w14:paraId="2551A7C3" w14:textId="77777777" w:rsidR="002C178D" w:rsidRPr="00964E89" w:rsidRDefault="002C178D" w:rsidP="003F785F">
      <w:pPr>
        <w:rPr>
          <w:rFonts w:ascii="Times New Roman" w:hAnsi="Times New Roman" w:cs="Times New Roman"/>
          <w:b/>
          <w:sz w:val="28"/>
          <w:szCs w:val="28"/>
          <w:u w:val="single"/>
        </w:rPr>
      </w:pPr>
      <w:r w:rsidRPr="00964E89">
        <w:rPr>
          <w:rFonts w:ascii="Times New Roman" w:hAnsi="Times New Roman" w:cs="Times New Roman"/>
          <w:b/>
          <w:sz w:val="28"/>
          <w:szCs w:val="28"/>
          <w:u w:val="single"/>
        </w:rPr>
        <w:t>Submitted by:</w:t>
      </w:r>
    </w:p>
    <w:tbl>
      <w:tblPr>
        <w:tblStyle w:val="TableGrid"/>
        <w:tblW w:w="0" w:type="auto"/>
        <w:tblLook w:val="04A0" w:firstRow="1" w:lastRow="0" w:firstColumn="1" w:lastColumn="0" w:noHBand="0" w:noVBand="1"/>
      </w:tblPr>
      <w:tblGrid>
        <w:gridCol w:w="3116"/>
        <w:gridCol w:w="3117"/>
        <w:gridCol w:w="3117"/>
      </w:tblGrid>
      <w:tr w:rsidR="002C178D" w14:paraId="30CC1BE8" w14:textId="77777777" w:rsidTr="00B82CAD">
        <w:tc>
          <w:tcPr>
            <w:tcW w:w="3116" w:type="dxa"/>
          </w:tcPr>
          <w:p w14:paraId="489DB057" w14:textId="77777777"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Name</w:t>
            </w:r>
          </w:p>
        </w:tc>
        <w:tc>
          <w:tcPr>
            <w:tcW w:w="3117" w:type="dxa"/>
          </w:tcPr>
          <w:p w14:paraId="6482E4E7" w14:textId="77777777"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ID</w:t>
            </w:r>
          </w:p>
        </w:tc>
        <w:tc>
          <w:tcPr>
            <w:tcW w:w="3117" w:type="dxa"/>
          </w:tcPr>
          <w:p w14:paraId="0C944FF5" w14:textId="77777777"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Trimester</w:t>
            </w:r>
          </w:p>
        </w:tc>
      </w:tr>
      <w:tr w:rsidR="002C178D" w14:paraId="0083325F" w14:textId="77777777" w:rsidTr="00B82CAD">
        <w:tc>
          <w:tcPr>
            <w:tcW w:w="3116" w:type="dxa"/>
          </w:tcPr>
          <w:p w14:paraId="21576C13" w14:textId="77777777" w:rsidR="002C178D" w:rsidRPr="00F17417" w:rsidRDefault="002C178D" w:rsidP="00F17417">
            <w:pPr>
              <w:jc w:val="center"/>
              <w:rPr>
                <w:rFonts w:ascii="Times New Roman" w:hAnsi="Times New Roman" w:cs="Times New Roman"/>
                <w:sz w:val="28"/>
                <w:szCs w:val="28"/>
              </w:rPr>
            </w:pPr>
            <w:r w:rsidRPr="00F17417">
              <w:rPr>
                <w:rFonts w:ascii="Times New Roman" w:hAnsi="Times New Roman" w:cs="Times New Roman"/>
                <w:sz w:val="28"/>
                <w:szCs w:val="28"/>
              </w:rPr>
              <w:t>Naima Rahman</w:t>
            </w:r>
          </w:p>
        </w:tc>
        <w:tc>
          <w:tcPr>
            <w:tcW w:w="3117" w:type="dxa"/>
          </w:tcPr>
          <w:p w14:paraId="31D9D1BF" w14:textId="77777777" w:rsidR="002C178D" w:rsidRPr="00F17417" w:rsidRDefault="002C178D" w:rsidP="00F17417">
            <w:pPr>
              <w:jc w:val="center"/>
              <w:rPr>
                <w:rFonts w:ascii="Times New Roman" w:hAnsi="Times New Roman" w:cs="Times New Roman"/>
                <w:sz w:val="28"/>
                <w:szCs w:val="28"/>
              </w:rPr>
            </w:pPr>
            <w:r w:rsidRPr="00F17417">
              <w:rPr>
                <w:rFonts w:ascii="Times New Roman" w:hAnsi="Times New Roman" w:cs="Times New Roman"/>
                <w:sz w:val="28"/>
                <w:szCs w:val="28"/>
              </w:rPr>
              <w:t>111 163 022</w:t>
            </w:r>
          </w:p>
        </w:tc>
        <w:tc>
          <w:tcPr>
            <w:tcW w:w="3117" w:type="dxa"/>
          </w:tcPr>
          <w:p w14:paraId="0C5052BF" w14:textId="77777777" w:rsidR="002C178D" w:rsidRPr="00F17417" w:rsidRDefault="002C178D" w:rsidP="00F17417">
            <w:pPr>
              <w:jc w:val="center"/>
              <w:rPr>
                <w:rFonts w:ascii="Times New Roman" w:hAnsi="Times New Roman" w:cs="Times New Roman"/>
                <w:sz w:val="28"/>
                <w:szCs w:val="28"/>
              </w:rPr>
            </w:pPr>
            <w:r w:rsidRPr="00F17417">
              <w:rPr>
                <w:rFonts w:ascii="Times New Roman" w:hAnsi="Times New Roman" w:cs="Times New Roman"/>
                <w:sz w:val="28"/>
                <w:szCs w:val="28"/>
              </w:rPr>
              <w:t>12</w:t>
            </w:r>
            <w:r w:rsidRPr="005848D1">
              <w:rPr>
                <w:rFonts w:ascii="Times New Roman" w:hAnsi="Times New Roman" w:cs="Times New Roman"/>
                <w:sz w:val="28"/>
                <w:szCs w:val="28"/>
                <w:vertAlign w:val="superscript"/>
              </w:rPr>
              <w:t>th</w:t>
            </w:r>
          </w:p>
        </w:tc>
      </w:tr>
    </w:tbl>
    <w:p w14:paraId="443016D7" w14:textId="77777777" w:rsidR="002C178D" w:rsidRDefault="002C178D" w:rsidP="00F17417">
      <w:pPr>
        <w:jc w:val="center"/>
        <w:rPr>
          <w:rFonts w:ascii="Times New Roman" w:hAnsi="Times New Roman" w:cs="Times New Roman"/>
          <w:b/>
          <w:sz w:val="28"/>
          <w:szCs w:val="28"/>
        </w:rPr>
      </w:pPr>
    </w:p>
    <w:p w14:paraId="03E91605" w14:textId="77777777" w:rsidR="002C178D" w:rsidRDefault="002C178D" w:rsidP="00F17417">
      <w:pPr>
        <w:jc w:val="center"/>
        <w:rPr>
          <w:rFonts w:ascii="Times New Roman" w:hAnsi="Times New Roman" w:cs="Times New Roman"/>
          <w:b/>
          <w:sz w:val="28"/>
          <w:szCs w:val="28"/>
        </w:rPr>
      </w:pPr>
    </w:p>
    <w:p w14:paraId="1FFE6994" w14:textId="1BB3F22D" w:rsidR="002C178D" w:rsidRDefault="002C178D" w:rsidP="00F17417">
      <w:pPr>
        <w:jc w:val="center"/>
        <w:rPr>
          <w:rFonts w:ascii="Times New Roman" w:hAnsi="Times New Roman" w:cs="Times New Roman"/>
          <w:b/>
          <w:sz w:val="28"/>
          <w:szCs w:val="28"/>
        </w:rPr>
      </w:pPr>
      <w:r>
        <w:rPr>
          <w:rFonts w:ascii="Times New Roman" w:hAnsi="Times New Roman" w:cs="Times New Roman"/>
          <w:b/>
          <w:sz w:val="28"/>
          <w:szCs w:val="28"/>
        </w:rPr>
        <w:t>Date of submission</w:t>
      </w:r>
      <w:r w:rsidR="0004205A">
        <w:rPr>
          <w:rFonts w:ascii="Times New Roman" w:hAnsi="Times New Roman" w:cs="Times New Roman"/>
          <w:b/>
          <w:sz w:val="28"/>
          <w:szCs w:val="28"/>
        </w:rPr>
        <w:t>: 5</w:t>
      </w:r>
      <w:r w:rsidRPr="00B34B8F">
        <w:rPr>
          <w:rFonts w:ascii="Times New Roman" w:hAnsi="Times New Roman" w:cs="Times New Roman"/>
          <w:b/>
          <w:sz w:val="28"/>
          <w:szCs w:val="28"/>
          <w:vertAlign w:val="superscript"/>
        </w:rPr>
        <w:t>th</w:t>
      </w:r>
      <w:r>
        <w:rPr>
          <w:rFonts w:ascii="Times New Roman" w:hAnsi="Times New Roman" w:cs="Times New Roman"/>
          <w:b/>
          <w:sz w:val="28"/>
          <w:szCs w:val="28"/>
        </w:rPr>
        <w:t xml:space="preserve"> October, 2020.</w:t>
      </w:r>
      <w:r>
        <w:rPr>
          <w:rFonts w:ascii="Times New Roman" w:hAnsi="Times New Roman" w:cs="Times New Roman"/>
          <w:b/>
          <w:sz w:val="28"/>
          <w:szCs w:val="28"/>
        </w:rPr>
        <w:br w:type="page"/>
      </w:r>
    </w:p>
    <w:p w14:paraId="7E25093C" w14:textId="77777777" w:rsidR="002C178D" w:rsidRPr="00DB177E" w:rsidRDefault="002C178D" w:rsidP="00E13104">
      <w:pPr>
        <w:spacing w:line="360" w:lineRule="auto"/>
        <w:jc w:val="both"/>
        <w:rPr>
          <w:rFonts w:ascii="Times New Roman" w:hAnsi="Times New Roman" w:cs="Times New Roman"/>
          <w:b/>
          <w:sz w:val="28"/>
          <w:szCs w:val="28"/>
        </w:rPr>
      </w:pPr>
      <w:r w:rsidRPr="00DB177E">
        <w:rPr>
          <w:rFonts w:ascii="Times New Roman" w:hAnsi="Times New Roman" w:cs="Times New Roman"/>
          <w:b/>
          <w:sz w:val="28"/>
          <w:szCs w:val="28"/>
        </w:rPr>
        <w:lastRenderedPageBreak/>
        <w:t>Letter of Transmittal</w:t>
      </w:r>
    </w:p>
    <w:p w14:paraId="6DE04505" w14:textId="7C5FDA89" w:rsidR="002C178D" w:rsidRPr="00DB177E" w:rsidRDefault="0004205A"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2C178D" w:rsidRPr="00DB177E">
        <w:rPr>
          <w:rFonts w:ascii="Times New Roman" w:hAnsi="Times New Roman" w:cs="Times New Roman"/>
          <w:sz w:val="24"/>
          <w:szCs w:val="24"/>
          <w:vertAlign w:val="superscript"/>
        </w:rPr>
        <w:t>th</w:t>
      </w:r>
      <w:r w:rsidR="002C178D" w:rsidRPr="00DB177E">
        <w:rPr>
          <w:rFonts w:ascii="Times New Roman" w:hAnsi="Times New Roman" w:cs="Times New Roman"/>
          <w:sz w:val="24"/>
          <w:szCs w:val="24"/>
        </w:rPr>
        <w:t xml:space="preserve"> October, 2020</w:t>
      </w:r>
    </w:p>
    <w:p w14:paraId="4FC4C554" w14:textId="77777777" w:rsidR="002C178D" w:rsidRPr="00DB177E"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sidRPr="00DB177E">
        <w:rPr>
          <w:rFonts w:ascii="Times New Roman" w:hAnsi="Times New Roman" w:cs="Times New Roman"/>
          <w:sz w:val="24"/>
          <w:szCs w:val="24"/>
        </w:rPr>
        <w:t>Nusrat Farzana</w:t>
      </w:r>
    </w:p>
    <w:p w14:paraId="4AD312BD"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Assistant Professor</w:t>
      </w:r>
      <w:r>
        <w:rPr>
          <w:rFonts w:ascii="Times New Roman" w:hAnsi="Times New Roman" w:cs="Times New Roman"/>
          <w:sz w:val="24"/>
          <w:szCs w:val="24"/>
        </w:rPr>
        <w:t>,</w:t>
      </w:r>
    </w:p>
    <w:p w14:paraId="1E82B3BB"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School of Business &amp; Economics (SOBE)</w:t>
      </w:r>
      <w:r>
        <w:rPr>
          <w:rFonts w:ascii="Times New Roman" w:hAnsi="Times New Roman" w:cs="Times New Roman"/>
          <w:sz w:val="24"/>
          <w:szCs w:val="24"/>
        </w:rPr>
        <w:t>,</w:t>
      </w:r>
    </w:p>
    <w:p w14:paraId="1735C2F6"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United International University</w:t>
      </w:r>
      <w:r>
        <w:rPr>
          <w:rFonts w:ascii="Times New Roman" w:hAnsi="Times New Roman" w:cs="Times New Roman"/>
          <w:sz w:val="24"/>
          <w:szCs w:val="24"/>
        </w:rPr>
        <w:t>,</w:t>
      </w:r>
    </w:p>
    <w:p w14:paraId="0485096C"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Madani Avenue, Badda, Dhaka-1212</w:t>
      </w:r>
      <w:r>
        <w:rPr>
          <w:rFonts w:ascii="Times New Roman" w:hAnsi="Times New Roman" w:cs="Times New Roman"/>
          <w:sz w:val="24"/>
          <w:szCs w:val="24"/>
        </w:rPr>
        <w:t>.</w:t>
      </w:r>
    </w:p>
    <w:p w14:paraId="7EC73498" w14:textId="77777777" w:rsidR="002C178D" w:rsidRDefault="002C178D" w:rsidP="00E13104">
      <w:pPr>
        <w:spacing w:line="360" w:lineRule="auto"/>
        <w:jc w:val="both"/>
        <w:rPr>
          <w:rFonts w:ascii="Times New Roman" w:hAnsi="Times New Roman" w:cs="Times New Roman"/>
          <w:sz w:val="28"/>
          <w:szCs w:val="28"/>
        </w:rPr>
      </w:pPr>
    </w:p>
    <w:p w14:paraId="3B39AC8C" w14:textId="3D336AC4"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Dear Ma’am</w:t>
      </w:r>
      <w:r w:rsidR="00622099">
        <w:rPr>
          <w:rFonts w:ascii="Times New Roman" w:hAnsi="Times New Roman" w:cs="Times New Roman"/>
          <w:sz w:val="24"/>
          <w:szCs w:val="24"/>
        </w:rPr>
        <w:t>,</w:t>
      </w:r>
    </w:p>
    <w:p w14:paraId="2E9D3E1E"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It is a matter of pleasure to make the submission of my project report to you in accordance with the instruction of course type &amp; requirements. The topic of the report is-“Quality measurement of Insurance industry (Based on diversified Articles). I would like to share with you that, working on this project was very helpful and knowledgeable to learn new things; specially the citation &amp; referencing through Mendeley software, summarizing different articles to find out exact hypothesis &amp; outcomes, analyzing different variables used in different countries’ articles etc. as an active participant, it was a great opportunity for me to gather valuable information regarding insurance industries’ which will hopefully be very productive in my future learnings.</w:t>
      </w:r>
    </w:p>
    <w:p w14:paraId="6164D4C5"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I hope you find this report satisfactory.</w:t>
      </w:r>
    </w:p>
    <w:p w14:paraId="74437B88" w14:textId="77777777" w:rsidR="002C178D" w:rsidRPr="00DB177E" w:rsidRDefault="002C178D" w:rsidP="00E13104">
      <w:pPr>
        <w:spacing w:line="360" w:lineRule="auto"/>
        <w:jc w:val="both"/>
        <w:rPr>
          <w:rFonts w:ascii="Times New Roman" w:hAnsi="Times New Roman" w:cs="Times New Roman"/>
          <w:sz w:val="24"/>
          <w:szCs w:val="24"/>
        </w:rPr>
      </w:pPr>
    </w:p>
    <w:p w14:paraId="5BE6F4CF" w14:textId="77777777" w:rsidR="002C178D" w:rsidRPr="00DB177E"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Sincerely yours,</w:t>
      </w:r>
    </w:p>
    <w:p w14:paraId="464A9253" w14:textId="77777777" w:rsidR="002C178D" w:rsidRDefault="002C178D" w:rsidP="00E13104">
      <w:pPr>
        <w:spacing w:line="360" w:lineRule="auto"/>
        <w:jc w:val="both"/>
        <w:rPr>
          <w:rFonts w:ascii="Times New Roman" w:hAnsi="Times New Roman" w:cs="Times New Roman"/>
          <w:sz w:val="24"/>
          <w:szCs w:val="24"/>
        </w:rPr>
      </w:pPr>
      <w:r w:rsidRPr="00DB177E">
        <w:rPr>
          <w:rFonts w:ascii="Times New Roman" w:hAnsi="Times New Roman" w:cs="Times New Roman"/>
          <w:sz w:val="24"/>
          <w:szCs w:val="24"/>
        </w:rPr>
        <w:t>Naima Rahman</w:t>
      </w:r>
    </w:p>
    <w:p w14:paraId="35DC4DEC" w14:textId="77777777" w:rsidR="002C178D" w:rsidRDefault="002C178D">
      <w:pPr>
        <w:rPr>
          <w:rFonts w:ascii="Times New Roman" w:hAnsi="Times New Roman" w:cs="Times New Roman"/>
          <w:sz w:val="24"/>
          <w:szCs w:val="24"/>
        </w:rPr>
      </w:pPr>
      <w:r>
        <w:rPr>
          <w:rFonts w:ascii="Times New Roman" w:hAnsi="Times New Roman" w:cs="Times New Roman"/>
          <w:sz w:val="24"/>
          <w:szCs w:val="24"/>
        </w:rPr>
        <w:br w:type="page"/>
      </w:r>
    </w:p>
    <w:p w14:paraId="5FA6336B" w14:textId="77777777" w:rsidR="002C178D" w:rsidRDefault="002C178D" w:rsidP="00E302DC">
      <w:pPr>
        <w:spacing w:line="360" w:lineRule="auto"/>
        <w:jc w:val="center"/>
        <w:rPr>
          <w:rFonts w:ascii="Times New Roman" w:hAnsi="Times New Roman" w:cs="Times New Roman"/>
          <w:sz w:val="24"/>
          <w:szCs w:val="24"/>
        </w:rPr>
      </w:pPr>
    </w:p>
    <w:p w14:paraId="060F842A" w14:textId="77777777" w:rsidR="002C178D" w:rsidRDefault="002C178D" w:rsidP="00E302DC">
      <w:pPr>
        <w:spacing w:line="360" w:lineRule="auto"/>
        <w:jc w:val="center"/>
        <w:rPr>
          <w:rFonts w:ascii="Times New Roman" w:hAnsi="Times New Roman" w:cs="Times New Roman"/>
          <w:sz w:val="24"/>
          <w:szCs w:val="24"/>
        </w:rPr>
      </w:pPr>
    </w:p>
    <w:p w14:paraId="1C4DEF24" w14:textId="77777777" w:rsidR="002C178D" w:rsidRDefault="002C178D" w:rsidP="00E302DC">
      <w:pPr>
        <w:spacing w:line="360" w:lineRule="auto"/>
        <w:jc w:val="center"/>
        <w:rPr>
          <w:rFonts w:ascii="Times New Roman" w:hAnsi="Times New Roman" w:cs="Times New Roman"/>
          <w:sz w:val="24"/>
          <w:szCs w:val="24"/>
        </w:rPr>
      </w:pPr>
    </w:p>
    <w:p w14:paraId="74DBEE2C" w14:textId="77777777" w:rsidR="002C178D" w:rsidRDefault="002C178D" w:rsidP="00E302DC">
      <w:pPr>
        <w:spacing w:line="360" w:lineRule="auto"/>
        <w:jc w:val="center"/>
        <w:rPr>
          <w:rFonts w:ascii="Times New Roman" w:hAnsi="Times New Roman" w:cs="Times New Roman"/>
          <w:sz w:val="24"/>
          <w:szCs w:val="24"/>
        </w:rPr>
      </w:pPr>
    </w:p>
    <w:p w14:paraId="344D13BB" w14:textId="77777777" w:rsidR="002C178D" w:rsidRPr="00E302DC" w:rsidRDefault="002C178D" w:rsidP="00E302DC">
      <w:pPr>
        <w:spacing w:line="360" w:lineRule="auto"/>
        <w:jc w:val="center"/>
        <w:rPr>
          <w:rFonts w:ascii="Times New Roman" w:hAnsi="Times New Roman" w:cs="Times New Roman"/>
          <w:b/>
          <w:sz w:val="32"/>
          <w:szCs w:val="32"/>
        </w:rPr>
      </w:pPr>
      <w:r>
        <w:rPr>
          <w:rFonts w:ascii="Times New Roman" w:hAnsi="Times New Roman" w:cs="Times New Roman"/>
          <w:b/>
          <w:sz w:val="32"/>
          <w:szCs w:val="32"/>
        </w:rPr>
        <w:t>Acknowledgement</w:t>
      </w:r>
    </w:p>
    <w:p w14:paraId="0BFACF9E" w14:textId="223B92B4" w:rsidR="002C178D" w:rsidRPr="00DB177E"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To start acknowledgement, I would like to appreciate the Almighty gratefully. I am thankful to other research paper writers from whom I have collected a lot of information for this report purpose</w:t>
      </w:r>
      <w:r w:rsidR="00796EA7">
        <w:rPr>
          <w:rFonts w:ascii="Times New Roman" w:hAnsi="Times New Roman" w:cs="Times New Roman"/>
          <w:sz w:val="24"/>
          <w:szCs w:val="24"/>
        </w:rPr>
        <w:t>; this undoubtedly</w:t>
      </w:r>
      <w:r>
        <w:rPr>
          <w:rFonts w:ascii="Times New Roman" w:hAnsi="Times New Roman" w:cs="Times New Roman"/>
          <w:sz w:val="24"/>
          <w:szCs w:val="24"/>
        </w:rPr>
        <w:t xml:space="preserve"> has inspired me to work harder. Also gratefulness to Company websites, Google &amp; Google Scholar to help with enormous way in searching &amp; finding out articles of different authors. Most importantly, thanks to my Honorable course instructor Nusrat Farzana Ma’am, for her patience &amp; continuous support &amp; guidelines. This time to time immense supports &amp; detailed guidelines worth highest praises and gratefulness. To me, it was a great platform in which I can show my gratitude on a highest level. This project work includes the report on-“Quality measurement of insurance industry”; which is based on several countries’ journal articles. This study has some limitations as it has information from some the sectors of insurance industry; not all the sectors have been covered completely. Without the invaluable guidance, inspiration &amp; cooperation from our honorable teacher, it would hardly be possible to proceed with the work.</w:t>
      </w:r>
    </w:p>
    <w:p w14:paraId="2FFB9C58" w14:textId="77777777" w:rsidR="002C178D" w:rsidRDefault="002C178D">
      <w:pPr>
        <w:rPr>
          <w:rFonts w:ascii="Times New Roman" w:hAnsi="Times New Roman" w:cs="Times New Roman"/>
          <w:b/>
          <w:sz w:val="28"/>
          <w:szCs w:val="28"/>
        </w:rPr>
      </w:pPr>
      <w:r>
        <w:rPr>
          <w:rFonts w:ascii="Times New Roman" w:hAnsi="Times New Roman" w:cs="Times New Roman"/>
          <w:b/>
          <w:sz w:val="28"/>
          <w:szCs w:val="28"/>
        </w:rPr>
        <w:br w:type="page"/>
      </w:r>
    </w:p>
    <w:p w14:paraId="62A99B6E" w14:textId="77777777" w:rsidR="002C178D" w:rsidRDefault="002C178D" w:rsidP="00E13104">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Executive Summary</w:t>
      </w:r>
    </w:p>
    <w:p w14:paraId="1FBCC565" w14:textId="77777777" w:rsidR="002C178D" w:rsidRPr="00757E08" w:rsidRDefault="002C178D" w:rsidP="00E13104">
      <w:pPr>
        <w:spacing w:line="360" w:lineRule="auto"/>
        <w:jc w:val="both"/>
        <w:rPr>
          <w:rFonts w:ascii="Times New Roman" w:hAnsi="Times New Roman" w:cs="Times New Roman"/>
          <w:sz w:val="24"/>
          <w:szCs w:val="24"/>
        </w:rPr>
      </w:pPr>
      <w:r w:rsidRPr="00967F0C">
        <w:rPr>
          <w:rFonts w:ascii="Times New Roman" w:hAnsi="Times New Roman" w:cs="Times New Roman"/>
          <w:sz w:val="28"/>
          <w:szCs w:val="28"/>
        </w:rPr>
        <w:t>I</w:t>
      </w:r>
      <w:r w:rsidRPr="00757E08">
        <w:rPr>
          <w:rFonts w:ascii="Times New Roman" w:hAnsi="Times New Roman" w:cs="Times New Roman"/>
          <w:sz w:val="24"/>
          <w:szCs w:val="24"/>
        </w:rPr>
        <w:t>n the world full of financial risks and unexpected crisis, individuals always want to protect their assets, properties and other financial assets. Thus, insurance policy is introduced to secure the tangible and intangible insurable claims. For education, people are taking education insurance to provide protection with the financial reimbursements associated with educational requirement. Thus, different property needs to be secured by taking different types of insurance. Health protection can be ensured by taking healthcare insurance policy, to support a family with financial protection after a death of an earning member, life insurance is there. Like this way, so many insurance policies are being undertaken by almost all of the people in the world. Although in Bangladesh, this scenario cannot be all the same but on an emerging level. Many people are not willing to take insurance policies because of separate perceptions and religious perspectives. Because this industry is giving protection against the financial damage which is quite inevitable, there is a mandatory requirement for its quality measurement encircling its technical efficiency and better performance quality to introduce new features/policies and increase the range of customers.</w:t>
      </w:r>
    </w:p>
    <w:p w14:paraId="27ED85E4" w14:textId="77777777" w:rsidR="002C178D" w:rsidRPr="00757E08" w:rsidRDefault="002C178D" w:rsidP="00E13104">
      <w:pPr>
        <w:spacing w:line="360" w:lineRule="auto"/>
        <w:jc w:val="both"/>
        <w:rPr>
          <w:rFonts w:ascii="Times New Roman" w:hAnsi="Times New Roman" w:cs="Times New Roman"/>
          <w:sz w:val="24"/>
          <w:szCs w:val="24"/>
        </w:rPr>
      </w:pPr>
      <w:r w:rsidRPr="00757E08">
        <w:rPr>
          <w:rFonts w:ascii="Times New Roman" w:hAnsi="Times New Roman" w:cs="Times New Roman"/>
          <w:sz w:val="24"/>
          <w:szCs w:val="24"/>
        </w:rPr>
        <w:t>In several spheres of insurance industry, growth and efficiency should be measured. These spheres are- Management &amp; Reduction of cost and other expenditures, ensuring labor sufficiency, structuring payment scales of regulatory members, staffs and other employees, construction of rules and regulation on a discernible way to get reached toward the customers. To increase customers’ and policy holders, another initiatives can be initiate new policy and feature which will retain the customers.  Quality measurement also includes risk management of insurance industries. This part include- managing natural risks which are unforeseen, managing external risks depending on competitors’ actions. Determining capital structure, total assets, Return on assets, return on equity, Investments, GDP effects, Total factor productivity, other demographic &amp; macroeconomic variables etc. for determining growth specifically  in individual industry, comparative analysis can be conducted, for example, Health care insurance Vs. Education insurance, Conventional life insurance Vs. Islamic Insurance, Insurance Vs. Banking industry etc.</w:t>
      </w:r>
    </w:p>
    <w:p w14:paraId="5E363945" w14:textId="77777777" w:rsidR="002C178D" w:rsidRDefault="002C178D">
      <w:pPr>
        <w:rPr>
          <w:rFonts w:ascii="Times New Roman" w:hAnsi="Times New Roman" w:cs="Times New Roman"/>
          <w:b/>
          <w:sz w:val="24"/>
          <w:szCs w:val="24"/>
        </w:rPr>
      </w:pPr>
      <w:r w:rsidRPr="00757E08">
        <w:rPr>
          <w:rFonts w:ascii="Times New Roman" w:hAnsi="Times New Roman" w:cs="Times New Roman"/>
          <w:b/>
          <w:sz w:val="24"/>
          <w:szCs w:val="24"/>
        </w:rPr>
        <w:br w:type="page"/>
      </w:r>
    </w:p>
    <w:sdt>
      <w:sdtPr>
        <w:rPr>
          <w:rFonts w:asciiTheme="minorHAnsi" w:eastAsiaTheme="minorHAnsi" w:hAnsiTheme="minorHAnsi" w:cstheme="minorBidi"/>
          <w:color w:val="auto"/>
          <w:sz w:val="22"/>
          <w:szCs w:val="22"/>
        </w:rPr>
        <w:id w:val="1744910258"/>
        <w:docPartObj>
          <w:docPartGallery w:val="Table of Contents"/>
          <w:docPartUnique/>
        </w:docPartObj>
      </w:sdtPr>
      <w:sdtEndPr>
        <w:rPr>
          <w:b/>
          <w:bCs/>
          <w:noProof/>
        </w:rPr>
      </w:sdtEndPr>
      <w:sdtContent>
        <w:p w14:paraId="613FE3CE" w14:textId="77777777" w:rsidR="002C178D" w:rsidRDefault="002C178D">
          <w:pPr>
            <w:pStyle w:val="TOCHeading"/>
          </w:pPr>
          <w:r>
            <w:t>Table of Contents</w:t>
          </w:r>
        </w:p>
        <w:p w14:paraId="6B134A92" w14:textId="77777777" w:rsidR="002C178D" w:rsidRDefault="002C178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2709107" w:history="1">
            <w:r w:rsidRPr="001A2342">
              <w:rPr>
                <w:rStyle w:val="Hyperlink"/>
                <w:noProof/>
              </w:rPr>
              <w:t>Chapter: 1(Introduction &amp; Insurance concepts)</w:t>
            </w:r>
            <w:r>
              <w:rPr>
                <w:noProof/>
                <w:webHidden/>
              </w:rPr>
              <w:tab/>
            </w:r>
            <w:r>
              <w:rPr>
                <w:noProof/>
                <w:webHidden/>
              </w:rPr>
              <w:fldChar w:fldCharType="begin"/>
            </w:r>
            <w:r>
              <w:rPr>
                <w:noProof/>
                <w:webHidden/>
              </w:rPr>
              <w:instrText xml:space="preserve"> PAGEREF _Toc52709107 \h </w:instrText>
            </w:r>
            <w:r>
              <w:rPr>
                <w:noProof/>
                <w:webHidden/>
              </w:rPr>
            </w:r>
            <w:r>
              <w:rPr>
                <w:noProof/>
                <w:webHidden/>
              </w:rPr>
              <w:fldChar w:fldCharType="separate"/>
            </w:r>
            <w:r>
              <w:rPr>
                <w:noProof/>
                <w:webHidden/>
              </w:rPr>
              <w:t>6</w:t>
            </w:r>
            <w:r>
              <w:rPr>
                <w:noProof/>
                <w:webHidden/>
              </w:rPr>
              <w:fldChar w:fldCharType="end"/>
            </w:r>
          </w:hyperlink>
        </w:p>
        <w:p w14:paraId="5E20C317" w14:textId="77777777" w:rsidR="002C178D" w:rsidRDefault="004A7CA3">
          <w:pPr>
            <w:pStyle w:val="TOC2"/>
            <w:tabs>
              <w:tab w:val="right" w:leader="dot" w:pos="9350"/>
            </w:tabs>
            <w:rPr>
              <w:rFonts w:eastAsiaTheme="minorEastAsia"/>
              <w:noProof/>
            </w:rPr>
          </w:pPr>
          <w:hyperlink w:anchor="_Toc52709108" w:history="1">
            <w:r w:rsidR="002C178D" w:rsidRPr="001A2342">
              <w:rPr>
                <w:rStyle w:val="Hyperlink"/>
                <w:b/>
                <w:noProof/>
              </w:rPr>
              <w:t>Introduction</w:t>
            </w:r>
            <w:r w:rsidR="002C178D">
              <w:rPr>
                <w:noProof/>
                <w:webHidden/>
              </w:rPr>
              <w:tab/>
            </w:r>
            <w:r w:rsidR="002C178D">
              <w:rPr>
                <w:noProof/>
                <w:webHidden/>
              </w:rPr>
              <w:fldChar w:fldCharType="begin"/>
            </w:r>
            <w:r w:rsidR="002C178D">
              <w:rPr>
                <w:noProof/>
                <w:webHidden/>
              </w:rPr>
              <w:instrText xml:space="preserve"> PAGEREF _Toc52709108 \h </w:instrText>
            </w:r>
            <w:r w:rsidR="002C178D">
              <w:rPr>
                <w:noProof/>
                <w:webHidden/>
              </w:rPr>
            </w:r>
            <w:r w:rsidR="002C178D">
              <w:rPr>
                <w:noProof/>
                <w:webHidden/>
              </w:rPr>
              <w:fldChar w:fldCharType="separate"/>
            </w:r>
            <w:r w:rsidR="002C178D">
              <w:rPr>
                <w:noProof/>
                <w:webHidden/>
              </w:rPr>
              <w:t>7</w:t>
            </w:r>
            <w:r w:rsidR="002C178D">
              <w:rPr>
                <w:noProof/>
                <w:webHidden/>
              </w:rPr>
              <w:fldChar w:fldCharType="end"/>
            </w:r>
          </w:hyperlink>
        </w:p>
        <w:p w14:paraId="29E93388" w14:textId="77777777" w:rsidR="002C178D" w:rsidRDefault="004A7CA3">
          <w:pPr>
            <w:pStyle w:val="TOC2"/>
            <w:tabs>
              <w:tab w:val="right" w:leader="dot" w:pos="9350"/>
            </w:tabs>
            <w:rPr>
              <w:rFonts w:eastAsiaTheme="minorEastAsia"/>
              <w:noProof/>
            </w:rPr>
          </w:pPr>
          <w:hyperlink w:anchor="_Toc52709109" w:history="1">
            <w:r w:rsidR="002C178D" w:rsidRPr="001A2342">
              <w:rPr>
                <w:rStyle w:val="Hyperlink"/>
                <w:b/>
                <w:noProof/>
              </w:rPr>
              <w:t>Concept of Insurance</w:t>
            </w:r>
            <w:r w:rsidR="002C178D">
              <w:rPr>
                <w:noProof/>
                <w:webHidden/>
              </w:rPr>
              <w:tab/>
            </w:r>
            <w:r w:rsidR="002C178D">
              <w:rPr>
                <w:noProof/>
                <w:webHidden/>
              </w:rPr>
              <w:fldChar w:fldCharType="begin"/>
            </w:r>
            <w:r w:rsidR="002C178D">
              <w:rPr>
                <w:noProof/>
                <w:webHidden/>
              </w:rPr>
              <w:instrText xml:space="preserve"> PAGEREF _Toc52709109 \h </w:instrText>
            </w:r>
            <w:r w:rsidR="002C178D">
              <w:rPr>
                <w:noProof/>
                <w:webHidden/>
              </w:rPr>
            </w:r>
            <w:r w:rsidR="002C178D">
              <w:rPr>
                <w:noProof/>
                <w:webHidden/>
              </w:rPr>
              <w:fldChar w:fldCharType="separate"/>
            </w:r>
            <w:r w:rsidR="002C178D">
              <w:rPr>
                <w:noProof/>
                <w:webHidden/>
              </w:rPr>
              <w:t>9</w:t>
            </w:r>
            <w:r w:rsidR="002C178D">
              <w:rPr>
                <w:noProof/>
                <w:webHidden/>
              </w:rPr>
              <w:fldChar w:fldCharType="end"/>
            </w:r>
          </w:hyperlink>
        </w:p>
        <w:p w14:paraId="726AAAA4" w14:textId="77777777" w:rsidR="002C178D" w:rsidRDefault="004A7CA3">
          <w:pPr>
            <w:pStyle w:val="TOC1"/>
            <w:tabs>
              <w:tab w:val="right" w:leader="dot" w:pos="9350"/>
            </w:tabs>
            <w:rPr>
              <w:rFonts w:eastAsiaTheme="minorEastAsia"/>
              <w:noProof/>
            </w:rPr>
          </w:pPr>
          <w:hyperlink w:anchor="_Toc52709110" w:history="1">
            <w:r w:rsidR="002C178D" w:rsidRPr="001A2342">
              <w:rPr>
                <w:rStyle w:val="Hyperlink"/>
                <w:b/>
                <w:noProof/>
              </w:rPr>
              <w:t>Chapter 2(Insurance types and evidences)</w:t>
            </w:r>
            <w:r w:rsidR="002C178D">
              <w:rPr>
                <w:noProof/>
                <w:webHidden/>
              </w:rPr>
              <w:tab/>
            </w:r>
            <w:r w:rsidR="002C178D">
              <w:rPr>
                <w:noProof/>
                <w:webHidden/>
              </w:rPr>
              <w:fldChar w:fldCharType="begin"/>
            </w:r>
            <w:r w:rsidR="002C178D">
              <w:rPr>
                <w:noProof/>
                <w:webHidden/>
              </w:rPr>
              <w:instrText xml:space="preserve"> PAGEREF _Toc52709110 \h </w:instrText>
            </w:r>
            <w:r w:rsidR="002C178D">
              <w:rPr>
                <w:noProof/>
                <w:webHidden/>
              </w:rPr>
            </w:r>
            <w:r w:rsidR="002C178D">
              <w:rPr>
                <w:noProof/>
                <w:webHidden/>
              </w:rPr>
              <w:fldChar w:fldCharType="separate"/>
            </w:r>
            <w:r w:rsidR="002C178D">
              <w:rPr>
                <w:noProof/>
                <w:webHidden/>
              </w:rPr>
              <w:t>10</w:t>
            </w:r>
            <w:r w:rsidR="002C178D">
              <w:rPr>
                <w:noProof/>
                <w:webHidden/>
              </w:rPr>
              <w:fldChar w:fldCharType="end"/>
            </w:r>
          </w:hyperlink>
        </w:p>
        <w:p w14:paraId="0121454D" w14:textId="77777777" w:rsidR="002C178D" w:rsidRDefault="004A7CA3">
          <w:pPr>
            <w:pStyle w:val="TOC3"/>
            <w:tabs>
              <w:tab w:val="right" w:leader="dot" w:pos="9350"/>
            </w:tabs>
            <w:rPr>
              <w:rFonts w:eastAsiaTheme="minorEastAsia"/>
              <w:noProof/>
            </w:rPr>
          </w:pPr>
          <w:hyperlink w:anchor="_Toc52709111" w:history="1">
            <w:r w:rsidR="002C178D" w:rsidRPr="001A2342">
              <w:rPr>
                <w:rStyle w:val="Hyperlink"/>
                <w:b/>
                <w:noProof/>
              </w:rPr>
              <w:t>2.1  Types of Insurance (In General):</w:t>
            </w:r>
            <w:r w:rsidR="002C178D">
              <w:rPr>
                <w:noProof/>
                <w:webHidden/>
              </w:rPr>
              <w:tab/>
            </w:r>
            <w:r w:rsidR="002C178D">
              <w:rPr>
                <w:noProof/>
                <w:webHidden/>
              </w:rPr>
              <w:fldChar w:fldCharType="begin"/>
            </w:r>
            <w:r w:rsidR="002C178D">
              <w:rPr>
                <w:noProof/>
                <w:webHidden/>
              </w:rPr>
              <w:instrText xml:space="preserve"> PAGEREF _Toc52709111 \h </w:instrText>
            </w:r>
            <w:r w:rsidR="002C178D">
              <w:rPr>
                <w:noProof/>
                <w:webHidden/>
              </w:rPr>
            </w:r>
            <w:r w:rsidR="002C178D">
              <w:rPr>
                <w:noProof/>
                <w:webHidden/>
              </w:rPr>
              <w:fldChar w:fldCharType="separate"/>
            </w:r>
            <w:r w:rsidR="002C178D">
              <w:rPr>
                <w:noProof/>
                <w:webHidden/>
              </w:rPr>
              <w:t>11</w:t>
            </w:r>
            <w:r w:rsidR="002C178D">
              <w:rPr>
                <w:noProof/>
                <w:webHidden/>
              </w:rPr>
              <w:fldChar w:fldCharType="end"/>
            </w:r>
          </w:hyperlink>
        </w:p>
        <w:p w14:paraId="746C47DA" w14:textId="77777777" w:rsidR="002C178D" w:rsidRDefault="004A7CA3">
          <w:pPr>
            <w:pStyle w:val="TOC3"/>
            <w:tabs>
              <w:tab w:val="left" w:pos="1100"/>
              <w:tab w:val="right" w:leader="dot" w:pos="9350"/>
            </w:tabs>
            <w:rPr>
              <w:rFonts w:eastAsiaTheme="minorEastAsia"/>
              <w:noProof/>
            </w:rPr>
          </w:pPr>
          <w:hyperlink w:anchor="_Toc52709112" w:history="1">
            <w:r w:rsidR="002C178D" w:rsidRPr="001A2342">
              <w:rPr>
                <w:rStyle w:val="Hyperlink"/>
                <w:rFonts w:ascii="Times New Roman" w:hAnsi="Times New Roman" w:cs="Times New Roman"/>
                <w:b/>
                <w:noProof/>
              </w:rPr>
              <w:t>2.2</w:t>
            </w:r>
            <w:r w:rsidR="002C178D">
              <w:rPr>
                <w:rFonts w:eastAsiaTheme="minorEastAsia"/>
                <w:noProof/>
              </w:rPr>
              <w:tab/>
            </w:r>
            <w:r w:rsidR="002C178D" w:rsidRPr="001A2342">
              <w:rPr>
                <w:rStyle w:val="Hyperlink"/>
                <w:b/>
                <w:noProof/>
              </w:rPr>
              <w:t>Evidences from Health Insurance:</w:t>
            </w:r>
            <w:r w:rsidR="002C178D">
              <w:rPr>
                <w:noProof/>
                <w:webHidden/>
              </w:rPr>
              <w:tab/>
            </w:r>
            <w:r w:rsidR="002C178D">
              <w:rPr>
                <w:noProof/>
                <w:webHidden/>
              </w:rPr>
              <w:fldChar w:fldCharType="begin"/>
            </w:r>
            <w:r w:rsidR="002C178D">
              <w:rPr>
                <w:noProof/>
                <w:webHidden/>
              </w:rPr>
              <w:instrText xml:space="preserve"> PAGEREF _Toc52709112 \h </w:instrText>
            </w:r>
            <w:r w:rsidR="002C178D">
              <w:rPr>
                <w:noProof/>
                <w:webHidden/>
              </w:rPr>
            </w:r>
            <w:r w:rsidR="002C178D">
              <w:rPr>
                <w:noProof/>
                <w:webHidden/>
              </w:rPr>
              <w:fldChar w:fldCharType="separate"/>
            </w:r>
            <w:r w:rsidR="002C178D">
              <w:rPr>
                <w:noProof/>
                <w:webHidden/>
              </w:rPr>
              <w:t>11</w:t>
            </w:r>
            <w:r w:rsidR="002C178D">
              <w:rPr>
                <w:noProof/>
                <w:webHidden/>
              </w:rPr>
              <w:fldChar w:fldCharType="end"/>
            </w:r>
          </w:hyperlink>
        </w:p>
        <w:p w14:paraId="790D6ED4" w14:textId="77777777" w:rsidR="002C178D" w:rsidRDefault="004A7CA3">
          <w:pPr>
            <w:pStyle w:val="TOC3"/>
            <w:tabs>
              <w:tab w:val="left" w:pos="1100"/>
              <w:tab w:val="right" w:leader="dot" w:pos="9350"/>
            </w:tabs>
            <w:rPr>
              <w:rFonts w:eastAsiaTheme="minorEastAsia"/>
              <w:noProof/>
            </w:rPr>
          </w:pPr>
          <w:hyperlink w:anchor="_Toc52709113" w:history="1">
            <w:r w:rsidR="002C178D" w:rsidRPr="001A2342">
              <w:rPr>
                <w:rStyle w:val="Hyperlink"/>
                <w:rFonts w:ascii="Times New Roman" w:hAnsi="Times New Roman" w:cs="Times New Roman"/>
                <w:b/>
                <w:noProof/>
              </w:rPr>
              <w:t>2.3</w:t>
            </w:r>
            <w:r w:rsidR="002C178D">
              <w:rPr>
                <w:rFonts w:eastAsiaTheme="minorEastAsia"/>
                <w:noProof/>
              </w:rPr>
              <w:tab/>
            </w:r>
            <w:r w:rsidR="002C178D" w:rsidRPr="001A2342">
              <w:rPr>
                <w:rStyle w:val="Hyperlink"/>
                <w:b/>
                <w:noProof/>
              </w:rPr>
              <w:t>Evidences from life insurance companies:</w:t>
            </w:r>
            <w:r w:rsidR="002C178D">
              <w:rPr>
                <w:noProof/>
                <w:webHidden/>
              </w:rPr>
              <w:tab/>
            </w:r>
            <w:r w:rsidR="002C178D">
              <w:rPr>
                <w:noProof/>
                <w:webHidden/>
              </w:rPr>
              <w:fldChar w:fldCharType="begin"/>
            </w:r>
            <w:r w:rsidR="002C178D">
              <w:rPr>
                <w:noProof/>
                <w:webHidden/>
              </w:rPr>
              <w:instrText xml:space="preserve"> PAGEREF _Toc52709113 \h </w:instrText>
            </w:r>
            <w:r w:rsidR="002C178D">
              <w:rPr>
                <w:noProof/>
                <w:webHidden/>
              </w:rPr>
            </w:r>
            <w:r w:rsidR="002C178D">
              <w:rPr>
                <w:noProof/>
                <w:webHidden/>
              </w:rPr>
              <w:fldChar w:fldCharType="separate"/>
            </w:r>
            <w:r w:rsidR="002C178D">
              <w:rPr>
                <w:noProof/>
                <w:webHidden/>
              </w:rPr>
              <w:t>12</w:t>
            </w:r>
            <w:r w:rsidR="002C178D">
              <w:rPr>
                <w:noProof/>
                <w:webHidden/>
              </w:rPr>
              <w:fldChar w:fldCharType="end"/>
            </w:r>
          </w:hyperlink>
        </w:p>
        <w:p w14:paraId="1361B155" w14:textId="77777777" w:rsidR="002C178D" w:rsidRDefault="004A7CA3">
          <w:pPr>
            <w:pStyle w:val="TOC3"/>
            <w:tabs>
              <w:tab w:val="left" w:pos="1100"/>
              <w:tab w:val="right" w:leader="dot" w:pos="9350"/>
            </w:tabs>
            <w:rPr>
              <w:rFonts w:eastAsiaTheme="minorEastAsia"/>
              <w:noProof/>
            </w:rPr>
          </w:pPr>
          <w:hyperlink w:anchor="_Toc52709114" w:history="1">
            <w:r w:rsidR="002C178D" w:rsidRPr="001A2342">
              <w:rPr>
                <w:rStyle w:val="Hyperlink"/>
                <w:rFonts w:ascii="Times New Roman" w:hAnsi="Times New Roman" w:cs="Times New Roman"/>
                <w:b/>
                <w:noProof/>
              </w:rPr>
              <w:t>2.4</w:t>
            </w:r>
            <w:r w:rsidR="002C178D">
              <w:rPr>
                <w:rFonts w:eastAsiaTheme="minorEastAsia"/>
                <w:noProof/>
              </w:rPr>
              <w:tab/>
            </w:r>
            <w:r w:rsidR="002C178D" w:rsidRPr="001A2342">
              <w:rPr>
                <w:rStyle w:val="Hyperlink"/>
                <w:b/>
                <w:noProof/>
              </w:rPr>
              <w:t>Evidences from Private life insurance:</w:t>
            </w:r>
            <w:r w:rsidR="002C178D">
              <w:rPr>
                <w:noProof/>
                <w:webHidden/>
              </w:rPr>
              <w:tab/>
            </w:r>
            <w:r w:rsidR="002C178D">
              <w:rPr>
                <w:noProof/>
                <w:webHidden/>
              </w:rPr>
              <w:fldChar w:fldCharType="begin"/>
            </w:r>
            <w:r w:rsidR="002C178D">
              <w:rPr>
                <w:noProof/>
                <w:webHidden/>
              </w:rPr>
              <w:instrText xml:space="preserve"> PAGEREF _Toc52709114 \h </w:instrText>
            </w:r>
            <w:r w:rsidR="002C178D">
              <w:rPr>
                <w:noProof/>
                <w:webHidden/>
              </w:rPr>
            </w:r>
            <w:r w:rsidR="002C178D">
              <w:rPr>
                <w:noProof/>
                <w:webHidden/>
              </w:rPr>
              <w:fldChar w:fldCharType="separate"/>
            </w:r>
            <w:r w:rsidR="002C178D">
              <w:rPr>
                <w:noProof/>
                <w:webHidden/>
              </w:rPr>
              <w:t>13</w:t>
            </w:r>
            <w:r w:rsidR="002C178D">
              <w:rPr>
                <w:noProof/>
                <w:webHidden/>
              </w:rPr>
              <w:fldChar w:fldCharType="end"/>
            </w:r>
          </w:hyperlink>
        </w:p>
        <w:p w14:paraId="25DCB62A" w14:textId="77777777" w:rsidR="002C178D" w:rsidRDefault="004A7CA3">
          <w:pPr>
            <w:pStyle w:val="TOC3"/>
            <w:tabs>
              <w:tab w:val="left" w:pos="1100"/>
              <w:tab w:val="right" w:leader="dot" w:pos="9350"/>
            </w:tabs>
            <w:rPr>
              <w:rFonts w:eastAsiaTheme="minorEastAsia"/>
              <w:noProof/>
            </w:rPr>
          </w:pPr>
          <w:hyperlink w:anchor="_Toc52709115" w:history="1">
            <w:r w:rsidR="002C178D" w:rsidRPr="001A2342">
              <w:rPr>
                <w:rStyle w:val="Hyperlink"/>
                <w:rFonts w:ascii="Times New Roman" w:hAnsi="Times New Roman" w:cs="Times New Roman"/>
                <w:b/>
                <w:noProof/>
              </w:rPr>
              <w:t>2.5</w:t>
            </w:r>
            <w:r w:rsidR="002C178D">
              <w:rPr>
                <w:rFonts w:eastAsiaTheme="minorEastAsia"/>
                <w:noProof/>
              </w:rPr>
              <w:tab/>
            </w:r>
            <w:r w:rsidR="002C178D" w:rsidRPr="001A2342">
              <w:rPr>
                <w:rStyle w:val="Hyperlink"/>
                <w:b/>
                <w:noProof/>
              </w:rPr>
              <w:t>Evidences from Islamic insurance</w:t>
            </w:r>
            <w:r w:rsidR="002C178D">
              <w:rPr>
                <w:noProof/>
                <w:webHidden/>
              </w:rPr>
              <w:tab/>
            </w:r>
            <w:r w:rsidR="002C178D">
              <w:rPr>
                <w:noProof/>
                <w:webHidden/>
              </w:rPr>
              <w:fldChar w:fldCharType="begin"/>
            </w:r>
            <w:r w:rsidR="002C178D">
              <w:rPr>
                <w:noProof/>
                <w:webHidden/>
              </w:rPr>
              <w:instrText xml:space="preserve"> PAGEREF _Toc52709115 \h </w:instrText>
            </w:r>
            <w:r w:rsidR="002C178D">
              <w:rPr>
                <w:noProof/>
                <w:webHidden/>
              </w:rPr>
            </w:r>
            <w:r w:rsidR="002C178D">
              <w:rPr>
                <w:noProof/>
                <w:webHidden/>
              </w:rPr>
              <w:fldChar w:fldCharType="separate"/>
            </w:r>
            <w:r w:rsidR="002C178D">
              <w:rPr>
                <w:noProof/>
                <w:webHidden/>
              </w:rPr>
              <w:t>13</w:t>
            </w:r>
            <w:r w:rsidR="002C178D">
              <w:rPr>
                <w:noProof/>
                <w:webHidden/>
              </w:rPr>
              <w:fldChar w:fldCharType="end"/>
            </w:r>
          </w:hyperlink>
        </w:p>
        <w:p w14:paraId="1F452A26" w14:textId="77777777" w:rsidR="002C178D" w:rsidRDefault="004A7CA3">
          <w:pPr>
            <w:pStyle w:val="TOC3"/>
            <w:tabs>
              <w:tab w:val="left" w:pos="1100"/>
              <w:tab w:val="right" w:leader="dot" w:pos="9350"/>
            </w:tabs>
            <w:rPr>
              <w:rFonts w:eastAsiaTheme="minorEastAsia"/>
              <w:noProof/>
            </w:rPr>
          </w:pPr>
          <w:hyperlink w:anchor="_Toc52709116" w:history="1">
            <w:r w:rsidR="002C178D" w:rsidRPr="001A2342">
              <w:rPr>
                <w:rStyle w:val="Hyperlink"/>
                <w:rFonts w:ascii="Times New Roman" w:hAnsi="Times New Roman" w:cs="Times New Roman"/>
                <w:b/>
                <w:noProof/>
              </w:rPr>
              <w:t>2.6</w:t>
            </w:r>
            <w:r w:rsidR="002C178D">
              <w:rPr>
                <w:rFonts w:eastAsiaTheme="minorEastAsia"/>
                <w:noProof/>
              </w:rPr>
              <w:tab/>
            </w:r>
            <w:r w:rsidR="002C178D" w:rsidRPr="001A2342">
              <w:rPr>
                <w:rStyle w:val="Hyperlink"/>
                <w:b/>
                <w:noProof/>
              </w:rPr>
              <w:t>Evidences from Cyber Insurances:</w:t>
            </w:r>
            <w:r w:rsidR="002C178D">
              <w:rPr>
                <w:noProof/>
                <w:webHidden/>
              </w:rPr>
              <w:tab/>
            </w:r>
            <w:r w:rsidR="002C178D">
              <w:rPr>
                <w:noProof/>
                <w:webHidden/>
              </w:rPr>
              <w:fldChar w:fldCharType="begin"/>
            </w:r>
            <w:r w:rsidR="002C178D">
              <w:rPr>
                <w:noProof/>
                <w:webHidden/>
              </w:rPr>
              <w:instrText xml:space="preserve"> PAGEREF _Toc52709116 \h </w:instrText>
            </w:r>
            <w:r w:rsidR="002C178D">
              <w:rPr>
                <w:noProof/>
                <w:webHidden/>
              </w:rPr>
            </w:r>
            <w:r w:rsidR="002C178D">
              <w:rPr>
                <w:noProof/>
                <w:webHidden/>
              </w:rPr>
              <w:fldChar w:fldCharType="separate"/>
            </w:r>
            <w:r w:rsidR="002C178D">
              <w:rPr>
                <w:noProof/>
                <w:webHidden/>
              </w:rPr>
              <w:t>14</w:t>
            </w:r>
            <w:r w:rsidR="002C178D">
              <w:rPr>
                <w:noProof/>
                <w:webHidden/>
              </w:rPr>
              <w:fldChar w:fldCharType="end"/>
            </w:r>
          </w:hyperlink>
        </w:p>
        <w:p w14:paraId="3B6EB2D2" w14:textId="77777777" w:rsidR="002C178D" w:rsidRDefault="004A7CA3">
          <w:pPr>
            <w:pStyle w:val="TOC3"/>
            <w:tabs>
              <w:tab w:val="left" w:pos="1100"/>
              <w:tab w:val="right" w:leader="dot" w:pos="9350"/>
            </w:tabs>
            <w:rPr>
              <w:rFonts w:eastAsiaTheme="minorEastAsia"/>
              <w:noProof/>
            </w:rPr>
          </w:pPr>
          <w:hyperlink w:anchor="_Toc52709117" w:history="1">
            <w:r w:rsidR="002C178D" w:rsidRPr="001A2342">
              <w:rPr>
                <w:rStyle w:val="Hyperlink"/>
                <w:rFonts w:ascii="Times New Roman" w:hAnsi="Times New Roman" w:cs="Times New Roman"/>
                <w:b/>
                <w:noProof/>
              </w:rPr>
              <w:t>2.7</w:t>
            </w:r>
            <w:r w:rsidR="002C178D">
              <w:rPr>
                <w:rFonts w:eastAsiaTheme="minorEastAsia"/>
                <w:noProof/>
              </w:rPr>
              <w:tab/>
            </w:r>
            <w:r w:rsidR="002C178D" w:rsidRPr="001A2342">
              <w:rPr>
                <w:rStyle w:val="Hyperlink"/>
                <w:b/>
                <w:noProof/>
              </w:rPr>
              <w:t>Evidences from Electronic insurance:</w:t>
            </w:r>
            <w:r w:rsidR="002C178D">
              <w:rPr>
                <w:noProof/>
                <w:webHidden/>
              </w:rPr>
              <w:tab/>
            </w:r>
            <w:r w:rsidR="002C178D">
              <w:rPr>
                <w:noProof/>
                <w:webHidden/>
              </w:rPr>
              <w:fldChar w:fldCharType="begin"/>
            </w:r>
            <w:r w:rsidR="002C178D">
              <w:rPr>
                <w:noProof/>
                <w:webHidden/>
              </w:rPr>
              <w:instrText xml:space="preserve"> PAGEREF _Toc52709117 \h </w:instrText>
            </w:r>
            <w:r w:rsidR="002C178D">
              <w:rPr>
                <w:noProof/>
                <w:webHidden/>
              </w:rPr>
            </w:r>
            <w:r w:rsidR="002C178D">
              <w:rPr>
                <w:noProof/>
                <w:webHidden/>
              </w:rPr>
              <w:fldChar w:fldCharType="separate"/>
            </w:r>
            <w:r w:rsidR="002C178D">
              <w:rPr>
                <w:noProof/>
                <w:webHidden/>
              </w:rPr>
              <w:t>14</w:t>
            </w:r>
            <w:r w:rsidR="002C178D">
              <w:rPr>
                <w:noProof/>
                <w:webHidden/>
              </w:rPr>
              <w:fldChar w:fldCharType="end"/>
            </w:r>
          </w:hyperlink>
        </w:p>
        <w:p w14:paraId="20CEF2EA" w14:textId="77777777" w:rsidR="002C178D" w:rsidRDefault="004A7CA3">
          <w:pPr>
            <w:pStyle w:val="TOC3"/>
            <w:tabs>
              <w:tab w:val="left" w:pos="1100"/>
              <w:tab w:val="right" w:leader="dot" w:pos="9350"/>
            </w:tabs>
            <w:rPr>
              <w:rFonts w:eastAsiaTheme="minorEastAsia"/>
              <w:noProof/>
            </w:rPr>
          </w:pPr>
          <w:hyperlink w:anchor="_Toc52709118" w:history="1">
            <w:r w:rsidR="002C178D" w:rsidRPr="001A2342">
              <w:rPr>
                <w:rStyle w:val="Hyperlink"/>
                <w:rFonts w:ascii="Times New Roman" w:hAnsi="Times New Roman" w:cs="Times New Roman"/>
                <w:b/>
                <w:noProof/>
              </w:rPr>
              <w:t>2.8</w:t>
            </w:r>
            <w:r w:rsidR="002C178D">
              <w:rPr>
                <w:rFonts w:eastAsiaTheme="minorEastAsia"/>
                <w:noProof/>
              </w:rPr>
              <w:tab/>
            </w:r>
            <w:r w:rsidR="002C178D" w:rsidRPr="001A2342">
              <w:rPr>
                <w:rStyle w:val="Hyperlink"/>
                <w:b/>
                <w:noProof/>
              </w:rPr>
              <w:t>Micro insurance Evidences:</w:t>
            </w:r>
            <w:r w:rsidR="002C178D">
              <w:rPr>
                <w:noProof/>
                <w:webHidden/>
              </w:rPr>
              <w:tab/>
            </w:r>
            <w:r w:rsidR="002C178D">
              <w:rPr>
                <w:noProof/>
                <w:webHidden/>
              </w:rPr>
              <w:fldChar w:fldCharType="begin"/>
            </w:r>
            <w:r w:rsidR="002C178D">
              <w:rPr>
                <w:noProof/>
                <w:webHidden/>
              </w:rPr>
              <w:instrText xml:space="preserve"> PAGEREF _Toc52709118 \h </w:instrText>
            </w:r>
            <w:r w:rsidR="002C178D">
              <w:rPr>
                <w:noProof/>
                <w:webHidden/>
              </w:rPr>
            </w:r>
            <w:r w:rsidR="002C178D">
              <w:rPr>
                <w:noProof/>
                <w:webHidden/>
              </w:rPr>
              <w:fldChar w:fldCharType="separate"/>
            </w:r>
            <w:r w:rsidR="002C178D">
              <w:rPr>
                <w:noProof/>
                <w:webHidden/>
              </w:rPr>
              <w:t>14</w:t>
            </w:r>
            <w:r w:rsidR="002C178D">
              <w:rPr>
                <w:noProof/>
                <w:webHidden/>
              </w:rPr>
              <w:fldChar w:fldCharType="end"/>
            </w:r>
          </w:hyperlink>
        </w:p>
        <w:p w14:paraId="3E49BF91" w14:textId="77777777" w:rsidR="002C178D" w:rsidRDefault="004A7CA3">
          <w:pPr>
            <w:pStyle w:val="TOC1"/>
            <w:tabs>
              <w:tab w:val="right" w:leader="dot" w:pos="9350"/>
            </w:tabs>
            <w:rPr>
              <w:rFonts w:eastAsiaTheme="minorEastAsia"/>
              <w:noProof/>
            </w:rPr>
          </w:pPr>
          <w:hyperlink w:anchor="_Toc52709119" w:history="1">
            <w:r w:rsidR="002C178D" w:rsidRPr="001A2342">
              <w:rPr>
                <w:rStyle w:val="Hyperlink"/>
                <w:b/>
                <w:noProof/>
              </w:rPr>
              <w:t>Chapter-3: (Growth &amp; Efficiency)</w:t>
            </w:r>
            <w:r w:rsidR="002C178D">
              <w:rPr>
                <w:noProof/>
                <w:webHidden/>
              </w:rPr>
              <w:tab/>
            </w:r>
            <w:r w:rsidR="002C178D">
              <w:rPr>
                <w:noProof/>
                <w:webHidden/>
              </w:rPr>
              <w:fldChar w:fldCharType="begin"/>
            </w:r>
            <w:r w:rsidR="002C178D">
              <w:rPr>
                <w:noProof/>
                <w:webHidden/>
              </w:rPr>
              <w:instrText xml:space="preserve"> PAGEREF _Toc52709119 \h </w:instrText>
            </w:r>
            <w:r w:rsidR="002C178D">
              <w:rPr>
                <w:noProof/>
                <w:webHidden/>
              </w:rPr>
            </w:r>
            <w:r w:rsidR="002C178D">
              <w:rPr>
                <w:noProof/>
                <w:webHidden/>
              </w:rPr>
              <w:fldChar w:fldCharType="separate"/>
            </w:r>
            <w:r w:rsidR="002C178D">
              <w:rPr>
                <w:noProof/>
                <w:webHidden/>
              </w:rPr>
              <w:t>17</w:t>
            </w:r>
            <w:r w:rsidR="002C178D">
              <w:rPr>
                <w:noProof/>
                <w:webHidden/>
              </w:rPr>
              <w:fldChar w:fldCharType="end"/>
            </w:r>
          </w:hyperlink>
        </w:p>
        <w:p w14:paraId="2E46FF3C" w14:textId="77777777" w:rsidR="002C178D" w:rsidRDefault="004A7CA3">
          <w:pPr>
            <w:pStyle w:val="TOC2"/>
            <w:tabs>
              <w:tab w:val="right" w:leader="dot" w:pos="9350"/>
            </w:tabs>
            <w:rPr>
              <w:rFonts w:eastAsiaTheme="minorEastAsia"/>
              <w:noProof/>
            </w:rPr>
          </w:pPr>
          <w:hyperlink w:anchor="_Toc52709120" w:history="1">
            <w:r w:rsidR="002C178D" w:rsidRPr="001A2342">
              <w:rPr>
                <w:rStyle w:val="Hyperlink"/>
                <w:b/>
                <w:noProof/>
              </w:rPr>
              <w:t>3.2 Efficiency in providing CSR facilities</w:t>
            </w:r>
            <w:r w:rsidR="002C178D">
              <w:rPr>
                <w:noProof/>
                <w:webHidden/>
              </w:rPr>
              <w:tab/>
            </w:r>
            <w:r w:rsidR="002C178D">
              <w:rPr>
                <w:noProof/>
                <w:webHidden/>
              </w:rPr>
              <w:fldChar w:fldCharType="begin"/>
            </w:r>
            <w:r w:rsidR="002C178D">
              <w:rPr>
                <w:noProof/>
                <w:webHidden/>
              </w:rPr>
              <w:instrText xml:space="preserve"> PAGEREF _Toc52709120 \h </w:instrText>
            </w:r>
            <w:r w:rsidR="002C178D">
              <w:rPr>
                <w:noProof/>
                <w:webHidden/>
              </w:rPr>
            </w:r>
            <w:r w:rsidR="002C178D">
              <w:rPr>
                <w:noProof/>
                <w:webHidden/>
              </w:rPr>
              <w:fldChar w:fldCharType="separate"/>
            </w:r>
            <w:r w:rsidR="002C178D">
              <w:rPr>
                <w:noProof/>
                <w:webHidden/>
              </w:rPr>
              <w:t>18</w:t>
            </w:r>
            <w:r w:rsidR="002C178D">
              <w:rPr>
                <w:noProof/>
                <w:webHidden/>
              </w:rPr>
              <w:fldChar w:fldCharType="end"/>
            </w:r>
          </w:hyperlink>
        </w:p>
        <w:p w14:paraId="74BA674D" w14:textId="77777777" w:rsidR="002C178D" w:rsidRDefault="004A7CA3">
          <w:pPr>
            <w:pStyle w:val="TOC2"/>
            <w:tabs>
              <w:tab w:val="right" w:leader="dot" w:pos="9350"/>
            </w:tabs>
            <w:rPr>
              <w:rFonts w:eastAsiaTheme="minorEastAsia"/>
              <w:noProof/>
            </w:rPr>
          </w:pPr>
          <w:hyperlink w:anchor="_Toc52709121" w:history="1">
            <w:r w:rsidR="002C178D" w:rsidRPr="001A2342">
              <w:rPr>
                <w:rStyle w:val="Hyperlink"/>
                <w:b/>
                <w:noProof/>
              </w:rPr>
              <w:t>3.3 Financial Crisis &amp; aftermath Effects:</w:t>
            </w:r>
            <w:r w:rsidR="002C178D">
              <w:rPr>
                <w:noProof/>
                <w:webHidden/>
              </w:rPr>
              <w:tab/>
            </w:r>
            <w:r w:rsidR="002C178D">
              <w:rPr>
                <w:noProof/>
                <w:webHidden/>
              </w:rPr>
              <w:fldChar w:fldCharType="begin"/>
            </w:r>
            <w:r w:rsidR="002C178D">
              <w:rPr>
                <w:noProof/>
                <w:webHidden/>
              </w:rPr>
              <w:instrText xml:space="preserve"> PAGEREF _Toc52709121 \h </w:instrText>
            </w:r>
            <w:r w:rsidR="002C178D">
              <w:rPr>
                <w:noProof/>
                <w:webHidden/>
              </w:rPr>
            </w:r>
            <w:r w:rsidR="002C178D">
              <w:rPr>
                <w:noProof/>
                <w:webHidden/>
              </w:rPr>
              <w:fldChar w:fldCharType="separate"/>
            </w:r>
            <w:r w:rsidR="002C178D">
              <w:rPr>
                <w:noProof/>
                <w:webHidden/>
              </w:rPr>
              <w:t>19</w:t>
            </w:r>
            <w:r w:rsidR="002C178D">
              <w:rPr>
                <w:noProof/>
                <w:webHidden/>
              </w:rPr>
              <w:fldChar w:fldCharType="end"/>
            </w:r>
          </w:hyperlink>
        </w:p>
        <w:p w14:paraId="2E19F241" w14:textId="77777777" w:rsidR="002C178D" w:rsidRDefault="004A7CA3">
          <w:pPr>
            <w:pStyle w:val="TOC2"/>
            <w:tabs>
              <w:tab w:val="right" w:leader="dot" w:pos="9350"/>
            </w:tabs>
            <w:rPr>
              <w:rFonts w:eastAsiaTheme="minorEastAsia"/>
              <w:noProof/>
            </w:rPr>
          </w:pPr>
          <w:hyperlink w:anchor="_Toc52709122" w:history="1">
            <w:r w:rsidR="002C178D" w:rsidRPr="001A2342">
              <w:rPr>
                <w:rStyle w:val="Hyperlink"/>
                <w:b/>
                <w:noProof/>
              </w:rPr>
              <w:t>3.4 Stakeholders &amp; sustainability:</w:t>
            </w:r>
            <w:r w:rsidR="002C178D">
              <w:rPr>
                <w:noProof/>
                <w:webHidden/>
              </w:rPr>
              <w:tab/>
            </w:r>
            <w:r w:rsidR="002C178D">
              <w:rPr>
                <w:noProof/>
                <w:webHidden/>
              </w:rPr>
              <w:fldChar w:fldCharType="begin"/>
            </w:r>
            <w:r w:rsidR="002C178D">
              <w:rPr>
                <w:noProof/>
                <w:webHidden/>
              </w:rPr>
              <w:instrText xml:space="preserve"> PAGEREF _Toc52709122 \h </w:instrText>
            </w:r>
            <w:r w:rsidR="002C178D">
              <w:rPr>
                <w:noProof/>
                <w:webHidden/>
              </w:rPr>
            </w:r>
            <w:r w:rsidR="002C178D">
              <w:rPr>
                <w:noProof/>
                <w:webHidden/>
              </w:rPr>
              <w:fldChar w:fldCharType="separate"/>
            </w:r>
            <w:r w:rsidR="002C178D">
              <w:rPr>
                <w:noProof/>
                <w:webHidden/>
              </w:rPr>
              <w:t>19</w:t>
            </w:r>
            <w:r w:rsidR="002C178D">
              <w:rPr>
                <w:noProof/>
                <w:webHidden/>
              </w:rPr>
              <w:fldChar w:fldCharType="end"/>
            </w:r>
          </w:hyperlink>
        </w:p>
        <w:p w14:paraId="346F7610" w14:textId="77777777" w:rsidR="002C178D" w:rsidRDefault="004A7CA3">
          <w:pPr>
            <w:pStyle w:val="TOC1"/>
            <w:tabs>
              <w:tab w:val="right" w:leader="dot" w:pos="9350"/>
            </w:tabs>
            <w:rPr>
              <w:rFonts w:eastAsiaTheme="minorEastAsia"/>
              <w:noProof/>
            </w:rPr>
          </w:pPr>
          <w:hyperlink w:anchor="_Toc52709123" w:history="1">
            <w:r w:rsidR="002C178D" w:rsidRPr="001A2342">
              <w:rPr>
                <w:rStyle w:val="Hyperlink"/>
                <w:b/>
                <w:noProof/>
              </w:rPr>
              <w:t>Chapter 4: Risk Management</w:t>
            </w:r>
            <w:r w:rsidR="002C178D">
              <w:rPr>
                <w:noProof/>
                <w:webHidden/>
              </w:rPr>
              <w:tab/>
            </w:r>
            <w:r w:rsidR="002C178D">
              <w:rPr>
                <w:noProof/>
                <w:webHidden/>
              </w:rPr>
              <w:fldChar w:fldCharType="begin"/>
            </w:r>
            <w:r w:rsidR="002C178D">
              <w:rPr>
                <w:noProof/>
                <w:webHidden/>
              </w:rPr>
              <w:instrText xml:space="preserve"> PAGEREF _Toc52709123 \h </w:instrText>
            </w:r>
            <w:r w:rsidR="002C178D">
              <w:rPr>
                <w:noProof/>
                <w:webHidden/>
              </w:rPr>
            </w:r>
            <w:r w:rsidR="002C178D">
              <w:rPr>
                <w:noProof/>
                <w:webHidden/>
              </w:rPr>
              <w:fldChar w:fldCharType="separate"/>
            </w:r>
            <w:r w:rsidR="002C178D">
              <w:rPr>
                <w:noProof/>
                <w:webHidden/>
              </w:rPr>
              <w:t>21</w:t>
            </w:r>
            <w:r w:rsidR="002C178D">
              <w:rPr>
                <w:noProof/>
                <w:webHidden/>
              </w:rPr>
              <w:fldChar w:fldCharType="end"/>
            </w:r>
          </w:hyperlink>
        </w:p>
        <w:p w14:paraId="33112479" w14:textId="77777777" w:rsidR="002C178D" w:rsidRDefault="004A7CA3">
          <w:pPr>
            <w:pStyle w:val="TOC2"/>
            <w:tabs>
              <w:tab w:val="right" w:leader="dot" w:pos="9350"/>
            </w:tabs>
            <w:rPr>
              <w:rFonts w:eastAsiaTheme="minorEastAsia"/>
              <w:noProof/>
            </w:rPr>
          </w:pPr>
          <w:hyperlink w:anchor="_Toc52709124" w:history="1">
            <w:r w:rsidR="002C178D" w:rsidRPr="001A2342">
              <w:rPr>
                <w:rStyle w:val="Hyperlink"/>
                <w:b/>
                <w:noProof/>
              </w:rPr>
              <w:t>4.1 Risk Management concept:</w:t>
            </w:r>
            <w:r w:rsidR="002C178D">
              <w:rPr>
                <w:noProof/>
                <w:webHidden/>
              </w:rPr>
              <w:tab/>
            </w:r>
            <w:r w:rsidR="002C178D">
              <w:rPr>
                <w:noProof/>
                <w:webHidden/>
              </w:rPr>
              <w:fldChar w:fldCharType="begin"/>
            </w:r>
            <w:r w:rsidR="002C178D">
              <w:rPr>
                <w:noProof/>
                <w:webHidden/>
              </w:rPr>
              <w:instrText xml:space="preserve"> PAGEREF _Toc52709124 \h </w:instrText>
            </w:r>
            <w:r w:rsidR="002C178D">
              <w:rPr>
                <w:noProof/>
                <w:webHidden/>
              </w:rPr>
            </w:r>
            <w:r w:rsidR="002C178D">
              <w:rPr>
                <w:noProof/>
                <w:webHidden/>
              </w:rPr>
              <w:fldChar w:fldCharType="separate"/>
            </w:r>
            <w:r w:rsidR="002C178D">
              <w:rPr>
                <w:noProof/>
                <w:webHidden/>
              </w:rPr>
              <w:t>22</w:t>
            </w:r>
            <w:r w:rsidR="002C178D">
              <w:rPr>
                <w:noProof/>
                <w:webHidden/>
              </w:rPr>
              <w:fldChar w:fldCharType="end"/>
            </w:r>
          </w:hyperlink>
        </w:p>
        <w:p w14:paraId="33B0F592" w14:textId="77777777" w:rsidR="002C178D" w:rsidRDefault="004A7CA3">
          <w:pPr>
            <w:pStyle w:val="TOC2"/>
            <w:tabs>
              <w:tab w:val="right" w:leader="dot" w:pos="9350"/>
            </w:tabs>
            <w:rPr>
              <w:rFonts w:eastAsiaTheme="minorEastAsia"/>
              <w:noProof/>
            </w:rPr>
          </w:pPr>
          <w:hyperlink w:anchor="_Toc52709125" w:history="1">
            <w:r w:rsidR="002C178D" w:rsidRPr="001A2342">
              <w:rPr>
                <w:rStyle w:val="Hyperlink"/>
                <w:b/>
                <w:noProof/>
                <w:lang w:val="ru-RU" w:eastAsia="ru-RU"/>
              </w:rPr>
              <w:t>4.2 Operational risk measurements in insurance industry</w:t>
            </w:r>
            <w:r w:rsidR="002C178D" w:rsidRPr="001A2342">
              <w:rPr>
                <w:rStyle w:val="Hyperlink"/>
                <w:noProof/>
                <w:lang w:val="ru-RU" w:eastAsia="ru-RU"/>
              </w:rPr>
              <w:t>:</w:t>
            </w:r>
            <w:r w:rsidR="002C178D">
              <w:rPr>
                <w:noProof/>
                <w:webHidden/>
              </w:rPr>
              <w:tab/>
            </w:r>
            <w:r w:rsidR="002C178D">
              <w:rPr>
                <w:noProof/>
                <w:webHidden/>
              </w:rPr>
              <w:fldChar w:fldCharType="begin"/>
            </w:r>
            <w:r w:rsidR="002C178D">
              <w:rPr>
                <w:noProof/>
                <w:webHidden/>
              </w:rPr>
              <w:instrText xml:space="preserve"> PAGEREF _Toc52709125 \h </w:instrText>
            </w:r>
            <w:r w:rsidR="002C178D">
              <w:rPr>
                <w:noProof/>
                <w:webHidden/>
              </w:rPr>
            </w:r>
            <w:r w:rsidR="002C178D">
              <w:rPr>
                <w:noProof/>
                <w:webHidden/>
              </w:rPr>
              <w:fldChar w:fldCharType="separate"/>
            </w:r>
            <w:r w:rsidR="002C178D">
              <w:rPr>
                <w:noProof/>
                <w:webHidden/>
              </w:rPr>
              <w:t>22</w:t>
            </w:r>
            <w:r w:rsidR="002C178D">
              <w:rPr>
                <w:noProof/>
                <w:webHidden/>
              </w:rPr>
              <w:fldChar w:fldCharType="end"/>
            </w:r>
          </w:hyperlink>
        </w:p>
        <w:p w14:paraId="26C9C40C" w14:textId="77777777" w:rsidR="002C178D" w:rsidRDefault="004A7CA3">
          <w:pPr>
            <w:pStyle w:val="TOC2"/>
            <w:tabs>
              <w:tab w:val="right" w:leader="dot" w:pos="9350"/>
            </w:tabs>
            <w:rPr>
              <w:rFonts w:eastAsiaTheme="minorEastAsia"/>
              <w:noProof/>
            </w:rPr>
          </w:pPr>
          <w:hyperlink w:anchor="_Toc52709126" w:history="1">
            <w:r w:rsidR="002C178D" w:rsidRPr="001A2342">
              <w:rPr>
                <w:rStyle w:val="Hyperlink"/>
                <w:b/>
                <w:noProof/>
              </w:rPr>
              <w:t>4.3 Macro variable factors’ influence in risk management:</w:t>
            </w:r>
            <w:r w:rsidR="002C178D">
              <w:rPr>
                <w:noProof/>
                <w:webHidden/>
              </w:rPr>
              <w:tab/>
            </w:r>
            <w:r w:rsidR="002C178D">
              <w:rPr>
                <w:noProof/>
                <w:webHidden/>
              </w:rPr>
              <w:fldChar w:fldCharType="begin"/>
            </w:r>
            <w:r w:rsidR="002C178D">
              <w:rPr>
                <w:noProof/>
                <w:webHidden/>
              </w:rPr>
              <w:instrText xml:space="preserve"> PAGEREF _Toc52709126 \h </w:instrText>
            </w:r>
            <w:r w:rsidR="002C178D">
              <w:rPr>
                <w:noProof/>
                <w:webHidden/>
              </w:rPr>
            </w:r>
            <w:r w:rsidR="002C178D">
              <w:rPr>
                <w:noProof/>
                <w:webHidden/>
              </w:rPr>
              <w:fldChar w:fldCharType="separate"/>
            </w:r>
            <w:r w:rsidR="002C178D">
              <w:rPr>
                <w:noProof/>
                <w:webHidden/>
              </w:rPr>
              <w:t>22</w:t>
            </w:r>
            <w:r w:rsidR="002C178D">
              <w:rPr>
                <w:noProof/>
                <w:webHidden/>
              </w:rPr>
              <w:fldChar w:fldCharType="end"/>
            </w:r>
          </w:hyperlink>
        </w:p>
        <w:p w14:paraId="2572CA51" w14:textId="77777777" w:rsidR="002C178D" w:rsidRDefault="004A7CA3">
          <w:pPr>
            <w:pStyle w:val="TOC2"/>
            <w:tabs>
              <w:tab w:val="right" w:leader="dot" w:pos="9350"/>
            </w:tabs>
            <w:rPr>
              <w:rFonts w:eastAsiaTheme="minorEastAsia"/>
              <w:noProof/>
            </w:rPr>
          </w:pPr>
          <w:hyperlink w:anchor="_Toc52709127" w:history="1">
            <w:r w:rsidR="002C178D" w:rsidRPr="001A2342">
              <w:rPr>
                <w:rStyle w:val="Hyperlink"/>
                <w:b/>
                <w:noProof/>
              </w:rPr>
              <w:t>4.4 Risk Management in Agriculture:</w:t>
            </w:r>
            <w:r w:rsidR="002C178D">
              <w:rPr>
                <w:noProof/>
                <w:webHidden/>
              </w:rPr>
              <w:tab/>
            </w:r>
            <w:r w:rsidR="002C178D">
              <w:rPr>
                <w:noProof/>
                <w:webHidden/>
              </w:rPr>
              <w:fldChar w:fldCharType="begin"/>
            </w:r>
            <w:r w:rsidR="002C178D">
              <w:rPr>
                <w:noProof/>
                <w:webHidden/>
              </w:rPr>
              <w:instrText xml:space="preserve"> PAGEREF _Toc52709127 \h </w:instrText>
            </w:r>
            <w:r w:rsidR="002C178D">
              <w:rPr>
                <w:noProof/>
                <w:webHidden/>
              </w:rPr>
            </w:r>
            <w:r w:rsidR="002C178D">
              <w:rPr>
                <w:noProof/>
                <w:webHidden/>
              </w:rPr>
              <w:fldChar w:fldCharType="separate"/>
            </w:r>
            <w:r w:rsidR="002C178D">
              <w:rPr>
                <w:noProof/>
                <w:webHidden/>
              </w:rPr>
              <w:t>23</w:t>
            </w:r>
            <w:r w:rsidR="002C178D">
              <w:rPr>
                <w:noProof/>
                <w:webHidden/>
              </w:rPr>
              <w:fldChar w:fldCharType="end"/>
            </w:r>
          </w:hyperlink>
        </w:p>
        <w:p w14:paraId="3FC8439E" w14:textId="77777777" w:rsidR="002C178D" w:rsidRDefault="004A7CA3">
          <w:pPr>
            <w:pStyle w:val="TOC1"/>
            <w:tabs>
              <w:tab w:val="right" w:leader="dot" w:pos="9350"/>
            </w:tabs>
            <w:rPr>
              <w:rFonts w:eastAsiaTheme="minorEastAsia"/>
              <w:noProof/>
            </w:rPr>
          </w:pPr>
          <w:hyperlink w:anchor="_Toc52709128" w:history="1">
            <w:r w:rsidR="002C178D" w:rsidRPr="001A2342">
              <w:rPr>
                <w:rStyle w:val="Hyperlink"/>
                <w:b/>
                <w:noProof/>
              </w:rPr>
              <w:t>Chapter 5: Comparative Analysis</w:t>
            </w:r>
            <w:r w:rsidR="002C178D">
              <w:rPr>
                <w:noProof/>
                <w:webHidden/>
              </w:rPr>
              <w:tab/>
            </w:r>
            <w:r w:rsidR="002C178D">
              <w:rPr>
                <w:noProof/>
                <w:webHidden/>
              </w:rPr>
              <w:fldChar w:fldCharType="begin"/>
            </w:r>
            <w:r w:rsidR="002C178D">
              <w:rPr>
                <w:noProof/>
                <w:webHidden/>
              </w:rPr>
              <w:instrText xml:space="preserve"> PAGEREF _Toc52709128 \h </w:instrText>
            </w:r>
            <w:r w:rsidR="002C178D">
              <w:rPr>
                <w:noProof/>
                <w:webHidden/>
              </w:rPr>
            </w:r>
            <w:r w:rsidR="002C178D">
              <w:rPr>
                <w:noProof/>
                <w:webHidden/>
              </w:rPr>
              <w:fldChar w:fldCharType="separate"/>
            </w:r>
            <w:r w:rsidR="002C178D">
              <w:rPr>
                <w:noProof/>
                <w:webHidden/>
              </w:rPr>
              <w:t>25</w:t>
            </w:r>
            <w:r w:rsidR="002C178D">
              <w:rPr>
                <w:noProof/>
                <w:webHidden/>
              </w:rPr>
              <w:fldChar w:fldCharType="end"/>
            </w:r>
          </w:hyperlink>
        </w:p>
        <w:p w14:paraId="00D6D51A" w14:textId="77777777" w:rsidR="002C178D" w:rsidRDefault="004A7CA3">
          <w:pPr>
            <w:pStyle w:val="TOC2"/>
            <w:tabs>
              <w:tab w:val="right" w:leader="dot" w:pos="9350"/>
            </w:tabs>
            <w:rPr>
              <w:rFonts w:eastAsiaTheme="minorEastAsia"/>
              <w:noProof/>
            </w:rPr>
          </w:pPr>
          <w:hyperlink w:anchor="_Toc52709129" w:history="1">
            <w:r w:rsidR="002C178D" w:rsidRPr="001A2342">
              <w:rPr>
                <w:rStyle w:val="Hyperlink"/>
                <w:b/>
                <w:noProof/>
              </w:rPr>
              <w:t>5.2 Conventional life insurance VS Islamic (Takaful) Insurance:</w:t>
            </w:r>
            <w:r w:rsidR="002C178D">
              <w:rPr>
                <w:noProof/>
                <w:webHidden/>
              </w:rPr>
              <w:tab/>
            </w:r>
            <w:r w:rsidR="002C178D">
              <w:rPr>
                <w:noProof/>
                <w:webHidden/>
              </w:rPr>
              <w:fldChar w:fldCharType="begin"/>
            </w:r>
            <w:r w:rsidR="002C178D">
              <w:rPr>
                <w:noProof/>
                <w:webHidden/>
              </w:rPr>
              <w:instrText xml:space="preserve"> PAGEREF _Toc52709129 \h </w:instrText>
            </w:r>
            <w:r w:rsidR="002C178D">
              <w:rPr>
                <w:noProof/>
                <w:webHidden/>
              </w:rPr>
            </w:r>
            <w:r w:rsidR="002C178D">
              <w:rPr>
                <w:noProof/>
                <w:webHidden/>
              </w:rPr>
              <w:fldChar w:fldCharType="separate"/>
            </w:r>
            <w:r w:rsidR="002C178D">
              <w:rPr>
                <w:noProof/>
                <w:webHidden/>
              </w:rPr>
              <w:t>27</w:t>
            </w:r>
            <w:r w:rsidR="002C178D">
              <w:rPr>
                <w:noProof/>
                <w:webHidden/>
              </w:rPr>
              <w:fldChar w:fldCharType="end"/>
            </w:r>
          </w:hyperlink>
        </w:p>
        <w:p w14:paraId="4CB9EB9C" w14:textId="77777777" w:rsidR="002C178D" w:rsidRDefault="004A7CA3">
          <w:pPr>
            <w:pStyle w:val="TOC1"/>
            <w:tabs>
              <w:tab w:val="right" w:leader="dot" w:pos="9350"/>
            </w:tabs>
            <w:rPr>
              <w:rFonts w:eastAsiaTheme="minorEastAsia"/>
              <w:noProof/>
            </w:rPr>
          </w:pPr>
          <w:hyperlink w:anchor="_Toc52709130" w:history="1">
            <w:r w:rsidR="002C178D" w:rsidRPr="001A2342">
              <w:rPr>
                <w:rStyle w:val="Hyperlink"/>
                <w:b/>
                <w:noProof/>
              </w:rPr>
              <w:t>Chapter-6(Findings, Conclusion &amp; Limitations)</w:t>
            </w:r>
            <w:r w:rsidR="002C178D">
              <w:rPr>
                <w:noProof/>
                <w:webHidden/>
              </w:rPr>
              <w:tab/>
            </w:r>
            <w:r w:rsidR="002C178D">
              <w:rPr>
                <w:noProof/>
                <w:webHidden/>
              </w:rPr>
              <w:fldChar w:fldCharType="begin"/>
            </w:r>
            <w:r w:rsidR="002C178D">
              <w:rPr>
                <w:noProof/>
                <w:webHidden/>
              </w:rPr>
              <w:instrText xml:space="preserve"> PAGEREF _Toc52709130 \h </w:instrText>
            </w:r>
            <w:r w:rsidR="002C178D">
              <w:rPr>
                <w:noProof/>
                <w:webHidden/>
              </w:rPr>
            </w:r>
            <w:r w:rsidR="002C178D">
              <w:rPr>
                <w:noProof/>
                <w:webHidden/>
              </w:rPr>
              <w:fldChar w:fldCharType="separate"/>
            </w:r>
            <w:r w:rsidR="002C178D">
              <w:rPr>
                <w:noProof/>
                <w:webHidden/>
              </w:rPr>
              <w:t>29</w:t>
            </w:r>
            <w:r w:rsidR="002C178D">
              <w:rPr>
                <w:noProof/>
                <w:webHidden/>
              </w:rPr>
              <w:fldChar w:fldCharType="end"/>
            </w:r>
          </w:hyperlink>
        </w:p>
        <w:p w14:paraId="13909D1D" w14:textId="77777777" w:rsidR="002C178D" w:rsidRDefault="004A7CA3">
          <w:pPr>
            <w:pStyle w:val="TOC2"/>
            <w:tabs>
              <w:tab w:val="right" w:leader="dot" w:pos="9350"/>
            </w:tabs>
            <w:rPr>
              <w:rFonts w:eastAsiaTheme="minorEastAsia"/>
              <w:noProof/>
            </w:rPr>
          </w:pPr>
          <w:hyperlink w:anchor="_Toc52709131" w:history="1">
            <w:r w:rsidR="002C178D" w:rsidRPr="001A2342">
              <w:rPr>
                <w:rStyle w:val="Hyperlink"/>
                <w:b/>
                <w:noProof/>
              </w:rPr>
              <w:t>6.1 Findings:</w:t>
            </w:r>
            <w:r w:rsidR="002C178D">
              <w:rPr>
                <w:noProof/>
                <w:webHidden/>
              </w:rPr>
              <w:tab/>
            </w:r>
            <w:r w:rsidR="002C178D">
              <w:rPr>
                <w:noProof/>
                <w:webHidden/>
              </w:rPr>
              <w:fldChar w:fldCharType="begin"/>
            </w:r>
            <w:r w:rsidR="002C178D">
              <w:rPr>
                <w:noProof/>
                <w:webHidden/>
              </w:rPr>
              <w:instrText xml:space="preserve"> PAGEREF _Toc52709131 \h </w:instrText>
            </w:r>
            <w:r w:rsidR="002C178D">
              <w:rPr>
                <w:noProof/>
                <w:webHidden/>
              </w:rPr>
            </w:r>
            <w:r w:rsidR="002C178D">
              <w:rPr>
                <w:noProof/>
                <w:webHidden/>
              </w:rPr>
              <w:fldChar w:fldCharType="separate"/>
            </w:r>
            <w:r w:rsidR="002C178D">
              <w:rPr>
                <w:noProof/>
                <w:webHidden/>
              </w:rPr>
              <w:t>30</w:t>
            </w:r>
            <w:r w:rsidR="002C178D">
              <w:rPr>
                <w:noProof/>
                <w:webHidden/>
              </w:rPr>
              <w:fldChar w:fldCharType="end"/>
            </w:r>
          </w:hyperlink>
        </w:p>
        <w:p w14:paraId="2DE80D85" w14:textId="77777777" w:rsidR="002C178D" w:rsidRDefault="004A7CA3">
          <w:pPr>
            <w:pStyle w:val="TOC2"/>
            <w:tabs>
              <w:tab w:val="right" w:leader="dot" w:pos="9350"/>
            </w:tabs>
            <w:rPr>
              <w:rFonts w:eastAsiaTheme="minorEastAsia"/>
              <w:noProof/>
            </w:rPr>
          </w:pPr>
          <w:hyperlink w:anchor="_Toc52709132" w:history="1">
            <w:r w:rsidR="002C178D" w:rsidRPr="001A2342">
              <w:rPr>
                <w:rStyle w:val="Hyperlink"/>
                <w:b/>
                <w:noProof/>
              </w:rPr>
              <w:t>6.2 Conclusion:</w:t>
            </w:r>
            <w:r w:rsidR="002C178D">
              <w:rPr>
                <w:noProof/>
                <w:webHidden/>
              </w:rPr>
              <w:tab/>
            </w:r>
            <w:r w:rsidR="002C178D">
              <w:rPr>
                <w:noProof/>
                <w:webHidden/>
              </w:rPr>
              <w:fldChar w:fldCharType="begin"/>
            </w:r>
            <w:r w:rsidR="002C178D">
              <w:rPr>
                <w:noProof/>
                <w:webHidden/>
              </w:rPr>
              <w:instrText xml:space="preserve"> PAGEREF _Toc52709132 \h </w:instrText>
            </w:r>
            <w:r w:rsidR="002C178D">
              <w:rPr>
                <w:noProof/>
                <w:webHidden/>
              </w:rPr>
            </w:r>
            <w:r w:rsidR="002C178D">
              <w:rPr>
                <w:noProof/>
                <w:webHidden/>
              </w:rPr>
              <w:fldChar w:fldCharType="separate"/>
            </w:r>
            <w:r w:rsidR="002C178D">
              <w:rPr>
                <w:noProof/>
                <w:webHidden/>
              </w:rPr>
              <w:t>31</w:t>
            </w:r>
            <w:r w:rsidR="002C178D">
              <w:rPr>
                <w:noProof/>
                <w:webHidden/>
              </w:rPr>
              <w:fldChar w:fldCharType="end"/>
            </w:r>
          </w:hyperlink>
        </w:p>
        <w:p w14:paraId="3A5B72B2" w14:textId="77777777" w:rsidR="002C178D" w:rsidRDefault="004A7CA3">
          <w:pPr>
            <w:pStyle w:val="TOC2"/>
            <w:tabs>
              <w:tab w:val="right" w:leader="dot" w:pos="9350"/>
            </w:tabs>
            <w:rPr>
              <w:rFonts w:eastAsiaTheme="minorEastAsia"/>
              <w:noProof/>
            </w:rPr>
          </w:pPr>
          <w:hyperlink w:anchor="_Toc52709133" w:history="1">
            <w:r w:rsidR="002C178D" w:rsidRPr="001A2342">
              <w:rPr>
                <w:rStyle w:val="Hyperlink"/>
                <w:b/>
                <w:noProof/>
              </w:rPr>
              <w:t>6.3 Limitations of this study:</w:t>
            </w:r>
            <w:r w:rsidR="002C178D">
              <w:rPr>
                <w:noProof/>
                <w:webHidden/>
              </w:rPr>
              <w:tab/>
            </w:r>
            <w:r w:rsidR="002C178D">
              <w:rPr>
                <w:noProof/>
                <w:webHidden/>
              </w:rPr>
              <w:fldChar w:fldCharType="begin"/>
            </w:r>
            <w:r w:rsidR="002C178D">
              <w:rPr>
                <w:noProof/>
                <w:webHidden/>
              </w:rPr>
              <w:instrText xml:space="preserve"> PAGEREF _Toc52709133 \h </w:instrText>
            </w:r>
            <w:r w:rsidR="002C178D">
              <w:rPr>
                <w:noProof/>
                <w:webHidden/>
              </w:rPr>
            </w:r>
            <w:r w:rsidR="002C178D">
              <w:rPr>
                <w:noProof/>
                <w:webHidden/>
              </w:rPr>
              <w:fldChar w:fldCharType="separate"/>
            </w:r>
            <w:r w:rsidR="002C178D">
              <w:rPr>
                <w:noProof/>
                <w:webHidden/>
              </w:rPr>
              <w:t>32</w:t>
            </w:r>
            <w:r w:rsidR="002C178D">
              <w:rPr>
                <w:noProof/>
                <w:webHidden/>
              </w:rPr>
              <w:fldChar w:fldCharType="end"/>
            </w:r>
          </w:hyperlink>
        </w:p>
        <w:p w14:paraId="614BE629" w14:textId="77777777" w:rsidR="002C178D" w:rsidRDefault="004A7CA3">
          <w:pPr>
            <w:pStyle w:val="TOC1"/>
            <w:tabs>
              <w:tab w:val="right" w:leader="dot" w:pos="9350"/>
            </w:tabs>
            <w:rPr>
              <w:rFonts w:eastAsiaTheme="minorEastAsia"/>
              <w:noProof/>
            </w:rPr>
          </w:pPr>
          <w:hyperlink w:anchor="_Toc52709134" w:history="1">
            <w:r w:rsidR="002C178D" w:rsidRPr="001A2342">
              <w:rPr>
                <w:rStyle w:val="Hyperlink"/>
                <w:b/>
                <w:noProof/>
              </w:rPr>
              <w:t>References</w:t>
            </w:r>
            <w:r w:rsidR="002C178D">
              <w:rPr>
                <w:noProof/>
                <w:webHidden/>
              </w:rPr>
              <w:tab/>
            </w:r>
            <w:r w:rsidR="002C178D">
              <w:rPr>
                <w:noProof/>
                <w:webHidden/>
              </w:rPr>
              <w:fldChar w:fldCharType="begin"/>
            </w:r>
            <w:r w:rsidR="002C178D">
              <w:rPr>
                <w:noProof/>
                <w:webHidden/>
              </w:rPr>
              <w:instrText xml:space="preserve"> PAGEREF _Toc52709134 \h </w:instrText>
            </w:r>
            <w:r w:rsidR="002C178D">
              <w:rPr>
                <w:noProof/>
                <w:webHidden/>
              </w:rPr>
            </w:r>
            <w:r w:rsidR="002C178D">
              <w:rPr>
                <w:noProof/>
                <w:webHidden/>
              </w:rPr>
              <w:fldChar w:fldCharType="separate"/>
            </w:r>
            <w:r w:rsidR="002C178D">
              <w:rPr>
                <w:noProof/>
                <w:webHidden/>
              </w:rPr>
              <w:t>33</w:t>
            </w:r>
            <w:r w:rsidR="002C178D">
              <w:rPr>
                <w:noProof/>
                <w:webHidden/>
              </w:rPr>
              <w:fldChar w:fldCharType="end"/>
            </w:r>
          </w:hyperlink>
        </w:p>
        <w:p w14:paraId="37C9A862" w14:textId="77777777" w:rsidR="002C178D" w:rsidRDefault="002C178D">
          <w:r>
            <w:rPr>
              <w:b/>
              <w:bCs/>
              <w:noProof/>
            </w:rPr>
            <w:fldChar w:fldCharType="end"/>
          </w:r>
        </w:p>
      </w:sdtContent>
    </w:sdt>
    <w:p w14:paraId="4E4D8A3F" w14:textId="77777777" w:rsidR="002C178D" w:rsidRDefault="002C178D">
      <w:pPr>
        <w:rPr>
          <w:rFonts w:ascii="Times New Roman" w:hAnsi="Times New Roman" w:cs="Times New Roman"/>
          <w:b/>
          <w:sz w:val="24"/>
          <w:szCs w:val="24"/>
        </w:rPr>
      </w:pPr>
      <w:r>
        <w:rPr>
          <w:rFonts w:ascii="Times New Roman" w:hAnsi="Times New Roman" w:cs="Times New Roman"/>
          <w:b/>
          <w:sz w:val="24"/>
          <w:szCs w:val="24"/>
        </w:rPr>
        <w:br w:type="page"/>
      </w:r>
    </w:p>
    <w:p w14:paraId="0FBD7A24" w14:textId="77777777" w:rsidR="002C178D" w:rsidRPr="00757E08" w:rsidRDefault="002C178D">
      <w:pPr>
        <w:rPr>
          <w:rFonts w:ascii="Times New Roman" w:hAnsi="Times New Roman" w:cs="Times New Roman"/>
          <w:b/>
          <w:sz w:val="24"/>
          <w:szCs w:val="24"/>
        </w:rPr>
      </w:pPr>
    </w:p>
    <w:p w14:paraId="73037617" w14:textId="77777777" w:rsidR="002C178D" w:rsidRDefault="002C178D" w:rsidP="00E13104">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14:paraId="66D64757" w14:textId="77777777" w:rsidR="002C178D" w:rsidRDefault="002C178D" w:rsidP="00E13104">
      <w:pPr>
        <w:spacing w:line="360" w:lineRule="auto"/>
        <w:jc w:val="both"/>
        <w:rPr>
          <w:rFonts w:ascii="Times New Roman" w:hAnsi="Times New Roman" w:cs="Times New Roman"/>
          <w:b/>
          <w:sz w:val="28"/>
          <w:szCs w:val="28"/>
        </w:rPr>
      </w:pPr>
    </w:p>
    <w:p w14:paraId="457BBF87" w14:textId="77777777" w:rsidR="002C178D" w:rsidRDefault="002C178D" w:rsidP="00E13104">
      <w:pPr>
        <w:spacing w:line="360" w:lineRule="auto"/>
        <w:jc w:val="both"/>
        <w:rPr>
          <w:rFonts w:ascii="Times New Roman" w:hAnsi="Times New Roman" w:cs="Times New Roman"/>
          <w:b/>
          <w:sz w:val="28"/>
          <w:szCs w:val="28"/>
        </w:rPr>
      </w:pPr>
    </w:p>
    <w:p w14:paraId="376F7F9A" w14:textId="77777777" w:rsidR="002C178D" w:rsidRDefault="002C178D" w:rsidP="00E13104">
      <w:pPr>
        <w:spacing w:line="360" w:lineRule="auto"/>
        <w:jc w:val="both"/>
        <w:rPr>
          <w:rFonts w:ascii="Times New Roman" w:hAnsi="Times New Roman" w:cs="Times New Roman"/>
          <w:b/>
          <w:sz w:val="28"/>
          <w:szCs w:val="28"/>
        </w:rPr>
      </w:pPr>
    </w:p>
    <w:p w14:paraId="4B7EFD74" w14:textId="77777777" w:rsidR="002C178D" w:rsidRDefault="002C178D" w:rsidP="00E13104">
      <w:pPr>
        <w:spacing w:line="360" w:lineRule="auto"/>
        <w:jc w:val="both"/>
        <w:rPr>
          <w:rFonts w:ascii="Times New Roman" w:hAnsi="Times New Roman" w:cs="Times New Roman"/>
          <w:b/>
          <w:sz w:val="28"/>
          <w:szCs w:val="28"/>
        </w:rPr>
      </w:pPr>
    </w:p>
    <w:p w14:paraId="61CE220E" w14:textId="77777777" w:rsidR="002C178D" w:rsidRDefault="002C178D" w:rsidP="00E13104">
      <w:pPr>
        <w:spacing w:line="360" w:lineRule="auto"/>
        <w:jc w:val="both"/>
        <w:rPr>
          <w:rFonts w:ascii="Times New Roman" w:hAnsi="Times New Roman" w:cs="Times New Roman"/>
          <w:b/>
          <w:sz w:val="28"/>
          <w:szCs w:val="28"/>
        </w:rPr>
      </w:pPr>
    </w:p>
    <w:p w14:paraId="3BFD67E6" w14:textId="77777777" w:rsidR="002C178D" w:rsidRDefault="002C178D" w:rsidP="00E13104">
      <w:pPr>
        <w:spacing w:line="360" w:lineRule="auto"/>
        <w:jc w:val="both"/>
        <w:rPr>
          <w:rFonts w:ascii="Times New Roman" w:hAnsi="Times New Roman" w:cs="Times New Roman"/>
          <w:b/>
          <w:sz w:val="28"/>
          <w:szCs w:val="28"/>
        </w:rPr>
      </w:pPr>
    </w:p>
    <w:p w14:paraId="0387C337" w14:textId="77777777" w:rsidR="002C178D" w:rsidRDefault="002C178D" w:rsidP="00E13104">
      <w:pPr>
        <w:spacing w:line="360" w:lineRule="auto"/>
        <w:jc w:val="both"/>
        <w:rPr>
          <w:rFonts w:ascii="Times New Roman" w:hAnsi="Times New Roman" w:cs="Times New Roman"/>
          <w:b/>
          <w:sz w:val="28"/>
          <w:szCs w:val="28"/>
        </w:rPr>
      </w:pPr>
    </w:p>
    <w:p w14:paraId="0A58D499" w14:textId="77777777" w:rsidR="002C178D" w:rsidRPr="00DF6FE2" w:rsidRDefault="002C178D" w:rsidP="00B53EFF">
      <w:pPr>
        <w:pStyle w:val="Heading1"/>
        <w:rPr>
          <w:b/>
        </w:rPr>
      </w:pPr>
      <w:bookmarkStart w:id="2" w:name="_Toc52709107"/>
      <w:r w:rsidRPr="00DF6FE2">
        <w:rPr>
          <w:b/>
        </w:rPr>
        <w:t>Chapter: 1(Introduction &amp; Insurance concepts)</w:t>
      </w:r>
      <w:bookmarkEnd w:id="2"/>
    </w:p>
    <w:p w14:paraId="0CE0AD3A" w14:textId="77777777" w:rsidR="002C178D" w:rsidRPr="00DF6FE2" w:rsidRDefault="002C178D" w:rsidP="00E13104">
      <w:pPr>
        <w:spacing w:line="360" w:lineRule="auto"/>
        <w:jc w:val="both"/>
        <w:rPr>
          <w:rFonts w:ascii="Times New Roman" w:hAnsi="Times New Roman" w:cs="Times New Roman"/>
          <w:b/>
          <w:sz w:val="28"/>
          <w:szCs w:val="28"/>
        </w:rPr>
      </w:pPr>
    </w:p>
    <w:p w14:paraId="22625407" w14:textId="77777777" w:rsidR="002C178D" w:rsidRDefault="002C178D" w:rsidP="00E13104">
      <w:pPr>
        <w:spacing w:line="360" w:lineRule="auto"/>
        <w:jc w:val="both"/>
        <w:rPr>
          <w:rFonts w:ascii="Times New Roman" w:hAnsi="Times New Roman" w:cs="Times New Roman"/>
          <w:b/>
          <w:sz w:val="28"/>
          <w:szCs w:val="28"/>
        </w:rPr>
      </w:pPr>
    </w:p>
    <w:p w14:paraId="313E4EBC" w14:textId="77777777" w:rsidR="002C178D" w:rsidRDefault="002C178D" w:rsidP="00E13104">
      <w:pPr>
        <w:spacing w:line="360" w:lineRule="auto"/>
        <w:jc w:val="both"/>
        <w:rPr>
          <w:rFonts w:ascii="Times New Roman" w:hAnsi="Times New Roman" w:cs="Times New Roman"/>
          <w:b/>
          <w:sz w:val="28"/>
          <w:szCs w:val="28"/>
        </w:rPr>
      </w:pPr>
    </w:p>
    <w:p w14:paraId="3E5F52FF" w14:textId="77777777" w:rsidR="002C178D" w:rsidRDefault="002C178D" w:rsidP="00E13104">
      <w:pPr>
        <w:spacing w:line="360" w:lineRule="auto"/>
        <w:jc w:val="both"/>
        <w:rPr>
          <w:rFonts w:ascii="Times New Roman" w:hAnsi="Times New Roman" w:cs="Times New Roman"/>
          <w:b/>
          <w:sz w:val="28"/>
          <w:szCs w:val="28"/>
        </w:rPr>
      </w:pPr>
    </w:p>
    <w:p w14:paraId="69FFCC2A" w14:textId="77777777" w:rsidR="002C178D" w:rsidRDefault="002C178D" w:rsidP="00E13104">
      <w:pPr>
        <w:spacing w:line="360" w:lineRule="auto"/>
        <w:jc w:val="both"/>
        <w:rPr>
          <w:rFonts w:ascii="Times New Roman" w:hAnsi="Times New Roman" w:cs="Times New Roman"/>
          <w:b/>
          <w:sz w:val="28"/>
          <w:szCs w:val="28"/>
        </w:rPr>
      </w:pPr>
    </w:p>
    <w:p w14:paraId="154844B2" w14:textId="77777777" w:rsidR="002C178D" w:rsidRDefault="002C178D" w:rsidP="00E13104">
      <w:pPr>
        <w:spacing w:line="360" w:lineRule="auto"/>
        <w:jc w:val="both"/>
        <w:rPr>
          <w:rFonts w:ascii="Times New Roman" w:hAnsi="Times New Roman" w:cs="Times New Roman"/>
          <w:b/>
          <w:sz w:val="28"/>
          <w:szCs w:val="28"/>
        </w:rPr>
      </w:pPr>
    </w:p>
    <w:p w14:paraId="1080278D" w14:textId="77777777" w:rsidR="002C178D" w:rsidRDefault="002C178D" w:rsidP="00E13104">
      <w:pPr>
        <w:spacing w:line="360" w:lineRule="auto"/>
        <w:jc w:val="both"/>
        <w:rPr>
          <w:rFonts w:ascii="Times New Roman" w:hAnsi="Times New Roman" w:cs="Times New Roman"/>
          <w:b/>
          <w:sz w:val="28"/>
          <w:szCs w:val="28"/>
        </w:rPr>
      </w:pPr>
    </w:p>
    <w:p w14:paraId="1F79F942" w14:textId="77777777" w:rsidR="002C178D" w:rsidRDefault="002C178D" w:rsidP="00E13104">
      <w:pPr>
        <w:spacing w:line="360" w:lineRule="auto"/>
        <w:jc w:val="both"/>
        <w:rPr>
          <w:rFonts w:ascii="Times New Roman" w:hAnsi="Times New Roman" w:cs="Times New Roman"/>
          <w:b/>
          <w:sz w:val="28"/>
          <w:szCs w:val="28"/>
        </w:rPr>
      </w:pPr>
    </w:p>
    <w:p w14:paraId="255C12D3" w14:textId="77777777" w:rsidR="002C178D" w:rsidRDefault="002C178D" w:rsidP="00E13104">
      <w:pPr>
        <w:spacing w:line="360" w:lineRule="auto"/>
        <w:jc w:val="both"/>
        <w:rPr>
          <w:rFonts w:ascii="Times New Roman" w:hAnsi="Times New Roman" w:cs="Times New Roman"/>
          <w:b/>
          <w:sz w:val="28"/>
          <w:szCs w:val="28"/>
        </w:rPr>
      </w:pPr>
    </w:p>
    <w:p w14:paraId="584AE4D2" w14:textId="77777777" w:rsidR="002C178D" w:rsidRDefault="002C178D" w:rsidP="00E13104">
      <w:pPr>
        <w:spacing w:line="360" w:lineRule="auto"/>
        <w:jc w:val="both"/>
        <w:rPr>
          <w:rFonts w:ascii="Times New Roman" w:hAnsi="Times New Roman" w:cs="Times New Roman"/>
          <w:b/>
          <w:sz w:val="28"/>
          <w:szCs w:val="28"/>
        </w:rPr>
      </w:pPr>
    </w:p>
    <w:p w14:paraId="4C3920A8" w14:textId="77777777" w:rsidR="002C178D" w:rsidRDefault="002C178D" w:rsidP="00E13104">
      <w:pPr>
        <w:spacing w:line="360" w:lineRule="auto"/>
        <w:jc w:val="both"/>
        <w:rPr>
          <w:rFonts w:ascii="Times New Roman" w:hAnsi="Times New Roman" w:cs="Times New Roman"/>
          <w:b/>
          <w:sz w:val="28"/>
          <w:szCs w:val="28"/>
        </w:rPr>
      </w:pPr>
    </w:p>
    <w:p w14:paraId="46A6BB1A" w14:textId="77777777" w:rsidR="002C178D" w:rsidRPr="00E71AE8" w:rsidRDefault="002C178D" w:rsidP="00E71AE8">
      <w:pPr>
        <w:pStyle w:val="Heading2"/>
        <w:jc w:val="center"/>
        <w:rPr>
          <w:b/>
          <w:sz w:val="36"/>
          <w:szCs w:val="36"/>
        </w:rPr>
      </w:pPr>
      <w:bookmarkStart w:id="3" w:name="_Toc52709108"/>
      <w:r w:rsidRPr="00E71AE8">
        <w:rPr>
          <w:b/>
          <w:sz w:val="36"/>
          <w:szCs w:val="36"/>
        </w:rPr>
        <w:lastRenderedPageBreak/>
        <w:t>Introduction</w:t>
      </w:r>
      <w:bookmarkEnd w:id="3"/>
    </w:p>
    <w:p w14:paraId="0564A7C5" w14:textId="77777777" w:rsidR="002C178D" w:rsidRPr="00316B9A" w:rsidRDefault="002C178D" w:rsidP="00E13104">
      <w:pPr>
        <w:spacing w:line="360" w:lineRule="auto"/>
        <w:jc w:val="both"/>
        <w:rPr>
          <w:rFonts w:ascii="Times New Roman" w:hAnsi="Times New Roman" w:cs="Times New Roman"/>
          <w:sz w:val="24"/>
          <w:szCs w:val="24"/>
        </w:rPr>
      </w:pPr>
      <w:r w:rsidRPr="000363C1">
        <w:rPr>
          <w:rFonts w:ascii="Times New Roman" w:hAnsi="Times New Roman" w:cs="Times New Roman"/>
          <w:b/>
          <w:sz w:val="28"/>
          <w:szCs w:val="28"/>
        </w:rPr>
        <w:t xml:space="preserve"> </w:t>
      </w:r>
      <w:r>
        <w:rPr>
          <w:rFonts w:ascii="Times New Roman" w:hAnsi="Times New Roman" w:cs="Times New Roman"/>
          <w:sz w:val="28"/>
          <w:szCs w:val="28"/>
        </w:rPr>
        <w:t>I</w:t>
      </w:r>
      <w:r w:rsidRPr="00811EF8">
        <w:rPr>
          <w:rFonts w:ascii="Times New Roman" w:hAnsi="Times New Roman" w:cs="Times New Roman"/>
          <w:sz w:val="28"/>
          <w:szCs w:val="28"/>
        </w:rPr>
        <w:t>n</w:t>
      </w:r>
      <w:r w:rsidRPr="00316B9A">
        <w:rPr>
          <w:rFonts w:ascii="Times New Roman" w:hAnsi="Times New Roman" w:cs="Times New Roman"/>
          <w:sz w:val="24"/>
          <w:szCs w:val="24"/>
        </w:rPr>
        <w:t xml:space="preserve"> today’s world there’s always a probability of facing unacceptable situations regarding properties, financial institutions, business organizations, health, education, life etc. There is always a possibility of losing of life, properties and other assets. Because, all of these properties, lives and other valuable assets are prone to risk at any time, insurance plays a vital role to protect them for their respective individual owners. For this purpose, we are trying to find out some essential factors in growth &amp; efficiencies of insurance sector in our country and in other countries as well. We basically emphasized on growth &amp; efficiency in performance management based on different variables in many countries. This thorough discussion outlines various types of insurance and their types of policies. </w:t>
      </w:r>
    </w:p>
    <w:p w14:paraId="0184E372"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Life insurance, Health Insurance, Private life insurance, Islamic insurance, Cyber &amp; electronic insurance –these are types of insurances that are mainly discussed with the analysis from different journal articles. Of them, life insurance covers articles from Wise and William’s-“A survey of life insurance efficiency papers: methods, pros &amp; cons, trends.”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10.5267/j.ac.2016.12.001","ISSN":"23697393","author":[{"dropping-particle":"","family":"Wise","given":"William","non-dropping-particle":"","parse-names":false,"suffix":""}],"container-title":"Accounting","id":"ITEM-1","issued":{"date-parts":[["2017"]]},"page":"137-170","title":"A survey of life insurance efficiency papers: Methods, pros &amp; cons, trends","type":"article-journal","volume":"3"},"uris":["http://www.mendeley.com/documents/?uuid=8f71123f-638b-4720-9eba-5019e6fa819a"]}],"mendeley":{"formattedCitation":"(Wise, 2017)","plainTextFormattedCitation":"(Wise, 2017)","previouslyFormattedCitation":"(Wise, 2017)"},"properties":{"noteIndex":0},"schema":"https://github.com/citation-style-language/schema/raw/master/csl-citation.json"}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(Wise, 2017)</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22A35" w:themeColor="text2" w:themeShade="80"/>
          <w:sz w:val="24"/>
          <w:szCs w:val="24"/>
        </w:rPr>
        <w:t xml:space="preserve">. </w:t>
      </w:r>
      <w:r w:rsidRPr="00316B9A">
        <w:rPr>
          <w:rFonts w:ascii="Times New Roman" w:hAnsi="Times New Roman" w:cs="Times New Roman"/>
          <w:sz w:val="24"/>
          <w:szCs w:val="24"/>
        </w:rPr>
        <w:t>Articles also covered financial modelling and improvement planning discussion in another article based on life insurance.</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{"citationItems":[{"id":"ITEM-1","itemData":{"DOI":"10.1016/j.ins.2016.09.055","ISSN":"00200255","abstract":"Financial modeling for the life insurance industry involves two main difficulties: (1) Selecting the minimal and critical variables for modeling while considering the impreciseness and interrelationships among the numerous attributes and (2) measuring plausible synergy effects among variables and dimensions that might cause undesirable biases for an evaluation model. To overcome these difficulties, this paper proposes a two-stage hybrid approach: Rough financial knowledge is retrieved first, and then the obtained core attributes are measured and synthesized using fuzzy-integral-based decision methods. The main innovation of this study is the use of rough knowledge retrieval procedures and fuzzy measures for exploring the synergy effects on financial performance. This approach is expected to support insurers to systematically improve their financial performance. A group of life insurance companies in Taiwan was analyzed, and the findings support the existence of interrelated synergy effects among the core criteria. In addition, five companies were examined to illustrate financial performance improvement planning with this approach. This study bridges the gap between advanced soft computing techniques and pragmatic financial modeling in a dynamic business environment.","author":[{"dropping-particle":"","family":"Shen","given":"Kao Yi","non-dropping-particle":"","parse-names":false,"suffix":""},{"dropping-particle":"","family":"Hu","given":"Shu Kung","non-dropping-particle":"","parse-names":false,"suffix":""},{"dropping-particle":"","family":"Tzeng","given":"Gwo Hshiung","non-dropping-particle":"","parse-names":false,"suffix":""}],"container-title":"Information Sciences","id":"ITEM-1","issued":{"date-parts":[["2017"]]},"page":"296-313","publisher":"Elsevier Inc.","title":"Financial modeling and improvement planning for the life insurance industry by using a rough knowledge based hybrid MCDM model","type":"article-journal","volume":"375"},"uris":["http://www.mendeley.com/documents/?uuid=51c03a62-552c-40dd-97c2-e102adff0b64"]}],"mendeley":{"formattedCitation":"(Shen et al., 2017)","plainTextFormattedCitation":"(Shen et al., 2017)","previouslyFormattedCitation":"(Shen et al., 2017)"},"properties":{"noteIndex":0},"schema":"https://github.com/citation-style-language/schema/raw/master/csl-citation.json"}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(Shen et al., 2017)</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sz w:val="24"/>
          <w:szCs w:val="24"/>
        </w:rPr>
        <w:t>Life insurance articles also include a comparative discussion between Bangladesh and Malaysia regarding acceleration of performance &amp; growth mechanisms.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{"citationItems":[{"id":"ITEM-1","itemData":{"DOI":"10.12816/0019398","ISSN":"24089583","abstract":"This study is conducted to measure the actual efficiency comparison of life insurance company between Bangladesh and Malaysia. Total 15 life insurance companies’ were selected for the study where 10 conventional life insurance companies’ from Bangladesh and 5 Takaful life insurance companies’ from Malaysia. Authors tried to indicate the problems and way to get exact solutions by using Data Envelopment Analysis (DEA) &amp; Malmquist index to differentiate the contributions of technical change, efficiency change, the pure and scale changes to total factor productivity growth. And some others different way: like their constant return to scale, variable return to scale and operating efficiencies and attempt to show PECH &amp; SECH and in ending of analysis summary of the total life insurances company. Later we used some graph figure to make the study clear and try to evaluate the market position by measuring the efficiencies. This work will help to understand and rethink about life insurances companies of both countries","author":[{"dropping-particle":"","family":"Faruk","given":"Omar","non-dropping-particle":"","parse-names":false,"suffix":""},{"dropping-particle":"","family":"Rahaman","given":"Arafatur","non-dropping-particle":"","parse-names":false,"suffix":""}],"container-title":"Management Studies and Economic Systems","id":"ITEM-1","issue":"2","issued":{"date-parts":[["2015"]]},"page":"129-144","title":"Measuring Efficiency of Conventional Life Insurance Companies in Bangladesh and Takaful Life Insurance Companies in Malaysia : A Non-Parametric Approach","type":"article-journal","volume":"2"},"uris":["http://www.mendeley.com/documents/?uuid=4e78af6e-2931-459b-bea2-d92ca973248e"]}],"mendeley":{"formattedCitation":"(Faruk &amp; Rahaman, 2015)","plainTextFormattedCitation":"(Faruk &amp; Rahaman, 2015)","previouslyFormattedCitation":"(Faruk &amp; Rahaman,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(Faruk &amp; Rahaman,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 xml:space="preserve">. </w:t>
      </w:r>
      <w:r w:rsidRPr="00316B9A">
        <w:rPr>
          <w:rFonts w:ascii="Times New Roman" w:hAnsi="Times New Roman" w:cs="Times New Roman"/>
          <w:sz w:val="24"/>
          <w:szCs w:val="24"/>
        </w:rPr>
        <w:t>A perspective on non-life insurance includes the study and analysis of macroeconomic variables to determine the overall performance inside the non-life insurance sectors in Bangladesh.</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{"citationItems":[{"id":"ITEM-1","itemData":{"DOI":"10.1007/s41775-019-00037-6","ISSN":"0019-4670","author":[{"dropping-particle":"","family":"Hasan","given":"Md. Bokhtiar","non-dropping-particle":"","parse-names":false,"suffix":""},{"dropping-particle":"","family":"Islam","given":"SM Nahidul","non-dropping-particle":"","parse-names":false,"suffix":""},{"dropping-particle":"","family":"Wahid","given":"Abu N. M.","non-dropping-particle":"","parse-names":false,"suffix":""}],"container-title":"Indian Economic Review","id":"ITEM-1","issue":"1-2","issued":{"date-parts":[["2018"]]},"page":"369-383","title":"The effect of macroeconomic variables on the performance of non-life insurance companies in Bangladesh","type":"article-journal","volume":"53"},"uris":["http://www.mendeley.com/documents/?uuid=858da4bf-3c5d-43db-87cc-6130c25e1c5b"]}],"mendeley":{"formattedCitation":"(Hasan, Islam, et al., 2018)","plainTextFormattedCitation":"(Hasan, Islam, et al., 2018)","previouslyFormattedCitation":"(Hasan, Islam, et al.,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noProof/>
          <w:color w:val="2E74B5" w:themeColor="accent1" w:themeShade="BF"/>
          <w:sz w:val="24"/>
          <w:szCs w:val="24"/>
        </w:rPr>
        <w:t>(Hasan, Islam, et al., 2018)</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sz w:val="24"/>
          <w:szCs w:val="24"/>
        </w:rPr>
        <w:t>On the other hand, Macro-economic variables like-Globalization, political institutions, financial linearization etc. are influencing on the performance level of insurance industry, said by Chien-Chiang Lee &amp; Chun-Wei Lin.</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{"citationItems":[{"id":"ITEM-1","itemData":{"DOI":"10.1016/j.najef.2016.01.007","ISSN":"10629408","abstract":"This paper investigates the impacts of globalization, political institutions, and financial liberalization on the performance and risk-taking of insurance firms covering 1324 individual firms in 30 selected OECD countries. We find that greater globalization and a stable political institution lead insurance companies to exhibit a better performance-i.e., insurers adjust their strategies while being aware of institutional changes. By contrast, financial liberalization has an inverse impact on insurance company performance. Thus, greater globalization and a stable political environment both drive less risk-taking for insurers. These findings are particularly important to insurance markets' competitors and national policymakers.","author":[{"dropping-particle":"","family":"Lee","given":"Chien Chiang","non-dropping-particle":"","parse-names":false,"suffix":""},{"dropping-particle":"","family":"Lin","given":"Chun Wei","non-dropping-particle":"","parse-names":false,"suffix":""}],"container-title":"North American Journal of Economics and Finance","id":"ITEM-1","issued":{"date-parts":[["2016"]]},"page":"244-266","publisher":"Elsevier Inc.","title":"Globalization, political institutions, financial liberalization, and performance of the insurance industry","type":"article-journal","volume":"36"},"uris":["http://www.mendeley.com/documents/?uuid=2eeb3fff-bdd2-4511-8e93-564bd6c558f6"]}],"mendeley":{"formattedCitation":"(Lee &amp; Lin, 2016)","plainTextFormattedCitation":"(Lee &amp; Lin, 2016)","previouslyFormattedCitation":"(Lee &amp; Lin,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(Lee &amp; Lin, 2016)</w:t>
      </w:r>
      <w:r w:rsidRPr="00316B9A">
        <w:rPr>
          <w:rFonts w:ascii="Times New Roman" w:hAnsi="Times New Roman" w:cs="Times New Roman"/>
          <w:b/>
          <w:i/>
          <w:color w:val="2E74B5" w:themeColor="accent1" w:themeShade="BF"/>
          <w:sz w:val="24"/>
          <w:szCs w:val="24"/>
        </w:rPr>
        <w:fldChar w:fldCharType="end"/>
      </w:r>
    </w:p>
    <w:p w14:paraId="62164CB3"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p>
    <w:p w14:paraId="0C896964"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Our study includes information gather from the journal articles prioritized on Private life insurance which mainly discusses national intelligence, IQ, Investment policies etc.</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{"citationItems":[{"id":"ITEM-1","itemData":{"DOI":"10.4172/2472-114x.1000121","ISSN":"2472-114X","author":[{"dropping-particle":"","family":"Ashraf S","given":"Husain","non-dropping-particle":"","parse-names":false,"suffix":""},{"dropping-particle":"","family":"Kumari","given":"Nikita","non-dropping-particle":"","parse-names":false,"suffix":""}],"container-title":"International Journal of Accounting Research","id":"ITEM-1","issue":"1","issued":{"date-parts":[["2016"]]},"page":"10-15","title":"An Evaluation of Investment Performance of Private Life Insurance Industry in India","type":"article-journal","volume":"4"},"uris":["http://www.mendeley.com/documents/?uuid=69b13b75-a431-4813-a4d0-9eec386ea823"]}],"mendeley":{"formattedCitation":"(Ashraf S &amp; Kumari, 2016)","plainTextFormattedCitation":"(Ashraf S &amp; Kumari, 2016)","previouslyFormattedCitation":"(Ashraf S &amp; Kumari,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(Ashraf S &amp; Kumari, 2016)</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{"citationItems":[{"id":"ITEM-1","itemData":{"DOI":"10.1016/j.intell.2015.06.005","ISSN":"01602896","abstract":"Studies show that high IQ people practice healthier lifestyles, which result in better health status. However, do such people spend more on healthcare? We employed hierarchical multiple regression analysis to examine the impact of national average IQ on private health expenditure, especially health insurance at cross-country level. Controlling for income, the old-age dependency ratio, and government expenditure on health, we found that IQ was positively significant on out-of-pocket healthcare expenditure but negatively associated with private health insurance expenditure. We suggest that high IQ societies pay less for health insurance because they are more capable of preventing illnesses or injuries and they live in healthier and safer environments, which are less vulnerable to diseases. In addition, they are more efficient at calculating risk and making choices according to their future healthcare needs. Hence, with price dispersion and various choices of health insurance plans available within the competitive market, high IQ people may be more efficient at obtaining lower effective prices of premiums.","author":[{"dropping-particle":"","family":"Burhan","given":"Nik Ahmad Sufian","non-dropping-particle":"","parse-names":false,"suffix":""},{"dropping-particle":"","family":"Salleh","given":"Fauzilah","non-dropping-particle":"","parse-names":false,"suffix":""},{"dropping-particle":"","family":"Burhan","given":"Nik Mohd Ghazi","non-dropping-particle":"","parse-names":false,"suffix":""}],"container-title":"Intelligence","id":"ITEM-1","issue":"77328","issued":{"date-parts":[["2015"]]},"page":"1-8","title":"National intelligence and private health expenditure: Do high IQ societies spend more on health insurance?","type":"article-journal","volume":"52"},"uris":["http://www.mendeley.com/documents/?uuid=c9754fe1-a06e-4311-802b-f4bfb75aa6b5"]}],"mendeley":{"formattedCitation":"(Burhan et al., 2015)","plainTextFormattedCitation":"(Burhan et al., 2015)","previouslyFormattedCitation":"(Burhan et al.,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(Burhan et al.,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 xml:space="preserve">. </w:t>
      </w:r>
      <w:r w:rsidRPr="00316B9A">
        <w:rPr>
          <w:rFonts w:ascii="Times New Roman" w:hAnsi="Times New Roman" w:cs="Times New Roman"/>
          <w:sz w:val="24"/>
          <w:szCs w:val="24"/>
        </w:rPr>
        <w:t>When it comes to Health insurance, study focuses on the articles concentrated on micro health insurance initiatives to develop a nation with a detailed range of literature analysis.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{"citationItems":[{"id":"ITEM-1","itemData":{"DOI":"10.1186/s12889-016-2937-9","ISSN":"14712458","PMID":"27004824","abstract":"Background: Out of pocket payments are the predominant method of financing healthcare in many developing countries, which can result in impoverishment and financial catastrophe for those affected. In 2010, WHO estimated that approximately 100 million people are pushed below the poverty line each year by payments for healthcare. Micro health insurance (MHI) has been used in some countries as means of risk pooling and reducing out of pocket health expenditure. A systematic review was conducted to assess the extent to which MHI has contributed to providing financial risk protection to low-income households in developing countries, and suggest how the findings can be applied in the Pakistani setting. Methods: We conducted a systematic search for published literature using the search terms \"Community based health insurance AND developing countries\", \"Micro health insurance AND developing countries\", \"Mutual health insurance AND developing countries\", \"mutual OR micro OR community based health insurance\" \"Health insurance AND impact AND poor\" \"Health insurance AND financial protection\" and \"mutual health organizations\" on three databases, Pubmed, Google Scholar and Science Direct (Elsevier). Only those records that were published in the last ten years, in English language with their full texts available free of cost, were considered for inclusion in this review. Hand searching was carried out on the reference lists of the retrieved articles and webpages of international organizations like World Bank, World Health Organization and International Labour Organization. Results: Twenty-three articles were eligible for inclusion in this systematic review (14 from Asia and 9 from Africa). Our analysis shows that MHI, in the majority of cases, has been found to contribute to the financial protection of its beneficiaries, by reducing out of pocket health expenditure, catastrophic health expenditure, total health expenditure, household borrowings and poverty. MHI also had a positive safeguarding effect on household savings, assets and consumption patterns. Conclusion: Our review suggests that MHI, targeted at the low-income households and tailored to suit the cultural and geographical structures in the various areas of Pakistan, may contribute towards providing protection to the households from catastrophe and impoverishment resulting from health expenditures. This paper emphasizes the need for further research to fill the knowledge gap that exists about the impact of M…","author":[{"dropping-particle":"","family":"Habib","given":"Shifa Salman","non-dropping-particle":"","parse-names":false,"suffix":""},{"dropping-particle":"","family":"Perveen","given":"Shagufta","non-dropping-particle":"","parse-names":false,"suffix":""},{"dropping-particle":"","family":"Khuwaja","given":"Hussain Maqbool Ahmed","non-dropping-particle":"","parse-names":false,"suffix":""}],"container-title":"BMC Public Health","id":"ITEM-1","issue":"1","issued":{"date-parts":[["2016"]]},"publisher":"BMC Public Health","title":"The role of micro health insurance in providing financial risk protection in developing countries- a systematic review","type":"article-journal","volume":"16"},"uris":["http://www.mendeley.com/documents/?uuid=318aca4d-6b90-41e4-8898-8b96051e8973"]}],"mendeley":{"formattedCitation":"(Habib et al., 2016)","plainTextFormattedCitation":"(Habib et al., 2016)","previouslyFormattedCitation":"(Habib et al.,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(Habib et al., 2016)</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 xml:space="preserve">. </w:t>
      </w:r>
      <w:r w:rsidRPr="00316B9A">
        <w:rPr>
          <w:rFonts w:ascii="Times New Roman" w:hAnsi="Times New Roman" w:cs="Times New Roman"/>
          <w:sz w:val="24"/>
          <w:szCs w:val="24"/>
        </w:rPr>
        <w:t xml:space="preserve">Health insurance study includes the analysis of customer service quality, their perceived loyalty towards the insurance company and perceptions towards </w:t>
      </w:r>
      <w:r w:rsidRPr="00316B9A">
        <w:rPr>
          <w:rFonts w:ascii="Times New Roman" w:hAnsi="Times New Roman" w:cs="Times New Roman"/>
          <w:sz w:val="24"/>
          <w:szCs w:val="24"/>
        </w:rPr>
        <w:lastRenderedPageBreak/>
        <w:t>health insurance products.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{"citationItems":[{"id":"ITEM-1","itemData":{"DOI":"10.3926/jiem.1494","ISSN":"20130953","abstract":"Purpose: This research aim to investigate the influence of service quality attributes towards customers’ loyalty on health insurance products. In addition, this research also tested the mediation role of perceived value in between service quality and customers’ loyalty on health insurance products. Design/methodology/approach: Based on the literature review, this research developed a conceptual model of customers loyalty embedded with service quality and perceived value. This research applied convenience sampling method. The study surveyed 342 healthcare insurance customers through self-administered questioner. Apart from assessing the reliability and validity of the constructs through confirmatory factor analysis, this research also used structural equation modelling (SEM) approach to test the proposed hypothesis. Findings: The results from the inferential statistics revealed that the healthcare insurance customers are highly influenced by service quality followed by the perceived value in reaching their loyalty towards a particular health insurance service provider. Research limitations/implications: The sample for this study is based on health insurance customers only and it is suggested that future studies enlarge the scope to include others type of customers of different insurance products. Practical implications: In order to encourage the customers to more loyal towards their service providers, this research will add value for the mangers to understand the items of service quality and considering the perceived value of the target customers in order to optimize their loyalty. As whole, the outcome of this research will assist managers for better understanding of the customers’ loyalty antecedents under the perspective of healthcare insurance products. Originality/value: This paper has tried to provide a comprehensive understanding about customers’ loyalty under the perspective of service quality and perceived values context in the Malaysian health care insurance industry. Since there was a lack of such research in Malaysian health insurance context, this research can provide theoretical contribution and managerial basis for future researches as well as implications for the managers. Yet, till now research in this sector under Malaysian context do not appear adequately to take into account service quality, perceived values and customers loyalty factors.","author":[{"dropping-particle":"","family":"Abdelfattah","given":"Fadi Abdelmuniem","non-dropping-particle":"","parse-names":false,"suffix":""},{"dropping-particle":"","family":"Rahman","given":"Muhammad Sabbir","non-dropping-particle":"","parse-names":false,"suffix":""},{"dropping-particle":"","family":"Osman","given":"Mohamad","non-dropping-particle":"","parse-names":false,"suffix":""}],"container-title":"Journal of Industrial Engineering and Management","id":"ITEM-1","issue":"5","issued":{"date-parts":[["2015"]]},"page":"1639-1660","title":"Assessing the antecedents of customer loyalty on healthcare insurance products: Service quality; perceived value embedded model","type":"article-journal","volume":"8"},"uris":["http://www.mendeley.com/documents/?uuid=2cddf35a-7206-4a7c-8312-9c8a0692c514"]}],"mendeley":{"formattedCitation":"(Abdelfattah et al., 2015)","plainTextFormattedCitation":"(Abdelfattah et al., 2015)","previouslyFormattedCitation":"(Abdelfattah et al.,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(Abdelfattah et al.,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 xml:space="preserve">. </w:t>
      </w:r>
      <w:r w:rsidRPr="00316B9A">
        <w:rPr>
          <w:rFonts w:ascii="Times New Roman" w:hAnsi="Times New Roman" w:cs="Times New Roman"/>
          <w:sz w:val="24"/>
          <w:szCs w:val="24"/>
        </w:rPr>
        <w:t>In the case of cyber and electronic insurance, we focused on the analysis of assessing risks and unexpected probabilities relevant to this, so that customers get it right to adopt electronic insurance. Our analysis also includes the information of after effects by formal &amp; informal institutions towards Cyber Insurance industry.</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{"citationItems":[{"id":"ITEM-1","itemData":{"DOI":"10.1016/j.telpol.2020.102007","ISSN":"03085961","abstract":"The cyber-insurance (CI) market is at a nascent stage. This paper investigates how the contexts provided by formal and informal institutions affect the development of the CI industry. It highlights the nature, origin, and implications of CI-related institutions and provides insights into the mechanisms and forces that can lead to institutional changes. It offers an explanation as to how different institutional pillars related to CI progressively evolve and reinforce one another. Such a mechanism is likely to influence a range of demand and supply side factors and create a system that can accelerate the growth of the CI industry and market. The paper also investigates how contradictions generated by CI, the formation of dense networks and changing power dynamics can trigger regulative normative and cognitive changes. Since the current analysis of the causes and consequences of institutions and institutional change is mainly concerned with more established economic sectors, this paper is expected to provide insights into institutions surrounding to this new and rapidly evolving industry.","author":[{"dropping-particle":"","family":"Kshetri","given":"Nir","non-dropping-particle":"","parse-names":false,"suffix":""}],"container-title":"Telecommunications Policy","id":"ITEM-1","issue":"8","issued":{"date-parts":[["2020"]]},"page":"102007","publisher":"Elsevier Ltd","title":"The evolution of cyber-insurance industry and market: An institutional analysis","type":"article-journal","volume":"44"},"uris":["http://www.mendeley.com/documents/?uuid=3e0f6e9c-2000-44d7-82a5-225406f47fc8"]}],"mendeley":{"formattedCitation":"(Kshetri, 2020)","plainTextFormattedCitation":"(Kshetri, 2020)","previouslyFormattedCitation":"(Kshetri, 2020)"},"properties":{"noteIndex":0},"schema":"https://github.com/citation-style-language/schema/raw/master/csl-citation.json"}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(Kshetri, 2020)</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author":[{"dropping-particle":"","family":"Javad","given":"Seyed","non-dropping-particle":"","parse-names":false,"suffix":""},{"dropping-particle":"","family":"Nateq","given":"Ahmad","non-dropping-particle":"","parse-names":false,"suffix":""}],"id":"ITEM-1","issue":"12","issued":{"date-parts":[["2015"]]},"page":"11-21","title":"Insured risk perception towards electronic insurance","type":"article-journal","volume":"2"},"uris":["http://www.mendeley.com/documents/?uuid=dc227872-15a9-4816-96ff-7edd276fb586"]}],"mendeley":{"formattedCitation":"(Javad &amp; Nateq, 2015)","plainTextFormattedCitation":"(Javad &amp; Nateq, 2015)","previouslyFormattedCitation":"(Javad &amp; Nateq,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(Javad &amp; Nateq,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sz w:val="24"/>
          <w:szCs w:val="24"/>
        </w:rPr>
        <w:t>As micro insurance in an emerging sector in our country, therefore we tried to focus on this issue by analyzing a study by outlining the global situation about how to remove obstacles on the way of development by the micro insurance policy adaptation. This study basically depends on the domain of household financial sector.</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{"citationItems":[{"id":"ITEM-1","itemData":{"DOI":"10.1057/gpp.2015.12","ISSN":"14680440","abstract":"This paper provides an overview of the academic literature on microinsurance adoption in emerging markets, with a particular emphasis on randomised control trials. I discuss what we know, what we can reasonably hope to know using the extensive work on microcredit as a comparator, and what the available evidence implies for public policy. Particular attention is paid to the case for a greater role for the government in supporting the development of microinsurance.","author":[{"dropping-particle":"","family":"Cole","given":"Shawn","non-dropping-particle":"","parse-names":false,"suffix":""}],"container-title":"Geneva Papers on Risk and Insurance: Issues and Practice","id":"ITEM-1","issue":"4","issued":{"date-parts":[["2015"]]},"page":"720-740","publisher":"Nature Publishing Group","title":"Overcoming Barriers to Microinsurance Adoption: Evidence from the Field","type":"article-journal","volume":"40"},"uris":["http://www.mendeley.com/documents/?uuid=4163ce95-e472-4b05-911b-9d44a6371a59"]}],"mendeley":{"formattedCitation":"(Cole, 2015)","plainTextFormattedCitation":"(Cole, 2015)","previouslyFormattedCitation":"(Cole,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(Cole,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sz w:val="24"/>
          <w:szCs w:val="24"/>
        </w:rPr>
        <w:t>Islamic insurance industry has paved a new way of policy adaptation in insurance industry; thus this study includes articles highlighting risk and profitability, controversies, Maximizing value by monitoring international perspective from Islamic insurance industry.</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{"citationItems":[{"id":"ITEM-1","itemData":{"author":[{"dropping-particle":"","family":"Authors","given":"For","non-dropping-particle":"","parse-names":false,"suffix":""}],"id":"ITEM-1","issued":{"date-parts":[["2016"]]},"title":"Article information : Islamic marketing paradoxes : a way to understand it again …","type":"article-journal"},"uris":["http://www.mendeley.com/documents/?uuid=e14f32d2-903f-4038-b675-6a52c0e06fde"]}],"mendeley":{"formattedCitation":"(Authors, 2016)","plainTextFormattedCitation":"(Authors, 2016)","previouslyFormattedCitation":"(Authors,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(Authors, 2016)</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{"citationItems":[{"id":"ITEM-1","itemData":{"author":[{"dropping-particle":"","family":"Khanam","given":"Tohovina","non-dropping-particle":"","parse-names":false,"suffix":""}],"id":"ITEM-1","issued":{"date-parts":[["2018"]]},"title":"An analysis of the risk and profitability of Fareast Islami Life Insurance Company Limited","type":"article-journal"},"uris":["http://www.mendeley.com/documents/?uuid=035c5f3f-c94a-49fe-a9b8-245b9edaf685"]}],"mendeley":{"formattedCitation":"(Khanam, 2018)","plainTextFormattedCitation":"(Khanam, 2018)","previouslyFormattedCitation":"(Khanam,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(Khanam, 2018)</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p>
    <w:p w14:paraId="0E9CD1A9"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For the convenience of policyholders in compensation or insurance claims, its important study and monitor the compensation and 0othe fees or payment policies. Thus articles having headlines regarding CEO &amp; Executives’ compensation with performance management, Administrative costs and physician billing in healthcare insurance, Audit fee factors in Ethiopian contexts, Human Resources disclosures in annual reports of insurance companies in developing countries.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{"citationItems":[{"id":"ITEM-1","itemData":{"author":[{"dropping-particle":"","family":"MUSTEFA","given":"HASSEN","non-dropping-particle":"","parse-names":false,"suffix":""}],"id":"ITEM-1","issue":"March","issued":{"date-parts":[["2017"]]},"page":"1-83","title":"Determinants of Audit Fee Among Ethiopian Insurance Companies","type":"article-journal"},"uris":["http://www.mendeley.com/documents/?uuid=7bd46a85-4d17-4ea2-94a2-73f48d176424"]}],"mendeley":{"formattedCitation":"(MUSTEFA, 2017)","plainTextFormattedCitation":"(MUSTEFA, 2017)","previouslyFormattedCitation":"(MUSTEFA, 2017)"},"properties":{"noteIndex":0},"schema":"https://github.com/citation-style-language/schema/raw/master/csl-citation.json"}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(MUSTEFA, 2017)</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{"citationItems":[{"id":"ITEM-1","itemData":{"DOI":"10.3390/SU12083452","ISSN":"20711050","abstract":"Employees are key stakeholders for companies to maintain their sustainability. Obtaining and disclosing information related to employees can help companies to manage and evaluate the effectiveness of human resources. This paper investigates human resource disclosures in corporate annual reports of 54 insurance companies in Turkey and identifies the determinants of the disclosure for the period of 2007-2017. For this purpose, human resource disclosures with eight subdimensions as employee health and safety, employment of minorities or women, disabled employee, employee training, employee assistance and benefits, employee remuneration, employee profiles and employee morale were obtained from corporate annual reports by content analysis. The data were statistically tested with correlation analysis and a pooled OLS (Ordinary Least Squares) models to determine the effects of return on assets, return on equity, leverage, firm size, number of employees, age of firm, public listing status, foreign ownership, company type on these disclosures. The results indicate that number of employees, foreign ownership and company type have an effect on the extent of human resource disclosure. Employee training is the most disclosed item among human resource disclosures in corporate reports. It is suggested that companies should improve their reporting and disclosure practices related to human resource development.","author":[{"dropping-particle":"","family":"Sürdü","given":"Fatma Bulut","non-dropping-particle":"","parse-names":false,"suffix":""},{"dropping-particle":"","family":"Çalişkan","given":"Arzu Özsözgün","non-dropping-particle":"","parse-names":false,"suffix":""},{"dropping-particle":"","family":"Esen","given":"Emel","non-dropping-particle":"","parse-names":false,"suffix":""}],"container-title":"Sustainability (Switzerland)","id":"ITEM-1","issue":"8","issued":{"date-parts":[["2020"]]},"page":"1-20","title":"Human resource disclosures in corporate annual reports of insurance companies: A case of developing country","type":"article-journal","volume":"12"},"uris":["http://www.mendeley.com/documents/?uuid=4a7fc953-c32a-407e-9c24-fe9802691923"]}],"mendeley":{"formattedCitation":"(Sürdü et al., 2020)","plainTextFormattedCitation":"(Sürdü et al., 2020)","previouslyFormattedCitation":"(Sürdü et al., 2020)"},"properties":{"noteIndex":0},"schema":"https://github.com/citation-style-language/schema/raw/master/csl-citation.json"}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(Sürdü et al., 2020)</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{"citationItems":[{"id":"ITEM-1","itemData":{"DOI":"10.1001/jama.2017.19148","ISSN":"15383598","PMID":"29466590","abstract":"IMPORTANCE Administrative costs in the US health care system are an important component of total health care spending, and a substantial proportion of these costs are attributable to billing and insurance-related activities. OBJECTIVE To examine and estimate the administrative costs associated with physician billing activities in a large academic health care system with a certified electronic health record system. DESIGN, SETTING, AND PARTICIPANTS This study used time-driven activity-based costing. Interviews were conducted with 27 health system administrators and 34 physicians in 2016 and 2017 to construct a process map charting the path of an insurance claim through the revenue cycle management process. These data were used to calculate the cost for each major billing and insurance-related activity and were aggregated to estimate the health system's total cost of processing an insurance claim. EXPOSURES Estimated time required to perform billing and insurance-related activities, based on interviews with management personnel and physicians. MAIN OUTCOMES AND MEASURES Estimated billing and insurance-related costs for 5 types of patient encounters: primary care visits, discharged emergency department visits, general medicine inpatient stays, ambulatory surgical procedures, and inpatient surgical procedures. RESULTS Estimated processing time and total costs for billing and insurance-related activities were 13 minutes and $20.49 for a primary care visit, 32 minutes and $61.54 for a discharged emergency department visit, 73 minutes and $124.26 for a general inpatient stay, 75 minutes and $170.40 for an ambulatory surgical procedure, and 100 minutes and $215.10 for an inpatient surgical procedure. Of these totals, time and costs for activities carried out by physicians were estimated at a median of 3 minutes or $6.36 for a primary care visit, 3 minutes or $10.97 for an emergency department visit, 5 minutes or $13.29 for a general inpatient stay, 15 minutes or $51.20 for an ambulatory surgical procedure, and 15 minutes or $51.20 for an inpatient surgical procedure. Of professional revenue, professional billing costs were estimated to represent 14.5%for primary care visits, 25.2%for emergency department visits, 8.0% for general medicine inpatient stays, 13.4%for ambulatory surgical procedures, and 3.1% for inpatient surgical procedures. CONCLUSIONS AND RELEVANCE In a time-driven activity-based costing study in a large academic health care system with a certifi…","author":[{"dropping-particle":"","family":"Tseng","given":"Phillip","non-dropping-particle":"","parse-names":false,"suffix":""},{"dropping-particle":"","family":"Kaplan","given":"Robert S.","non-dropping-particle":"","parse-names":false,"suffix":""},{"dropping-particle":"","family":"Richman","given":"Barak D.","non-dropping-particle":"","parse-names":false,"suffix":""},{"dropping-particle":"","family":"Shah","given":"Mahek A.","non-dropping-particle":"","parse-names":false,"suffix":""},{"dropping-particle":"","family":"Schulman","given":"Kevin A.","non-dropping-particle":"","parse-names":false,"suffix":""}],"container-title":"JAMA - Journal of the American Medical Association","id":"ITEM-1","issue":"7","issued":{"date-parts":[["2018"]]},"page":"691-697","title":"Administrative costs associated with physician billing and insurance-related activities at an academic health care system","type":"article-journal","volume":"319"},"uris":["http://www.mendeley.com/documents/?uuid=e6a8c94d-dab0-44ca-a64b-1d78ac0abe98"]}],"mendeley":{"formattedCitation":"(Tseng et al., 2018)","plainTextFormattedCitation":"(Tseng et al., 2018)","previouslyFormattedCitation":"(Tseng et al.,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(Tseng et al., 2018)</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{"citationItems":[{"id":"ITEM-1","itemData":{"DOI":"10.1108/MF-04-2019-0154","ISSN":"17587743","abstract":"Purpose: We investigate the relationship between chief executive officer (CEO) compensation and a firm's financial performance in the insurance industry to determine CEO pay policies that are more effective in promoting specific financial corporate goals. Design/methodology/approach: Considering different components of executive pay, we investigate the latter’s relationship with the corporate performance of the insurance industry using the generalized method of moments (GMM) model developed for dynamic panel estimation. Our data encompasses the periods before and after the 2008 financial crisis. Findings: We observe that after the crisis the insurance industry experienced a major change in executives’ compensation packages. While CEOs’ compensation was primarily based on bonuses pre-crisis, the average size of the bonus was reduced to one-third of the level, stock awards and nonequity incentives were doubled and option awards increased almost 70 percent in the post-crisis period. It is also evident that the work experience of CEOs and the firm's financial performance play a significant role in determining CEO compensation. As the CEO becomes more experienced, stock awards and option awards replace cash bonus. Originality/value: The paper finds supporting evidence for the agency-related problem in the insurance industry and the convergence of interest hypothesis, suggesting that a firm's market valuation rises as its managers own an increasingly large portion of the firm. To align the interest of owners with that of management, managers should be converted into owners via stock ownership. The paper addresses a topical issue regarding pay and performance and the effect of the financial crisis in the insurance industry.","author":[{"dropping-particle":"","family":"Bhuyan","given":"Rafiqul","non-dropping-particle":"","parse-names":false,"suffix":""},{"dropping-particle":"","family":"Butchey","given":"Deanne","non-dropping-particle":"","parse-names":false,"suffix":""},{"dropping-particle":"","family":"Haar","given":"Jerry","non-dropping-particle":"","parse-names":false,"suffix":""},{"dropping-particle":"","family":"Talukdar","given":"Bakhtear","non-dropping-particle":"","parse-names":false,"suffix":""}],"container-title":"Managerial Finance","id":"ITEM-1","issued":{"date-parts":[["2020"]]},"title":"CEO compensation and firm performance in the insurance industry","type":"article-journal"},"uris":["http://www.mendeley.com/documents/?uuid=09e472c0-9bc3-4694-9feb-b6508154a338"]}],"mendeley":{"formattedCitation":"(Bhuyan et al., 2020)","plainTextFormattedCitation":"(Bhuyan et al., 2020)","previouslyFormattedCitation":"(Bhuyan et al., 2020)"},"properties":{"noteIndex":0},"schema":"https://github.com/citation-style-language/schema/raw/master/csl-citation.json"}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(Bhuyan et al., 2020)</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p>
    <w:p w14:paraId="3123F9F1"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To determine capital structure, performance scales, efficiencies of companies; this report includes information for the articles based on growth &amp; efficiency of insurance companies.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{"citationItems":[{"id":"ITEM-1","itemData":{"DOI":"10.1108/jabes-10-2018-0072","ISBN":"1020180072","ISSN":"2515-964X","author":[{"dropping-particle":"","family":"Jaloudi","given":"Mutasem Mahmoud","non-dropping-particle":"","parse-names":false,"suffix":""}],"container-title":"Journal of Asian Business and Economic Studies","id":"ITEM-1","issue":"1","issued":{"date-parts":[["2019"]]},"page":"153-166","title":"The efficiency of Jordan insurance companies and its determinants using DEA, slacks, and logit models","type":"article-journal","volume":"26"},"uris":["http://www.mendeley.com/documents/?uuid=b4a9d5c0-9d17-41b0-9bbd-8ad122239072"]}],"mendeley":{"formattedCitation":"(Jaloudi, 2019)","plainTextFormattedCitation":"(Jaloudi, 2019)","previouslyFormattedCitation":"(Jaloudi, 2019)"},"properties":{"noteIndex":0},"schema":"https://github.com/citation-style-language/schema/raw/master/csl-citation.json"}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(Jaloudi, 2019)</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i/>
          <w:color w:val="2E74B5" w:themeColor="accent1" w:themeShade="BF"/>
          <w:sz w:val="24"/>
          <w:szCs w:val="24"/>
        </w:rPr>
        <w:t>Article determining the efficiency &amp; productivity in the Swiss insurance industry; Author-Christian Benner, Martin Eling, Jen Hendrik Wirfs</w:t>
      </w:r>
      <w:r w:rsidRPr="00316B9A">
        <w:rPr>
          <w:rFonts w:ascii="Times New Roman" w:hAnsi="Times New Roman" w:cs="Times New Roman"/>
          <w:b/>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{"citationItems":[{"id":"ITEM-1","itemData":{"DOI":"10.46545/aijefr.v1i1.59","ISSN":"2642-2867","abstract":"The study examined the relationship between insurance companies and financial intermediation in Nigeria.The insurance industry is a vital part of the entire financial system. Apart from commercial banks, insurance companies contribute significantly to financial intermediation of the economy. Despite the fact that insurance companies are vital part of Nigerian financial system, Nigerian insurance companies have been struggling to meet up with their objective of enhancing sound financial intermediation efficiency. The objective of this study is to examine the relationship between Total insurance claims and Total insurance Income, Total insurance expenditure in order to determine the impact of insurance companies on financial intermediation efficiency in Nigerian insurance sector.This study relied basically on secondary data which are obtained from Central Bank of Nigeria statistical bulletin (CBN) and National Insurance Commission (NAICOM) annual report.The method of data analysis employed to achieve the stated objective is multiple regression analyses. It was revealed that there exist a positive or strong correlation between the dependent variable and independent variable in the insurance efficiency equation. Independent variables has been found as an increasing function of Dependent variable, this means that there is an increase in the level at which insurance companies fulfil their customers claims. It was also discovered that the parameter of total insurance income and other insurance expenditure in relationship with total insurance claim is statistically significant. The study therefore recommends that policies should be formulated to address firm-specifics and macroeconomic fundamentals that will drive down the high wedge between total insurance claims and total insurance income to further strengthen the efficiency of financial intermediation which will impact positively on economic growth. The study also recommends that there is need to strengthen the supervisory framework to curb tendencies for rent seeking behaviour of insurance company’s management.","author":[{"dropping-particle":"","family":"Adeniyi","given":"Demehin James","non-dropping-particle":"","parse-names":false,"suffix":""},{"dropping-particle":"","family":"Adeyinka","given":"Adewole Joseph","non-dropping-particle":"","parse-names":false,"suffix":""},{"dropping-particle":"","family":"Babayaro","given":"Iyodo","non-dropping-particle":"","parse-names":false,"suffix":""}],"container-title":"American International Journal of Economics and Finance Research","id":"ITEM-1","issue":"1","issued":{"date-parts":[["2019"]]},"page":"21-33","title":"Insurance Companies and the Efficiency of Financial Intermediation in Nigeria","type":"article-journal","volume":"1"},"uris":["http://www.mendeley.com/documents/?uuid=f25d0f86-c8fd-4ed0-a9d0-878887383d4e"]}],"mendeley":{"formattedCitation":"(Adeniyi et al., 2019)","plainTextFormattedCitation":"(Adeniyi et al., 2019)","previouslyFormattedCitation":"(Adeniyi et al., 2019)"},"properties":{"noteIndex":0},"schema":"https://github.com/citation-style-language/schema/raw/master/csl-citation.json"}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(Adeniyi et al., 2019)</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{"citationItems":[{"id":"ITEM-1","itemData":{"DOI":"10.12816/0019398","ISSN":"24089583","abstract":"This study is conducted to measure the actual efficiency comparison of life insurance company between Bangladesh and Malaysia. Total 15 life insurance companies’ were selected for the study where 10 conventional life insurance companies’ from Bangladesh and 5 Takaful life insurance companies’ from Malaysia. Authors tried to indicate the problems and way to get exact solutions by using Data Envelopment Analysis (DEA) &amp; Malmquist index to differentiate the contributions of technical change, efficiency change, the pure and scale changes to total factor productivity growth. And some others different way: like their constant return to scale, variable return to scale and operating efficiencies and attempt to show PECH &amp; SECH and in ending of analysis summary of the total life insurances company. Later we used some graph figure to make the study clear and try to evaluate the market position by measuring the efficiencies. This work will help to understand and rethink about life insurances companies of both countries","author":[{"dropping-particle":"","family":"Faruk","given":"Omar","non-dropping-particle":"","parse-names":false,"suffix":""},{"dropping-particle":"","family":"Rahaman","given":"Arafatur","non-dropping-particle":"","parse-names":false,"suffix":""}],"container-title":"Management Studies and Economic Systems","id":"ITEM-1","issue":"2","issued":{"date-parts":[["2015"]]},"page":"129-144","title":"Measuring Efficiency of Conventional Life Insurance Companies in Bangladesh and Takaful Life Insurance Companies in Malaysia : A Non-Parametric Approach","type":"article-journal","volume":"2"},"uris":["http://www.mendeley.com/documents/?uuid=4e78af6e-2931-459b-bea2-d92ca973248e"]}],"mendeley":{"formattedCitation":"(Faruk &amp; Rahaman, 2015)","plainTextFormattedCitation":"(Faruk &amp; Rahaman, 2015)","previouslyFormattedCitation":"(Faruk &amp; Rahaman,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(Faruk &amp; Rahaman,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{"citationItems":[{"id":"ITEM-1","itemData":{"DOI":"10.12816/0019398","ISSN":"24089583","abstract":"This study is conducted to measure the actual efficiency comparison of life insurance company between Bangladesh and Malaysia. Total 15 life insurance companies’ were selected for the study where 10 conventional life insurance companies’ from Bangladesh and 5 Takaful life insurance companies’ from Malaysia. Authors tried to indicate the problems and way to get exact solutions by using Data Envelopment Analysis (DEA) &amp; Malmquist index to differentiate the contributions of technical change, efficiency change, the pure and scale changes to total factor productivity growth. And some others different way: like their constant return to scale, variable return to scale and operating efficiencies and attempt to show PECH &amp; SECH and in ending of analysis summary of the total life insurances company. Later we used some graph figure to make the study clear and try to evaluate the market position by measuring the efficiencies. This work will help to understand and rethink about life insurances companies of both countries","author":[{"dropping-particle":"","family":"Faruk","given":"Omar","non-dropping-particle":"","parse-names":false,"suffix":""},{"dropping-particle":"","family":"Rahaman","given":"Arafatur","non-dropping-particle":"","parse-names":false,"suffix":""}],"container-title":"Management Studies and Economic Systems","id":"ITEM-1","issue":"2","issued":{"date-parts":[["2015"]]},"page":"129-144","title":"Measuring Efficiency of Conventional Life Insurance Companies in Bangladesh and Takaful Life Insurance Companies in Malaysia : A Non-Parametric Approach","type":"article-journal","volume":"2"},"uris":["http://www.mendeley.com/documents/?uuid=4e78af6e-2931-459b-bea2-d92ca973248e"]}],"mendeley":{"formattedCitation":"(Faruk &amp; Rahaman, 2015)","plainTextFormattedCitation":"(Faruk &amp; Rahaman, 2015)","previouslyFormattedCitation":"(Faruk &amp; Rahaman, 2015)"},"properties":{"noteIndex":0},"schema":"https://github.com/citation-style-language/schema/raw/master/csl-citation.json"}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(Faruk &amp; Rahaman, 2015)</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{"citationItems":[{"id":"ITEM-1","itemData":{"DOI":"10.1016/j.ejor.2016.08.070","ISSN":"03772217","abstract":"Deregulation and widespread economic changes have fundamentally affected the business environment of European life insurance companies over the last decades. We apply multi-stage data envelopment analysis to identify the impact of the changing environment on productivity and efficiency of European life insurance companies. Considering a sample of 970 life insurance companies from 14 European countries, we show that general economic, capital market, and insurance market conditions are important drivers of efficiency. Although we find no technical change in the European life insurance sector, we nonetheless observe an efficiency increase in 2002–2013 that leads to an increase in total factor productivity; these trends can be explained by more challenging business conditions in the 2000s. Our results emphasize the need to control for the business environment in cross-country efficiency studies.","author":[{"dropping-particle":"","family":"Eling","given":"Martin","non-dropping-particle":"","parse-names":false,"suffix":""},{"dropping-particle":"","family":"Schaper","given":"Philipp","non-dropping-particle":"","parse-names":false,"suffix":""}],"container-title":"European Journal of Operational Research","id":"ITEM-1","issue":"3","issued":{"date-parts":[["2017"]]},"page":"1082-1094","publisher":"Elsevier B.V.","title":"Under pressure: how the business environment affects productivity and efficiency of European life insurance companies","type":"article-journal","volume":"258"},"uris":["http://www.mendeley.com/documents/?uuid=b5b3586d-cb96-4838-a999-772c2dc3b6e7"]}],"mendeley":{"formattedCitation":"(Eling &amp; Schaper, 2017)","plainTextFormattedCitation":"(Eling &amp; Schaper, 2017)","previouslyFormattedCitation":"(Eling &amp; Schaper, 2017)"},"properties":{"noteIndex":0},"schema":"https://github.com/citation-style-language/schema/raw/master/csl-citation.json"}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noProof/>
          <w:color w:val="2E74B5" w:themeColor="accent1" w:themeShade="BF"/>
          <w:sz w:val="24"/>
          <w:szCs w:val="24"/>
        </w:rPr>
        <w:t>(</w:t>
      </w:r>
      <w:r w:rsidRPr="00316B9A">
        <w:rPr>
          <w:rFonts w:ascii="Times New Roman" w:hAnsi="Times New Roman" w:cs="Times New Roman"/>
          <w:b/>
          <w:i/>
          <w:noProof/>
          <w:color w:val="2E74B5" w:themeColor="accent1" w:themeShade="BF"/>
          <w:sz w:val="24"/>
          <w:szCs w:val="24"/>
        </w:rPr>
        <w:t>Eling &amp; Schaper, 2017)</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{"citationItems":[{"id":"ITEM-1","itemData":{"DOI":"10.5267/j.msl.2018.6.016","ISSN":"19239343","abstract":"The field of Corporate Social Responsibility (CSR) has been growing very exponentially over the past decade. There are continuous opposing views of the role of the firms in society and disagreements as to whether wealth maximization should be the sole goal of any corporations out there. With Insurance companies facing and fulfilling in the intense demand of diverse stakeholders, this study explores the impact of CSR disclosures on Financial Performance among the listed domestic-owned companies in Malaysian insurance sector. Although CSR is a hot topic in Malaysia and throughout various industries, no detailed study has been conducted to ascertain whether Malaysian insurance companies derive any benefits therefrom. The study examines the impact of CSR on financial performance using an extensive content analysis method on annual reports from 13 domestic-owned Malaysian insurance companies over the past 9 years (2008-2017). The content analysis data is further transformed into GRI CSR Disclosure Index table before matching the findings against the Financial Performance indicators (return on assets (ROA), return on equities (ROE) and earnings per share (EPS)). The relationship between CSR and ROA, ROE and EPS is tested using correlation analysis. The results indicate significant relationship between CSR disclosure and Financial Performance; designates CSR has significant impact on ROA; whereas relationship between CSR and ROE &amp; EPS is found to be insignificant. The study suggests and indicates that insurance companies in Malaysia ought to carry out efforts continually in a bigger scale so that their CSR activities are more aligned with the reporting regulatory standards as well as to bring a positive impact in the current prospect. In addition, the remedial action proposed by Bursa Malaysia from year 2016 is expected to improve the findings of this study and bring a tremendous improvement to the exiting regulatory guidelines.","author":[{"dropping-particle":"","family":"Manokaran","given":"Khartic Rao","non-dropping-particle":"","parse-names":false,"suffix":""},{"dropping-particle":"","family":"Ramakrishnan","given":"Suresh","non-dropping-particle":"","parse-names":false,"suffix":""},{"dropping-particle":"","family":"Hishan","given":"Sanil S.","non-dropping-particle":"","parse-names":false,"suffix":""},{"dropping-particle":"","family":"Soehod","given":"Khairiah","non-dropping-particle":"","parse-names":false,"suffix":""}],"container-title":"Management Science Letters","id":"ITEM-1","issue":"9","issued":{"date-parts":[["2018"]]},"page":"913-932","title":"The impact of corporate social responsibility on financial performance: Evidence from insurance firms","type":"article-journal","volume":"8"},"uris":["http://www.mendeley.com/documents/?uuid=cfb4e057-c810-45f9-998f-9457ce4b43e1"]}],"mendeley":{"formattedCitation":"(Manokaran et al., 2018)","plainTextFormattedCitation":"(Manokaran et al., 2018)","previouslyFormattedCitation":"(Manokaran et al.,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(Manokaran et al., 2018)</w:t>
      </w:r>
      <w:r w:rsidRPr="00316B9A">
        <w:rPr>
          <w:rFonts w:ascii="Times New Roman" w:hAnsi="Times New Roman" w:cs="Times New Roman"/>
          <w:b/>
          <w:i/>
          <w:color w:val="2E74B5" w:themeColor="accent1" w:themeShade="BF"/>
          <w:sz w:val="24"/>
          <w:szCs w:val="24"/>
        </w:rPr>
        <w:fldChar w:fldCharType="end"/>
      </w:r>
    </w:p>
    <w:p w14:paraId="4C385935"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To analyze the insurance industry in the purpose of risk management, articles have been chosen on crop insurance in Bangladesh, Literature analysis from mutual insurance industry, for ensuring Solvency by Risk management of insurance with the comparison of banking as the basis for analytical grounds.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{"citationItems":[{"id":"ITEM-1","itemData":{"DOI":"10.1016/j.irfa.2016.04.014","ISSN":"10575219","abstract":"Basel II introduced a three pillar approach which concentrated upon new capital ratios (Pillar I), new supervisory procedures (Pillar II) and demanded better overall disclosure to ensure effective market discipline and transparency. Importantly, it introduced operational risk as a standalone area of the bank which for the first time was required to be measured, managed and capital allocated to calculated operational risks. Concurrently, Solvency II regulation in the insurance industry was also re-imagining regulations within the insurance industry and also developing operational risk measures. Given that Basel II was first published in 2004 and Solvency II was set to go live in January 2014. This paper analyses the strategic challenges of Basel II in the UK banking sector and then uses the results to inform a survey of a major UK insurance provider. We report that the effectiveness of Basel II was based around: the reliance upon people for effective decision making; the importance of good training for empowerment of staff; the importance of Board level engagement; and an individual's own world view and perceptions influenced the adoption of an organizational risk culture. We then take the findings to inform a survey utilizing structural equation modelling to analyze risk reporting and escalation in a large UK insurance company. The results indicate that attitude and uncertainty significantly affect individual's intention to escalate operational risk and that if not recognized by insurance companies and regulators will hinder the effectiveness of Solvency II implementation.","author":[{"dropping-particle":"","family":"Bryce","given":"Cormac","non-dropping-particle":"","parse-names":false,"suffix":""},{"dropping-particle":"","family":"Webb","given":"Rob","non-dropping-particle":"","parse-names":false,"suffix":""},{"dropping-particle":"","family":"Cheevers","given":"Carly","non-dropping-particle":"","parse-names":false,"suffix":""},{"dropping-particle":"","family":"Ring","given":"P.","non-dropping-particle":"","parse-names":false,"suffix":""},{"dropping-particle":"","family":"Clark","given":"G.","non-dropping-particle":"","parse-names":false,"suffix":""}],"container-title":"International Review of Financial Analysis","id":"ITEM-1","issued":{"date-parts":[["2016"]]},"page":"131-139","publisher":"Elsevier B.V.","title":"Should the insurance industry be banking on risk escalation for solvency II?","type":"article-journal","volume":"46"},"uris":["http://www.mendeley.com/documents/?uuid=ace06cdd-c254-4c13-92f2-245320ffb90b"]}],"mendeley":{"formattedCitation":"(Bryce et al., 2016)","plainTextFormattedCitation":"(Bryce et al., 2016)","previouslyFormattedCitation":"(Bryce et al.,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(Bryce et al., 2016)</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{"citationItems":[{"id":"ITEM-1","itemData":{"DOI":"10.1016/j.jcom.2016.09.003","ISSN":"2213297X","abstract":"Customer-owned insurance companies (mutuals) are prominent actors in the insurance industry and have significantly increased in market share in the relatively recent past. However, the discussion related to mutuals lacks a systematic and multidisciplinary literature review providing a comprehensive overview of current scientific knowledge. The purpose for the paper is threefold. It categorises the existing research by year of publication, scientific journal, type of article, and type of insurance considered. Secondly, it identifies approaches and themes that capture the nature and content of the research on mutual insurance companies. Finally, it analyses how the literature has defined mutual insurance. In the process, the work critically evaluates the current status of the research on mutuals and sets out the implications for future research and work by practitioners.","author":[{"dropping-particle":"","family":"Talonen","given":"Antti","non-dropping-particle":"","parse-names":false,"suffix":""}],"container-title":"Journal of Co-operative Organization and Management","id":"ITEM-1","issue":"2","issued":{"date-parts":[["2016"]]},"page":"53-65","publisher":"Elsevier Ltd","title":"Systematic literature review of research on mutual insurance companies","type":"article-journal","volume":"4"},"uris":["http://www.mendeley.com/documents/?uuid=37b86d88-4f15-48fe-ac36-5a27eaf48302"]}],"mendeley":{"formattedCitation":"(Talonen, 2016)","plainTextFormattedCitation":"(Talonen, 2016)","previouslyFormattedCitation":"(Talonen, 2016)"},"properties":{"noteIndex":0},"schema":"https://github.com/citation-style-language/schema/raw/master/csl-citation.json"}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(Talonen, 2016)</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{"citationItems":[{"id":"ITEM-1","itemData":{"DOI":"10.18488/journal.aefr.2018.812.1394.1405","ISSN":"22226737","abstract":"The principal aim of the study is to find out a way to effectively manage the agricultural risks like price volatility, weather risks, and fund shortage. To hedge price volatility, farmers sometimes make contracts with agro-traders but fail to protect themselves effectively due to not having the legal framework for such contracts. The study extensively reviews existing literature and find evidence that the majority studies either deal with price volatility or weather risks. If we could address these risks through a single model, it would be more useful to both the farmers and traders. Intrinsically, the authors endeavor in this regard, and the key contribution of this study lies in it. Initially, we conduct a small survey aspiring to identify the shortcomings of existing contracts. Later, we propose a model encompassing forward and insurance contracts together where the forward contract will be used to hedge price volatility and insurance contract will be used to protect weather risks.","author":[{"dropping-particle":"","family":"Hasan","given":"Md Bokhtiar","non-dropping-particle":"","parse-names":false,"suffix":""},{"dropping-particle":"","family":"Hossain","given":"Md Delowar","non-dropping-particle":"","parse-names":false,"suffix":""},{"dropping-particle":"","family":"Wahid","given":"Abu N.M.","non-dropping-particle":"","parse-names":false,"suffix":""}],"container-title":"Asian Economic and Financial Review","id":"ITEM-1","issue":"12","issued":{"date-parts":[["2018"]]},"page":"1394-1405","title":"Application of forward contract and crop insurance as risk management tools of agriculture: A case study in Bangladesh","type":"article-journal","volume":"8"},"uris":["http://www.mendeley.com/documents/?uuid=e3112755-f468-431d-91c8-495b2d4ef737"]}],"mendeley":{"formattedCitation":"(Hasan, Hossain, et al., 2018)","plainTextFormattedCitation":"(Hasan, Hossain, et al., 2018)","previouslyFormattedCitation":"(Hasan, Hossain, et al.,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(Hasan, Hossain, et al., 2018)</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p>
    <w:p w14:paraId="28C32B1C"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 xml:space="preserve">To measure relevance in between banking and insurance sector, an article was selected to assess the asset and capital structure in these two industries. Adequacy in monetary flow, ensured the deposit fund expansion in insurance industry whereas, in banking sector, this scenario reflects the </w:t>
      </w:r>
      <w:r w:rsidRPr="00316B9A">
        <w:rPr>
          <w:rFonts w:ascii="Times New Roman" w:hAnsi="Times New Roman" w:cs="Times New Roman"/>
          <w:sz w:val="24"/>
          <w:szCs w:val="24"/>
        </w:rPr>
        <w:lastRenderedPageBreak/>
        <w:t>insignificant relationship.</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{"citationItems":[{"id":"ITEM-1","itemData":{"DOI":"10.1016/j.mulfin.2018.07.001","ISSN":"1042444X","abstract":"This article investigates the dynamic linkage between insurance and banking activities from the asset size of the insurance sector in the context of a panel vector autoregression (VAR) framework using data for 73 countries from 1980 to 2014. Panel Granger-causality tests show that a Granger causal relation generally runs from banking activities to insurance sector assets. Impulse response analyses for the whole sample demonstrate that the size of insurance assets responds positively to a shock to liquid liabilities and deposits of the financial system, but negatively to a shock to deposit money bank assets as well as private credit issued by commercial banks, other financial institutions, and deposit banks. The observations are qualitatively identical for high-income countries, while the results are largely different for middle- and low-income countries. Moreover, we observe a significant interaction between insurance and banking activities in civil law countries rather than in common law ones.","author":[{"dropping-particle":"","family":"Chang","given":"Chi Hung","non-dropping-particle":"","parse-names":false,"suffix":""}],"container-title":"Journal of Multinational Financial Management","id":"ITEM-1","issued":{"date-parts":[["2018"]]},"page":"36-50","publisher":"Elsevier B.V.","title":"The dynamic linkage between insurance and banking activities: An analysis on insurance sector assets","type":"article-journal","volume":"46"},"uris":["http://www.mendeley.com/documents/?uuid=cbf0f554-efd2-4b4d-917e-7868d78fe5bf"]}],"mendeley":{"formattedCitation":"(Chang, 2018)","plainTextFormattedCitation":"(Chang, 2018)","previouslyFormattedCitation":"(Chang, 2018)"},"properties":{"noteIndex":0},"schema":"https://github.com/citation-style-language/schema/raw/master/csl-citation.json"}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(Chang, 2018)</w:t>
      </w:r>
      <w:r w:rsidRPr="00316B9A">
        <w:rPr>
          <w:rFonts w:ascii="Times New Roman" w:hAnsi="Times New Roman" w:cs="Times New Roman"/>
          <w:b/>
          <w:i/>
          <w:color w:val="2E74B5" w:themeColor="accent1" w:themeShade="BF"/>
          <w:sz w:val="24"/>
          <w:szCs w:val="24"/>
        </w:rPr>
        <w:fldChar w:fldCharType="end"/>
      </w:r>
      <w:r w:rsidRPr="00316B9A">
        <w:rPr>
          <w:rFonts w:ascii="Times New Roman" w:hAnsi="Times New Roman" w:cs="Times New Roman"/>
          <w:b/>
          <w:i/>
          <w:color w:val="2E74B5" w:themeColor="accent1" w:themeShade="BF"/>
          <w:sz w:val="24"/>
          <w:szCs w:val="24"/>
        </w:rPr>
        <w:t>.</w:t>
      </w:r>
      <w:r w:rsidRPr="00316B9A">
        <w:rPr>
          <w:rFonts w:ascii="Times New Roman" w:hAnsi="Times New Roman" w:cs="Times New Roman"/>
          <w:sz w:val="24"/>
          <w:szCs w:val="24"/>
        </w:rPr>
        <w:t>Another comparative study between theses two industry reveals that, bank uses more debt in comparison to insurance</w:t>
      </w:r>
      <w:r w:rsidRPr="00316B9A">
        <w:rPr>
          <w:rFonts w:ascii="Times New Roman" w:hAnsi="Times New Roman" w:cs="Times New Roman"/>
          <w:b/>
          <w:i/>
          <w:sz w:val="24"/>
          <w:szCs w:val="24"/>
        </w:rPr>
        <w:t>.</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{"citationItems":[{"id":"ITEM-1","itemData":{"author":[{"dropping-particle":"","family":"Kumar","given":"Mukesh","non-dropping-particle":"","parse-names":false,"suffix":""}],"id":"ITEM-1","issue":"05","issued":{"date-parts":[["2019"]]},"page":"2254-2268","title":"A COMPARATIVE ANALYISIS OF CAPITAL STRUCTURE BETWEEN COMMERCIAL BANKS AND","type":"article-journal","volume":"07"},"uris":["http://www.mendeley.com/documents/?uuid=d579f9db-1287-478d-844b-cfcbb2d4a8ae"]}],"mendeley":{"formattedCitation":"(Kumar, 2019)","plainTextFormattedCitation":"(Kumar, 2019)","previouslyFormattedCitation":"(Kumar, 2019)"},"properties":{"noteIndex":0},"schema":"https://github.com/citation-style-language/schema/raw/master/csl-citation.json"}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(Kumar, 2019)</w:t>
      </w:r>
      <w:r w:rsidRPr="00316B9A">
        <w:rPr>
          <w:rFonts w:ascii="Times New Roman" w:hAnsi="Times New Roman" w:cs="Times New Roman"/>
          <w:b/>
          <w:i/>
          <w:color w:val="2E74B5" w:themeColor="accent1" w:themeShade="BF"/>
          <w:sz w:val="24"/>
          <w:szCs w:val="24"/>
        </w:rPr>
        <w:fldChar w:fldCharType="end"/>
      </w:r>
    </w:p>
    <w:p w14:paraId="6259976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221145A6"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BA9A9E1" w14:textId="77777777" w:rsidR="002C178D" w:rsidRPr="00E779EC" w:rsidRDefault="002C178D" w:rsidP="00E779EC">
      <w:pPr>
        <w:pStyle w:val="Heading2"/>
        <w:jc w:val="center"/>
        <w:rPr>
          <w:b/>
          <w:sz w:val="36"/>
          <w:szCs w:val="36"/>
        </w:rPr>
      </w:pPr>
      <w:bookmarkStart w:id="4" w:name="_Toc52709109"/>
      <w:r w:rsidRPr="00E779EC">
        <w:rPr>
          <w:b/>
          <w:sz w:val="36"/>
          <w:szCs w:val="36"/>
        </w:rPr>
        <w:t>Concept of Insurance</w:t>
      </w:r>
      <w:bookmarkEnd w:id="4"/>
    </w:p>
    <w:p w14:paraId="06E6D58A" w14:textId="77777777" w:rsidR="002C178D" w:rsidRPr="00820E8C"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sz w:val="24"/>
          <w:szCs w:val="24"/>
        </w:rPr>
        <w:t xml:space="preserve"> Insurance concept includes a sort of protection against any accidental occurrence which causes financial loses and damages. This insurance means an agreement with insured or insurance company about getting compensation to insured for any financial loss caused by an accident. This is why it is called policy on the other names. Financial protection received by the insurer by the insured is also known as reimbursements for damages. This reimbursements will be recovered from the fund of premiums paid by insured or individuals having insurance or claims against a pool of unexpected accidents which results in the suffering of financial crisis.</w:t>
      </w:r>
    </w:p>
    <w:p w14:paraId="609AB678"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From the above definition, it is found that, there are basically two main parties in insurance policy: one is individual (Insured) who is taking the policy by the payment of premium, other party is the Insurance company or insurer who is providing the reimbursements for financial damages in exchange of premiums(agreed fixed amount); at the occurrence of any financial damage or suffering. This agreement also known as “policy of indemnity”. An insured cannot make profit from an insurance policy but can get compensated with the equivalent amount of financial losses.</w:t>
      </w:r>
      <w:r w:rsidRPr="00316B9A">
        <w:rPr>
          <w:rFonts w:ascii="Times New Roman" w:hAnsi="Times New Roman" w:cs="Times New Roman"/>
          <w:b/>
          <w:i/>
          <w:color w:val="2E74B5" w:themeColor="accent1" w:themeShade="BF"/>
          <w:sz w:val="24"/>
          <w:szCs w:val="24"/>
        </w:rPr>
        <w:fldChar w:fldCharType="begin" w:fldLock="1"/>
      </w:r>
      <w:r w:rsidRPr="00316B9A">
        <w:rPr>
          <w:rFonts w:ascii="Times New Roman" w:hAnsi="Times New Roman" w:cs="Times New Roman"/>
          <w:b/>
          <w:i/>
          <w:color w:val="2E74B5" w:themeColor="accent1" w:themeShade="BF"/>
          <w:sz w:val="24"/>
          <w:szCs w:val="24"/>
        </w:rPr>
        <w:instrText>ADDIN CSL_CITATION {"citationItems":[{"id":"ITEM-1","itemData":{"DOI":"10.1007/978-1-4615-6187-3","ISBN":"9781461561873","abstract":"Earthquake disaster insurance can effectively reduce the impact of earthquake disasters on rural households. Exploring rural households’ willingness to purchase earthquake disaster insurance in earthquake disaster areas provides an understanding of the motivations underlying the implementation of an insurance policy. However, few studies have examined the perspectives of rural households, in order to explore the correlations between the rural households’ livelihood capital, their disaster risk perception, and their willingness to purchase earthquake disaster insurance. A cross-sectional survey data including 241 rural households from the most severe disaster counties (cities) during the 5 • 12 Wenchuan earthquake was examined with regard to rural households’ livelihood and disaster risk perception, and ordinal logistic regression models were constructed to explore rural households’ willingness to purchase earthquake disaster insurance, as well as the driving mechanism behind this willingness. The results showed that 34.44% of rural households were very willing to purchase earthquake disaster insurance, and 7.05% of rural households were very reluctant to purchase earthquake insurance. Rural households’ livelihood capital and risk perceptions were the most important factors affecting their willingness to purchase earthquake disaster insurance. Rural households with higher scores on natural capital, physical capital, possibility, and worry were more likely to purchase earthquake disaster insurance. Specifically, keeping all other variables constant, every one unit increase in nature capital and physical capital corresponded to an increase in the odds of willingness to purchase earthquake disaster insurance by a factor of 0.14 and 0.06, respectively; every one unit increase in possibility and worry corresponded to an increase in the odds of willingness to purchase earthquake disaster insurance by a factor of 0.03 and 0.04, respectively. This study contributes to the current literature by increasing the understanding of the relationships between Chinese rural households’ livelihood capital and risk perceptions, and their willingness to purchase earthquake disaster insurance. © 2018 by the authors. Licensee MDPI, Basel, Switzerland.","author":[{"dropping-particle":"","family":"Outreville","given":"J. François","non-dropping-particle":"","parse-names":false,"suffix":""}],"container-title":"Theory and Practice of Insurance","id":"ITEM-1","issue":"January 1998","issued":{"date-parts":[["1998"]]},"title":"Theory and Practice of Insurance","type":"article-journal"},"uris":["http://www.mendeley.com/documents/?uuid=3ffe4ed8-3528-42ae-bc0c-87a10b1fa114"]}],"mendeley":{"formattedCitation":"(Outreville, 1998)","plainTextFormattedCitation":"(Outreville, 1998)","previouslyFormattedCitation":"(Outreville, 1998)"},"properties":{"noteIndex":0},"schema":"https://github.com/citation-style-language/schema/raw/master/csl-citation.json"}</w:instrText>
      </w:r>
      <w:r w:rsidRPr="00316B9A">
        <w:rPr>
          <w:rFonts w:ascii="Times New Roman" w:hAnsi="Times New Roman" w:cs="Times New Roman"/>
          <w:b/>
          <w:i/>
          <w:color w:val="2E74B5" w:themeColor="accent1" w:themeShade="BF"/>
          <w:sz w:val="24"/>
          <w:szCs w:val="24"/>
        </w:rPr>
        <w:fldChar w:fldCharType="separate"/>
      </w:r>
      <w:r w:rsidRPr="00316B9A">
        <w:rPr>
          <w:rFonts w:ascii="Times New Roman" w:hAnsi="Times New Roman" w:cs="Times New Roman"/>
          <w:b/>
          <w:i/>
          <w:noProof/>
          <w:color w:val="2E74B5" w:themeColor="accent1" w:themeShade="BF"/>
          <w:sz w:val="24"/>
          <w:szCs w:val="24"/>
        </w:rPr>
        <w:t>(Outreville, 1998)</w:t>
      </w:r>
      <w:r w:rsidRPr="00316B9A">
        <w:rPr>
          <w:rFonts w:ascii="Times New Roman" w:hAnsi="Times New Roman" w:cs="Times New Roman"/>
          <w:b/>
          <w:i/>
          <w:color w:val="2E74B5" w:themeColor="accent1" w:themeShade="BF"/>
          <w:sz w:val="24"/>
          <w:szCs w:val="24"/>
        </w:rPr>
        <w:fldChar w:fldCharType="end"/>
      </w:r>
    </w:p>
    <w:p w14:paraId="2A57014C" w14:textId="77777777" w:rsidR="002C178D" w:rsidRDefault="002C178D" w:rsidP="00E13104">
      <w:pPr>
        <w:spacing w:line="360" w:lineRule="auto"/>
        <w:jc w:val="both"/>
        <w:rPr>
          <w:rFonts w:ascii="Times New Roman" w:hAnsi="Times New Roman" w:cs="Times New Roman"/>
          <w:b/>
          <w:sz w:val="24"/>
          <w:szCs w:val="24"/>
        </w:rPr>
      </w:pPr>
    </w:p>
    <w:p w14:paraId="66D98312" w14:textId="77777777" w:rsidR="002C178D" w:rsidRDefault="002C178D" w:rsidP="00E13104">
      <w:pPr>
        <w:spacing w:line="360" w:lineRule="auto"/>
        <w:jc w:val="both"/>
        <w:rPr>
          <w:rFonts w:ascii="Times New Roman" w:hAnsi="Times New Roman" w:cs="Times New Roman"/>
          <w:b/>
          <w:sz w:val="24"/>
          <w:szCs w:val="24"/>
        </w:rPr>
      </w:pPr>
    </w:p>
    <w:p w14:paraId="418627CD" w14:textId="77777777" w:rsidR="002C178D" w:rsidRDefault="002C178D" w:rsidP="00E13104">
      <w:pPr>
        <w:spacing w:line="360" w:lineRule="auto"/>
        <w:jc w:val="both"/>
        <w:rPr>
          <w:rFonts w:ascii="Times New Roman" w:hAnsi="Times New Roman" w:cs="Times New Roman"/>
          <w:b/>
          <w:sz w:val="24"/>
          <w:szCs w:val="24"/>
        </w:rPr>
      </w:pPr>
    </w:p>
    <w:p w14:paraId="52B1AA47" w14:textId="77777777" w:rsidR="002C178D" w:rsidRDefault="002C178D" w:rsidP="00E13104">
      <w:pPr>
        <w:spacing w:line="360" w:lineRule="auto"/>
        <w:jc w:val="both"/>
        <w:rPr>
          <w:rFonts w:ascii="Times New Roman" w:hAnsi="Times New Roman" w:cs="Times New Roman"/>
          <w:b/>
          <w:sz w:val="24"/>
          <w:szCs w:val="24"/>
        </w:rPr>
      </w:pPr>
    </w:p>
    <w:p w14:paraId="04DE5896" w14:textId="77777777" w:rsidR="002C178D" w:rsidRDefault="002C178D" w:rsidP="00E13104">
      <w:pPr>
        <w:spacing w:line="360" w:lineRule="auto"/>
        <w:jc w:val="both"/>
        <w:rPr>
          <w:rFonts w:ascii="Times New Roman" w:hAnsi="Times New Roman" w:cs="Times New Roman"/>
          <w:b/>
          <w:sz w:val="24"/>
          <w:szCs w:val="24"/>
        </w:rPr>
      </w:pPr>
    </w:p>
    <w:p w14:paraId="60F93075" w14:textId="77777777" w:rsidR="002C178D" w:rsidRDefault="002C178D" w:rsidP="00E13104">
      <w:pPr>
        <w:spacing w:line="360" w:lineRule="auto"/>
        <w:jc w:val="both"/>
        <w:rPr>
          <w:rFonts w:ascii="Times New Roman" w:hAnsi="Times New Roman" w:cs="Times New Roman"/>
          <w:b/>
          <w:sz w:val="24"/>
          <w:szCs w:val="24"/>
        </w:rPr>
      </w:pPr>
    </w:p>
    <w:p w14:paraId="52C4DAA9" w14:textId="77777777" w:rsidR="002C178D" w:rsidRDefault="002C178D" w:rsidP="00E13104">
      <w:pPr>
        <w:spacing w:line="360" w:lineRule="auto"/>
        <w:jc w:val="both"/>
        <w:rPr>
          <w:rFonts w:ascii="Times New Roman" w:hAnsi="Times New Roman" w:cs="Times New Roman"/>
          <w:b/>
          <w:sz w:val="24"/>
          <w:szCs w:val="24"/>
        </w:rPr>
      </w:pPr>
    </w:p>
    <w:p w14:paraId="65055D49" w14:textId="77777777" w:rsidR="002C178D" w:rsidRDefault="002C178D" w:rsidP="00EB0CAE">
      <w:pPr>
        <w:spacing w:line="360" w:lineRule="auto"/>
        <w:jc w:val="center"/>
        <w:rPr>
          <w:rFonts w:ascii="Times New Roman" w:hAnsi="Times New Roman" w:cs="Times New Roman"/>
          <w:b/>
          <w:sz w:val="32"/>
          <w:szCs w:val="32"/>
        </w:rPr>
      </w:pPr>
    </w:p>
    <w:p w14:paraId="19D895D5" w14:textId="77777777" w:rsidR="002C178D" w:rsidRDefault="002C178D" w:rsidP="00EB0CAE">
      <w:pPr>
        <w:spacing w:line="360" w:lineRule="auto"/>
        <w:jc w:val="center"/>
        <w:rPr>
          <w:rFonts w:ascii="Times New Roman" w:hAnsi="Times New Roman" w:cs="Times New Roman"/>
          <w:b/>
          <w:sz w:val="32"/>
          <w:szCs w:val="32"/>
        </w:rPr>
      </w:pPr>
    </w:p>
    <w:p w14:paraId="24F8DDD4" w14:textId="77777777" w:rsidR="002C178D" w:rsidRDefault="002C178D" w:rsidP="00EB0CAE">
      <w:pPr>
        <w:spacing w:line="360" w:lineRule="auto"/>
        <w:jc w:val="center"/>
        <w:rPr>
          <w:rFonts w:ascii="Times New Roman" w:hAnsi="Times New Roman" w:cs="Times New Roman"/>
          <w:b/>
          <w:sz w:val="32"/>
          <w:szCs w:val="32"/>
        </w:rPr>
      </w:pPr>
    </w:p>
    <w:p w14:paraId="7A62D27F" w14:textId="77777777" w:rsidR="002C178D" w:rsidRDefault="002C178D" w:rsidP="00EB0CAE">
      <w:pPr>
        <w:spacing w:line="360" w:lineRule="auto"/>
        <w:jc w:val="center"/>
        <w:rPr>
          <w:rFonts w:ascii="Times New Roman" w:hAnsi="Times New Roman" w:cs="Times New Roman"/>
          <w:b/>
          <w:sz w:val="32"/>
          <w:szCs w:val="32"/>
        </w:rPr>
      </w:pPr>
    </w:p>
    <w:p w14:paraId="3C325317" w14:textId="77777777" w:rsidR="002C178D" w:rsidRDefault="002C178D" w:rsidP="00EB0CAE">
      <w:pPr>
        <w:spacing w:line="360" w:lineRule="auto"/>
        <w:jc w:val="center"/>
        <w:rPr>
          <w:rFonts w:ascii="Times New Roman" w:hAnsi="Times New Roman" w:cs="Times New Roman"/>
          <w:b/>
          <w:sz w:val="32"/>
          <w:szCs w:val="32"/>
        </w:rPr>
      </w:pPr>
    </w:p>
    <w:p w14:paraId="71AA640E" w14:textId="77777777" w:rsidR="002C178D" w:rsidRDefault="002C178D" w:rsidP="00EB0CAE">
      <w:pPr>
        <w:spacing w:line="360" w:lineRule="auto"/>
        <w:jc w:val="center"/>
        <w:rPr>
          <w:rFonts w:ascii="Times New Roman" w:hAnsi="Times New Roman" w:cs="Times New Roman"/>
          <w:b/>
          <w:sz w:val="32"/>
          <w:szCs w:val="32"/>
        </w:rPr>
      </w:pPr>
    </w:p>
    <w:p w14:paraId="30CD70F6" w14:textId="77777777" w:rsidR="002C178D" w:rsidRDefault="002C178D" w:rsidP="00EB0CAE">
      <w:pPr>
        <w:spacing w:line="360" w:lineRule="auto"/>
        <w:jc w:val="center"/>
        <w:rPr>
          <w:rFonts w:ascii="Times New Roman" w:hAnsi="Times New Roman" w:cs="Times New Roman"/>
          <w:b/>
          <w:sz w:val="32"/>
          <w:szCs w:val="32"/>
        </w:rPr>
      </w:pPr>
    </w:p>
    <w:p w14:paraId="54735B37" w14:textId="77777777" w:rsidR="002C178D" w:rsidRDefault="002C178D" w:rsidP="00EB0CAE">
      <w:pPr>
        <w:spacing w:line="360" w:lineRule="auto"/>
        <w:jc w:val="center"/>
        <w:rPr>
          <w:rFonts w:ascii="Times New Roman" w:hAnsi="Times New Roman" w:cs="Times New Roman"/>
          <w:b/>
          <w:sz w:val="32"/>
          <w:szCs w:val="32"/>
        </w:rPr>
      </w:pPr>
    </w:p>
    <w:p w14:paraId="687F429E" w14:textId="77777777" w:rsidR="002C178D" w:rsidRPr="00877764" w:rsidRDefault="002C178D" w:rsidP="00877764">
      <w:pPr>
        <w:pStyle w:val="Heading1"/>
        <w:jc w:val="center"/>
        <w:rPr>
          <w:b/>
          <w:sz w:val="40"/>
          <w:szCs w:val="40"/>
        </w:rPr>
      </w:pPr>
      <w:bookmarkStart w:id="5" w:name="_Toc52709110"/>
      <w:r w:rsidRPr="00877764">
        <w:rPr>
          <w:b/>
          <w:sz w:val="40"/>
          <w:szCs w:val="40"/>
        </w:rPr>
        <w:t>Chapter 2(Insurance types and evidences)</w:t>
      </w:r>
      <w:bookmarkEnd w:id="5"/>
    </w:p>
    <w:p w14:paraId="752B87FA" w14:textId="77777777" w:rsidR="002C178D" w:rsidRPr="00877764" w:rsidRDefault="002C178D" w:rsidP="00877764">
      <w:pPr>
        <w:spacing w:line="360" w:lineRule="auto"/>
        <w:jc w:val="center"/>
        <w:rPr>
          <w:rFonts w:ascii="Times New Roman" w:hAnsi="Times New Roman" w:cs="Times New Roman"/>
          <w:b/>
          <w:sz w:val="40"/>
          <w:szCs w:val="40"/>
        </w:rPr>
      </w:pPr>
    </w:p>
    <w:p w14:paraId="220C8732" w14:textId="77777777" w:rsidR="002C178D" w:rsidRDefault="002C178D" w:rsidP="00E13104">
      <w:pPr>
        <w:spacing w:line="360" w:lineRule="auto"/>
        <w:jc w:val="both"/>
        <w:rPr>
          <w:rFonts w:ascii="Times New Roman" w:hAnsi="Times New Roman" w:cs="Times New Roman"/>
          <w:b/>
          <w:sz w:val="24"/>
          <w:szCs w:val="24"/>
        </w:rPr>
      </w:pPr>
    </w:p>
    <w:p w14:paraId="55AB48ED" w14:textId="77777777" w:rsidR="002C178D" w:rsidRDefault="002C178D" w:rsidP="00E13104">
      <w:pPr>
        <w:spacing w:line="360" w:lineRule="auto"/>
        <w:jc w:val="both"/>
        <w:rPr>
          <w:rFonts w:ascii="Times New Roman" w:hAnsi="Times New Roman" w:cs="Times New Roman"/>
          <w:b/>
          <w:sz w:val="24"/>
          <w:szCs w:val="24"/>
        </w:rPr>
      </w:pPr>
    </w:p>
    <w:p w14:paraId="27199C0B" w14:textId="77777777" w:rsidR="002C178D" w:rsidRDefault="002C178D" w:rsidP="00E13104">
      <w:pPr>
        <w:spacing w:line="360" w:lineRule="auto"/>
        <w:jc w:val="both"/>
        <w:rPr>
          <w:rFonts w:ascii="Times New Roman" w:hAnsi="Times New Roman" w:cs="Times New Roman"/>
          <w:b/>
          <w:sz w:val="24"/>
          <w:szCs w:val="24"/>
        </w:rPr>
      </w:pPr>
    </w:p>
    <w:p w14:paraId="1C8413B6" w14:textId="77777777" w:rsidR="002C178D" w:rsidRDefault="002C178D" w:rsidP="00E13104">
      <w:pPr>
        <w:spacing w:line="360" w:lineRule="auto"/>
        <w:jc w:val="both"/>
        <w:rPr>
          <w:rFonts w:ascii="Times New Roman" w:hAnsi="Times New Roman" w:cs="Times New Roman"/>
          <w:b/>
          <w:sz w:val="24"/>
          <w:szCs w:val="24"/>
        </w:rPr>
      </w:pPr>
    </w:p>
    <w:p w14:paraId="11F4EC0F" w14:textId="77777777" w:rsidR="002C178D" w:rsidRDefault="002C178D" w:rsidP="00E13104">
      <w:pPr>
        <w:spacing w:line="360" w:lineRule="auto"/>
        <w:jc w:val="both"/>
        <w:rPr>
          <w:rFonts w:ascii="Times New Roman" w:hAnsi="Times New Roman" w:cs="Times New Roman"/>
          <w:b/>
          <w:sz w:val="24"/>
          <w:szCs w:val="24"/>
        </w:rPr>
      </w:pPr>
    </w:p>
    <w:p w14:paraId="7C10C51A" w14:textId="77777777" w:rsidR="002C178D" w:rsidRDefault="002C178D" w:rsidP="00E13104">
      <w:pPr>
        <w:spacing w:line="360" w:lineRule="auto"/>
        <w:jc w:val="both"/>
        <w:rPr>
          <w:rFonts w:ascii="Times New Roman" w:hAnsi="Times New Roman" w:cs="Times New Roman"/>
          <w:b/>
          <w:sz w:val="24"/>
          <w:szCs w:val="24"/>
        </w:rPr>
      </w:pPr>
    </w:p>
    <w:p w14:paraId="2A66657E" w14:textId="77777777" w:rsidR="002C178D" w:rsidRDefault="002C178D" w:rsidP="00E13104">
      <w:pPr>
        <w:spacing w:line="360" w:lineRule="auto"/>
        <w:jc w:val="both"/>
        <w:rPr>
          <w:rFonts w:ascii="Times New Roman" w:hAnsi="Times New Roman" w:cs="Times New Roman"/>
          <w:b/>
          <w:sz w:val="24"/>
          <w:szCs w:val="24"/>
        </w:rPr>
      </w:pPr>
    </w:p>
    <w:p w14:paraId="35504DBE" w14:textId="77777777" w:rsidR="002C178D" w:rsidRDefault="002C178D" w:rsidP="00E13104">
      <w:pPr>
        <w:spacing w:line="360" w:lineRule="auto"/>
        <w:jc w:val="both"/>
        <w:rPr>
          <w:rFonts w:ascii="Times New Roman" w:hAnsi="Times New Roman" w:cs="Times New Roman"/>
          <w:b/>
          <w:sz w:val="24"/>
          <w:szCs w:val="24"/>
        </w:rPr>
      </w:pPr>
    </w:p>
    <w:p w14:paraId="64C349FD" w14:textId="77777777" w:rsidR="002C178D" w:rsidRDefault="002C178D" w:rsidP="00E13104">
      <w:pPr>
        <w:spacing w:line="360" w:lineRule="auto"/>
        <w:jc w:val="both"/>
        <w:rPr>
          <w:rFonts w:ascii="Times New Roman" w:hAnsi="Times New Roman" w:cs="Times New Roman"/>
          <w:b/>
          <w:sz w:val="24"/>
          <w:szCs w:val="24"/>
        </w:rPr>
      </w:pPr>
    </w:p>
    <w:p w14:paraId="32FA5231" w14:textId="77777777" w:rsidR="002C178D" w:rsidRDefault="002C178D" w:rsidP="00E13104">
      <w:pPr>
        <w:spacing w:line="360" w:lineRule="auto"/>
        <w:jc w:val="both"/>
        <w:rPr>
          <w:rFonts w:ascii="Times New Roman" w:hAnsi="Times New Roman" w:cs="Times New Roman"/>
          <w:b/>
          <w:sz w:val="24"/>
          <w:szCs w:val="24"/>
        </w:rPr>
      </w:pPr>
    </w:p>
    <w:p w14:paraId="482FEF20" w14:textId="77777777" w:rsidR="002C178D" w:rsidRPr="00316B9A" w:rsidRDefault="002C178D" w:rsidP="00E13104">
      <w:pPr>
        <w:spacing w:line="360" w:lineRule="auto"/>
        <w:jc w:val="both"/>
        <w:rPr>
          <w:rFonts w:ascii="Times New Roman" w:hAnsi="Times New Roman" w:cs="Times New Roman"/>
          <w:sz w:val="24"/>
          <w:szCs w:val="24"/>
        </w:rPr>
      </w:pPr>
      <w:bookmarkStart w:id="6" w:name="_Toc52709111"/>
      <w:r w:rsidRPr="00877764">
        <w:rPr>
          <w:rStyle w:val="Heading3Char"/>
          <w:b/>
          <w:sz w:val="32"/>
          <w:szCs w:val="32"/>
        </w:rPr>
        <w:lastRenderedPageBreak/>
        <w:t>2.1  Types of Insurance (In General):</w:t>
      </w:r>
      <w:bookmarkEnd w:id="6"/>
      <w:r w:rsidRPr="00316B9A">
        <w:rPr>
          <w:rFonts w:ascii="Times New Roman" w:hAnsi="Times New Roman" w:cs="Times New Roman"/>
          <w:sz w:val="24"/>
          <w:szCs w:val="24"/>
        </w:rPr>
        <w:t xml:space="preserve"> on the general basis, there are seven types of insurance, these are- Life insurance, Property insurance, Marine insurance, Fire Insurance, Liability insurance, Social insurance, Guarantee insurance. In our country, types of insurances are: Life Insurance, General Insurance, Re-insurance, Micro-Insurance, Takaful or Islamic insurance. </w:t>
      </w:r>
    </w:p>
    <w:p w14:paraId="71F589D8"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In our study, we are emphasizing on the quality measurement in growth and efficiency in the insurance industry in different countries. This study includes several types of insurance industry; for example-Health Insurance, non-life insurance, Life insurance, Private life insurance, Islamic insurance, Health insurance, Cyber &amp; Electronic Insurance.</w:t>
      </w:r>
    </w:p>
    <w:p w14:paraId="73B620E5" w14:textId="77777777" w:rsidR="002C178D" w:rsidRPr="00EB0CAE"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7" w:name="_Toc52709112"/>
      <w:r w:rsidRPr="00877764">
        <w:rPr>
          <w:rStyle w:val="Heading3Char"/>
          <w:b/>
          <w:sz w:val="32"/>
          <w:szCs w:val="32"/>
        </w:rPr>
        <w:t>Evidences from Health Insurance:</w:t>
      </w:r>
      <w:bookmarkEnd w:id="7"/>
      <w:r w:rsidRPr="00EB0CAE">
        <w:rPr>
          <w:rFonts w:ascii="Times New Roman" w:hAnsi="Times New Roman" w:cs="Times New Roman"/>
          <w:sz w:val="24"/>
          <w:szCs w:val="24"/>
        </w:rPr>
        <w:t xml:space="preserve"> Health insurance companies investigate influence of service quality of customer’s loyalty towards the products and services of health care insurance companies. This investigation finds out overall loyalty of customers towards their respective insured or insurance companies based on healthcare insurance services. They have used demographic and macroeconomic variables for their analysis, among demographic variables most common variables used-age, gender, race, income, time, etc.</w:t>
      </w:r>
    </w:p>
    <w:p w14:paraId="2D18F418" w14:textId="77777777" w:rsidR="002C178D" w:rsidRPr="00316B9A" w:rsidRDefault="002C178D" w:rsidP="00E13104">
      <w:pPr>
        <w:pStyle w:val="ListParagraph"/>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 xml:space="preserve">Among the variables of Macroeconomics, the most commonly used are- gender’s subscription period, employment, educational background, marital status, Customers’ quality, technical quality, firms’ value, customers’ perceived value etc. This study has determined data from 342 surveys of healthcare insurance in healthcare insurance which has found that, customers are fully satisfies and influenced by the policies and initiated services adopted by a particular sector-healthcare insurance. Limitations suggest that, there is a need of further assessment of other insurance industries. </w:t>
      </w:r>
    </w:p>
    <w:p w14:paraId="3158FCC9" w14:textId="77777777" w:rsidR="002C178D" w:rsidRPr="00316B9A" w:rsidRDefault="002C178D" w:rsidP="00E13104">
      <w:pPr>
        <w:pStyle w:val="ListParagraph"/>
        <w:spacing w:line="360" w:lineRule="auto"/>
        <w:jc w:val="both"/>
        <w:rPr>
          <w:rFonts w:ascii="Times New Roman" w:hAnsi="Times New Roman" w:cs="Times New Roman"/>
          <w:sz w:val="24"/>
          <w:szCs w:val="24"/>
        </w:rPr>
      </w:pPr>
    </w:p>
    <w:p w14:paraId="3DE66A1C" w14:textId="77777777" w:rsidR="002C178D" w:rsidRPr="00316B9A" w:rsidRDefault="002C178D" w:rsidP="00E13104">
      <w:pPr>
        <w:pStyle w:val="ListParagraph"/>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Another study shows that, individuals having Higher IQ and intelligence are more likely to having significant impact on out-of-pocket health insurance but insignificant impacts on private health insurance.</w:t>
      </w:r>
    </w:p>
    <w:p w14:paraId="4B818BC3" w14:textId="77777777" w:rsidR="002C178D" w:rsidRPr="00316B9A" w:rsidRDefault="002C178D" w:rsidP="00E13104">
      <w:pPr>
        <w:pStyle w:val="ListParagraph"/>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 xml:space="preserve">From the data of 107 countries, using hierarchical multiple regression analysis; it is evident that people having higher IQ are more efficient and skilled in calculating premiums, future returns and probable health risks. Thus, high IQ people tend to be more perceptive regarding future health risks and damages. This is how the variables find out that National intelligence and Higher IQ are sources of advantages for taking a health insurance by the </w:t>
      </w:r>
      <w:r w:rsidRPr="00316B9A">
        <w:rPr>
          <w:rFonts w:ascii="Times New Roman" w:hAnsi="Times New Roman" w:cs="Times New Roman"/>
          <w:sz w:val="24"/>
          <w:szCs w:val="24"/>
        </w:rPr>
        <w:lastRenderedPageBreak/>
        <w:t>individual’s variables in this study includes: Age, income, customer’s loyalty, GDP per capita, Government expenditure, other expenditures (pocket, insurance and total).</w:t>
      </w:r>
    </w:p>
    <w:p w14:paraId="43DB9EA4" w14:textId="77777777" w:rsidR="002C178D" w:rsidRPr="00316B9A" w:rsidRDefault="002C178D" w:rsidP="00E13104">
      <w:pPr>
        <w:pStyle w:val="ListParagraph"/>
        <w:spacing w:line="360" w:lineRule="auto"/>
        <w:jc w:val="both"/>
        <w:rPr>
          <w:rFonts w:ascii="Times New Roman" w:hAnsi="Times New Roman" w:cs="Times New Roman"/>
          <w:sz w:val="24"/>
          <w:szCs w:val="24"/>
        </w:rPr>
      </w:pPr>
    </w:p>
    <w:p w14:paraId="5B61DB82" w14:textId="77777777" w:rsidR="002C178D" w:rsidRPr="00DE6FC8" w:rsidRDefault="002C178D" w:rsidP="00DE6FC8">
      <w:pPr>
        <w:pStyle w:val="ListParagraph"/>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From studies of healthcare insurance, we’ve found that, the common variables used are-age, Gender and GDP &amp; expenditures</w:t>
      </w:r>
      <w:r>
        <w:rPr>
          <w:rFonts w:ascii="Times New Roman" w:hAnsi="Times New Roman" w:cs="Times New Roman"/>
          <w:i/>
          <w:sz w:val="24"/>
          <w:szCs w:val="24"/>
        </w:rPr>
        <w:t xml:space="preserve"> etc.</w:t>
      </w:r>
    </w:p>
    <w:p w14:paraId="542EF393" w14:textId="77777777" w:rsidR="002C178D" w:rsidRPr="00316B9A" w:rsidRDefault="002C178D" w:rsidP="00E13104">
      <w:pPr>
        <w:pStyle w:val="ListParagraph"/>
        <w:spacing w:line="360" w:lineRule="auto"/>
        <w:jc w:val="both"/>
        <w:rPr>
          <w:rFonts w:ascii="Times New Roman" w:hAnsi="Times New Roman" w:cs="Times New Roman"/>
          <w:i/>
          <w:sz w:val="24"/>
          <w:szCs w:val="24"/>
        </w:rPr>
      </w:pPr>
    </w:p>
    <w:p w14:paraId="28433714" w14:textId="77777777" w:rsidR="002C178D" w:rsidRPr="00EB0CAE"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8" w:name="_Toc52709113"/>
      <w:r w:rsidRPr="00877764">
        <w:rPr>
          <w:rStyle w:val="Heading3Char"/>
          <w:b/>
          <w:sz w:val="32"/>
          <w:szCs w:val="32"/>
        </w:rPr>
        <w:t>Evidences from life insurance companies:</w:t>
      </w:r>
      <w:bookmarkEnd w:id="8"/>
      <w:r w:rsidRPr="00EB0CAE">
        <w:rPr>
          <w:rFonts w:ascii="Times New Roman" w:hAnsi="Times New Roman" w:cs="Times New Roman"/>
          <w:b/>
          <w:i/>
          <w:sz w:val="24"/>
          <w:szCs w:val="24"/>
        </w:rPr>
        <w:t xml:space="preserve"> </w:t>
      </w:r>
      <w:r w:rsidRPr="00EB0CAE">
        <w:rPr>
          <w:rFonts w:ascii="Times New Roman" w:hAnsi="Times New Roman" w:cs="Times New Roman"/>
          <w:sz w:val="24"/>
          <w:szCs w:val="24"/>
        </w:rPr>
        <w:t>From the first taken article which is basically based on sub-Saharan Africa, it has apparently found out that, on the process of financial planning life insurance plays a very vital role. Because when it comes to mortality risk, this life insurance policy serves by hedging risks against the financial uncertainties. To pool in multiple investors, both small and large, life insurance companies play a vital role in funding multiple risky &amp; large investments needed for the economy. Thus in economic development, Life Insurance Company plays a vital role for many individual investors. Among the taken variables, real interest rates have no significant relationship with the penetration of life insurance companies. Whereas, GDP per capita has negative correlation with the life insurance efficiency. Legal system, government policy positively impacts on the total income of life insurance companies. But the demographic variables have negative relationship with the life insurance policies. Moreover, study on sub Saharan African life insurance industry reveals that, improvement in life insurance depends more on socio-political and institutional contexts. This research provides suggestion for further research to use more variables like-population density, structure and insurance market.</w:t>
      </w:r>
    </w:p>
    <w:p w14:paraId="35A4CA97" w14:textId="77777777" w:rsidR="002C178D" w:rsidRPr="00316B9A" w:rsidRDefault="002C178D" w:rsidP="00E13104">
      <w:pPr>
        <w:spacing w:line="360" w:lineRule="auto"/>
        <w:ind w:firstLine="720"/>
        <w:jc w:val="both"/>
        <w:rPr>
          <w:rFonts w:ascii="Times New Roman" w:hAnsi="Times New Roman" w:cs="Times New Roman"/>
          <w:sz w:val="24"/>
          <w:szCs w:val="24"/>
        </w:rPr>
      </w:pPr>
      <w:r w:rsidRPr="00316B9A">
        <w:rPr>
          <w:rFonts w:ascii="Times New Roman" w:hAnsi="Times New Roman" w:cs="Times New Roman"/>
          <w:sz w:val="24"/>
          <w:szCs w:val="24"/>
        </w:rPr>
        <w:t xml:space="preserve">Another study from the article including financial modeling for life insurance companies; which is based on Taiwan. Because financial planning is the center of any business, therefore, insurance industry relies upon this planning for further development. Stability is the first and foremost characteristic as well as a critical one for any business in the world of economic development. </w:t>
      </w:r>
      <w:r>
        <w:rPr>
          <w:rFonts w:ascii="Times New Roman" w:hAnsi="Times New Roman" w:cs="Times New Roman"/>
          <w:sz w:val="24"/>
          <w:szCs w:val="24"/>
        </w:rPr>
        <w:t xml:space="preserve">In </w:t>
      </w:r>
      <w:r w:rsidRPr="00316B9A">
        <w:rPr>
          <w:rFonts w:ascii="Times New Roman" w:hAnsi="Times New Roman" w:cs="Times New Roman"/>
          <w:sz w:val="24"/>
          <w:szCs w:val="24"/>
        </w:rPr>
        <w:t xml:space="preserve">Life insurance industry. Retrieving and refining the data is the main process to proceed in financial planning. Operational and financial indicators worked as variables for providing guidelines in financial planning of life insurance in Taiwan.to overcome some major limitations in this study, this report has adopted strategy of gathering rough knowledge regarding </w:t>
      </w:r>
      <w:r w:rsidRPr="00316B9A">
        <w:rPr>
          <w:rFonts w:ascii="Times New Roman" w:hAnsi="Times New Roman" w:cs="Times New Roman"/>
          <w:sz w:val="24"/>
          <w:szCs w:val="24"/>
        </w:rPr>
        <w:lastRenderedPageBreak/>
        <w:t>financial planning in Taiwan’s life insurance industry and then combining the data using integral based decision method.</w:t>
      </w:r>
    </w:p>
    <w:p w14:paraId="0DFCD1E8"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A survey study based on India, Germany, Malaysia, United States, Italy, United Kingdom, Spain shows that, life insurance industry analysis uses many methods to measure its vitalities, disadvantages and other uses. Revealing the most fundamental elements, it includes-making and initiating inputs and outputs, coping them up with the targeted achievement etc.</w:t>
      </w:r>
    </w:p>
    <w:p w14:paraId="370D7CF6" w14:textId="77777777" w:rsidR="002C178D" w:rsidRPr="00316B9A" w:rsidRDefault="002C178D" w:rsidP="00E13104">
      <w:pPr>
        <w:spacing w:line="360" w:lineRule="auto"/>
        <w:jc w:val="both"/>
        <w:rPr>
          <w:rFonts w:ascii="Times New Roman" w:hAnsi="Times New Roman" w:cs="Times New Roman"/>
          <w:sz w:val="24"/>
          <w:szCs w:val="24"/>
        </w:rPr>
      </w:pPr>
    </w:p>
    <w:p w14:paraId="1B7FAE61"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Common variable used in this study are-Income, Capital structure, Capital efficiency.</w:t>
      </w:r>
    </w:p>
    <w:p w14:paraId="0C517DE2" w14:textId="77777777" w:rsidR="002C178D" w:rsidRPr="00316B9A" w:rsidRDefault="002C178D" w:rsidP="00E13104">
      <w:pPr>
        <w:spacing w:line="360" w:lineRule="auto"/>
        <w:jc w:val="both"/>
        <w:rPr>
          <w:rFonts w:ascii="Times New Roman" w:hAnsi="Times New Roman" w:cs="Times New Roman"/>
          <w:sz w:val="24"/>
          <w:szCs w:val="24"/>
        </w:rPr>
      </w:pPr>
    </w:p>
    <w:p w14:paraId="2D56F4E2" w14:textId="77777777" w:rsidR="002C178D" w:rsidRPr="00EB0CAE"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9" w:name="_Toc52709114"/>
      <w:r w:rsidRPr="00877764">
        <w:rPr>
          <w:rStyle w:val="Heading3Char"/>
          <w:b/>
          <w:sz w:val="32"/>
          <w:szCs w:val="32"/>
        </w:rPr>
        <w:t>Evidences from Private life insurance:</w:t>
      </w:r>
      <w:bookmarkEnd w:id="9"/>
      <w:r w:rsidRPr="00EB0CAE">
        <w:rPr>
          <w:rFonts w:ascii="Times New Roman" w:hAnsi="Times New Roman" w:cs="Times New Roman"/>
          <w:b/>
          <w:sz w:val="24"/>
          <w:szCs w:val="24"/>
        </w:rPr>
        <w:t xml:space="preserve"> </w:t>
      </w:r>
      <w:r w:rsidRPr="00EB0CAE">
        <w:rPr>
          <w:rFonts w:ascii="Times New Roman" w:hAnsi="Times New Roman" w:cs="Times New Roman"/>
          <w:sz w:val="24"/>
          <w:szCs w:val="24"/>
        </w:rPr>
        <w:t>from the authors, Husain Ashraf and Nikita Kumari, Two inputs and two outputs were used to determine investment performance in private life insurance in India. Those inputs were-shareholders’ &amp; policyholders’ investments. Whereas the outputs were-net return investments to the shareholders &amp; net return investments to the policyholders. By following Data envelopment analysis, it is evident that, the efficiency of private life insurance has been increased during the period 2010-2014(In accordance with the data of each method used).</w:t>
      </w:r>
    </w:p>
    <w:p w14:paraId="7BFD5B43" w14:textId="77777777" w:rsidR="002C178D" w:rsidRPr="00316B9A" w:rsidRDefault="002C178D" w:rsidP="00E13104">
      <w:pPr>
        <w:spacing w:line="360" w:lineRule="auto"/>
        <w:jc w:val="both"/>
        <w:rPr>
          <w:rFonts w:ascii="Times New Roman" w:hAnsi="Times New Roman" w:cs="Times New Roman"/>
          <w:sz w:val="24"/>
          <w:szCs w:val="24"/>
        </w:rPr>
      </w:pPr>
    </w:p>
    <w:p w14:paraId="41A31F63"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Variables used in this study are-investment of shareholders and policyholders, net returns of shareholders and policyholders,</w:t>
      </w:r>
    </w:p>
    <w:p w14:paraId="29F7F128" w14:textId="77777777" w:rsidR="002C178D" w:rsidRPr="00316B9A" w:rsidRDefault="002C178D" w:rsidP="00E13104">
      <w:pPr>
        <w:spacing w:line="360" w:lineRule="auto"/>
        <w:jc w:val="both"/>
        <w:rPr>
          <w:rFonts w:ascii="Times New Roman" w:hAnsi="Times New Roman" w:cs="Times New Roman"/>
          <w:i/>
          <w:sz w:val="24"/>
          <w:szCs w:val="24"/>
        </w:rPr>
      </w:pPr>
    </w:p>
    <w:p w14:paraId="27EB5D5B" w14:textId="77777777" w:rsidR="002C178D" w:rsidRPr="000F58FC" w:rsidRDefault="002C178D" w:rsidP="00EB0CAE">
      <w:pPr>
        <w:pStyle w:val="ListParagraph"/>
        <w:numPr>
          <w:ilvl w:val="1"/>
          <w:numId w:val="9"/>
        </w:numPr>
        <w:spacing w:line="360" w:lineRule="auto"/>
        <w:jc w:val="both"/>
        <w:rPr>
          <w:rFonts w:ascii="Times New Roman" w:hAnsi="Times New Roman" w:cs="Times New Roman"/>
          <w:b/>
          <w:sz w:val="24"/>
          <w:szCs w:val="24"/>
        </w:rPr>
      </w:pPr>
      <w:bookmarkStart w:id="10" w:name="_Toc52709115"/>
      <w:r w:rsidRPr="00877764">
        <w:rPr>
          <w:rStyle w:val="Heading3Char"/>
          <w:b/>
          <w:sz w:val="32"/>
          <w:szCs w:val="32"/>
        </w:rPr>
        <w:t>Evidences from Islamic insurance</w:t>
      </w:r>
      <w:bookmarkEnd w:id="10"/>
      <w:r w:rsidRPr="000F58FC">
        <w:rPr>
          <w:rFonts w:ascii="Times New Roman" w:hAnsi="Times New Roman" w:cs="Times New Roman"/>
          <w:b/>
          <w:i/>
          <w:sz w:val="24"/>
          <w:szCs w:val="24"/>
        </w:rPr>
        <w:t>:</w:t>
      </w:r>
      <w:r w:rsidRPr="000F58FC">
        <w:rPr>
          <w:rFonts w:ascii="Times New Roman" w:hAnsi="Times New Roman" w:cs="Times New Roman"/>
          <w:i/>
          <w:sz w:val="24"/>
          <w:szCs w:val="24"/>
        </w:rPr>
        <w:t xml:space="preserve"> </w:t>
      </w:r>
      <w:r w:rsidRPr="000F58FC">
        <w:rPr>
          <w:rFonts w:ascii="Times New Roman" w:hAnsi="Times New Roman" w:cs="Times New Roman"/>
          <w:sz w:val="24"/>
          <w:szCs w:val="24"/>
        </w:rPr>
        <w:t xml:space="preserve">in the insurance industry, Islamic insurance has paved a new way to proceed. This insurance sector includes some questions arising controversies and paradoxes. An article authored by Ajayeb Abu Dabees, analyzed the questions and dilemma raised In Islamic Insurance. Muslims’ increasing growth rate, immigration to non-Muslim countries, globalization, and technology &amp; communication etc. factors are responsible for paradoxical questions raised. These have reflected that, there is not that much differences between Islamic marketing and conventional marketing because along </w:t>
      </w:r>
      <w:r w:rsidRPr="000F58FC">
        <w:rPr>
          <w:rFonts w:ascii="Times New Roman" w:hAnsi="Times New Roman" w:cs="Times New Roman"/>
          <w:sz w:val="24"/>
          <w:szCs w:val="24"/>
        </w:rPr>
        <w:lastRenderedPageBreak/>
        <w:t>with Muslim shariah and practices, this Islamic Insurance is also based on core principles of conventional marketing.it is also proved that Islamic insurance has been prevailed by the religion-Islam; which has served as a Backbone, not a marketing tool for making profit.</w:t>
      </w:r>
    </w:p>
    <w:p w14:paraId="0B692D06"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Variables used in this study: Population of Islamic region, Information technology, globalization and communication.</w:t>
      </w:r>
    </w:p>
    <w:p w14:paraId="5CF10529" w14:textId="77777777" w:rsidR="002C178D" w:rsidRPr="000F58FC"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11" w:name="_Toc52709116"/>
      <w:r w:rsidRPr="00877764">
        <w:rPr>
          <w:rStyle w:val="Heading3Char"/>
          <w:b/>
          <w:sz w:val="32"/>
          <w:szCs w:val="32"/>
        </w:rPr>
        <w:t>Evidences from Cyber Insurances:</w:t>
      </w:r>
      <w:bookmarkEnd w:id="11"/>
      <w:r w:rsidRPr="000F58FC">
        <w:rPr>
          <w:rFonts w:ascii="Times New Roman" w:hAnsi="Times New Roman" w:cs="Times New Roman"/>
          <w:i/>
          <w:sz w:val="24"/>
          <w:szCs w:val="24"/>
        </w:rPr>
        <w:t xml:space="preserve"> </w:t>
      </w:r>
      <w:r w:rsidRPr="000F58FC">
        <w:rPr>
          <w:rFonts w:ascii="Times New Roman" w:hAnsi="Times New Roman" w:cs="Times New Roman"/>
          <w:sz w:val="24"/>
          <w:szCs w:val="24"/>
        </w:rPr>
        <w:t>the development of cyber insurance is at a stage of growing. This industry is plays a vital role in protecting organizations from the cyber-attacks and threats. This paper helps us to gather thorough knowledge regarding Cyber industry, which is a less-investigated department. A regulatory institution consists of specific laws and rules which influence cyber insurance a lot. Setting up rules, monitoring &amp; distributing activities all are parts of regulatory institutions which affect a lot in Cyber Insurance. For ci sector, Government policy can be helpful to make it mandatory to make Cyber Insurance mandatory for all insured individuals to protect their insurance claim against cyber-attack. In normative institutions, it includes, non-profit organizations, industry groups, trade officials etc. these institutions can help and come forward to reform the regulatory body so that the CI industry becomes more adaptable to the insurance policy takers. With the changes in institutions, size of CI market, CI (Cyber Insurance) industry is highly impacted.</w:t>
      </w:r>
    </w:p>
    <w:p w14:paraId="255FE8C3"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Common variables used in this study-Types of Organizations &amp; size of market.</w:t>
      </w:r>
    </w:p>
    <w:p w14:paraId="6B7145C6" w14:textId="77777777" w:rsidR="002C178D" w:rsidRPr="00A04663"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12" w:name="_Toc52709117"/>
      <w:r w:rsidRPr="00877764">
        <w:rPr>
          <w:rStyle w:val="Heading3Char"/>
          <w:b/>
          <w:sz w:val="32"/>
          <w:szCs w:val="32"/>
        </w:rPr>
        <w:t>Evidences from Electronic insurance:</w:t>
      </w:r>
      <w:bookmarkEnd w:id="12"/>
      <w:r w:rsidRPr="00A04663">
        <w:rPr>
          <w:rFonts w:ascii="Times New Roman" w:hAnsi="Times New Roman" w:cs="Times New Roman"/>
          <w:i/>
          <w:sz w:val="24"/>
          <w:szCs w:val="24"/>
        </w:rPr>
        <w:t xml:space="preserve"> </w:t>
      </w:r>
      <w:r w:rsidRPr="00A04663">
        <w:rPr>
          <w:rFonts w:ascii="Times New Roman" w:hAnsi="Times New Roman" w:cs="Times New Roman"/>
          <w:sz w:val="24"/>
          <w:szCs w:val="24"/>
        </w:rPr>
        <w:t>According to the Authors- Syed Javad Bazquandi&amp; Ahmed Nateq Golestan, electronic insurance policy holders get highest effective policy if there is perceived online insurance services, insurance contracts and regular transactions of customers by sending them email.</w:t>
      </w:r>
    </w:p>
    <w:p w14:paraId="738E9AF6"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Common Variables: Risk Dimensions (financial, Operational, social, security and overall), Time/Period.</w:t>
      </w:r>
    </w:p>
    <w:p w14:paraId="40DBCE12" w14:textId="77777777" w:rsidR="002C178D" w:rsidRPr="00316B9A" w:rsidRDefault="002C178D" w:rsidP="00E13104">
      <w:pPr>
        <w:spacing w:line="360" w:lineRule="auto"/>
        <w:jc w:val="both"/>
        <w:rPr>
          <w:rFonts w:ascii="Times New Roman" w:hAnsi="Times New Roman" w:cs="Times New Roman"/>
          <w:i/>
          <w:sz w:val="24"/>
          <w:szCs w:val="24"/>
        </w:rPr>
      </w:pPr>
    </w:p>
    <w:p w14:paraId="4B7D685F" w14:textId="77777777" w:rsidR="002C178D" w:rsidRDefault="002C178D" w:rsidP="00EB0CAE">
      <w:pPr>
        <w:pStyle w:val="ListParagraph"/>
        <w:numPr>
          <w:ilvl w:val="1"/>
          <w:numId w:val="9"/>
        </w:numPr>
        <w:spacing w:line="360" w:lineRule="auto"/>
        <w:jc w:val="both"/>
        <w:rPr>
          <w:rFonts w:ascii="Times New Roman" w:hAnsi="Times New Roman" w:cs="Times New Roman"/>
          <w:sz w:val="24"/>
          <w:szCs w:val="24"/>
        </w:rPr>
      </w:pPr>
      <w:bookmarkStart w:id="13" w:name="_Toc52709118"/>
      <w:r w:rsidRPr="00877764">
        <w:rPr>
          <w:rStyle w:val="Heading3Char"/>
          <w:b/>
          <w:sz w:val="32"/>
          <w:szCs w:val="32"/>
        </w:rPr>
        <w:t>Micro insurance Evidences:</w:t>
      </w:r>
      <w:bookmarkEnd w:id="13"/>
      <w:r w:rsidRPr="000F58FC">
        <w:rPr>
          <w:rFonts w:ascii="Times New Roman" w:hAnsi="Times New Roman" w:cs="Times New Roman"/>
          <w:i/>
          <w:sz w:val="24"/>
          <w:szCs w:val="24"/>
        </w:rPr>
        <w:t xml:space="preserve"> </w:t>
      </w:r>
      <w:r w:rsidRPr="000F58FC">
        <w:rPr>
          <w:rFonts w:ascii="Times New Roman" w:hAnsi="Times New Roman" w:cs="Times New Roman"/>
          <w:sz w:val="24"/>
          <w:szCs w:val="24"/>
        </w:rPr>
        <w:t xml:space="preserve">For low-income households and businesses or individuals having start-up little businesses, There are some insurance policies for paying </w:t>
      </w:r>
      <w:r w:rsidRPr="000F58FC">
        <w:rPr>
          <w:rFonts w:ascii="Times New Roman" w:hAnsi="Times New Roman" w:cs="Times New Roman"/>
          <w:sz w:val="24"/>
          <w:szCs w:val="24"/>
        </w:rPr>
        <w:lastRenderedPageBreak/>
        <w:t>coverage to those individuals. This policy is structured in such a way so that it can cover up the damages caused to small-valued assets and households or businesses. Basically individuals having micro insurance policy for small households or businesses, mainly have small or little savings to cover. Therefore, micro insurance policies have been developed in accordance with that. This insurance is basically providing services in developing countries where there are small or medium household business exists. Including property &amp; health risks, micro insurance has too many risks. The articles have ensured that it is convenient for the household business or small business individuals to have micro insurance protection against the loss of their losses. But there is need of further development and policy initiation by the government in the private sectors. Some probable initiatives include-encouragement of mobile payment system, effective measurements for risk coverage, cost-effective management for financial management &amp; encourage to innovate newer contract price etc. resulting from health expenditures, Micro Health Insurance has provided protection to small household businesses in Pakistani Geographical area.</w:t>
      </w:r>
    </w:p>
    <w:p w14:paraId="2519EA91" w14:textId="77777777" w:rsidR="002C178D" w:rsidRPr="000F58FC" w:rsidRDefault="002C178D" w:rsidP="00EB0CAE">
      <w:pPr>
        <w:pStyle w:val="ListParagraph"/>
        <w:spacing w:line="360" w:lineRule="auto"/>
        <w:ind w:left="360"/>
        <w:jc w:val="both"/>
        <w:rPr>
          <w:rFonts w:ascii="Times New Roman" w:hAnsi="Times New Roman" w:cs="Times New Roman"/>
          <w:sz w:val="24"/>
          <w:szCs w:val="24"/>
        </w:rPr>
      </w:pPr>
    </w:p>
    <w:p w14:paraId="6E487F49" w14:textId="77777777" w:rsidR="002C178D" w:rsidRDefault="002C178D" w:rsidP="00EB0CAE">
      <w:pPr>
        <w:pStyle w:val="ListParagraph"/>
        <w:numPr>
          <w:ilvl w:val="0"/>
          <w:numId w:val="10"/>
        </w:numPr>
        <w:spacing w:line="360" w:lineRule="auto"/>
        <w:jc w:val="both"/>
        <w:rPr>
          <w:rFonts w:ascii="Times New Roman" w:hAnsi="Times New Roman" w:cs="Times New Roman"/>
          <w:i/>
          <w:sz w:val="24"/>
          <w:szCs w:val="24"/>
        </w:rPr>
      </w:pPr>
      <w:r w:rsidRPr="00EB0CAE">
        <w:rPr>
          <w:rFonts w:ascii="Times New Roman" w:hAnsi="Times New Roman" w:cs="Times New Roman"/>
          <w:i/>
          <w:sz w:val="24"/>
          <w:szCs w:val="24"/>
        </w:rPr>
        <w:t>Variables used in this study-type of health insurance, payments, incomes, economic factors, social factors, cultural factors and demographic factors. Income is the most commonly used variable which has been taken by almost 6 articles. Demographic variables seem to remain in the second most common variable. The least used variable is investment in the term of differentiating several types of insurance companies.</w:t>
      </w:r>
    </w:p>
    <w:p w14:paraId="6E47FFB7" w14:textId="77777777" w:rsidR="002C178D" w:rsidRPr="00EB0CAE" w:rsidRDefault="002C178D" w:rsidP="00D147BE">
      <w:pPr>
        <w:pStyle w:val="ListParagraph"/>
        <w:spacing w:line="360" w:lineRule="auto"/>
        <w:jc w:val="both"/>
        <w:rPr>
          <w:rFonts w:ascii="Times New Roman" w:hAnsi="Times New Roman" w:cs="Times New Roman"/>
          <w:i/>
          <w:sz w:val="24"/>
          <w:szCs w:val="24"/>
        </w:rPr>
      </w:pPr>
    </w:p>
    <w:tbl>
      <w:tblPr>
        <w:tblStyle w:val="TableGrid"/>
        <w:tblpPr w:leftFromText="180" w:rightFromText="180" w:vertAnchor="text" w:horzAnchor="margin" w:tblpY="113"/>
        <w:tblW w:w="8602" w:type="dxa"/>
        <w:tblLayout w:type="fixed"/>
        <w:tblLook w:val="04A0" w:firstRow="1" w:lastRow="0" w:firstColumn="1" w:lastColumn="0" w:noHBand="0" w:noVBand="1"/>
      </w:tblPr>
      <w:tblGrid>
        <w:gridCol w:w="1154"/>
        <w:gridCol w:w="2421"/>
        <w:gridCol w:w="1074"/>
        <w:gridCol w:w="3953"/>
      </w:tblGrid>
      <w:tr w:rsidR="002C178D" w:rsidRPr="00316B9A" w14:paraId="45FA5B33" w14:textId="77777777" w:rsidTr="000F51BC">
        <w:trPr>
          <w:trHeight w:val="668"/>
        </w:trPr>
        <w:tc>
          <w:tcPr>
            <w:tcW w:w="1154" w:type="dxa"/>
          </w:tcPr>
          <w:p w14:paraId="5B29F468"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b/>
                <w:i/>
                <w:color w:val="2E74B5" w:themeColor="accent1" w:themeShade="BF"/>
                <w:sz w:val="24"/>
                <w:szCs w:val="24"/>
              </w:rPr>
              <w:t>Insurance Types</w:t>
            </w:r>
          </w:p>
        </w:tc>
        <w:tc>
          <w:tcPr>
            <w:tcW w:w="2421" w:type="dxa"/>
          </w:tcPr>
          <w:p w14:paraId="73922D65"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b/>
                <w:i/>
                <w:color w:val="2E74B5" w:themeColor="accent1" w:themeShade="BF"/>
                <w:sz w:val="24"/>
                <w:szCs w:val="24"/>
              </w:rPr>
              <w:t>Common Variables</w:t>
            </w:r>
          </w:p>
        </w:tc>
        <w:tc>
          <w:tcPr>
            <w:tcW w:w="1074" w:type="dxa"/>
          </w:tcPr>
          <w:p w14:paraId="49E45FF2"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b/>
                <w:i/>
                <w:color w:val="2E74B5" w:themeColor="accent1" w:themeShade="BF"/>
                <w:sz w:val="24"/>
                <w:szCs w:val="24"/>
              </w:rPr>
              <w:t>Number of Articles</w:t>
            </w:r>
          </w:p>
        </w:tc>
        <w:tc>
          <w:tcPr>
            <w:tcW w:w="3953" w:type="dxa"/>
          </w:tcPr>
          <w:p w14:paraId="5941A240"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sidRPr="00316B9A">
              <w:rPr>
                <w:rFonts w:ascii="Times New Roman" w:hAnsi="Times New Roman" w:cs="Times New Roman"/>
                <w:b/>
                <w:i/>
                <w:color w:val="2E74B5" w:themeColor="accent1" w:themeShade="BF"/>
                <w:sz w:val="24"/>
                <w:szCs w:val="24"/>
              </w:rPr>
              <w:t>Country</w:t>
            </w:r>
          </w:p>
        </w:tc>
      </w:tr>
      <w:tr w:rsidR="002C178D" w:rsidRPr="00316B9A" w14:paraId="13AD2E72" w14:textId="77777777" w:rsidTr="000F51BC">
        <w:trPr>
          <w:trHeight w:val="629"/>
        </w:trPr>
        <w:tc>
          <w:tcPr>
            <w:tcW w:w="1154" w:type="dxa"/>
          </w:tcPr>
          <w:p w14:paraId="30898739"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Healthcare Insurance</w:t>
            </w:r>
          </w:p>
        </w:tc>
        <w:tc>
          <w:tcPr>
            <w:tcW w:w="2421" w:type="dxa"/>
          </w:tcPr>
          <w:p w14:paraId="27156B6D"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Age, Gender, GDP, Expenditures</w:t>
            </w:r>
          </w:p>
        </w:tc>
        <w:tc>
          <w:tcPr>
            <w:tcW w:w="1074" w:type="dxa"/>
          </w:tcPr>
          <w:p w14:paraId="7BC706A4"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3</w:t>
            </w:r>
          </w:p>
        </w:tc>
        <w:tc>
          <w:tcPr>
            <w:tcW w:w="3953" w:type="dxa"/>
          </w:tcPr>
          <w:p w14:paraId="1D56BDD0" w14:textId="77777777" w:rsidR="002C178D" w:rsidRDefault="002C178D" w:rsidP="002C178D">
            <w:pPr>
              <w:pStyle w:val="ListParagraph"/>
              <w:numPr>
                <w:ilvl w:val="0"/>
                <w:numId w:val="4"/>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Malaysia</w:t>
            </w:r>
          </w:p>
          <w:p w14:paraId="23BC8E56" w14:textId="77777777" w:rsidR="002C178D" w:rsidRPr="001069F3" w:rsidRDefault="002C178D" w:rsidP="002C178D">
            <w:pPr>
              <w:pStyle w:val="ListParagraph"/>
              <w:numPr>
                <w:ilvl w:val="0"/>
                <w:numId w:val="4"/>
              </w:numPr>
              <w:spacing w:line="360" w:lineRule="auto"/>
              <w:jc w:val="both"/>
              <w:rPr>
                <w:rFonts w:ascii="Times New Roman" w:hAnsi="Times New Roman" w:cs="Times New Roman"/>
                <w:color w:val="000000" w:themeColor="text1"/>
                <w:sz w:val="24"/>
                <w:szCs w:val="24"/>
              </w:rPr>
            </w:pPr>
            <w:r w:rsidRPr="001069F3">
              <w:rPr>
                <w:rFonts w:ascii="Times New Roman" w:hAnsi="Times New Roman" w:cs="Times New Roman"/>
                <w:color w:val="000000" w:themeColor="text1"/>
                <w:sz w:val="24"/>
                <w:szCs w:val="24"/>
              </w:rPr>
              <w:t>other 107 countries</w:t>
            </w:r>
          </w:p>
        </w:tc>
      </w:tr>
      <w:tr w:rsidR="002C178D" w:rsidRPr="00316B9A" w14:paraId="626F7300" w14:textId="77777777" w:rsidTr="000F51BC">
        <w:trPr>
          <w:trHeight w:val="1118"/>
        </w:trPr>
        <w:tc>
          <w:tcPr>
            <w:tcW w:w="1154" w:type="dxa"/>
          </w:tcPr>
          <w:p w14:paraId="75DB7D8A"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Life Insurance</w:t>
            </w:r>
          </w:p>
        </w:tc>
        <w:tc>
          <w:tcPr>
            <w:tcW w:w="2421" w:type="dxa"/>
          </w:tcPr>
          <w:p w14:paraId="006C04D5"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Income, Capital Structure, Capital Efficiency</w:t>
            </w:r>
          </w:p>
        </w:tc>
        <w:tc>
          <w:tcPr>
            <w:tcW w:w="1074" w:type="dxa"/>
          </w:tcPr>
          <w:p w14:paraId="4B020FDB"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3</w:t>
            </w:r>
          </w:p>
        </w:tc>
        <w:tc>
          <w:tcPr>
            <w:tcW w:w="3953" w:type="dxa"/>
          </w:tcPr>
          <w:p w14:paraId="29273268" w14:textId="77777777" w:rsidR="002C178D" w:rsidRDefault="002C178D" w:rsidP="00E1310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316B9A">
              <w:rPr>
                <w:rFonts w:ascii="Times New Roman" w:hAnsi="Times New Roman" w:cs="Times New Roman"/>
                <w:color w:val="000000" w:themeColor="text1"/>
                <w:sz w:val="24"/>
                <w:szCs w:val="24"/>
              </w:rPr>
              <w:t>Sub-Sahara</w:t>
            </w:r>
            <w:r>
              <w:rPr>
                <w:rFonts w:ascii="Times New Roman" w:hAnsi="Times New Roman" w:cs="Times New Roman"/>
                <w:color w:val="000000" w:themeColor="text1"/>
                <w:sz w:val="24"/>
                <w:szCs w:val="24"/>
              </w:rPr>
              <w:t>n Africa(20 countries);</w:t>
            </w:r>
          </w:p>
          <w:p w14:paraId="5FC589A9" w14:textId="77777777" w:rsidR="002C178D" w:rsidRDefault="002C178D" w:rsidP="00E1310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2.Taiwan;</w:t>
            </w:r>
          </w:p>
          <w:p w14:paraId="383EF5FB"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w:t>
            </w:r>
            <w:r w:rsidRPr="00316B9A">
              <w:rPr>
                <w:rFonts w:ascii="Times New Roman" w:hAnsi="Times New Roman" w:cs="Times New Roman"/>
                <w:color w:val="000000" w:themeColor="text1"/>
                <w:sz w:val="24"/>
                <w:szCs w:val="24"/>
              </w:rPr>
              <w:t>Germany,</w:t>
            </w:r>
            <w:r>
              <w:rPr>
                <w:rFonts w:ascii="Times New Roman" w:hAnsi="Times New Roman" w:cs="Times New Roman"/>
                <w:color w:val="000000" w:themeColor="text1"/>
                <w:sz w:val="24"/>
                <w:szCs w:val="24"/>
              </w:rPr>
              <w:t xml:space="preserve"> </w:t>
            </w:r>
            <w:r w:rsidRPr="00316B9A">
              <w:rPr>
                <w:rFonts w:ascii="Times New Roman" w:hAnsi="Times New Roman" w:cs="Times New Roman"/>
                <w:color w:val="000000" w:themeColor="text1"/>
                <w:sz w:val="24"/>
                <w:szCs w:val="24"/>
              </w:rPr>
              <w:t>China,</w:t>
            </w:r>
            <w:r>
              <w:rPr>
                <w:rFonts w:ascii="Times New Roman" w:hAnsi="Times New Roman" w:cs="Times New Roman"/>
                <w:color w:val="000000" w:themeColor="text1"/>
                <w:sz w:val="24"/>
                <w:szCs w:val="24"/>
              </w:rPr>
              <w:t xml:space="preserve"> </w:t>
            </w:r>
            <w:r w:rsidRPr="00316B9A">
              <w:rPr>
                <w:rFonts w:ascii="Times New Roman" w:hAnsi="Times New Roman" w:cs="Times New Roman"/>
                <w:color w:val="000000" w:themeColor="text1"/>
                <w:sz w:val="24"/>
                <w:szCs w:val="24"/>
              </w:rPr>
              <w:t>India,</w:t>
            </w:r>
            <w:r>
              <w:rPr>
                <w:rFonts w:ascii="Times New Roman" w:hAnsi="Times New Roman" w:cs="Times New Roman"/>
                <w:color w:val="000000" w:themeColor="text1"/>
                <w:sz w:val="24"/>
                <w:szCs w:val="24"/>
              </w:rPr>
              <w:t xml:space="preserve"> </w:t>
            </w:r>
            <w:r w:rsidRPr="00316B9A">
              <w:rPr>
                <w:rFonts w:ascii="Times New Roman" w:hAnsi="Times New Roman" w:cs="Times New Roman"/>
                <w:color w:val="000000" w:themeColor="text1"/>
                <w:sz w:val="24"/>
                <w:szCs w:val="24"/>
              </w:rPr>
              <w:t>Malaysia,</w:t>
            </w:r>
            <w:r>
              <w:rPr>
                <w:rFonts w:ascii="Times New Roman" w:hAnsi="Times New Roman" w:cs="Times New Roman"/>
                <w:color w:val="000000" w:themeColor="text1"/>
                <w:sz w:val="24"/>
                <w:szCs w:val="24"/>
              </w:rPr>
              <w:t xml:space="preserve"> </w:t>
            </w:r>
            <w:r w:rsidRPr="00316B9A">
              <w:rPr>
                <w:rFonts w:ascii="Times New Roman" w:hAnsi="Times New Roman" w:cs="Times New Roman"/>
                <w:color w:val="000000" w:themeColor="text1"/>
                <w:sz w:val="24"/>
                <w:szCs w:val="24"/>
              </w:rPr>
              <w:t>United States, United Kingdom, Italy, Spain</w:t>
            </w:r>
            <w:r>
              <w:rPr>
                <w:rFonts w:ascii="Times New Roman" w:hAnsi="Times New Roman" w:cs="Times New Roman"/>
                <w:color w:val="000000" w:themeColor="text1"/>
                <w:sz w:val="24"/>
                <w:szCs w:val="24"/>
              </w:rPr>
              <w:t>)</w:t>
            </w:r>
          </w:p>
        </w:tc>
      </w:tr>
      <w:tr w:rsidR="002C178D" w:rsidRPr="00316B9A" w14:paraId="0202F7D5" w14:textId="77777777" w:rsidTr="000F51BC">
        <w:trPr>
          <w:trHeight w:val="925"/>
        </w:trPr>
        <w:tc>
          <w:tcPr>
            <w:tcW w:w="1154" w:type="dxa"/>
          </w:tcPr>
          <w:p w14:paraId="689BB884"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lastRenderedPageBreak/>
              <w:t>Private-Life Insurance</w:t>
            </w:r>
          </w:p>
        </w:tc>
        <w:tc>
          <w:tcPr>
            <w:tcW w:w="2421" w:type="dxa"/>
          </w:tcPr>
          <w:p w14:paraId="390280E9"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Investments, Returns/Income</w:t>
            </w:r>
          </w:p>
        </w:tc>
        <w:tc>
          <w:tcPr>
            <w:tcW w:w="1074" w:type="dxa"/>
          </w:tcPr>
          <w:p w14:paraId="30184622"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1</w:t>
            </w:r>
          </w:p>
        </w:tc>
        <w:tc>
          <w:tcPr>
            <w:tcW w:w="3953" w:type="dxa"/>
          </w:tcPr>
          <w:p w14:paraId="2E4757E0"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India</w:t>
            </w:r>
          </w:p>
        </w:tc>
      </w:tr>
      <w:tr w:rsidR="002C178D" w:rsidRPr="00316B9A" w14:paraId="14D9E879" w14:textId="77777777" w:rsidTr="000F51BC">
        <w:trPr>
          <w:trHeight w:val="1234"/>
        </w:trPr>
        <w:tc>
          <w:tcPr>
            <w:tcW w:w="1154" w:type="dxa"/>
          </w:tcPr>
          <w:p w14:paraId="46EA567C"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Islamic Insurance</w:t>
            </w:r>
          </w:p>
        </w:tc>
        <w:tc>
          <w:tcPr>
            <w:tcW w:w="2421" w:type="dxa"/>
          </w:tcPr>
          <w:p w14:paraId="27049E0E"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Population, Technology, Globalization, Communication</w:t>
            </w:r>
          </w:p>
        </w:tc>
        <w:tc>
          <w:tcPr>
            <w:tcW w:w="1074" w:type="dxa"/>
          </w:tcPr>
          <w:p w14:paraId="773042BE"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2</w:t>
            </w:r>
          </w:p>
        </w:tc>
        <w:tc>
          <w:tcPr>
            <w:tcW w:w="3953" w:type="dxa"/>
          </w:tcPr>
          <w:p w14:paraId="117D740E"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UAE</w:t>
            </w:r>
          </w:p>
        </w:tc>
      </w:tr>
      <w:tr w:rsidR="002C178D" w:rsidRPr="00316B9A" w14:paraId="3E85306C" w14:textId="77777777" w:rsidTr="000F51BC">
        <w:trPr>
          <w:trHeight w:val="848"/>
        </w:trPr>
        <w:tc>
          <w:tcPr>
            <w:tcW w:w="1154" w:type="dxa"/>
          </w:tcPr>
          <w:p w14:paraId="06B823F5"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Cyber &amp; Electronic Insurance</w:t>
            </w:r>
          </w:p>
        </w:tc>
        <w:tc>
          <w:tcPr>
            <w:tcW w:w="2421" w:type="dxa"/>
          </w:tcPr>
          <w:p w14:paraId="614811BE"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Types of organization, Size of market</w:t>
            </w:r>
          </w:p>
        </w:tc>
        <w:tc>
          <w:tcPr>
            <w:tcW w:w="1074" w:type="dxa"/>
          </w:tcPr>
          <w:p w14:paraId="24DD9884"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2</w:t>
            </w:r>
          </w:p>
        </w:tc>
        <w:tc>
          <w:tcPr>
            <w:tcW w:w="3953" w:type="dxa"/>
          </w:tcPr>
          <w:p w14:paraId="6430C868"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1.USA,  2.</w:t>
            </w:r>
            <w:r w:rsidRPr="00316B9A">
              <w:rPr>
                <w:rFonts w:ascii="Times New Roman" w:hAnsi="Times New Roman" w:cs="Times New Roman"/>
                <w:color w:val="000000" w:themeColor="text1"/>
                <w:sz w:val="24"/>
                <w:szCs w:val="24"/>
              </w:rPr>
              <w:t>Iran</w:t>
            </w:r>
          </w:p>
        </w:tc>
      </w:tr>
      <w:tr w:rsidR="002C178D" w:rsidRPr="00316B9A" w14:paraId="75B963F0" w14:textId="77777777" w:rsidTr="000F51BC">
        <w:trPr>
          <w:trHeight w:val="564"/>
        </w:trPr>
        <w:tc>
          <w:tcPr>
            <w:tcW w:w="1154" w:type="dxa"/>
          </w:tcPr>
          <w:p w14:paraId="169F75A1"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 xml:space="preserve">Micro Insurance </w:t>
            </w:r>
          </w:p>
        </w:tc>
        <w:tc>
          <w:tcPr>
            <w:tcW w:w="2421" w:type="dxa"/>
          </w:tcPr>
          <w:p w14:paraId="7E706585"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 xml:space="preserve">Income, Payments &amp; Demographic </w:t>
            </w:r>
          </w:p>
        </w:tc>
        <w:tc>
          <w:tcPr>
            <w:tcW w:w="1074" w:type="dxa"/>
          </w:tcPr>
          <w:p w14:paraId="38F39CD2" w14:textId="77777777" w:rsidR="002C178D" w:rsidRPr="00316B9A" w:rsidRDefault="002C178D" w:rsidP="00E13104">
            <w:pPr>
              <w:spacing w:line="360" w:lineRule="auto"/>
              <w:jc w:val="both"/>
              <w:rPr>
                <w:rFonts w:ascii="Times New Roman" w:hAnsi="Times New Roman" w:cs="Times New Roman"/>
                <w:color w:val="000000" w:themeColor="text1"/>
                <w:sz w:val="24"/>
                <w:szCs w:val="24"/>
              </w:rPr>
            </w:pPr>
            <w:r w:rsidRPr="00316B9A">
              <w:rPr>
                <w:rFonts w:ascii="Times New Roman" w:hAnsi="Times New Roman" w:cs="Times New Roman"/>
                <w:color w:val="000000" w:themeColor="text1"/>
                <w:sz w:val="24"/>
                <w:szCs w:val="24"/>
              </w:rPr>
              <w:t>2</w:t>
            </w:r>
          </w:p>
        </w:tc>
        <w:tc>
          <w:tcPr>
            <w:tcW w:w="3953" w:type="dxa"/>
          </w:tcPr>
          <w:p w14:paraId="74D407B7" w14:textId="77777777" w:rsidR="002C178D" w:rsidRDefault="002C178D" w:rsidP="002C178D">
            <w:pPr>
              <w:pStyle w:val="ListParagraph"/>
              <w:numPr>
                <w:ilvl w:val="0"/>
                <w:numId w:val="3"/>
              </w:numPr>
              <w:spacing w:line="360" w:lineRule="auto"/>
              <w:jc w:val="both"/>
              <w:rPr>
                <w:rFonts w:ascii="Times New Roman" w:hAnsi="Times New Roman" w:cs="Times New Roman"/>
                <w:color w:val="000000" w:themeColor="text1"/>
                <w:sz w:val="24"/>
                <w:szCs w:val="24"/>
              </w:rPr>
            </w:pPr>
            <w:r w:rsidRPr="001C4E31">
              <w:rPr>
                <w:rFonts w:ascii="Times New Roman" w:hAnsi="Times New Roman" w:cs="Times New Roman"/>
                <w:color w:val="000000" w:themeColor="text1"/>
                <w:sz w:val="24"/>
                <w:szCs w:val="24"/>
              </w:rPr>
              <w:t>Global;</w:t>
            </w:r>
            <w:r>
              <w:rPr>
                <w:rFonts w:ascii="Times New Roman" w:hAnsi="Times New Roman" w:cs="Times New Roman"/>
                <w:color w:val="000000" w:themeColor="text1"/>
                <w:sz w:val="24"/>
                <w:szCs w:val="24"/>
              </w:rPr>
              <w:t xml:space="preserve"> 2. </w:t>
            </w:r>
            <w:r w:rsidRPr="001C4E31">
              <w:rPr>
                <w:rFonts w:ascii="Times New Roman" w:hAnsi="Times New Roman" w:cs="Times New Roman"/>
                <w:color w:val="000000" w:themeColor="text1"/>
                <w:sz w:val="24"/>
                <w:szCs w:val="24"/>
              </w:rPr>
              <w:t>Pakistan</w:t>
            </w:r>
          </w:p>
          <w:p w14:paraId="0538F91C" w14:textId="77777777" w:rsidR="002C178D" w:rsidRPr="001C4E31" w:rsidRDefault="002C178D" w:rsidP="002E2DB8">
            <w:pPr>
              <w:pStyle w:val="ListParagraph"/>
              <w:spacing w:line="360" w:lineRule="auto"/>
              <w:jc w:val="both"/>
              <w:rPr>
                <w:rFonts w:ascii="Times New Roman" w:hAnsi="Times New Roman" w:cs="Times New Roman"/>
                <w:color w:val="000000" w:themeColor="text1"/>
                <w:sz w:val="24"/>
                <w:szCs w:val="24"/>
              </w:rPr>
            </w:pPr>
          </w:p>
        </w:tc>
      </w:tr>
    </w:tbl>
    <w:p w14:paraId="643BD3F0" w14:textId="77777777" w:rsidR="002C178D" w:rsidRPr="00316B9A" w:rsidRDefault="002C178D" w:rsidP="00E13104">
      <w:pPr>
        <w:spacing w:line="360" w:lineRule="auto"/>
        <w:jc w:val="both"/>
        <w:rPr>
          <w:rFonts w:ascii="Times New Roman" w:hAnsi="Times New Roman" w:cs="Times New Roman"/>
          <w:i/>
          <w:sz w:val="24"/>
          <w:szCs w:val="24"/>
        </w:rPr>
      </w:pPr>
    </w:p>
    <w:p w14:paraId="663E91CD" w14:textId="77777777" w:rsidR="002C178D" w:rsidRPr="00316B9A" w:rsidRDefault="002C178D" w:rsidP="00E13104">
      <w:pPr>
        <w:spacing w:line="360" w:lineRule="auto"/>
        <w:jc w:val="both"/>
        <w:rPr>
          <w:rFonts w:ascii="Times New Roman" w:hAnsi="Times New Roman" w:cs="Times New Roman"/>
          <w:b/>
          <w:i/>
          <w:sz w:val="24"/>
          <w:szCs w:val="24"/>
        </w:rPr>
      </w:pPr>
      <w:r w:rsidRPr="00316B9A">
        <w:rPr>
          <w:rFonts w:ascii="Times New Roman" w:hAnsi="Times New Roman" w:cs="Times New Roman"/>
          <w:i/>
          <w:sz w:val="24"/>
          <w:szCs w:val="24"/>
        </w:rPr>
        <w:br w:type="page"/>
      </w:r>
    </w:p>
    <w:p w14:paraId="096C49B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A553FC3"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Pr>
          <w:noProof/>
        </w:rPr>
        <w:drawing>
          <wp:inline distT="0" distB="0" distL="0" distR="0" wp14:anchorId="1D2B9ECE" wp14:editId="2D77FED5">
            <wp:extent cx="5644800" cy="2670250"/>
            <wp:effectExtent l="0" t="0" r="13335"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37BD17D" w14:textId="77777777" w:rsidR="002C178D" w:rsidRPr="001057B6" w:rsidRDefault="002C178D" w:rsidP="00E13104">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w:t>
      </w:r>
      <w:r w:rsidRPr="001057B6">
        <w:rPr>
          <w:rFonts w:ascii="Times New Roman" w:hAnsi="Times New Roman" w:cs="Times New Roman"/>
          <w:b/>
          <w:i/>
          <w:sz w:val="24"/>
          <w:szCs w:val="24"/>
        </w:rPr>
        <w:t xml:space="preserve">This Bar Chart Shows the most commonly used variables in the analysis of articles of different types of insurance companies. The vertical axis shows the types of variables and horizontal axis shows number of articles that adopted those variables for their analysis &amp; research. </w:t>
      </w:r>
      <w:r>
        <w:rPr>
          <w:rFonts w:ascii="Times New Roman" w:hAnsi="Times New Roman" w:cs="Times New Roman"/>
          <w:b/>
          <w:i/>
          <w:sz w:val="24"/>
          <w:szCs w:val="24"/>
        </w:rPr>
        <w:t>]</w:t>
      </w:r>
    </w:p>
    <w:p w14:paraId="50208459"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A821F4E"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CF7A610"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3AA8C8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0DDF34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DCADBA3"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A58C4D3" w14:textId="77777777" w:rsidR="002C178D" w:rsidRDefault="002C178D" w:rsidP="000F51BC">
      <w:pPr>
        <w:pStyle w:val="Heading1"/>
        <w:rPr>
          <w:rFonts w:ascii="Times New Roman" w:eastAsiaTheme="minorHAnsi" w:hAnsi="Times New Roman" w:cs="Times New Roman"/>
          <w:b/>
          <w:i/>
          <w:sz w:val="24"/>
          <w:szCs w:val="24"/>
        </w:rPr>
      </w:pPr>
    </w:p>
    <w:p w14:paraId="0A838682" w14:textId="77777777" w:rsidR="002C178D" w:rsidRDefault="002C178D" w:rsidP="000F51BC">
      <w:pPr>
        <w:pStyle w:val="Heading1"/>
        <w:rPr>
          <w:rFonts w:ascii="Times New Roman" w:eastAsiaTheme="minorHAnsi" w:hAnsi="Times New Roman" w:cs="Times New Roman"/>
          <w:b/>
          <w:i/>
          <w:sz w:val="24"/>
          <w:szCs w:val="24"/>
        </w:rPr>
      </w:pPr>
    </w:p>
    <w:p w14:paraId="72CBD103" w14:textId="77777777" w:rsidR="002C178D" w:rsidRDefault="002C178D" w:rsidP="000F51BC">
      <w:pPr>
        <w:pStyle w:val="Heading1"/>
        <w:rPr>
          <w:rFonts w:ascii="Times New Roman" w:eastAsiaTheme="minorHAnsi" w:hAnsi="Times New Roman" w:cs="Times New Roman"/>
          <w:b/>
          <w:i/>
          <w:sz w:val="24"/>
          <w:szCs w:val="24"/>
        </w:rPr>
      </w:pPr>
    </w:p>
    <w:p w14:paraId="101E4B3E" w14:textId="77777777" w:rsidR="002C178D" w:rsidRDefault="002C178D" w:rsidP="000F51BC">
      <w:pPr>
        <w:pStyle w:val="Heading1"/>
        <w:rPr>
          <w:rFonts w:ascii="Times New Roman" w:eastAsiaTheme="minorHAnsi" w:hAnsi="Times New Roman" w:cs="Times New Roman"/>
          <w:b/>
          <w:i/>
          <w:sz w:val="24"/>
          <w:szCs w:val="24"/>
        </w:rPr>
      </w:pPr>
    </w:p>
    <w:p w14:paraId="75393368" w14:textId="77777777" w:rsidR="002C178D" w:rsidRPr="00877764" w:rsidRDefault="002C178D" w:rsidP="000F51BC">
      <w:pPr>
        <w:pStyle w:val="Heading1"/>
        <w:rPr>
          <w:b/>
          <w:sz w:val="36"/>
          <w:szCs w:val="36"/>
        </w:rPr>
      </w:pPr>
      <w:r>
        <w:rPr>
          <w:rFonts w:ascii="Times New Roman" w:eastAsiaTheme="minorHAnsi" w:hAnsi="Times New Roman" w:cs="Times New Roman"/>
          <w:b/>
          <w:i/>
          <w:sz w:val="24"/>
          <w:szCs w:val="24"/>
        </w:rPr>
        <w:t xml:space="preserve">                                                      </w:t>
      </w:r>
      <w:bookmarkStart w:id="14" w:name="_Toc52709119"/>
      <w:r w:rsidRPr="00877764">
        <w:rPr>
          <w:b/>
          <w:sz w:val="36"/>
          <w:szCs w:val="36"/>
        </w:rPr>
        <w:t>Chapter-3: (Growth &amp; Efficiency)</w:t>
      </w:r>
      <w:bookmarkEnd w:id="14"/>
    </w:p>
    <w:p w14:paraId="2E760B3A" w14:textId="77777777" w:rsidR="002C178D" w:rsidRDefault="002C178D" w:rsidP="00877764">
      <w:pPr>
        <w:pStyle w:val="Heading1"/>
        <w:jc w:val="center"/>
        <w:rPr>
          <w:i/>
          <w:sz w:val="24"/>
          <w:szCs w:val="24"/>
        </w:rPr>
      </w:pPr>
    </w:p>
    <w:p w14:paraId="01998006"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78D11262"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7BB404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59CA600"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599242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F0D5B1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E6D4B0A"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71E4A0DC"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AFC1D3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4F9CC93"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E2A1E82"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0E14BC7"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2E24D002" w14:textId="77777777" w:rsidR="002C178D" w:rsidRPr="00877764" w:rsidRDefault="002C178D" w:rsidP="00E13104">
      <w:pPr>
        <w:spacing w:line="360" w:lineRule="auto"/>
        <w:jc w:val="both"/>
        <w:rPr>
          <w:rStyle w:val="Heading2Char"/>
          <w:b/>
          <w:sz w:val="32"/>
          <w:szCs w:val="32"/>
        </w:rPr>
      </w:pPr>
      <w:r w:rsidRPr="00877764">
        <w:rPr>
          <w:rFonts w:ascii="Times New Roman" w:hAnsi="Times New Roman" w:cs="Times New Roman"/>
          <w:b/>
          <w:sz w:val="32"/>
          <w:szCs w:val="32"/>
        </w:rPr>
        <w:lastRenderedPageBreak/>
        <w:t xml:space="preserve">3.1 </w:t>
      </w:r>
      <w:r w:rsidRPr="00877764">
        <w:rPr>
          <w:rStyle w:val="Heading2Char"/>
          <w:b/>
          <w:sz w:val="32"/>
          <w:szCs w:val="32"/>
        </w:rPr>
        <w:t>Growth &amp; Efficiency of insurance sector:</w:t>
      </w:r>
    </w:p>
    <w:p w14:paraId="554CB7D7"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t xml:space="preserve">Efficiency matters a lot for insurance industry as it helps to benefit companies to gain competitive position &amp; customers’ loyalty and satisfaction. This level of efficiency changes with the passage of years, which means growth rate does not remain consistent in each year. In the study of Jordan Insurance companies, Owner’s equity reveals a dominant role in changing the rate of growths and efficiency. Besides this internal factor, other factors that influences Growth are-type, size &amp; ROE of insurance companies. In Swiss insurance industry, the study shows that, growth and improvement have been ensured in life, reinsurance and property insurance companies. This paper also finds out that large companies or small specialists are complying with the growth &amp; improvement. </w:t>
      </w:r>
    </w:p>
    <w:p w14:paraId="7B358825" w14:textId="77777777" w:rsidR="002C178D" w:rsidRPr="00316B9A" w:rsidRDefault="002C178D" w:rsidP="00E13104">
      <w:pPr>
        <w:spacing w:line="360" w:lineRule="auto"/>
        <w:jc w:val="both"/>
        <w:rPr>
          <w:rFonts w:ascii="Times New Roman" w:hAnsi="Times New Roman" w:cs="Times New Roman"/>
          <w:i/>
          <w:sz w:val="24"/>
          <w:szCs w:val="24"/>
        </w:rPr>
      </w:pPr>
      <w:r w:rsidRPr="00316B9A">
        <w:rPr>
          <w:rFonts w:ascii="Times New Roman" w:hAnsi="Times New Roman" w:cs="Times New Roman"/>
          <w:i/>
          <w:sz w:val="24"/>
          <w:szCs w:val="24"/>
        </w:rPr>
        <w:t>From those two articles it can be said that, efficiency and growth is mostly found in life insurance sector.</w:t>
      </w:r>
    </w:p>
    <w:p w14:paraId="4FB4F9DD" w14:textId="77777777" w:rsidR="002C178D" w:rsidRPr="00316B9A" w:rsidRDefault="002C178D" w:rsidP="00E13104">
      <w:pPr>
        <w:spacing w:line="360" w:lineRule="auto"/>
        <w:jc w:val="both"/>
        <w:rPr>
          <w:rFonts w:ascii="Times New Roman" w:hAnsi="Times New Roman" w:cs="Times New Roman"/>
          <w:b/>
          <w:color w:val="2E74B5" w:themeColor="accent1" w:themeShade="BF"/>
          <w:sz w:val="24"/>
          <w:szCs w:val="24"/>
        </w:rPr>
      </w:pPr>
      <w:r w:rsidRPr="00316B9A">
        <w:rPr>
          <w:rFonts w:ascii="Times New Roman" w:hAnsi="Times New Roman" w:cs="Times New Roman"/>
          <w:sz w:val="24"/>
          <w:szCs w:val="24"/>
        </w:rPr>
        <w:t>Another study shows that, financial intermediaries help a lot in decreasing transaction costs, other relevant costs &amp; moral hazards regarding information of insurance industry. Whereas, political or governmental decisions were most likely to be failed in developing country like-Nigeria. Study suggests that the policy can be adapted in accordance with the geographic, economic &amp; macroeconomic factors in European contexts, Technical efficiency has positive correlation with the success of insurance growth &amp; improvement. Business volatile has negative relationship with the growth in European insurance sector. This reveals that failure occurs due to the lack in management of long-term operational process and technical efficiency. European Insurance sector gets changed in the term of efficiency, with the continuous changes in economic factors &amp; environmental challenges which includes market competitions, regulations and capital market developments etc.</w:t>
      </w:r>
    </w:p>
    <w:p w14:paraId="6CE26807" w14:textId="77777777" w:rsidR="002C178D" w:rsidRPr="00316B9A" w:rsidRDefault="002C178D" w:rsidP="00E13104">
      <w:pPr>
        <w:spacing w:line="360" w:lineRule="auto"/>
        <w:jc w:val="both"/>
        <w:rPr>
          <w:rFonts w:ascii="Times New Roman" w:hAnsi="Times New Roman" w:cs="Times New Roman"/>
          <w:b/>
          <w:color w:val="1F4E79" w:themeColor="accent1" w:themeShade="80"/>
          <w:sz w:val="24"/>
          <w:szCs w:val="24"/>
        </w:rPr>
      </w:pPr>
      <w:bookmarkStart w:id="15" w:name="_Toc52709120"/>
      <w:r w:rsidRPr="00877764">
        <w:rPr>
          <w:rStyle w:val="Heading2Char"/>
          <w:b/>
          <w:sz w:val="32"/>
          <w:szCs w:val="32"/>
        </w:rPr>
        <w:t>3.2 Efficiency in providing CSR facilities</w:t>
      </w:r>
      <w:bookmarkEnd w:id="15"/>
      <w:r w:rsidRPr="00877764">
        <w:rPr>
          <w:rFonts w:ascii="Times New Roman" w:hAnsi="Times New Roman" w:cs="Times New Roman"/>
          <w:b/>
          <w:sz w:val="32"/>
          <w:szCs w:val="32"/>
        </w:rPr>
        <w:t>:</w:t>
      </w:r>
      <w:r w:rsidRPr="00316B9A">
        <w:rPr>
          <w:rFonts w:ascii="Times New Roman" w:hAnsi="Times New Roman" w:cs="Times New Roman"/>
          <w:b/>
          <w:sz w:val="24"/>
          <w:szCs w:val="24"/>
        </w:rPr>
        <w:t xml:space="preserve"> </w:t>
      </w:r>
      <w:r w:rsidRPr="00316B9A">
        <w:rPr>
          <w:rFonts w:ascii="Times New Roman" w:hAnsi="Times New Roman" w:cs="Times New Roman"/>
          <w:sz w:val="24"/>
          <w:szCs w:val="24"/>
        </w:rPr>
        <w:t>In some countries’ insurance companies,, corporate social responsibilities serves by providing aids in natural calamities, environmental disasters, ensuring the safety &amp; protection as well as human rights in socio-economic scenario. The example is much more evident in Japan &amp; Russia. This is basically for boosting up economic growth and financial sustainability.</w:t>
      </w:r>
      <w:r w:rsidRPr="00316B9A">
        <w:rPr>
          <w:rFonts w:ascii="Times New Roman" w:hAnsi="Times New Roman" w:cs="Times New Roman"/>
          <w:b/>
          <w:color w:val="1F4E79" w:themeColor="accent1" w:themeShade="80"/>
          <w:sz w:val="24"/>
          <w:szCs w:val="24"/>
        </w:rPr>
        <w:fldChar w:fldCharType="begin" w:fldLock="1"/>
      </w:r>
      <w:r>
        <w:rPr>
          <w:rFonts w:ascii="Times New Roman" w:hAnsi="Times New Roman" w:cs="Times New Roman"/>
          <w:b/>
          <w:color w:val="1F4E79" w:themeColor="accent1" w:themeShade="80"/>
          <w:sz w:val="24"/>
          <w:szCs w:val="24"/>
        </w:rPr>
        <w:instrText>ADDIN CSL_CITATION {"citationItems":[{"id":"ITEM-1","itemData":{"id":"ITEM-1","issued":{"date-parts":[["0"]]},"title":"CSR-insurance-Japan_Russia-29-02-12","type":"article"},"uris":["http://www.mendeley.com/documents/?uuid=cdd7063b-6ee6-4d07-81ff-bd91e9aa4829"]}],"mendeley":{"formattedCitation":"(&lt;i&gt;CSR-Insurance-Japan_Russia-29-02-12&lt;/i&gt;, n.d.)","plainTextFormattedCitation":"(CSR-Insurance-Japan_Russia-29-02-12, n.d.)","previouslyFormattedCitation":"(&lt;i&gt;CSR-Insurance-Japan_Russia-29-02-12&lt;/i&gt;, n.d.)"},"properties":{"noteIndex":0},"schema":"https://github.com/citation-style-language/schema/raw/master/csl-citation.json"}</w:instrText>
      </w:r>
      <w:r w:rsidRPr="00316B9A">
        <w:rPr>
          <w:rFonts w:ascii="Times New Roman" w:hAnsi="Times New Roman" w:cs="Times New Roman"/>
          <w:b/>
          <w:color w:val="1F4E79" w:themeColor="accent1" w:themeShade="80"/>
          <w:sz w:val="24"/>
          <w:szCs w:val="24"/>
        </w:rPr>
        <w:fldChar w:fldCharType="separate"/>
      </w:r>
      <w:r w:rsidRPr="00316B9A">
        <w:rPr>
          <w:rFonts w:ascii="Times New Roman" w:hAnsi="Times New Roman" w:cs="Times New Roman"/>
          <w:b/>
          <w:noProof/>
          <w:color w:val="1F4E79" w:themeColor="accent1" w:themeShade="80"/>
          <w:sz w:val="24"/>
          <w:szCs w:val="24"/>
        </w:rPr>
        <w:t>(</w:t>
      </w:r>
      <w:r w:rsidRPr="00316B9A">
        <w:rPr>
          <w:rFonts w:ascii="Times New Roman" w:hAnsi="Times New Roman" w:cs="Times New Roman"/>
          <w:b/>
          <w:i/>
          <w:noProof/>
          <w:color w:val="1F4E79" w:themeColor="accent1" w:themeShade="80"/>
          <w:sz w:val="24"/>
          <w:szCs w:val="24"/>
        </w:rPr>
        <w:t>CSR-Insurance-Japan_Russia-29-02-12</w:t>
      </w:r>
      <w:r w:rsidRPr="00316B9A">
        <w:rPr>
          <w:rFonts w:ascii="Times New Roman" w:hAnsi="Times New Roman" w:cs="Times New Roman"/>
          <w:b/>
          <w:noProof/>
          <w:color w:val="1F4E79" w:themeColor="accent1" w:themeShade="80"/>
          <w:sz w:val="24"/>
          <w:szCs w:val="24"/>
        </w:rPr>
        <w:t>, n.d.)</w:t>
      </w:r>
      <w:r w:rsidRPr="00316B9A">
        <w:rPr>
          <w:rFonts w:ascii="Times New Roman" w:hAnsi="Times New Roman" w:cs="Times New Roman"/>
          <w:b/>
          <w:color w:val="1F4E79" w:themeColor="accent1" w:themeShade="80"/>
          <w:sz w:val="24"/>
          <w:szCs w:val="24"/>
        </w:rPr>
        <w:fldChar w:fldCharType="end"/>
      </w:r>
    </w:p>
    <w:p w14:paraId="44BDBF17" w14:textId="77777777" w:rsidR="002C178D" w:rsidRPr="00316B9A" w:rsidRDefault="002C178D" w:rsidP="00E13104">
      <w:pPr>
        <w:spacing w:line="360" w:lineRule="auto"/>
        <w:jc w:val="both"/>
        <w:rPr>
          <w:rFonts w:ascii="Times New Roman" w:hAnsi="Times New Roman" w:cs="Times New Roman"/>
          <w:sz w:val="24"/>
          <w:szCs w:val="24"/>
        </w:rPr>
      </w:pPr>
      <w:r w:rsidRPr="00316B9A">
        <w:rPr>
          <w:rFonts w:ascii="Times New Roman" w:hAnsi="Times New Roman" w:cs="Times New Roman"/>
          <w:sz w:val="24"/>
          <w:szCs w:val="24"/>
        </w:rPr>
        <w:lastRenderedPageBreak/>
        <w:t>In Malaysian Insurance Industry, CSR is emerging very rapidly. But no detailed study has been conducted based upon this topic. CSR is a topic which is getting known by the individuals taking insurance policies in Malaysia. Basically in domestically owned insurance companies in Malaysia. The impacts of this CSR is reflected positively on Insurance firms’ EPS, ROA &amp;ROE.</w:t>
      </w:r>
    </w:p>
    <w:p w14:paraId="3E58BA96" w14:textId="77777777" w:rsidR="002C178D" w:rsidRDefault="002C178D" w:rsidP="00E13104">
      <w:pPr>
        <w:spacing w:line="360" w:lineRule="auto"/>
        <w:jc w:val="both"/>
        <w:rPr>
          <w:rFonts w:ascii="Times New Roman" w:hAnsi="Times New Roman" w:cs="Times New Roman"/>
          <w:sz w:val="24"/>
          <w:szCs w:val="24"/>
        </w:rPr>
      </w:pPr>
      <w:bookmarkStart w:id="16" w:name="_Toc52709121"/>
      <w:r w:rsidRPr="00877764">
        <w:rPr>
          <w:rStyle w:val="Heading2Char"/>
          <w:b/>
          <w:sz w:val="32"/>
          <w:szCs w:val="32"/>
        </w:rPr>
        <w:t>3.3 Financial Crisis &amp; aftermath Effects:</w:t>
      </w:r>
      <w:bookmarkEnd w:id="16"/>
      <w:r w:rsidRPr="00316B9A">
        <w:rPr>
          <w:rFonts w:ascii="Times New Roman" w:hAnsi="Times New Roman" w:cs="Times New Roman"/>
          <w:sz w:val="24"/>
          <w:szCs w:val="24"/>
        </w:rPr>
        <w:t xml:space="preserve"> after the financial crisis of 2008, many insurance companies have faced with the lowering of CEOs &amp; Executives’ payments and salaries. Before the crisis period, payment of executives in insurance companies had been based on bonus payments; whereas, after the crisis, the payment amount had decreased to one-third level of the previous period. But to ensure equilibrium, stock award and non-equity incentives were doubled as well as the price of option increased more than 50% during the post-crisis period. To ensure CEO compensation on an expected level, the work experience of them &amp; their financial roles were taken as major factors to measure. The higher the experience a CEO becomes, the more the stock awards, options &amp; non-equity awards got converted into cash amounts.</w:t>
      </w:r>
      <w:r>
        <w:rPr>
          <w:rFonts w:ascii="Times New Roman" w:hAnsi="Times New Roman" w:cs="Times New Roman"/>
          <w:sz w:val="24"/>
          <w:szCs w:val="24"/>
        </w:rPr>
        <w:t xml:space="preserve"> In the case of health care insurance, the study was concentrated on the fact of physicians’ billing &amp; expenditures. Thus study has shown that billing of physicians’ have been increased during the period of research which in result influenced the administrative costs of insurance companies. Thus insurance companies get notified in what extend they need to re arrange their strategies to reduce activity costs, overhead costs &amp; other relevant expenditures etc.</w:t>
      </w:r>
    </w:p>
    <w:p w14:paraId="6CFACF2D" w14:textId="77777777" w:rsidR="002C178D" w:rsidRDefault="002C178D" w:rsidP="00E13104">
      <w:pPr>
        <w:spacing w:line="360" w:lineRule="auto"/>
        <w:jc w:val="both"/>
        <w:rPr>
          <w:rFonts w:ascii="Times New Roman" w:hAnsi="Times New Roman" w:cs="Times New Roman"/>
          <w:sz w:val="24"/>
          <w:szCs w:val="24"/>
        </w:rPr>
      </w:pPr>
      <w:bookmarkStart w:id="17" w:name="_Toc52709122"/>
      <w:r w:rsidRPr="00877764">
        <w:rPr>
          <w:rStyle w:val="Heading2Char"/>
          <w:b/>
          <w:sz w:val="32"/>
          <w:szCs w:val="32"/>
        </w:rPr>
        <w:t>3.4 Stakeholders &amp; sustainability:</w:t>
      </w:r>
      <w:bookmarkEnd w:id="17"/>
      <w:r>
        <w:rPr>
          <w:rFonts w:ascii="Times New Roman" w:hAnsi="Times New Roman" w:cs="Times New Roman"/>
          <w:sz w:val="24"/>
          <w:szCs w:val="24"/>
        </w:rPr>
        <w:t xml:space="preserve"> Evaluation of insurance company’s stakeholder’s result with effective growth and performance management. To examine human resource disclosure, factors which were concerned for study-foreign ownership, stakeholders, type of insurance company (Life/Property/health). According to corporate reports, training provided to employees is the most disclosed item among all the factors. Moreover, suggestion includes the need for further assessment in future times disclosing all human resources as it is highly relevant to the increment of growth and efficiency level. In the case of Audit fee, an Ethiopian study has revealed that, factors that influence in raising audit fee are-Corporate size of insurance industry, price of audit and complexity of insurance. Study has also found that, Ethiopian Audit fee amount is lower than any other countries’ insurance company.</w:t>
      </w:r>
    </w:p>
    <w:p w14:paraId="6CEAE483" w14:textId="77777777" w:rsidR="002C178D" w:rsidRDefault="002C178D" w:rsidP="00E13104">
      <w:pPr>
        <w:spacing w:line="360" w:lineRule="auto"/>
        <w:jc w:val="both"/>
        <w:rPr>
          <w:rFonts w:ascii="Times New Roman" w:hAnsi="Times New Roman" w:cs="Times New Roman"/>
          <w:sz w:val="24"/>
          <w:szCs w:val="24"/>
        </w:rPr>
      </w:pPr>
      <w:r>
        <w:rPr>
          <w:noProof/>
        </w:rPr>
        <w:lastRenderedPageBreak/>
        <w:drawing>
          <wp:inline distT="0" distB="0" distL="0" distR="0" wp14:anchorId="6F77FB7B" wp14:editId="68F7902C">
            <wp:extent cx="6007735" cy="3474720"/>
            <wp:effectExtent l="0" t="0" r="12065"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4D567A" w14:textId="77777777" w:rsidR="002C178D" w:rsidRDefault="002C178D" w:rsidP="00E13104">
      <w:pPr>
        <w:spacing w:line="360" w:lineRule="auto"/>
        <w:jc w:val="both"/>
        <w:rPr>
          <w:rFonts w:ascii="Times New Roman" w:hAnsi="Times New Roman" w:cs="Times New Roman"/>
          <w:sz w:val="24"/>
          <w:szCs w:val="24"/>
        </w:rPr>
      </w:pPr>
    </w:p>
    <w:p w14:paraId="53FB348D" w14:textId="77777777" w:rsidR="002C178D" w:rsidRDefault="002C178D" w:rsidP="00E13104">
      <w:pPr>
        <w:spacing w:line="360" w:lineRule="auto"/>
        <w:jc w:val="both"/>
        <w:rPr>
          <w:rFonts w:ascii="Times New Roman" w:hAnsi="Times New Roman" w:cs="Times New Roman"/>
          <w:sz w:val="24"/>
          <w:szCs w:val="24"/>
        </w:rPr>
      </w:pPr>
    </w:p>
    <w:p w14:paraId="671BE1D5" w14:textId="77777777" w:rsidR="002C178D" w:rsidRDefault="002C178D" w:rsidP="00E13104">
      <w:pPr>
        <w:spacing w:line="360" w:lineRule="auto"/>
        <w:jc w:val="both"/>
        <w:rPr>
          <w:rFonts w:ascii="Times New Roman" w:hAnsi="Times New Roman" w:cs="Times New Roman"/>
          <w:sz w:val="24"/>
          <w:szCs w:val="24"/>
        </w:rPr>
      </w:pPr>
    </w:p>
    <w:p w14:paraId="33B395B3" w14:textId="77777777" w:rsidR="002C178D" w:rsidRDefault="002C178D" w:rsidP="00E13104">
      <w:pPr>
        <w:pStyle w:val="ListParagraph"/>
        <w:numPr>
          <w:ilvl w:val="0"/>
          <w:numId w:val="5"/>
        </w:numPr>
        <w:spacing w:line="360" w:lineRule="auto"/>
        <w:jc w:val="both"/>
        <w:rPr>
          <w:rFonts w:ascii="Times New Roman" w:hAnsi="Times New Roman" w:cs="Times New Roman"/>
          <w:sz w:val="24"/>
          <w:szCs w:val="24"/>
        </w:rPr>
      </w:pPr>
      <w:r w:rsidRPr="00E80CD9">
        <w:rPr>
          <w:rFonts w:ascii="Times New Roman" w:hAnsi="Times New Roman" w:cs="Times New Roman"/>
          <w:sz w:val="24"/>
          <w:szCs w:val="24"/>
        </w:rPr>
        <w:t xml:space="preserve">Vertical Axis-Common Variables taken for article’s’ analysis; </w:t>
      </w:r>
    </w:p>
    <w:p w14:paraId="0B82CE65" w14:textId="77777777" w:rsidR="002C178D" w:rsidRDefault="002C178D" w:rsidP="00E13104">
      <w:pPr>
        <w:pStyle w:val="ListParagraph"/>
        <w:numPr>
          <w:ilvl w:val="0"/>
          <w:numId w:val="5"/>
        </w:numPr>
        <w:spacing w:line="360" w:lineRule="auto"/>
        <w:jc w:val="both"/>
        <w:rPr>
          <w:rFonts w:ascii="Times New Roman" w:hAnsi="Times New Roman" w:cs="Times New Roman"/>
          <w:sz w:val="24"/>
          <w:szCs w:val="24"/>
        </w:rPr>
      </w:pPr>
      <w:r w:rsidRPr="00E80CD9">
        <w:rPr>
          <w:rFonts w:ascii="Times New Roman" w:hAnsi="Times New Roman" w:cs="Times New Roman"/>
          <w:sz w:val="24"/>
          <w:szCs w:val="24"/>
        </w:rPr>
        <w:t>Horizontal Axis-Number of Articles in Growth &amp; efficiency analysis;</w:t>
      </w:r>
    </w:p>
    <w:p w14:paraId="3434AE6B" w14:textId="77777777" w:rsidR="002C178D" w:rsidRDefault="002C178D" w:rsidP="00E13104">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Most commonly used variables in highest number of articles are ROA, ROE &amp; Efficiency</w:t>
      </w:r>
    </w:p>
    <w:p w14:paraId="6413FB69" w14:textId="77777777" w:rsidR="002C178D" w:rsidRDefault="002C178D" w:rsidP="00E13104">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ROA, ROE &amp; Efficiency are used in articles among all the articles taken for growth &amp; efficiency management.</w:t>
      </w:r>
    </w:p>
    <w:p w14:paraId="6DA0E25A" w14:textId="77777777" w:rsidR="002C178D" w:rsidRDefault="002C178D" w:rsidP="00E13104">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Least commonly used variables are-TFP (total factor productivity0, EPS (Earnings per share),CSR (Corporate social responsibilities).</w:t>
      </w:r>
    </w:p>
    <w:p w14:paraId="50189686" w14:textId="77777777" w:rsidR="002C178D" w:rsidRPr="00E80CD9" w:rsidRDefault="002C178D" w:rsidP="00E13104">
      <w:pPr>
        <w:pStyle w:val="ListParagraph"/>
        <w:spacing w:line="360" w:lineRule="auto"/>
        <w:jc w:val="both"/>
        <w:rPr>
          <w:rFonts w:ascii="Times New Roman" w:hAnsi="Times New Roman" w:cs="Times New Roman"/>
          <w:sz w:val="24"/>
          <w:szCs w:val="24"/>
        </w:rPr>
      </w:pPr>
    </w:p>
    <w:p w14:paraId="5A536806" w14:textId="77777777" w:rsidR="002C178D" w:rsidRDefault="002C178D" w:rsidP="00E13104">
      <w:pPr>
        <w:spacing w:line="360" w:lineRule="auto"/>
        <w:jc w:val="both"/>
        <w:rPr>
          <w:rFonts w:ascii="Times New Roman" w:hAnsi="Times New Roman" w:cs="Times New Roman"/>
          <w:sz w:val="24"/>
          <w:szCs w:val="24"/>
        </w:rPr>
      </w:pPr>
    </w:p>
    <w:p w14:paraId="4CCA83BF" w14:textId="77777777" w:rsidR="002C178D" w:rsidRPr="00316B9A" w:rsidRDefault="002C178D" w:rsidP="00E13104">
      <w:pPr>
        <w:spacing w:line="360" w:lineRule="auto"/>
        <w:jc w:val="both"/>
        <w:rPr>
          <w:rFonts w:ascii="Times New Roman" w:hAnsi="Times New Roman" w:cs="Times New Roman"/>
          <w:sz w:val="24"/>
          <w:szCs w:val="24"/>
        </w:rPr>
      </w:pPr>
    </w:p>
    <w:p w14:paraId="102D20DD" w14:textId="77777777" w:rsidR="002C178D" w:rsidRDefault="002C178D" w:rsidP="00E13104">
      <w:pPr>
        <w:spacing w:line="360" w:lineRule="auto"/>
        <w:jc w:val="both"/>
        <w:rPr>
          <w:rFonts w:ascii="Times New Roman" w:hAnsi="Times New Roman" w:cs="Times New Roman"/>
          <w:b/>
          <w:sz w:val="28"/>
          <w:szCs w:val="28"/>
        </w:rPr>
      </w:pPr>
    </w:p>
    <w:p w14:paraId="2E527609" w14:textId="77777777" w:rsidR="002C178D" w:rsidRDefault="002C178D" w:rsidP="00EE7079">
      <w:pPr>
        <w:spacing w:line="360" w:lineRule="auto"/>
        <w:jc w:val="center"/>
        <w:rPr>
          <w:rFonts w:ascii="Times New Roman" w:hAnsi="Times New Roman" w:cs="Times New Roman"/>
          <w:b/>
          <w:sz w:val="28"/>
          <w:szCs w:val="28"/>
        </w:rPr>
      </w:pPr>
    </w:p>
    <w:p w14:paraId="2C86F024" w14:textId="77777777" w:rsidR="002C178D" w:rsidRDefault="002C178D" w:rsidP="00EE7079">
      <w:pPr>
        <w:spacing w:line="360" w:lineRule="auto"/>
        <w:jc w:val="center"/>
        <w:rPr>
          <w:rFonts w:ascii="Times New Roman" w:hAnsi="Times New Roman" w:cs="Times New Roman"/>
          <w:b/>
          <w:sz w:val="28"/>
          <w:szCs w:val="28"/>
        </w:rPr>
      </w:pPr>
    </w:p>
    <w:p w14:paraId="4FB769BF" w14:textId="77777777" w:rsidR="002C178D" w:rsidRDefault="002C178D" w:rsidP="00EE7079">
      <w:pPr>
        <w:spacing w:line="360" w:lineRule="auto"/>
        <w:jc w:val="center"/>
        <w:rPr>
          <w:rFonts w:ascii="Times New Roman" w:hAnsi="Times New Roman" w:cs="Times New Roman"/>
          <w:b/>
          <w:sz w:val="28"/>
          <w:szCs w:val="28"/>
        </w:rPr>
      </w:pPr>
    </w:p>
    <w:p w14:paraId="4A60A7F7" w14:textId="77777777" w:rsidR="002C178D" w:rsidRDefault="002C178D" w:rsidP="00EE7079">
      <w:pPr>
        <w:spacing w:line="360" w:lineRule="auto"/>
        <w:jc w:val="center"/>
        <w:rPr>
          <w:rFonts w:ascii="Times New Roman" w:hAnsi="Times New Roman" w:cs="Times New Roman"/>
          <w:b/>
          <w:sz w:val="28"/>
          <w:szCs w:val="28"/>
        </w:rPr>
      </w:pPr>
    </w:p>
    <w:p w14:paraId="791897ED" w14:textId="77777777" w:rsidR="002C178D" w:rsidRDefault="002C178D" w:rsidP="00EE7079">
      <w:pPr>
        <w:spacing w:line="360" w:lineRule="auto"/>
        <w:jc w:val="center"/>
        <w:rPr>
          <w:rFonts w:ascii="Times New Roman" w:hAnsi="Times New Roman" w:cs="Times New Roman"/>
          <w:b/>
          <w:sz w:val="28"/>
          <w:szCs w:val="28"/>
        </w:rPr>
      </w:pPr>
    </w:p>
    <w:p w14:paraId="3F896033" w14:textId="77777777" w:rsidR="002C178D" w:rsidRDefault="002C178D" w:rsidP="00EE7079">
      <w:pPr>
        <w:spacing w:line="360" w:lineRule="auto"/>
        <w:jc w:val="center"/>
        <w:rPr>
          <w:rFonts w:ascii="Times New Roman" w:hAnsi="Times New Roman" w:cs="Times New Roman"/>
          <w:b/>
          <w:sz w:val="28"/>
          <w:szCs w:val="28"/>
        </w:rPr>
      </w:pPr>
    </w:p>
    <w:p w14:paraId="143C5D2C" w14:textId="77777777" w:rsidR="002C178D" w:rsidRDefault="002C178D" w:rsidP="00EE7079">
      <w:pPr>
        <w:spacing w:line="360" w:lineRule="auto"/>
        <w:jc w:val="center"/>
        <w:rPr>
          <w:rFonts w:ascii="Times New Roman" w:hAnsi="Times New Roman" w:cs="Times New Roman"/>
          <w:b/>
          <w:sz w:val="32"/>
          <w:szCs w:val="32"/>
        </w:rPr>
      </w:pPr>
    </w:p>
    <w:p w14:paraId="6ACF0FE3" w14:textId="77777777" w:rsidR="002C178D" w:rsidRPr="00877764" w:rsidRDefault="002C178D" w:rsidP="00B53EFF">
      <w:pPr>
        <w:pStyle w:val="Heading1"/>
        <w:rPr>
          <w:b/>
        </w:rPr>
      </w:pPr>
      <w:bookmarkStart w:id="18" w:name="_Toc52709123"/>
      <w:r w:rsidRPr="00877764">
        <w:rPr>
          <w:b/>
        </w:rPr>
        <w:t>Chapter 4: Risk Management</w:t>
      </w:r>
      <w:bookmarkEnd w:id="18"/>
    </w:p>
    <w:p w14:paraId="24A16C6E" w14:textId="77777777" w:rsidR="002C178D" w:rsidRPr="00877764" w:rsidRDefault="002C178D" w:rsidP="00E13104">
      <w:pPr>
        <w:spacing w:line="360" w:lineRule="auto"/>
        <w:jc w:val="both"/>
        <w:rPr>
          <w:rFonts w:ascii="Times New Roman" w:hAnsi="Times New Roman" w:cs="Times New Roman"/>
          <w:b/>
          <w:sz w:val="32"/>
          <w:szCs w:val="32"/>
        </w:rPr>
      </w:pPr>
    </w:p>
    <w:p w14:paraId="5FC98044" w14:textId="77777777" w:rsidR="002C178D" w:rsidRDefault="002C178D" w:rsidP="00E13104">
      <w:pPr>
        <w:spacing w:line="360" w:lineRule="auto"/>
        <w:jc w:val="both"/>
        <w:rPr>
          <w:rFonts w:ascii="Times New Roman" w:hAnsi="Times New Roman" w:cs="Times New Roman"/>
          <w:b/>
          <w:sz w:val="28"/>
          <w:szCs w:val="28"/>
        </w:rPr>
      </w:pPr>
    </w:p>
    <w:p w14:paraId="504A9568" w14:textId="77777777" w:rsidR="002C178D" w:rsidRDefault="002C178D" w:rsidP="00E13104">
      <w:pPr>
        <w:spacing w:line="360" w:lineRule="auto"/>
        <w:jc w:val="both"/>
        <w:rPr>
          <w:rFonts w:ascii="Times New Roman" w:hAnsi="Times New Roman" w:cs="Times New Roman"/>
          <w:b/>
          <w:sz w:val="28"/>
          <w:szCs w:val="28"/>
        </w:rPr>
      </w:pPr>
    </w:p>
    <w:p w14:paraId="5852956A" w14:textId="77777777" w:rsidR="002C178D" w:rsidRDefault="002C178D" w:rsidP="00E13104">
      <w:pPr>
        <w:spacing w:line="360" w:lineRule="auto"/>
        <w:jc w:val="both"/>
        <w:rPr>
          <w:rFonts w:ascii="Times New Roman" w:hAnsi="Times New Roman" w:cs="Times New Roman"/>
          <w:b/>
          <w:sz w:val="28"/>
          <w:szCs w:val="28"/>
        </w:rPr>
      </w:pPr>
    </w:p>
    <w:p w14:paraId="733AED27" w14:textId="77777777" w:rsidR="002C178D" w:rsidRDefault="002C178D" w:rsidP="00E13104">
      <w:pPr>
        <w:spacing w:line="360" w:lineRule="auto"/>
        <w:jc w:val="both"/>
        <w:rPr>
          <w:rFonts w:ascii="Times New Roman" w:hAnsi="Times New Roman" w:cs="Times New Roman"/>
          <w:b/>
          <w:sz w:val="28"/>
          <w:szCs w:val="28"/>
        </w:rPr>
      </w:pPr>
    </w:p>
    <w:p w14:paraId="36A8F5B8" w14:textId="77777777" w:rsidR="002C178D" w:rsidRDefault="002C178D" w:rsidP="00E13104">
      <w:pPr>
        <w:spacing w:line="360" w:lineRule="auto"/>
        <w:jc w:val="both"/>
        <w:rPr>
          <w:rFonts w:ascii="Times New Roman" w:hAnsi="Times New Roman" w:cs="Times New Roman"/>
          <w:b/>
          <w:sz w:val="28"/>
          <w:szCs w:val="28"/>
        </w:rPr>
      </w:pPr>
    </w:p>
    <w:p w14:paraId="0AE753C3" w14:textId="77777777" w:rsidR="002C178D" w:rsidRDefault="002C178D" w:rsidP="00E13104">
      <w:pPr>
        <w:spacing w:line="360" w:lineRule="auto"/>
        <w:jc w:val="both"/>
        <w:rPr>
          <w:rFonts w:ascii="Times New Roman" w:hAnsi="Times New Roman" w:cs="Times New Roman"/>
          <w:b/>
          <w:sz w:val="28"/>
          <w:szCs w:val="28"/>
        </w:rPr>
      </w:pPr>
    </w:p>
    <w:p w14:paraId="678510FE" w14:textId="77777777" w:rsidR="002C178D" w:rsidRDefault="002C178D" w:rsidP="00E13104">
      <w:pPr>
        <w:spacing w:line="360" w:lineRule="auto"/>
        <w:jc w:val="both"/>
        <w:rPr>
          <w:rFonts w:ascii="Times New Roman" w:hAnsi="Times New Roman" w:cs="Times New Roman"/>
          <w:b/>
          <w:sz w:val="28"/>
          <w:szCs w:val="28"/>
        </w:rPr>
      </w:pPr>
    </w:p>
    <w:p w14:paraId="76E9C01B" w14:textId="77777777" w:rsidR="002C178D" w:rsidRDefault="002C178D" w:rsidP="00E13104">
      <w:pPr>
        <w:spacing w:line="360" w:lineRule="auto"/>
        <w:jc w:val="both"/>
        <w:rPr>
          <w:rFonts w:ascii="Times New Roman" w:hAnsi="Times New Roman" w:cs="Times New Roman"/>
          <w:b/>
          <w:sz w:val="28"/>
          <w:szCs w:val="28"/>
        </w:rPr>
      </w:pPr>
    </w:p>
    <w:p w14:paraId="007BB1DD" w14:textId="77777777" w:rsidR="002C178D" w:rsidRDefault="002C178D" w:rsidP="00E13104">
      <w:pPr>
        <w:spacing w:line="360" w:lineRule="auto"/>
        <w:jc w:val="both"/>
        <w:rPr>
          <w:rFonts w:ascii="Times New Roman" w:hAnsi="Times New Roman" w:cs="Times New Roman"/>
          <w:b/>
          <w:sz w:val="28"/>
          <w:szCs w:val="28"/>
        </w:rPr>
      </w:pPr>
    </w:p>
    <w:p w14:paraId="24632E0C" w14:textId="77777777" w:rsidR="002C178D" w:rsidRDefault="002C178D" w:rsidP="00E13104">
      <w:pPr>
        <w:spacing w:line="360" w:lineRule="auto"/>
        <w:jc w:val="both"/>
        <w:rPr>
          <w:rFonts w:ascii="Times New Roman" w:hAnsi="Times New Roman" w:cs="Times New Roman"/>
          <w:b/>
          <w:sz w:val="28"/>
          <w:szCs w:val="28"/>
        </w:rPr>
      </w:pPr>
    </w:p>
    <w:p w14:paraId="0BEA5622" w14:textId="77777777" w:rsidR="002C178D" w:rsidRDefault="002C178D" w:rsidP="00E13104">
      <w:pPr>
        <w:spacing w:line="360" w:lineRule="auto"/>
        <w:jc w:val="both"/>
        <w:rPr>
          <w:rFonts w:ascii="Times New Roman" w:hAnsi="Times New Roman" w:cs="Times New Roman"/>
          <w:b/>
          <w:sz w:val="28"/>
          <w:szCs w:val="28"/>
        </w:rPr>
      </w:pPr>
    </w:p>
    <w:p w14:paraId="37F7182D" w14:textId="77777777" w:rsidR="002C178D" w:rsidRDefault="002C178D" w:rsidP="00E13104">
      <w:pPr>
        <w:spacing w:line="360" w:lineRule="auto"/>
        <w:jc w:val="both"/>
        <w:rPr>
          <w:rFonts w:ascii="Times New Roman" w:hAnsi="Times New Roman" w:cs="Times New Roman"/>
          <w:b/>
          <w:sz w:val="28"/>
          <w:szCs w:val="28"/>
        </w:rPr>
      </w:pPr>
    </w:p>
    <w:p w14:paraId="1D6752ED" w14:textId="77777777" w:rsidR="002C178D" w:rsidRPr="00316B9A" w:rsidRDefault="002C178D" w:rsidP="00E13104">
      <w:pPr>
        <w:spacing w:line="360" w:lineRule="auto"/>
        <w:jc w:val="both"/>
        <w:rPr>
          <w:rFonts w:ascii="Times New Roman" w:hAnsi="Times New Roman" w:cs="Times New Roman"/>
          <w:sz w:val="24"/>
          <w:szCs w:val="24"/>
        </w:rPr>
      </w:pPr>
      <w:bookmarkStart w:id="19" w:name="_Toc52709124"/>
      <w:r w:rsidRPr="00877764">
        <w:rPr>
          <w:rStyle w:val="Heading2Char"/>
          <w:b/>
        </w:rPr>
        <w:t>4.1 Risk Management concept:</w:t>
      </w:r>
      <w:bookmarkEnd w:id="19"/>
      <w:r w:rsidRPr="00316B9A">
        <w:rPr>
          <w:rFonts w:ascii="Times New Roman" w:hAnsi="Times New Roman" w:cs="Times New Roman"/>
          <w:sz w:val="24"/>
          <w:szCs w:val="24"/>
        </w:rPr>
        <w:t xml:space="preserve"> some issues incurred regarding the settlement of financial coverage &amp; other expenditures, those are needed to be quantified by following specific procedure. This procedure is known as Risk management. There may have some unexpected events causing misalignment with financial transaction which are badly in need of quantification. Insurance Companies handle them with risk management process.</w:t>
      </w:r>
    </w:p>
    <w:p w14:paraId="1FE4FE5B" w14:textId="77777777" w:rsidR="002C178D" w:rsidRPr="00316B9A" w:rsidRDefault="002C178D" w:rsidP="00E13104">
      <w:pPr>
        <w:spacing w:line="360" w:lineRule="auto"/>
        <w:jc w:val="both"/>
        <w:rPr>
          <w:rFonts w:ascii="Times New Roman" w:hAnsi="Times New Roman" w:cs="Times New Roman"/>
          <w:sz w:val="24"/>
          <w:szCs w:val="24"/>
        </w:rPr>
      </w:pPr>
    </w:p>
    <w:p w14:paraId="2EFE9BA3" w14:textId="77777777" w:rsidR="002C178D" w:rsidRPr="00316B9A" w:rsidRDefault="002C178D" w:rsidP="00E13104">
      <w:pPr>
        <w:pStyle w:val="paragraphscx55284703"/>
        <w:spacing w:line="360" w:lineRule="auto"/>
        <w:jc w:val="both"/>
        <w:textAlignment w:val="baseline"/>
        <w:rPr>
          <w:rStyle w:val="textrunscx55284703"/>
          <w:bCs/>
          <w:lang w:val="en-US"/>
        </w:rPr>
      </w:pPr>
      <w:bookmarkStart w:id="20" w:name="_Toc52709125"/>
      <w:r w:rsidRPr="00877764">
        <w:rPr>
          <w:rStyle w:val="Heading2Char"/>
          <w:b/>
        </w:rPr>
        <w:t>4.2 Operational risk measurements in insurance industry</w:t>
      </w:r>
      <w:r w:rsidRPr="00E71AE8">
        <w:rPr>
          <w:rStyle w:val="Heading2Char"/>
        </w:rPr>
        <w:t>:</w:t>
      </w:r>
      <w:bookmarkEnd w:id="20"/>
      <w:r w:rsidRPr="00316B9A">
        <w:rPr>
          <w:rStyle w:val="textrunscx55284703"/>
          <w:bCs/>
          <w:lang w:val="en-US"/>
        </w:rPr>
        <w:t xml:space="preserve"> BASEL II banking sectors had some changes in banking sectors and by analyzing those changes were utilized in the survey of UK </w:t>
      </w:r>
      <w:r>
        <w:rPr>
          <w:rStyle w:val="textrunscx55284703"/>
          <w:bCs/>
          <w:lang w:val="en-US"/>
        </w:rPr>
        <w:t xml:space="preserve">based </w:t>
      </w:r>
      <w:r w:rsidRPr="00316B9A">
        <w:rPr>
          <w:rStyle w:val="textrunscx55284703"/>
          <w:bCs/>
          <w:lang w:val="en-US"/>
        </w:rPr>
        <w:t>insurance company. Survey results appeared that, individuals ‘attitude and willingness or objective influence a lot in the increment of operational risk in UK based Insurance industry. This issue are needed to be monitored by the executive or regulatory body, otherwise the overall solvency implementation may face barriers.in mutual insurance companies, and the research is also conducted on the basis of many literatures to identify the risk management process in mutual insurance.</w:t>
      </w:r>
    </w:p>
    <w:p w14:paraId="78A586FD" w14:textId="77777777" w:rsidR="002C178D" w:rsidRPr="00316B9A" w:rsidRDefault="002C178D" w:rsidP="00E13104">
      <w:pPr>
        <w:spacing w:line="360" w:lineRule="auto"/>
        <w:jc w:val="both"/>
        <w:rPr>
          <w:rFonts w:ascii="Times New Roman" w:hAnsi="Times New Roman" w:cs="Times New Roman"/>
          <w:sz w:val="24"/>
          <w:szCs w:val="24"/>
        </w:rPr>
      </w:pPr>
      <w:bookmarkStart w:id="21" w:name="_Toc52709126"/>
      <w:r w:rsidRPr="00877764">
        <w:rPr>
          <w:rStyle w:val="Heading2Char"/>
          <w:b/>
        </w:rPr>
        <w:t>4.3 Macro variable factors’ influence in risk management:</w:t>
      </w:r>
      <w:bookmarkEnd w:id="21"/>
      <w:r w:rsidRPr="00316B9A">
        <w:rPr>
          <w:rFonts w:ascii="Times New Roman" w:hAnsi="Times New Roman" w:cs="Times New Roman"/>
          <w:sz w:val="24"/>
          <w:szCs w:val="24"/>
        </w:rPr>
        <w:t xml:space="preserve"> Factors in macroeconomic context creates risks by decreasing the speed of economic growth; which in result slower the overall management that hinders to achieve financial development and economic growth. This phenomena reduce national demand, aggregated profit margins, Returns; these consequences with the decrease in investment amount. Taken articles for gathering information have revealed that better performance of an insurance company relies on stable political condition &amp; greater globalization. Insurers mend or re arrange their policies and strategies with the changes in economic factors. But the study also has found that financial liberalization which means official governmental policies, deregulation in these policies negatively impacts on institutional functions in insurance company. This type of financial liberalization has negative impact on insurance performance; thus it hampers the overall risk management. From the perspectives of insurers, better insurance performance for the management of overall risks depends mostly on stable political situations and fair governmental rules, regulations, policies along with proper implication. Insurers have to be very </w:t>
      </w:r>
      <w:r w:rsidRPr="00316B9A">
        <w:rPr>
          <w:rFonts w:ascii="Times New Roman" w:hAnsi="Times New Roman" w:cs="Times New Roman"/>
          <w:sz w:val="24"/>
          <w:szCs w:val="24"/>
        </w:rPr>
        <w:lastRenderedPageBreak/>
        <w:t>cautious about these factors to change their strategies to sustain against market competitors &amp; national policy makers. A study from Nepalese insurance company and banks has found out that share prices of these banks and insurance companies are highly affected by some firm specific and macro-economic variables. Among the firm specific factors, we’ve found Return on assets, Return on earnings, Earnings per share, dividend per share, price to earnings ratio, firm size etc. influences the efficiency and risks associated with the share price of banks and insurance companies. Whereas, in macroeconomic contexts, fluctuations in MS,GDP,ER and IR impacts on share prices of insurance &amp; banks in Nepalese context.</w:t>
      </w:r>
    </w:p>
    <w:p w14:paraId="0138A2C2" w14:textId="77777777" w:rsidR="002C178D" w:rsidRDefault="002C178D" w:rsidP="00E13104">
      <w:pPr>
        <w:spacing w:after="0" w:line="360" w:lineRule="auto"/>
        <w:jc w:val="both"/>
        <w:rPr>
          <w:rFonts w:ascii="Times New Roman" w:eastAsia="Times New Roman" w:hAnsi="Times New Roman" w:cs="Times New Roman"/>
          <w:i/>
          <w:color w:val="000000"/>
          <w:sz w:val="24"/>
          <w:szCs w:val="24"/>
        </w:rPr>
      </w:pPr>
      <w:r w:rsidRPr="00316B9A">
        <w:rPr>
          <w:rFonts w:ascii="Times New Roman" w:eastAsia="Times New Roman" w:hAnsi="Times New Roman" w:cs="Times New Roman"/>
          <w:i/>
          <w:color w:val="000000"/>
          <w:sz w:val="24"/>
          <w:szCs w:val="24"/>
        </w:rPr>
        <w:t>Common Variables-Assets, GDP, Solvency ratio, Inflation &amp; exchange rate.</w:t>
      </w:r>
    </w:p>
    <w:p w14:paraId="74C88FEA" w14:textId="77777777" w:rsidR="002C178D" w:rsidRDefault="002C178D" w:rsidP="00E13104">
      <w:pPr>
        <w:spacing w:after="0" w:line="360" w:lineRule="auto"/>
        <w:jc w:val="both"/>
        <w:rPr>
          <w:rFonts w:ascii="Times New Roman" w:eastAsia="Times New Roman" w:hAnsi="Times New Roman" w:cs="Times New Roman"/>
          <w:i/>
          <w:color w:val="000000"/>
          <w:sz w:val="24"/>
          <w:szCs w:val="24"/>
        </w:rPr>
      </w:pPr>
    </w:p>
    <w:p w14:paraId="4D4600FD" w14:textId="77777777" w:rsidR="002C178D" w:rsidRPr="00E434FD" w:rsidRDefault="002C178D" w:rsidP="00E13104">
      <w:pPr>
        <w:spacing w:after="0" w:line="360" w:lineRule="auto"/>
        <w:jc w:val="both"/>
        <w:rPr>
          <w:rFonts w:ascii="Times New Roman" w:eastAsia="Times New Roman" w:hAnsi="Times New Roman" w:cs="Times New Roman"/>
          <w:color w:val="000000"/>
          <w:sz w:val="24"/>
          <w:szCs w:val="24"/>
        </w:rPr>
      </w:pPr>
      <w:bookmarkStart w:id="22" w:name="_Toc52709127"/>
      <w:r w:rsidRPr="00877764">
        <w:rPr>
          <w:rStyle w:val="Heading2Char"/>
          <w:b/>
        </w:rPr>
        <w:t>4.4 Risk Management in Agriculture:</w:t>
      </w:r>
      <w:bookmarkEnd w:id="22"/>
      <w:r w:rsidRPr="00E434FD">
        <w:rPr>
          <w:rFonts w:ascii="Times New Roman" w:eastAsia="Times New Roman" w:hAnsi="Times New Roman" w:cs="Times New Roman"/>
          <w:b/>
          <w:i/>
          <w:color w:val="000000"/>
          <w:sz w:val="24"/>
          <w:szCs w:val="24"/>
        </w:rPr>
        <w:t xml:space="preserve"> </w:t>
      </w:r>
      <w:r w:rsidRPr="00E434FD">
        <w:rPr>
          <w:rFonts w:ascii="Times New Roman" w:eastAsia="Times New Roman" w:hAnsi="Times New Roman" w:cs="Times New Roman"/>
          <w:color w:val="000000"/>
          <w:sz w:val="24"/>
          <w:szCs w:val="24"/>
        </w:rPr>
        <w:t xml:space="preserve">In the case of agriculture, risks are associated with three kinds of volatilities. These are-price volatility, fund shortage and weather risk. Due to having lacking of legal frame work in agro contracts by farmers, they sometimes fail to protect their insurance policy for crops. </w:t>
      </w:r>
      <w:r>
        <w:rPr>
          <w:rFonts w:ascii="Times New Roman" w:eastAsia="Times New Roman" w:hAnsi="Times New Roman" w:cs="Times New Roman"/>
          <w:color w:val="000000"/>
          <w:sz w:val="24"/>
          <w:szCs w:val="24"/>
        </w:rPr>
        <w:t xml:space="preserve">The name of that proposed model can be-“Farming Act or Agricultural contract act”. </w:t>
      </w:r>
      <w:r w:rsidRPr="00E434FD">
        <w:rPr>
          <w:rFonts w:ascii="Times New Roman" w:eastAsia="Times New Roman" w:hAnsi="Times New Roman" w:cs="Times New Roman"/>
          <w:color w:val="000000"/>
          <w:sz w:val="24"/>
          <w:szCs w:val="24"/>
        </w:rPr>
        <w:t>Our taken article provides a proposed model which will be including-</w:t>
      </w:r>
    </w:p>
    <w:p w14:paraId="11A0CE64" w14:textId="77777777" w:rsidR="002C178D" w:rsidRPr="00ED074B" w:rsidRDefault="002C178D" w:rsidP="00E13104">
      <w:pPr>
        <w:pStyle w:val="ListParagraph"/>
        <w:numPr>
          <w:ilvl w:val="0"/>
          <w:numId w:val="6"/>
        </w:numPr>
        <w:spacing w:after="0" w:line="360" w:lineRule="auto"/>
        <w:jc w:val="both"/>
        <w:rPr>
          <w:rFonts w:ascii="Times New Roman" w:eastAsia="Times New Roman" w:hAnsi="Times New Roman" w:cs="Times New Roman"/>
          <w:i/>
          <w:sz w:val="24"/>
          <w:szCs w:val="24"/>
        </w:rPr>
      </w:pPr>
      <w:r w:rsidRPr="00ED074B">
        <w:rPr>
          <w:rFonts w:ascii="Times New Roman" w:eastAsia="Times New Roman" w:hAnsi="Times New Roman" w:cs="Times New Roman"/>
          <w:i/>
          <w:sz w:val="24"/>
          <w:szCs w:val="24"/>
        </w:rPr>
        <w:t>Flexible terms and conditions in the contract,</w:t>
      </w:r>
    </w:p>
    <w:p w14:paraId="611A9C0E" w14:textId="77777777" w:rsidR="002C178D" w:rsidRPr="00ED074B" w:rsidRDefault="002C178D" w:rsidP="00E13104">
      <w:pPr>
        <w:pStyle w:val="ListParagraph"/>
        <w:numPr>
          <w:ilvl w:val="0"/>
          <w:numId w:val="6"/>
        </w:numPr>
        <w:spacing w:after="0" w:line="360" w:lineRule="auto"/>
        <w:jc w:val="both"/>
        <w:rPr>
          <w:rFonts w:ascii="Times New Roman" w:eastAsia="Times New Roman" w:hAnsi="Times New Roman" w:cs="Times New Roman"/>
          <w:i/>
          <w:sz w:val="24"/>
          <w:szCs w:val="24"/>
        </w:rPr>
      </w:pPr>
      <w:r w:rsidRPr="00ED074B">
        <w:rPr>
          <w:rFonts w:ascii="Times New Roman" w:eastAsia="Times New Roman" w:hAnsi="Times New Roman" w:cs="Times New Roman"/>
          <w:i/>
          <w:sz w:val="24"/>
          <w:szCs w:val="24"/>
        </w:rPr>
        <w:t>The time-span of the contract will be specific or it can be modified in accordance with the duration of cultivation.</w:t>
      </w:r>
    </w:p>
    <w:p w14:paraId="54E1BB19" w14:textId="77777777" w:rsidR="002C178D" w:rsidRPr="00ED074B" w:rsidRDefault="002C178D" w:rsidP="00E13104">
      <w:pPr>
        <w:pStyle w:val="ListParagraph"/>
        <w:numPr>
          <w:ilvl w:val="0"/>
          <w:numId w:val="6"/>
        </w:numPr>
        <w:spacing w:after="0" w:line="360" w:lineRule="auto"/>
        <w:jc w:val="both"/>
        <w:rPr>
          <w:rFonts w:ascii="Times New Roman" w:eastAsia="Times New Roman" w:hAnsi="Times New Roman" w:cs="Times New Roman"/>
          <w:i/>
          <w:sz w:val="24"/>
          <w:szCs w:val="24"/>
        </w:rPr>
      </w:pPr>
      <w:r w:rsidRPr="00ED074B">
        <w:rPr>
          <w:rFonts w:ascii="Times New Roman" w:eastAsia="Times New Roman" w:hAnsi="Times New Roman" w:cs="Times New Roman"/>
          <w:i/>
          <w:sz w:val="24"/>
          <w:szCs w:val="24"/>
        </w:rPr>
        <w:t>The proposed model advises to keep the price fixed as it will help the government in checking inflation and commodity prices will not have that kind of fluctuation.</w:t>
      </w:r>
    </w:p>
    <w:p w14:paraId="72D38B24" w14:textId="77777777" w:rsidR="002C178D" w:rsidRPr="00ED074B" w:rsidRDefault="002C178D" w:rsidP="00E13104">
      <w:pPr>
        <w:pStyle w:val="ListParagraph"/>
        <w:numPr>
          <w:ilvl w:val="0"/>
          <w:numId w:val="6"/>
        </w:numPr>
        <w:spacing w:after="0" w:line="360" w:lineRule="auto"/>
        <w:jc w:val="both"/>
        <w:rPr>
          <w:rFonts w:ascii="Times New Roman" w:eastAsia="Times New Roman" w:hAnsi="Times New Roman" w:cs="Times New Roman"/>
          <w:i/>
          <w:sz w:val="24"/>
          <w:szCs w:val="24"/>
        </w:rPr>
      </w:pPr>
      <w:r w:rsidRPr="00ED074B">
        <w:rPr>
          <w:rFonts w:ascii="Times New Roman" w:eastAsia="Times New Roman" w:hAnsi="Times New Roman" w:cs="Times New Roman"/>
          <w:i/>
          <w:sz w:val="24"/>
          <w:szCs w:val="24"/>
        </w:rPr>
        <w:t>Payments can be made at the end of the contract period.</w:t>
      </w:r>
    </w:p>
    <w:p w14:paraId="388DD4D9" w14:textId="77777777" w:rsidR="002C178D" w:rsidRPr="00ED074B" w:rsidRDefault="002C178D" w:rsidP="00E13104">
      <w:pPr>
        <w:pStyle w:val="ListParagraph"/>
        <w:numPr>
          <w:ilvl w:val="0"/>
          <w:numId w:val="6"/>
        </w:numPr>
        <w:spacing w:after="0" w:line="360" w:lineRule="auto"/>
        <w:jc w:val="both"/>
        <w:rPr>
          <w:rFonts w:ascii="Times New Roman" w:eastAsia="Times New Roman" w:hAnsi="Times New Roman" w:cs="Times New Roman"/>
          <w:i/>
          <w:sz w:val="24"/>
          <w:szCs w:val="24"/>
        </w:rPr>
      </w:pPr>
      <w:r w:rsidRPr="00ED074B">
        <w:rPr>
          <w:rFonts w:ascii="Times New Roman" w:eastAsia="Times New Roman" w:hAnsi="Times New Roman" w:cs="Times New Roman"/>
          <w:i/>
          <w:sz w:val="24"/>
          <w:szCs w:val="24"/>
        </w:rPr>
        <w:t>Contract will be included with contribution of both the farmer and the trader (Counterparties).</w:t>
      </w:r>
    </w:p>
    <w:p w14:paraId="342B4A8C"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In this study, variables used-Volatility, Risks, weather condition, economic condition, funds</w:t>
      </w:r>
    </w:p>
    <w:p w14:paraId="7BD79BCC"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noProof/>
        </w:rPr>
        <w:lastRenderedPageBreak/>
        <w:drawing>
          <wp:inline distT="0" distB="0" distL="0" distR="0" wp14:anchorId="7C62D6CD" wp14:editId="76D7691C">
            <wp:extent cx="5403849" cy="3340100"/>
            <wp:effectExtent l="0" t="0" r="6985"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80D12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Vertical Axis-Name of common variables picked for taking information from articles taken for insurance company’s’ risk management analysis.</w:t>
      </w:r>
    </w:p>
    <w:p w14:paraId="7DE3A7B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Horizontal axis-Number of articles with respect of using most common variables.</w:t>
      </w:r>
    </w:p>
    <w:p w14:paraId="21A70C2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208AE06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ACFC94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068836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2486CB02"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226E07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87E4625"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F55B827"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686B1A5"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859DBFC"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A59329A" w14:textId="77777777" w:rsidR="002C178D" w:rsidRDefault="002C178D" w:rsidP="000C0D90">
      <w:pPr>
        <w:spacing w:line="360" w:lineRule="auto"/>
        <w:jc w:val="center"/>
        <w:rPr>
          <w:rFonts w:ascii="Times New Roman" w:hAnsi="Times New Roman" w:cs="Times New Roman"/>
          <w:b/>
          <w:i/>
          <w:sz w:val="24"/>
          <w:szCs w:val="24"/>
        </w:rPr>
      </w:pPr>
    </w:p>
    <w:p w14:paraId="7AF738E6" w14:textId="77777777" w:rsidR="002C178D" w:rsidRDefault="002C178D" w:rsidP="000C0D90">
      <w:pPr>
        <w:spacing w:line="360" w:lineRule="auto"/>
        <w:jc w:val="center"/>
        <w:rPr>
          <w:rFonts w:ascii="Times New Roman" w:hAnsi="Times New Roman" w:cs="Times New Roman"/>
          <w:b/>
          <w:i/>
          <w:sz w:val="24"/>
          <w:szCs w:val="24"/>
        </w:rPr>
      </w:pPr>
    </w:p>
    <w:p w14:paraId="794ED287" w14:textId="77777777" w:rsidR="002C178D" w:rsidRDefault="002C178D" w:rsidP="000C0D90">
      <w:pPr>
        <w:spacing w:line="360" w:lineRule="auto"/>
        <w:jc w:val="center"/>
        <w:rPr>
          <w:rFonts w:ascii="Times New Roman" w:hAnsi="Times New Roman" w:cs="Times New Roman"/>
          <w:b/>
          <w:i/>
          <w:sz w:val="24"/>
          <w:szCs w:val="24"/>
        </w:rPr>
      </w:pPr>
    </w:p>
    <w:p w14:paraId="5FEF725D" w14:textId="77777777" w:rsidR="002C178D" w:rsidRDefault="002C178D" w:rsidP="000C0D90">
      <w:pPr>
        <w:spacing w:line="360" w:lineRule="auto"/>
        <w:jc w:val="center"/>
        <w:rPr>
          <w:rFonts w:ascii="Times New Roman" w:hAnsi="Times New Roman" w:cs="Times New Roman"/>
          <w:b/>
          <w:i/>
          <w:sz w:val="24"/>
          <w:szCs w:val="24"/>
        </w:rPr>
      </w:pPr>
    </w:p>
    <w:p w14:paraId="0003343A" w14:textId="77777777" w:rsidR="002C178D" w:rsidRDefault="002C178D" w:rsidP="000C0D90">
      <w:pPr>
        <w:spacing w:line="360" w:lineRule="auto"/>
        <w:jc w:val="center"/>
        <w:rPr>
          <w:rFonts w:ascii="Times New Roman" w:hAnsi="Times New Roman" w:cs="Times New Roman"/>
          <w:b/>
          <w:i/>
          <w:sz w:val="24"/>
          <w:szCs w:val="24"/>
        </w:rPr>
      </w:pPr>
    </w:p>
    <w:p w14:paraId="15F751C4" w14:textId="77777777" w:rsidR="002C178D" w:rsidRDefault="002C178D" w:rsidP="000C0D90">
      <w:pPr>
        <w:spacing w:line="360" w:lineRule="auto"/>
        <w:jc w:val="center"/>
        <w:rPr>
          <w:rFonts w:ascii="Times New Roman" w:hAnsi="Times New Roman" w:cs="Times New Roman"/>
          <w:b/>
          <w:i/>
          <w:sz w:val="24"/>
          <w:szCs w:val="24"/>
        </w:rPr>
      </w:pPr>
    </w:p>
    <w:p w14:paraId="4C0884A0" w14:textId="77777777" w:rsidR="002C178D" w:rsidRDefault="002C178D" w:rsidP="000C0D90">
      <w:pPr>
        <w:spacing w:line="360" w:lineRule="auto"/>
        <w:jc w:val="center"/>
        <w:rPr>
          <w:rFonts w:ascii="Times New Roman" w:hAnsi="Times New Roman" w:cs="Times New Roman"/>
          <w:b/>
          <w:i/>
          <w:sz w:val="24"/>
          <w:szCs w:val="24"/>
        </w:rPr>
      </w:pPr>
    </w:p>
    <w:p w14:paraId="7DD4CD2B" w14:textId="77777777" w:rsidR="002C178D" w:rsidRPr="00877764" w:rsidRDefault="002C178D" w:rsidP="00877764">
      <w:pPr>
        <w:pStyle w:val="Heading1"/>
        <w:jc w:val="center"/>
        <w:rPr>
          <w:b/>
          <w:sz w:val="36"/>
          <w:szCs w:val="36"/>
        </w:rPr>
      </w:pPr>
      <w:bookmarkStart w:id="23" w:name="_Toc52709128"/>
      <w:r w:rsidRPr="00877764">
        <w:rPr>
          <w:b/>
          <w:sz w:val="36"/>
          <w:szCs w:val="36"/>
        </w:rPr>
        <w:t>Chapter 5: Compara</w:t>
      </w:r>
      <w:r>
        <w:rPr>
          <w:b/>
          <w:sz w:val="36"/>
          <w:szCs w:val="36"/>
        </w:rPr>
        <w:t>tive A</w:t>
      </w:r>
      <w:r w:rsidRPr="00877764">
        <w:rPr>
          <w:b/>
          <w:sz w:val="36"/>
          <w:szCs w:val="36"/>
        </w:rPr>
        <w:t>nalysis</w:t>
      </w:r>
      <w:bookmarkEnd w:id="23"/>
    </w:p>
    <w:p w14:paraId="67CFE773" w14:textId="77777777" w:rsidR="002C178D" w:rsidRPr="00877764" w:rsidRDefault="002C178D" w:rsidP="00877764">
      <w:pPr>
        <w:pStyle w:val="Heading1"/>
        <w:jc w:val="center"/>
        <w:rPr>
          <w:b/>
          <w:sz w:val="36"/>
          <w:szCs w:val="36"/>
        </w:rPr>
      </w:pPr>
    </w:p>
    <w:p w14:paraId="2DEF184C" w14:textId="77777777" w:rsidR="002C178D" w:rsidRDefault="002C178D" w:rsidP="00E13104">
      <w:pPr>
        <w:spacing w:line="360" w:lineRule="auto"/>
        <w:jc w:val="both"/>
        <w:rPr>
          <w:rFonts w:ascii="Times New Roman" w:hAnsi="Times New Roman" w:cs="Times New Roman"/>
          <w:b/>
          <w:sz w:val="24"/>
          <w:szCs w:val="24"/>
        </w:rPr>
      </w:pPr>
    </w:p>
    <w:p w14:paraId="4883D634" w14:textId="77777777" w:rsidR="002C178D" w:rsidRDefault="002C178D" w:rsidP="00E13104">
      <w:pPr>
        <w:spacing w:line="360" w:lineRule="auto"/>
        <w:jc w:val="both"/>
        <w:rPr>
          <w:rFonts w:ascii="Times New Roman" w:hAnsi="Times New Roman" w:cs="Times New Roman"/>
          <w:b/>
          <w:sz w:val="24"/>
          <w:szCs w:val="24"/>
        </w:rPr>
      </w:pPr>
    </w:p>
    <w:p w14:paraId="04BD6462" w14:textId="77777777" w:rsidR="002C178D" w:rsidRDefault="002C178D" w:rsidP="00E13104">
      <w:pPr>
        <w:spacing w:line="360" w:lineRule="auto"/>
        <w:jc w:val="both"/>
        <w:rPr>
          <w:rFonts w:ascii="Times New Roman" w:hAnsi="Times New Roman" w:cs="Times New Roman"/>
          <w:b/>
          <w:sz w:val="24"/>
          <w:szCs w:val="24"/>
        </w:rPr>
      </w:pPr>
    </w:p>
    <w:p w14:paraId="70C0AEC2" w14:textId="77777777" w:rsidR="002C178D" w:rsidRDefault="002C178D" w:rsidP="00E13104">
      <w:pPr>
        <w:spacing w:line="360" w:lineRule="auto"/>
        <w:jc w:val="both"/>
        <w:rPr>
          <w:rFonts w:ascii="Times New Roman" w:hAnsi="Times New Roman" w:cs="Times New Roman"/>
          <w:b/>
          <w:sz w:val="24"/>
          <w:szCs w:val="24"/>
        </w:rPr>
      </w:pPr>
    </w:p>
    <w:p w14:paraId="2AFD3A4B" w14:textId="77777777" w:rsidR="002C178D" w:rsidRDefault="002C178D" w:rsidP="00E13104">
      <w:pPr>
        <w:spacing w:line="360" w:lineRule="auto"/>
        <w:jc w:val="both"/>
        <w:rPr>
          <w:rFonts w:ascii="Times New Roman" w:hAnsi="Times New Roman" w:cs="Times New Roman"/>
          <w:b/>
          <w:sz w:val="24"/>
          <w:szCs w:val="24"/>
        </w:rPr>
      </w:pPr>
    </w:p>
    <w:p w14:paraId="4FB225CA" w14:textId="77777777" w:rsidR="002C178D" w:rsidRDefault="002C178D" w:rsidP="00E13104">
      <w:pPr>
        <w:spacing w:line="360" w:lineRule="auto"/>
        <w:jc w:val="both"/>
        <w:rPr>
          <w:rFonts w:ascii="Times New Roman" w:hAnsi="Times New Roman" w:cs="Times New Roman"/>
          <w:b/>
          <w:sz w:val="24"/>
          <w:szCs w:val="24"/>
        </w:rPr>
      </w:pPr>
    </w:p>
    <w:p w14:paraId="0060885C" w14:textId="77777777" w:rsidR="002C178D" w:rsidRDefault="002C178D" w:rsidP="00E13104">
      <w:pPr>
        <w:spacing w:line="360" w:lineRule="auto"/>
        <w:jc w:val="both"/>
        <w:rPr>
          <w:rFonts w:ascii="Times New Roman" w:hAnsi="Times New Roman" w:cs="Times New Roman"/>
          <w:b/>
          <w:sz w:val="24"/>
          <w:szCs w:val="24"/>
        </w:rPr>
      </w:pPr>
    </w:p>
    <w:p w14:paraId="125BD9F6" w14:textId="77777777" w:rsidR="002C178D" w:rsidRDefault="002C178D" w:rsidP="00E13104">
      <w:pPr>
        <w:spacing w:line="360" w:lineRule="auto"/>
        <w:jc w:val="both"/>
        <w:rPr>
          <w:rFonts w:ascii="Times New Roman" w:hAnsi="Times New Roman" w:cs="Times New Roman"/>
          <w:b/>
          <w:sz w:val="24"/>
          <w:szCs w:val="24"/>
        </w:rPr>
      </w:pPr>
    </w:p>
    <w:p w14:paraId="68C5701B" w14:textId="77777777" w:rsidR="002C178D" w:rsidRDefault="002C178D" w:rsidP="00E13104">
      <w:pPr>
        <w:spacing w:line="360" w:lineRule="auto"/>
        <w:jc w:val="both"/>
        <w:rPr>
          <w:rFonts w:ascii="Times New Roman" w:hAnsi="Times New Roman" w:cs="Times New Roman"/>
          <w:b/>
          <w:sz w:val="24"/>
          <w:szCs w:val="24"/>
        </w:rPr>
      </w:pPr>
    </w:p>
    <w:p w14:paraId="796ABDCA" w14:textId="77777777" w:rsidR="002C178D" w:rsidRDefault="002C178D" w:rsidP="00E13104">
      <w:pPr>
        <w:spacing w:line="360" w:lineRule="auto"/>
        <w:jc w:val="both"/>
        <w:rPr>
          <w:rFonts w:ascii="Times New Roman" w:hAnsi="Times New Roman" w:cs="Times New Roman"/>
          <w:b/>
          <w:sz w:val="24"/>
          <w:szCs w:val="24"/>
        </w:rPr>
      </w:pPr>
    </w:p>
    <w:p w14:paraId="0EFFD5B6" w14:textId="77777777" w:rsidR="002C178D" w:rsidRDefault="002C178D" w:rsidP="00E13104">
      <w:pPr>
        <w:spacing w:line="360" w:lineRule="auto"/>
        <w:jc w:val="both"/>
        <w:rPr>
          <w:rFonts w:ascii="Times New Roman" w:hAnsi="Times New Roman" w:cs="Times New Roman"/>
          <w:b/>
          <w:sz w:val="24"/>
          <w:szCs w:val="24"/>
        </w:rPr>
      </w:pPr>
    </w:p>
    <w:p w14:paraId="07B66D2E" w14:textId="77777777" w:rsidR="002C178D" w:rsidRDefault="002C178D" w:rsidP="00E13104">
      <w:pPr>
        <w:spacing w:line="360" w:lineRule="auto"/>
        <w:jc w:val="both"/>
        <w:rPr>
          <w:rFonts w:ascii="Times New Roman" w:hAnsi="Times New Roman" w:cs="Times New Roman"/>
          <w:b/>
          <w:sz w:val="24"/>
          <w:szCs w:val="24"/>
        </w:rPr>
      </w:pPr>
    </w:p>
    <w:p w14:paraId="7C872AD0" w14:textId="77777777" w:rsidR="002C178D" w:rsidRDefault="002C178D" w:rsidP="00E13104">
      <w:pPr>
        <w:spacing w:line="360" w:lineRule="auto"/>
        <w:jc w:val="both"/>
        <w:rPr>
          <w:rFonts w:ascii="Times New Roman" w:hAnsi="Times New Roman" w:cs="Times New Roman"/>
          <w:b/>
          <w:sz w:val="24"/>
          <w:szCs w:val="24"/>
        </w:rPr>
      </w:pPr>
    </w:p>
    <w:p w14:paraId="68827B1A" w14:textId="77777777" w:rsidR="002C178D" w:rsidRDefault="002C178D" w:rsidP="00E13104">
      <w:pPr>
        <w:spacing w:line="360" w:lineRule="auto"/>
        <w:jc w:val="both"/>
        <w:rPr>
          <w:rFonts w:ascii="Times New Roman" w:hAnsi="Times New Roman" w:cs="Times New Roman"/>
          <w:sz w:val="24"/>
          <w:szCs w:val="24"/>
        </w:rPr>
      </w:pPr>
      <w:r w:rsidRPr="00764036">
        <w:rPr>
          <w:rFonts w:ascii="Times New Roman" w:hAnsi="Times New Roman" w:cs="Times New Roman"/>
          <w:b/>
          <w:color w:val="1F4E79" w:themeColor="accent1" w:themeShade="80"/>
          <w:sz w:val="32"/>
          <w:szCs w:val="32"/>
        </w:rPr>
        <w:lastRenderedPageBreak/>
        <w:t>5.</w:t>
      </w:r>
      <w:r w:rsidRPr="00764036">
        <w:rPr>
          <w:rStyle w:val="Heading2Char"/>
          <w:b/>
          <w:color w:val="1F4E79" w:themeColor="accent1" w:themeShade="80"/>
          <w:sz w:val="32"/>
          <w:szCs w:val="32"/>
        </w:rPr>
        <w:t>1 Insurance VS banking:</w:t>
      </w:r>
      <w:r w:rsidRPr="00764036">
        <w:rPr>
          <w:rFonts w:ascii="Times New Roman" w:hAnsi="Times New Roman" w:cs="Times New Roman"/>
          <w:color w:val="1F4E79" w:themeColor="accent1" w:themeShade="80"/>
          <w:sz w:val="24"/>
          <w:szCs w:val="24"/>
        </w:rPr>
        <w:t xml:space="preserve"> </w:t>
      </w:r>
      <w:r w:rsidRPr="00C837A8">
        <w:rPr>
          <w:rFonts w:ascii="Times New Roman" w:hAnsi="Times New Roman" w:cs="Times New Roman"/>
          <w:sz w:val="24"/>
          <w:szCs w:val="24"/>
        </w:rPr>
        <w:t>in civil-law countries, there are a relevancies and linkages between banking and insurance industries. In the countries of common Law, the linkage can rarely be found. For high-income countries, there is rarely any difference between banking &amp; insurance industry, whereas in low income countries, the difference is surprisingly evident &amp; significant. For all economic operations, banking &amp; financial sectors influences highly on a sustainable approach. Insurance industry works as financial intermediary as it provides enough resources and funding through premium amounts.</w:t>
      </w:r>
    </w:p>
    <w:p w14:paraId="70B972ED" w14:textId="77777777" w:rsidR="002C178D"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Though the banking process and insurance companies have differences between them, still they include linkages in the term of contributing to economy. Bank helps customers by increasing their money and making their loan in a larger amount through the deposit amount of customers. Insurance companies create contract between insurer (company) and the insured (individual) in which individual receives reimbursement for any financial damage from insurance company with the source of insured’s premium amount. Banks channel funds between investments and savings that decreases risk, encourage individuals’ sustainability and raises productive activity. Their intermediary relation is found in some ways-</w:t>
      </w:r>
    </w:p>
    <w:p w14:paraId="157AF02D" w14:textId="77777777" w:rsidR="002C178D"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When insurance industry provides risk transfer and loss indemnity, this protects the probable losses of insurance company and indirectly protects the loans taken from the bank.in some parts of the world, banks provide insurance products called-bancassurance. On the other hand, bank and insurance both are financial institution who take funds from individuals and make investments. This shows that there is a certain similarities in these two industries in the case of collecting &amp; managing funds. Study has found out that, enough flow of monetary amount, liquidity in liability and deposit funds help insurance industries to grow and expand more rapidly in comparison to banking industries.</w:t>
      </w:r>
    </w:p>
    <w:p w14:paraId="285CAE6A" w14:textId="77777777" w:rsidR="002C178D" w:rsidRPr="00C837A8"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In a quantitative study of India, it has been found that, banking and insurance industry have quite differences in many factors. EPS &amp; ROE are quite same in both of these industries in India, but Debt to Asset ratio, Debt to equity ratio &amp; return on assets-these elements were found to have differences among them. Indian banking sector depends more on loan or debt amount. That is why India’s banking sector faces shortage in earning ROE. Study suggests that Dependency on debt amount should be decreased by this country’s banking industry.</w:t>
      </w:r>
    </w:p>
    <w:p w14:paraId="069BD79A" w14:textId="77777777" w:rsidR="002C178D" w:rsidRDefault="002C178D" w:rsidP="00E13104">
      <w:pPr>
        <w:spacing w:line="360" w:lineRule="auto"/>
        <w:jc w:val="both"/>
        <w:rPr>
          <w:rFonts w:ascii="Arial" w:hAnsi="Arial" w:cs="Arial"/>
          <w:b/>
          <w:bCs/>
          <w:color w:val="202124"/>
          <w:shd w:val="clear" w:color="auto" w:fill="FFFFFF"/>
        </w:rPr>
      </w:pPr>
    </w:p>
    <w:p w14:paraId="23AAE02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t>Common variable used: Deposits, assets, liability, GDP, Debt, D/E,ROA,ROE</w:t>
      </w:r>
    </w:p>
    <w:p w14:paraId="6D66DEC9" w14:textId="77777777" w:rsidR="002C178D" w:rsidRDefault="002C178D" w:rsidP="00E13104">
      <w:pPr>
        <w:spacing w:line="360" w:lineRule="auto"/>
        <w:jc w:val="both"/>
        <w:rPr>
          <w:rFonts w:ascii="Times New Roman" w:hAnsi="Times New Roman" w:cs="Times New Roman"/>
          <w:sz w:val="24"/>
          <w:szCs w:val="24"/>
        </w:rPr>
      </w:pPr>
      <w:bookmarkStart w:id="24" w:name="_Toc52709129"/>
      <w:r w:rsidRPr="00764036">
        <w:rPr>
          <w:rStyle w:val="Heading2Char"/>
          <w:b/>
          <w:sz w:val="32"/>
          <w:szCs w:val="32"/>
        </w:rPr>
        <w:t>5.2 Conventional life insurance VS Islamic (Takaful) Insurance:</w:t>
      </w:r>
      <w:bookmarkEnd w:id="24"/>
      <w:r w:rsidRPr="0090309A">
        <w:rPr>
          <w:rFonts w:ascii="Times New Roman" w:hAnsi="Times New Roman" w:cs="Times New Roman"/>
          <w:sz w:val="24"/>
          <w:szCs w:val="24"/>
        </w:rPr>
        <w:t xml:space="preserve"> Takaful insurance policy agreement is basically based on Islamic Shariah or Religious views. To protect financial claim or to hinder the loss, members or individuals gather or pool money to provide guaranteed protection to each other.it is more like risk sharing insurance policy. Whereas, conventional life insurance is a risk transferring model. Individuals transfer risks to the insurer or insurance companies by depositing premium. Insurers protects their claims and provide reimbursements through premium funds in the occurrences of any unexpected accident causing financial damage or loss</w:t>
      </w:r>
      <w:r>
        <w:rPr>
          <w:rFonts w:ascii="Times New Roman" w:hAnsi="Times New Roman" w:cs="Times New Roman"/>
          <w:sz w:val="24"/>
          <w:szCs w:val="24"/>
        </w:rPr>
        <w:t>.</w:t>
      </w:r>
    </w:p>
    <w:p w14:paraId="1E7DA6F4" w14:textId="77777777" w:rsidR="002C178D"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study of articles, it is evident that, technical changes affects a lot in Bangladeshi conventional life insurance companies. This efficiency change is based on pure efficiency, not the scale efficiency. But this efficiency and risk management is hardly influenced by the size of insurance company in Bangladesh. Although, on average Bangladeshi insurance companies are progressing day by day in the aspect of technical changes. But, study also revealed that, slow improvement in technical components and little changes in efficiency inversely affects the Total Factor Productivity (TFP) In Bangladesh conventional Life insurance companies. It is also evident that, te smaller the size of insurance company, the higher the level of efficiency an insurance company gets. scenario in Takaful insurance in Malaysian insurance industry is quite different as it includes separate marketing tools, geographical contexts, promotional actions, monitoring competitors’ actions etc. in comparison to Bangladeshi Life Insurance companies, Malaysian Takaful insurance companies have higher TFP because of higher technical &amp; communicative initiatives.</w:t>
      </w:r>
    </w:p>
    <w:p w14:paraId="557AA1B3" w14:textId="77777777" w:rsidR="002C178D"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Variables: Income, expenses and TFP</w:t>
      </w:r>
    </w:p>
    <w:p w14:paraId="5C9A3FA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r>
        <w:rPr>
          <w:noProof/>
        </w:rPr>
        <w:lastRenderedPageBreak/>
        <w:drawing>
          <wp:inline distT="0" distB="0" distL="0" distR="0" wp14:anchorId="40E85414" wp14:editId="2BEE5550">
            <wp:extent cx="5925312" cy="3340100"/>
            <wp:effectExtent l="0" t="0" r="1841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8975B0" w14:textId="77777777" w:rsidR="002C178D" w:rsidRPr="00862A0F" w:rsidRDefault="002C178D" w:rsidP="00E13104">
      <w:pPr>
        <w:spacing w:line="360" w:lineRule="auto"/>
        <w:jc w:val="both"/>
        <w:rPr>
          <w:rFonts w:ascii="Times New Roman" w:hAnsi="Times New Roman" w:cs="Times New Roman"/>
          <w:b/>
          <w:i/>
          <w:sz w:val="24"/>
          <w:szCs w:val="24"/>
        </w:rPr>
      </w:pPr>
      <w:r w:rsidRPr="00862A0F">
        <w:rPr>
          <w:rFonts w:ascii="Times New Roman" w:hAnsi="Times New Roman" w:cs="Times New Roman"/>
          <w:b/>
          <w:i/>
          <w:sz w:val="24"/>
          <w:szCs w:val="24"/>
        </w:rPr>
        <w:t>Vertical axis-Name of Common Variables taken for comparative analysis in insurance industry</w:t>
      </w:r>
    </w:p>
    <w:p w14:paraId="4874B05C" w14:textId="77777777" w:rsidR="002C178D" w:rsidRPr="00862A0F" w:rsidRDefault="002C178D" w:rsidP="00E13104">
      <w:pPr>
        <w:spacing w:line="360" w:lineRule="auto"/>
        <w:jc w:val="both"/>
        <w:rPr>
          <w:rFonts w:ascii="Times New Roman" w:hAnsi="Times New Roman" w:cs="Times New Roman"/>
          <w:b/>
          <w:i/>
          <w:sz w:val="24"/>
          <w:szCs w:val="24"/>
        </w:rPr>
      </w:pPr>
      <w:r w:rsidRPr="00862A0F">
        <w:rPr>
          <w:rFonts w:ascii="Times New Roman" w:hAnsi="Times New Roman" w:cs="Times New Roman"/>
          <w:b/>
          <w:i/>
          <w:sz w:val="24"/>
          <w:szCs w:val="24"/>
        </w:rPr>
        <w:t>Horizontal axis-Number of articles with respect to most commonly used variables in the articles of comparative analysis.</w:t>
      </w:r>
    </w:p>
    <w:p w14:paraId="3F9EA7F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49D9F51"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DF5CD4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9D1EBE0"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552AF3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019A035"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224046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ACA5DAE"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078A9C3"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015779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29A4004"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4296909A" w14:textId="77777777" w:rsidR="002C178D" w:rsidRDefault="002C178D" w:rsidP="0020214D">
      <w:pPr>
        <w:spacing w:line="360" w:lineRule="auto"/>
        <w:jc w:val="center"/>
        <w:rPr>
          <w:rFonts w:ascii="Times New Roman" w:hAnsi="Times New Roman" w:cs="Times New Roman"/>
          <w:b/>
          <w:i/>
          <w:sz w:val="32"/>
          <w:szCs w:val="32"/>
        </w:rPr>
      </w:pPr>
    </w:p>
    <w:p w14:paraId="253631CC" w14:textId="77777777" w:rsidR="002C178D" w:rsidRDefault="002C178D" w:rsidP="0020214D">
      <w:pPr>
        <w:spacing w:line="360" w:lineRule="auto"/>
        <w:jc w:val="center"/>
        <w:rPr>
          <w:rFonts w:ascii="Times New Roman" w:hAnsi="Times New Roman" w:cs="Times New Roman"/>
          <w:b/>
          <w:i/>
          <w:sz w:val="32"/>
          <w:szCs w:val="32"/>
        </w:rPr>
      </w:pPr>
    </w:p>
    <w:p w14:paraId="2B212E63" w14:textId="77777777" w:rsidR="002C178D" w:rsidRDefault="002C178D" w:rsidP="0020214D">
      <w:pPr>
        <w:spacing w:line="360" w:lineRule="auto"/>
        <w:jc w:val="center"/>
        <w:rPr>
          <w:rFonts w:ascii="Times New Roman" w:hAnsi="Times New Roman" w:cs="Times New Roman"/>
          <w:b/>
          <w:i/>
          <w:sz w:val="32"/>
          <w:szCs w:val="32"/>
        </w:rPr>
      </w:pPr>
    </w:p>
    <w:p w14:paraId="32FD462F" w14:textId="77777777" w:rsidR="002C178D" w:rsidRDefault="002C178D" w:rsidP="00B53EFF">
      <w:pPr>
        <w:pStyle w:val="Heading1"/>
      </w:pPr>
    </w:p>
    <w:p w14:paraId="397A5816" w14:textId="77777777" w:rsidR="002C178D" w:rsidRPr="00764036" w:rsidRDefault="002C178D" w:rsidP="00764036">
      <w:pPr>
        <w:pStyle w:val="Heading1"/>
        <w:tabs>
          <w:tab w:val="left" w:pos="6334"/>
        </w:tabs>
        <w:jc w:val="center"/>
        <w:rPr>
          <w:b/>
          <w:color w:val="auto"/>
          <w:sz w:val="36"/>
          <w:szCs w:val="36"/>
        </w:rPr>
      </w:pPr>
      <w:bookmarkStart w:id="25" w:name="_Toc52709130"/>
      <w:r w:rsidRPr="00764036">
        <w:rPr>
          <w:b/>
          <w:color w:val="auto"/>
          <w:sz w:val="36"/>
          <w:szCs w:val="36"/>
        </w:rPr>
        <w:t>Chapter-6(Findings, Conclusion &amp; Limitations)</w:t>
      </w:r>
      <w:bookmarkEnd w:id="25"/>
    </w:p>
    <w:p w14:paraId="259203C2"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DA6F30E"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8C74829"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0283246"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11D780E"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29375A5"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7E151C7F"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0AF32103"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2C4620B8"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9620844"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60E3CEE0"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E844DB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54A6B70E"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1AC96FCD"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3CD2CB89"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p>
    <w:p w14:paraId="7DD72C38" w14:textId="77777777" w:rsidR="002C178D" w:rsidRDefault="002C178D" w:rsidP="00E13104">
      <w:pPr>
        <w:spacing w:line="360" w:lineRule="auto"/>
        <w:jc w:val="both"/>
        <w:rPr>
          <w:rFonts w:ascii="Times New Roman" w:hAnsi="Times New Roman" w:cs="Times New Roman"/>
          <w:sz w:val="24"/>
          <w:szCs w:val="24"/>
        </w:rPr>
      </w:pPr>
      <w:bookmarkStart w:id="26" w:name="_Toc52709131"/>
      <w:r w:rsidRPr="00764036">
        <w:rPr>
          <w:rStyle w:val="Heading2Char"/>
          <w:b/>
          <w:sz w:val="36"/>
          <w:szCs w:val="36"/>
        </w:rPr>
        <w:lastRenderedPageBreak/>
        <w:t>6.1 Findings:</w:t>
      </w:r>
      <w:bookmarkEnd w:id="26"/>
      <w:r>
        <w:rPr>
          <w:rFonts w:ascii="Times New Roman" w:hAnsi="Times New Roman" w:cs="Times New Roman"/>
          <w:b/>
          <w:i/>
          <w:color w:val="2E74B5" w:themeColor="accent1" w:themeShade="BF"/>
          <w:sz w:val="24"/>
          <w:szCs w:val="24"/>
        </w:rPr>
        <w:t xml:space="preserve"> </w:t>
      </w:r>
      <w:r w:rsidRPr="00DE6FC8">
        <w:rPr>
          <w:rFonts w:ascii="Times New Roman" w:hAnsi="Times New Roman" w:cs="Times New Roman"/>
          <w:sz w:val="24"/>
          <w:szCs w:val="24"/>
        </w:rPr>
        <w:t>From above informative &amp; theoretical analysis, we have ga</w:t>
      </w:r>
      <w:r>
        <w:rPr>
          <w:rFonts w:ascii="Times New Roman" w:hAnsi="Times New Roman" w:cs="Times New Roman"/>
          <w:sz w:val="24"/>
          <w:szCs w:val="24"/>
        </w:rPr>
        <w:t>thered information by discussing</w:t>
      </w:r>
      <w:r w:rsidRPr="00DE6FC8">
        <w:rPr>
          <w:rFonts w:ascii="Times New Roman" w:hAnsi="Times New Roman" w:cs="Times New Roman"/>
          <w:sz w:val="24"/>
          <w:szCs w:val="24"/>
        </w:rPr>
        <w:t xml:space="preserve"> the overall quality measu</w:t>
      </w:r>
      <w:r>
        <w:rPr>
          <w:rFonts w:ascii="Times New Roman" w:hAnsi="Times New Roman" w:cs="Times New Roman"/>
          <w:sz w:val="24"/>
          <w:szCs w:val="24"/>
        </w:rPr>
        <w:t>rement. F</w:t>
      </w:r>
      <w:r w:rsidRPr="00DE6FC8">
        <w:rPr>
          <w:rFonts w:ascii="Times New Roman" w:hAnsi="Times New Roman" w:cs="Times New Roman"/>
          <w:sz w:val="24"/>
          <w:szCs w:val="24"/>
        </w:rPr>
        <w:t>rom the discussion of different types of insurance,</w:t>
      </w:r>
      <w:r>
        <w:rPr>
          <w:rFonts w:ascii="Times New Roman" w:hAnsi="Times New Roman" w:cs="Times New Roman"/>
          <w:sz w:val="24"/>
          <w:szCs w:val="24"/>
        </w:rPr>
        <w:t xml:space="preserve"> it has been found out that, life insurance industry has the highest quality measurement and efficiency in comparison to other as this industry has used inputs and outputs to meet the targeted goal and objective.in Bangladesh, this efficiency level can be lower as this efficiency mostly depends on socio-economic and political development in Bangladesh. Political stability is quite poor in developing and undeveloped countries in comparison to other countries in the world; which in result influences on the quality assurance in life insurance industry. On the other hand, Islamic insurance industry has introduced a new and acceptable features to the religious Muslims which has increased the number of customers in insurance industry, although it has raised paradoxes relevant to Islamic religion in other perspective. It has been clarified that, Islam cannot be a marketing tool but serves as a backbone for conducting Shariah based Insurance policies. Healthcare insurance facilitates with several health insurance policies in many countries but it is found that customers having higher IQ and numerical intelligence comparatively receives more benefits from this insurance policy than others.in the case comparison with banking sectors, insurance industry uses less debt funds in comparison to banks, which shows that banks need to mitigate reliability on debts to ensure more solvency. Capital structure of insurance industry is more efficient than banks in the case to total assets, Return on assets (ROA), return on equity (ROE), earnings per share (EPS), Market price of share (MPS),Total Factor Productivity(TFP) etc. study reveals that insurance industry has also been improved in risk management in the case of human resource disclosures, Executives’ payments, incentives or awards etc. these are increased after the financial crisis of 2008. This increment included variables –tenure of job, performance and efficiency level and etc. another comparative analysis reflects the takaful insurance industry’s efficiency with respect to conventional life insurance company. Although life insurance company needs its small company size for efficiency; Takaful insurance industry depends more on geographical contexts for ensuring their efficiency and quality assurance to pool or channel the risks associated with Shariah based insurance policy. </w:t>
      </w:r>
    </w:p>
    <w:p w14:paraId="42C85E4C" w14:textId="77777777" w:rsidR="002C178D" w:rsidRDefault="002C178D" w:rsidP="00E13104">
      <w:pPr>
        <w:spacing w:line="360" w:lineRule="auto"/>
        <w:jc w:val="both"/>
        <w:rPr>
          <w:rFonts w:ascii="Times New Roman" w:hAnsi="Times New Roman" w:cs="Times New Roman"/>
          <w:sz w:val="24"/>
          <w:szCs w:val="24"/>
        </w:rPr>
      </w:pPr>
      <w:r>
        <w:rPr>
          <w:rFonts w:ascii="Times New Roman" w:hAnsi="Times New Roman" w:cs="Times New Roman"/>
          <w:sz w:val="24"/>
          <w:szCs w:val="24"/>
        </w:rPr>
        <w:t>Among macro-economic variables, GDP, Exchange rate, CPI, Inflation etc. influence the qualitative assurance in insurance industry.</w:t>
      </w:r>
    </w:p>
    <w:p w14:paraId="1BD6707D" w14:textId="77777777" w:rsidR="002C178D" w:rsidRPr="00DE6FC8" w:rsidRDefault="002C178D" w:rsidP="00E13104">
      <w:pPr>
        <w:spacing w:line="360" w:lineRule="auto"/>
        <w:jc w:val="both"/>
        <w:rPr>
          <w:rFonts w:ascii="Times New Roman" w:hAnsi="Times New Roman" w:cs="Times New Roman"/>
          <w:sz w:val="24"/>
          <w:szCs w:val="24"/>
        </w:rPr>
      </w:pPr>
    </w:p>
    <w:p w14:paraId="0CA62DF3" w14:textId="77777777" w:rsidR="002C178D" w:rsidRDefault="002C178D" w:rsidP="00E13104">
      <w:pPr>
        <w:spacing w:line="360" w:lineRule="auto"/>
        <w:jc w:val="both"/>
        <w:rPr>
          <w:rFonts w:ascii="Times New Roman" w:hAnsi="Times New Roman" w:cs="Times New Roman"/>
          <w:sz w:val="24"/>
          <w:szCs w:val="24"/>
        </w:rPr>
      </w:pPr>
      <w:bookmarkStart w:id="27" w:name="_Toc52709132"/>
      <w:r w:rsidRPr="00764036">
        <w:rPr>
          <w:rStyle w:val="Heading2Char"/>
          <w:b/>
          <w:sz w:val="32"/>
          <w:szCs w:val="32"/>
        </w:rPr>
        <w:lastRenderedPageBreak/>
        <w:t>6.2 Conclusion:</w:t>
      </w:r>
      <w:bookmarkEnd w:id="27"/>
      <w:r>
        <w:rPr>
          <w:rFonts w:ascii="Times New Roman" w:hAnsi="Times New Roman" w:cs="Times New Roman"/>
          <w:b/>
          <w:i/>
          <w:color w:val="2E74B5" w:themeColor="accent1" w:themeShade="BF"/>
          <w:sz w:val="24"/>
          <w:szCs w:val="24"/>
        </w:rPr>
        <w:t xml:space="preserve"> </w:t>
      </w:r>
      <w:r w:rsidRPr="00327F02">
        <w:rPr>
          <w:rFonts w:ascii="Times New Roman" w:hAnsi="Times New Roman" w:cs="Times New Roman"/>
          <w:sz w:val="24"/>
          <w:szCs w:val="24"/>
        </w:rPr>
        <w:t xml:space="preserve">in the case </w:t>
      </w:r>
      <w:r>
        <w:rPr>
          <w:rFonts w:ascii="Times New Roman" w:hAnsi="Times New Roman" w:cs="Times New Roman"/>
          <w:sz w:val="24"/>
          <w:szCs w:val="24"/>
        </w:rPr>
        <w:t>of quality measurement in</w:t>
      </w:r>
      <w:r w:rsidRPr="00327F02">
        <w:rPr>
          <w:rFonts w:ascii="Times New Roman" w:hAnsi="Times New Roman" w:cs="Times New Roman"/>
          <w:sz w:val="24"/>
          <w:szCs w:val="24"/>
        </w:rPr>
        <w:t xml:space="preserve"> Insurance industry, it is important to focus on all types of industry in all situations. Because </w:t>
      </w:r>
      <w:r>
        <w:rPr>
          <w:rFonts w:ascii="Times New Roman" w:hAnsi="Times New Roman" w:cs="Times New Roman"/>
          <w:sz w:val="24"/>
          <w:szCs w:val="24"/>
        </w:rPr>
        <w:t xml:space="preserve">of some shortcomings, our </w:t>
      </w:r>
      <w:r w:rsidRPr="00327F02">
        <w:rPr>
          <w:rFonts w:ascii="Times New Roman" w:hAnsi="Times New Roman" w:cs="Times New Roman"/>
          <w:sz w:val="24"/>
          <w:szCs w:val="24"/>
        </w:rPr>
        <w:t>study includes only a few types of insurance company’s’ efficiency management and their narrated analysis</w:t>
      </w:r>
      <w:r>
        <w:rPr>
          <w:rFonts w:ascii="Times New Roman" w:hAnsi="Times New Roman" w:cs="Times New Roman"/>
          <w:b/>
          <w:i/>
          <w:color w:val="2E74B5" w:themeColor="accent1" w:themeShade="BF"/>
          <w:sz w:val="24"/>
          <w:szCs w:val="24"/>
        </w:rPr>
        <w:t xml:space="preserve">. </w:t>
      </w:r>
      <w:r w:rsidRPr="006C093C">
        <w:rPr>
          <w:rFonts w:ascii="Times New Roman" w:hAnsi="Times New Roman" w:cs="Times New Roman"/>
          <w:sz w:val="24"/>
          <w:szCs w:val="24"/>
        </w:rPr>
        <w:t>Because insurance companies include the protection of financial claims of individuals where the reimbursements are paid in the case of unexpected occurrence or incident.</w:t>
      </w:r>
      <w:r>
        <w:rPr>
          <w:rFonts w:ascii="Times New Roman" w:hAnsi="Times New Roman" w:cs="Times New Roman"/>
          <w:sz w:val="24"/>
          <w:szCs w:val="24"/>
        </w:rPr>
        <w:t>in this study, it has been found out that life and private life insurance policies have highest customers and most initiatives for improvement. In global basis, life insurance is the most efficient sector as per measurement.in Bangladesh, the efficiency of life insurance is mostly depends on the size and type of the organization. Health insurance industry needs to be more improvised. Various micro-insurance policies are being introduced and being recognized as a tool of providing benefits to small and medium households and business. In developing countries, this insurance industry is playing a very important role. Islamic insurance industry is facing controversies with respect to different perspectives in different geographical area. We’ve also found that healthcare insurances and life insurance industries are improving in the case of risk management by ensuring administrative costs management, executives’ payment, audit fees and other incentives or awards.in various types of insurance industry analysis, the most common variables were-demographic variables, income/returns.</w:t>
      </w:r>
    </w:p>
    <w:p w14:paraId="5E3D8224"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sz w:val="24"/>
          <w:szCs w:val="24"/>
        </w:rPr>
        <w:t>For growth and efficiency management in different insurance companies, articles were taken from different authors of different countries who used many variables. Among them. Most common &amp; most used variables are-ROA, ROE, Efficiency level/costs, Investments and demographic variables etc. articles in risk management chapter includes most common the variables-assets, GDP &amp; different types of risks.in the comparative analysis, variables which were widely used in all taken articles in that chapter-ROE,ROA &amp; Deposit ratios. Quality measurement is broad issue that encircles the inside and outside of the organization in the terms of internal management, payment policies, customer satisfaction, accuracy in reimbursement amount etc. thus, proper analysis and initiatives are mandatory to be taken in that very sector. For example, our study includes an article in which there is a proposal for initiating new agricultural insurance policy to mitigate risks associated with crops and other agricultural elements causing huge suffering to the farmers in our country.</w:t>
      </w:r>
      <w:r w:rsidRPr="006C093C">
        <w:rPr>
          <w:rFonts w:ascii="Times New Roman" w:hAnsi="Times New Roman" w:cs="Times New Roman"/>
          <w:sz w:val="24"/>
          <w:szCs w:val="24"/>
        </w:rPr>
        <w:br w:type="page"/>
      </w:r>
    </w:p>
    <w:p w14:paraId="78B68820" w14:textId="77777777" w:rsidR="002C178D" w:rsidRPr="00316B9A" w:rsidRDefault="002C178D" w:rsidP="00E13104">
      <w:pPr>
        <w:spacing w:line="360" w:lineRule="auto"/>
        <w:jc w:val="both"/>
        <w:rPr>
          <w:rFonts w:ascii="Times New Roman" w:hAnsi="Times New Roman" w:cs="Times New Roman"/>
          <w:b/>
          <w:i/>
          <w:color w:val="2E74B5" w:themeColor="accent1" w:themeShade="BF"/>
          <w:sz w:val="24"/>
          <w:szCs w:val="24"/>
        </w:rPr>
      </w:pPr>
    </w:p>
    <w:p w14:paraId="0D9126CB" w14:textId="77777777" w:rsidR="002C178D" w:rsidRDefault="002C178D" w:rsidP="00E13104">
      <w:pPr>
        <w:spacing w:line="360" w:lineRule="auto"/>
        <w:jc w:val="both"/>
        <w:rPr>
          <w:rFonts w:ascii="Times New Roman" w:hAnsi="Times New Roman" w:cs="Times New Roman"/>
          <w:b/>
          <w:i/>
          <w:color w:val="2E74B5" w:themeColor="accent1" w:themeShade="BF"/>
          <w:sz w:val="24"/>
          <w:szCs w:val="24"/>
        </w:rPr>
      </w:pPr>
      <w:bookmarkStart w:id="28" w:name="_Toc52709133"/>
      <w:r w:rsidRPr="00764036">
        <w:rPr>
          <w:rStyle w:val="Heading2Char"/>
          <w:b/>
          <w:sz w:val="32"/>
          <w:szCs w:val="32"/>
        </w:rPr>
        <w:t>6.3 Limitations of this study:</w:t>
      </w:r>
      <w:bookmarkEnd w:id="28"/>
      <w:r>
        <w:rPr>
          <w:rFonts w:ascii="Times New Roman" w:hAnsi="Times New Roman" w:cs="Times New Roman"/>
          <w:b/>
          <w:i/>
          <w:color w:val="2E74B5" w:themeColor="accent1" w:themeShade="BF"/>
          <w:sz w:val="24"/>
          <w:szCs w:val="24"/>
        </w:rPr>
        <w:t xml:space="preserve"> As this study is based on information collected from journal articles,</w:t>
      </w:r>
    </w:p>
    <w:p w14:paraId="1489F445" w14:textId="77777777" w:rsidR="002C178D" w:rsidRPr="00E557C6" w:rsidRDefault="002C178D" w:rsidP="007F5949">
      <w:pPr>
        <w:pStyle w:val="ListParagraph"/>
        <w:numPr>
          <w:ilvl w:val="0"/>
          <w:numId w:val="7"/>
        </w:numPr>
        <w:spacing w:line="360" w:lineRule="auto"/>
        <w:jc w:val="both"/>
        <w:rPr>
          <w:rFonts w:ascii="Times New Roman" w:hAnsi="Times New Roman" w:cs="Times New Roman"/>
          <w:sz w:val="24"/>
          <w:szCs w:val="24"/>
        </w:rPr>
      </w:pPr>
      <w:r w:rsidRPr="00E557C6">
        <w:rPr>
          <w:rFonts w:ascii="Times New Roman" w:hAnsi="Times New Roman" w:cs="Times New Roman"/>
          <w:sz w:val="24"/>
          <w:szCs w:val="24"/>
        </w:rPr>
        <w:t>This study is based on different countries from different geographical area, information gathered from articles are not more focused on a specific country.</w:t>
      </w:r>
    </w:p>
    <w:p w14:paraId="0B6CA93A" w14:textId="77777777" w:rsidR="002C178D" w:rsidRPr="00E557C6" w:rsidRDefault="002C178D" w:rsidP="007F5949">
      <w:pPr>
        <w:pStyle w:val="ListParagraph"/>
        <w:numPr>
          <w:ilvl w:val="0"/>
          <w:numId w:val="7"/>
        </w:numPr>
        <w:spacing w:line="360" w:lineRule="auto"/>
        <w:jc w:val="both"/>
        <w:rPr>
          <w:rFonts w:ascii="Times New Roman" w:hAnsi="Times New Roman" w:cs="Times New Roman"/>
          <w:sz w:val="24"/>
          <w:szCs w:val="24"/>
        </w:rPr>
      </w:pPr>
      <w:r w:rsidRPr="00E557C6">
        <w:rPr>
          <w:rFonts w:ascii="Times New Roman" w:hAnsi="Times New Roman" w:cs="Times New Roman"/>
          <w:sz w:val="24"/>
          <w:szCs w:val="24"/>
        </w:rPr>
        <w:t>Marine, education, property and some other concept of insurance policy excluded in this study because unavailability of information.</w:t>
      </w:r>
    </w:p>
    <w:p w14:paraId="62A4C559" w14:textId="77777777" w:rsidR="002C178D" w:rsidRPr="00E557C6" w:rsidRDefault="002C178D" w:rsidP="007F5949">
      <w:pPr>
        <w:pStyle w:val="ListParagraph"/>
        <w:numPr>
          <w:ilvl w:val="0"/>
          <w:numId w:val="7"/>
        </w:numPr>
        <w:spacing w:line="360" w:lineRule="auto"/>
        <w:jc w:val="both"/>
        <w:rPr>
          <w:rFonts w:ascii="Times New Roman" w:hAnsi="Times New Roman" w:cs="Times New Roman"/>
          <w:sz w:val="24"/>
          <w:szCs w:val="24"/>
        </w:rPr>
      </w:pPr>
      <w:r w:rsidRPr="00E557C6">
        <w:rPr>
          <w:rFonts w:ascii="Times New Roman" w:hAnsi="Times New Roman" w:cs="Times New Roman"/>
          <w:sz w:val="24"/>
          <w:szCs w:val="24"/>
        </w:rPr>
        <w:t>Study needs to be more focused on our own country. In this study, only two articles include information from Bangladesh.</w:t>
      </w:r>
    </w:p>
    <w:p w14:paraId="6633D8C5" w14:textId="77777777" w:rsidR="002C178D" w:rsidRPr="00314485" w:rsidRDefault="002C178D" w:rsidP="007F5949">
      <w:pPr>
        <w:pStyle w:val="ListParagraph"/>
        <w:numPr>
          <w:ilvl w:val="0"/>
          <w:numId w:val="7"/>
        </w:numPr>
        <w:spacing w:line="360" w:lineRule="auto"/>
        <w:jc w:val="both"/>
        <w:rPr>
          <w:rFonts w:ascii="Times New Roman" w:hAnsi="Times New Roman" w:cs="Times New Roman"/>
          <w:b/>
          <w:i/>
          <w:color w:val="2E74B5" w:themeColor="accent1" w:themeShade="BF"/>
          <w:sz w:val="24"/>
          <w:szCs w:val="24"/>
        </w:rPr>
      </w:pPr>
      <w:r w:rsidRPr="00E557C6">
        <w:rPr>
          <w:rFonts w:ascii="Times New Roman" w:hAnsi="Times New Roman" w:cs="Times New Roman"/>
          <w:sz w:val="24"/>
          <w:szCs w:val="24"/>
        </w:rPr>
        <w:t>Analysis of cross insurance policies are needed to be conducted, for example- Marine vs. Education, Health vs. Properties etc.</w:t>
      </w:r>
    </w:p>
    <w:p w14:paraId="6E0FFDEB" w14:textId="77777777" w:rsidR="002C178D" w:rsidRPr="00314485" w:rsidRDefault="002C178D" w:rsidP="007F5949">
      <w:pPr>
        <w:pStyle w:val="ListParagraph"/>
        <w:numPr>
          <w:ilvl w:val="0"/>
          <w:numId w:val="7"/>
        </w:num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sz w:val="24"/>
          <w:szCs w:val="24"/>
        </w:rPr>
        <w:t>As the study cannot define any country-wise hypothesis because it is based on diversified geographic areas, we can suggest that study can be conducted on a specific country or sub-continent basis.</w:t>
      </w:r>
    </w:p>
    <w:p w14:paraId="768CFFFA" w14:textId="77777777" w:rsidR="002C178D" w:rsidRPr="000044D8" w:rsidRDefault="002C178D" w:rsidP="007F5949">
      <w:pPr>
        <w:pStyle w:val="ListParagraph"/>
        <w:numPr>
          <w:ilvl w:val="0"/>
          <w:numId w:val="7"/>
        </w:numPr>
        <w:spacing w:line="360" w:lineRule="auto"/>
        <w:jc w:val="both"/>
        <w:rPr>
          <w:rFonts w:ascii="Times New Roman" w:hAnsi="Times New Roman" w:cs="Times New Roman"/>
          <w:sz w:val="24"/>
          <w:szCs w:val="24"/>
        </w:rPr>
      </w:pPr>
      <w:r w:rsidRPr="000044D8">
        <w:rPr>
          <w:rFonts w:ascii="Times New Roman" w:hAnsi="Times New Roman" w:cs="Times New Roman"/>
          <w:sz w:val="24"/>
          <w:szCs w:val="24"/>
        </w:rPr>
        <w:t xml:space="preserve">The roles of different international and national institutions </w:t>
      </w:r>
      <w:r>
        <w:rPr>
          <w:rFonts w:ascii="Times New Roman" w:hAnsi="Times New Roman" w:cs="Times New Roman"/>
          <w:sz w:val="24"/>
          <w:szCs w:val="24"/>
        </w:rPr>
        <w:t>are not discussed here which can be a lacking of this study. Further research may include this section to ensure the overall advantages of insurance industry in the assurance of quality management.</w:t>
      </w:r>
    </w:p>
    <w:p w14:paraId="1A451155"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66B6B8ED"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0AE14E24"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007F8017"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3661B0FF"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5CCFFAC8"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31D4AF49"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47555B2F" w14:textId="77777777" w:rsidR="002C178D" w:rsidRDefault="002C178D" w:rsidP="00BE013B">
      <w:pPr>
        <w:spacing w:line="360" w:lineRule="auto"/>
        <w:jc w:val="both"/>
        <w:rPr>
          <w:rFonts w:ascii="Times New Roman" w:hAnsi="Times New Roman" w:cs="Times New Roman"/>
          <w:b/>
          <w:i/>
          <w:color w:val="2E74B5" w:themeColor="accent1" w:themeShade="BF"/>
          <w:sz w:val="24"/>
          <w:szCs w:val="24"/>
        </w:rPr>
      </w:pPr>
    </w:p>
    <w:p w14:paraId="309807D8" w14:textId="77777777" w:rsidR="002C178D" w:rsidRDefault="002C178D" w:rsidP="00B9648D">
      <w:pPr>
        <w:widowControl w:val="0"/>
        <w:autoSpaceDE w:val="0"/>
        <w:autoSpaceDN w:val="0"/>
        <w:adjustRightInd w:val="0"/>
        <w:spacing w:line="360" w:lineRule="auto"/>
        <w:rPr>
          <w:rFonts w:ascii="Times New Roman" w:hAnsi="Times New Roman" w:cs="Times New Roman"/>
          <w:b/>
          <w:i/>
          <w:color w:val="2E74B5" w:themeColor="accent1" w:themeShade="BF"/>
          <w:sz w:val="24"/>
          <w:szCs w:val="24"/>
        </w:rPr>
      </w:pPr>
    </w:p>
    <w:p w14:paraId="5371C747" w14:textId="77777777" w:rsidR="002C178D" w:rsidRPr="00764036" w:rsidRDefault="002C178D" w:rsidP="00764036">
      <w:pPr>
        <w:pStyle w:val="Heading1"/>
        <w:jc w:val="center"/>
        <w:rPr>
          <w:b/>
          <w:sz w:val="36"/>
        </w:rPr>
      </w:pPr>
      <w:bookmarkStart w:id="29" w:name="_Toc52709134"/>
      <w:r w:rsidRPr="00764036">
        <w:rPr>
          <w:b/>
          <w:sz w:val="36"/>
        </w:rPr>
        <w:lastRenderedPageBreak/>
        <w:t>References</w:t>
      </w:r>
      <w:bookmarkEnd w:id="29"/>
    </w:p>
    <w:p w14:paraId="4EF6D884"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Pr>
          <w:rFonts w:ascii="Times New Roman" w:hAnsi="Times New Roman" w:cs="Times New Roman"/>
          <w:b/>
          <w:i/>
          <w:color w:val="2E74B5" w:themeColor="accent1" w:themeShade="BF"/>
          <w:sz w:val="24"/>
          <w:szCs w:val="24"/>
        </w:rPr>
        <w:fldChar w:fldCharType="begin" w:fldLock="1"/>
      </w:r>
      <w:r w:rsidRPr="00CB232A">
        <w:rPr>
          <w:rFonts w:ascii="Times New Roman" w:hAnsi="Times New Roman" w:cs="Times New Roman"/>
          <w:b/>
          <w:i/>
          <w:color w:val="2E74B5" w:themeColor="accent1" w:themeShade="BF"/>
          <w:sz w:val="24"/>
          <w:szCs w:val="24"/>
        </w:rPr>
        <w:instrText xml:space="preserve">ADDIN Mendeley Bibliography CSL_BIBLIOGRAPHY </w:instrText>
      </w:r>
      <w:r>
        <w:rPr>
          <w:rFonts w:ascii="Times New Roman" w:hAnsi="Times New Roman" w:cs="Times New Roman"/>
          <w:b/>
          <w:i/>
          <w:color w:val="2E74B5" w:themeColor="accent1" w:themeShade="BF"/>
          <w:sz w:val="24"/>
          <w:szCs w:val="24"/>
        </w:rPr>
        <w:fldChar w:fldCharType="separate"/>
      </w:r>
      <w:r w:rsidRPr="00CB232A">
        <w:rPr>
          <w:rFonts w:ascii="Times New Roman" w:hAnsi="Times New Roman" w:cs="Times New Roman"/>
          <w:noProof/>
          <w:sz w:val="24"/>
          <w:szCs w:val="24"/>
        </w:rPr>
        <w:t xml:space="preserve">Abdelfattah, F. A., Rahman, M. S., &amp; Osman, M. (2015). Assessing the antecedents of customer loyalty on healthcare insurance products: Service quality; perceived value embedded model. </w:t>
      </w:r>
      <w:r w:rsidRPr="00CB232A">
        <w:rPr>
          <w:rFonts w:ascii="Times New Roman" w:hAnsi="Times New Roman" w:cs="Times New Roman"/>
          <w:i/>
          <w:iCs/>
          <w:noProof/>
          <w:sz w:val="24"/>
          <w:szCs w:val="24"/>
        </w:rPr>
        <w:t>Journal of Industrial Engineering and Management</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8</w:t>
      </w:r>
      <w:r w:rsidRPr="00CB232A">
        <w:rPr>
          <w:rFonts w:ascii="Times New Roman" w:hAnsi="Times New Roman" w:cs="Times New Roman"/>
          <w:noProof/>
          <w:sz w:val="24"/>
          <w:szCs w:val="24"/>
        </w:rPr>
        <w:t>(5), 1639–1660. https://doi.org/10.3926/jiem.1494</w:t>
      </w:r>
    </w:p>
    <w:p w14:paraId="6EDD251B"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Adeniyi, D. J., Adeyinka, A. J., &amp; Babayaro, I. (2019). Insurance Companies and the Efficiency of Financial Intermediation in Nigeria. </w:t>
      </w:r>
      <w:r w:rsidRPr="00CB232A">
        <w:rPr>
          <w:rFonts w:ascii="Times New Roman" w:hAnsi="Times New Roman" w:cs="Times New Roman"/>
          <w:i/>
          <w:iCs/>
          <w:noProof/>
          <w:sz w:val="24"/>
          <w:szCs w:val="24"/>
        </w:rPr>
        <w:t>American International Journal of Economics and Finance Research</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1</w:t>
      </w:r>
      <w:r w:rsidRPr="00CB232A">
        <w:rPr>
          <w:rFonts w:ascii="Times New Roman" w:hAnsi="Times New Roman" w:cs="Times New Roman"/>
          <w:noProof/>
          <w:sz w:val="24"/>
          <w:szCs w:val="24"/>
        </w:rPr>
        <w:t>(1), 21–33. https://doi.org/10.46545/aijefr.v1i1.59</w:t>
      </w:r>
    </w:p>
    <w:p w14:paraId="34E55EE4"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Ashraf S, H., &amp; Kumari, N. (2016). An Evaluation of Investment Performance of Private Life Insurance Industry in India. </w:t>
      </w:r>
      <w:r w:rsidRPr="00CB232A">
        <w:rPr>
          <w:rFonts w:ascii="Times New Roman" w:hAnsi="Times New Roman" w:cs="Times New Roman"/>
          <w:i/>
          <w:iCs/>
          <w:noProof/>
          <w:sz w:val="24"/>
          <w:szCs w:val="24"/>
        </w:rPr>
        <w:t>International Journal of Accounting Research</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w:t>
      </w:r>
      <w:r w:rsidRPr="00CB232A">
        <w:rPr>
          <w:rFonts w:ascii="Times New Roman" w:hAnsi="Times New Roman" w:cs="Times New Roman"/>
          <w:noProof/>
          <w:sz w:val="24"/>
          <w:szCs w:val="24"/>
        </w:rPr>
        <w:t>(1), 10–15. https://doi.org/10.4172/2472-114x.1000121</w:t>
      </w:r>
    </w:p>
    <w:p w14:paraId="5E7621D3"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Authors, F. (2016). </w:t>
      </w:r>
      <w:r w:rsidRPr="00CB232A">
        <w:rPr>
          <w:rFonts w:ascii="Times New Roman" w:hAnsi="Times New Roman" w:cs="Times New Roman"/>
          <w:i/>
          <w:iCs/>
          <w:noProof/>
          <w:sz w:val="24"/>
          <w:szCs w:val="24"/>
        </w:rPr>
        <w:t>Article information : Islamic marketing paradoxes : a way to understand it again …</w:t>
      </w:r>
      <w:r w:rsidRPr="00CB232A">
        <w:rPr>
          <w:rFonts w:ascii="Times New Roman" w:hAnsi="Times New Roman" w:cs="Times New Roman"/>
          <w:noProof/>
          <w:sz w:val="24"/>
          <w:szCs w:val="24"/>
        </w:rPr>
        <w:t>.</w:t>
      </w:r>
    </w:p>
    <w:p w14:paraId="74FC830D"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Bhuyan, R., Butchey, D., Haar, J., &amp; Talukdar, B. (2020). CEO compensation and firm performance in the insurance industry. </w:t>
      </w:r>
      <w:r w:rsidRPr="00CB232A">
        <w:rPr>
          <w:rFonts w:ascii="Times New Roman" w:hAnsi="Times New Roman" w:cs="Times New Roman"/>
          <w:i/>
          <w:iCs/>
          <w:noProof/>
          <w:sz w:val="24"/>
          <w:szCs w:val="24"/>
        </w:rPr>
        <w:t>Managerial Finance</w:t>
      </w:r>
      <w:r w:rsidRPr="00CB232A">
        <w:rPr>
          <w:rFonts w:ascii="Times New Roman" w:hAnsi="Times New Roman" w:cs="Times New Roman"/>
          <w:noProof/>
          <w:sz w:val="24"/>
          <w:szCs w:val="24"/>
        </w:rPr>
        <w:t>. https://doi.org/10.1108/MF-04-2019-0154</w:t>
      </w:r>
    </w:p>
    <w:p w14:paraId="163C7D0A"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Bryce, C., Webb, R., Cheevers, C., Ring, P., &amp; Clark, G. (2016). Should the insurance industry be banking on risk escalation for solvency II? </w:t>
      </w:r>
      <w:r w:rsidRPr="00CB232A">
        <w:rPr>
          <w:rFonts w:ascii="Times New Roman" w:hAnsi="Times New Roman" w:cs="Times New Roman"/>
          <w:i/>
          <w:iCs/>
          <w:noProof/>
          <w:sz w:val="24"/>
          <w:szCs w:val="24"/>
        </w:rPr>
        <w:t>International Review of Financial Analysis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46</w:t>
      </w:r>
      <w:r w:rsidRPr="00CB232A">
        <w:rPr>
          <w:rFonts w:ascii="Times New Roman" w:hAnsi="Times New Roman" w:cs="Times New Roman"/>
          <w:noProof/>
          <w:sz w:val="24"/>
          <w:szCs w:val="24"/>
        </w:rPr>
        <w:t>, 131–139. https://doi.org/10.1016/j.irfa.2016.04.014</w:t>
      </w:r>
    </w:p>
    <w:p w14:paraId="2995B117"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Burhan, N. A. S., Salleh, F., &amp; Burhan, N. M. G. (2015). National intelligence and private health expenditure: Do high IQ societies spend more on health insurance? </w:t>
      </w:r>
      <w:r w:rsidRPr="00CB232A">
        <w:rPr>
          <w:rFonts w:ascii="Times New Roman" w:hAnsi="Times New Roman" w:cs="Times New Roman"/>
          <w:i/>
          <w:iCs/>
          <w:noProof/>
          <w:sz w:val="24"/>
          <w:szCs w:val="24"/>
        </w:rPr>
        <w:t>Intelligence</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52</w:t>
      </w:r>
      <w:r w:rsidRPr="00CB232A">
        <w:rPr>
          <w:rFonts w:ascii="Times New Roman" w:hAnsi="Times New Roman" w:cs="Times New Roman"/>
          <w:noProof/>
          <w:sz w:val="24"/>
          <w:szCs w:val="24"/>
        </w:rPr>
        <w:t>(77328), 1–8. https://doi.org/10.1016/j.intell.2015.06.005</w:t>
      </w:r>
    </w:p>
    <w:p w14:paraId="6EB78BA1"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Chang, C. H. (2018). The dynamic linkage between insurance and banking activities: An analysis on insurance sector assets. </w:t>
      </w:r>
      <w:r w:rsidRPr="00CB232A">
        <w:rPr>
          <w:rFonts w:ascii="Times New Roman" w:hAnsi="Times New Roman" w:cs="Times New Roman"/>
          <w:i/>
          <w:iCs/>
          <w:noProof/>
          <w:sz w:val="24"/>
          <w:szCs w:val="24"/>
        </w:rPr>
        <w:t>Journal of Multinational Financial Management</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46</w:t>
      </w:r>
      <w:r w:rsidRPr="00CB232A">
        <w:rPr>
          <w:rFonts w:ascii="Times New Roman" w:hAnsi="Times New Roman" w:cs="Times New Roman"/>
          <w:noProof/>
          <w:sz w:val="24"/>
          <w:szCs w:val="24"/>
        </w:rPr>
        <w:t>, 36–50. https://doi.org/10.1016/j.mulfin.2018.07.001</w:t>
      </w:r>
    </w:p>
    <w:p w14:paraId="12749C3F"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Cole, S. (2015). Overcoming Barriers to Microinsurance Adoption: Evidence from the Field. </w:t>
      </w:r>
      <w:r w:rsidRPr="00CB232A">
        <w:rPr>
          <w:rFonts w:ascii="Times New Roman" w:hAnsi="Times New Roman" w:cs="Times New Roman"/>
          <w:i/>
          <w:iCs/>
          <w:noProof/>
          <w:sz w:val="24"/>
          <w:szCs w:val="24"/>
        </w:rPr>
        <w:t>Geneva Papers on Risk and Insurance: Issues and Practice</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40</w:t>
      </w:r>
      <w:r w:rsidRPr="00CB232A">
        <w:rPr>
          <w:rFonts w:ascii="Times New Roman" w:hAnsi="Times New Roman" w:cs="Times New Roman"/>
          <w:noProof/>
          <w:sz w:val="24"/>
          <w:szCs w:val="24"/>
        </w:rPr>
        <w:t>(4), 720–740. https://doi.org/10.1057/gpp.2015.12</w:t>
      </w:r>
    </w:p>
    <w:p w14:paraId="1E9AE100"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i/>
          <w:iCs/>
          <w:noProof/>
          <w:sz w:val="24"/>
          <w:szCs w:val="24"/>
        </w:rPr>
        <w:t>CSR-insurance-Japan_Russia-29-02-12</w:t>
      </w:r>
      <w:r w:rsidRPr="00CB232A">
        <w:rPr>
          <w:rFonts w:ascii="Times New Roman" w:hAnsi="Times New Roman" w:cs="Times New Roman"/>
          <w:noProof/>
          <w:sz w:val="24"/>
          <w:szCs w:val="24"/>
        </w:rPr>
        <w:t>. (n.d.).</w:t>
      </w:r>
    </w:p>
    <w:p w14:paraId="36B674BF"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Eling, M., &amp; Schaper, P. (2017). Under pressure: how the business environment affects productivity and efficiency of European life insurance companies. </w:t>
      </w:r>
      <w:r w:rsidRPr="00CB232A">
        <w:rPr>
          <w:rFonts w:ascii="Times New Roman" w:hAnsi="Times New Roman" w:cs="Times New Roman"/>
          <w:i/>
          <w:iCs/>
          <w:noProof/>
          <w:sz w:val="24"/>
          <w:szCs w:val="24"/>
        </w:rPr>
        <w:t xml:space="preserve">European Journal of </w:t>
      </w:r>
      <w:r w:rsidRPr="00CB232A">
        <w:rPr>
          <w:rFonts w:ascii="Times New Roman" w:hAnsi="Times New Roman" w:cs="Times New Roman"/>
          <w:i/>
          <w:iCs/>
          <w:noProof/>
          <w:sz w:val="24"/>
          <w:szCs w:val="24"/>
        </w:rPr>
        <w:lastRenderedPageBreak/>
        <w:t>Operational Research</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258</w:t>
      </w:r>
      <w:r w:rsidRPr="00CB232A">
        <w:rPr>
          <w:rFonts w:ascii="Times New Roman" w:hAnsi="Times New Roman" w:cs="Times New Roman"/>
          <w:noProof/>
          <w:sz w:val="24"/>
          <w:szCs w:val="24"/>
        </w:rPr>
        <w:t>(3), 1082–1094. https://doi.org/10.1016/j.ejor.2016.08.070</w:t>
      </w:r>
    </w:p>
    <w:p w14:paraId="10A9A2A0"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Faruk, O., &amp; Rahaman, A. (2015). Measuring Efficiency of Conventional Life Insurance Companies in Bangladesh and Takaful Life Insurance Companies in Malaysia : A Non-Parametric Approach. </w:t>
      </w:r>
      <w:r w:rsidRPr="00CB232A">
        <w:rPr>
          <w:rFonts w:ascii="Times New Roman" w:hAnsi="Times New Roman" w:cs="Times New Roman"/>
          <w:i/>
          <w:iCs/>
          <w:noProof/>
          <w:sz w:val="24"/>
          <w:szCs w:val="24"/>
        </w:rPr>
        <w:t>Management Studies and Economic Systems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2</w:t>
      </w:r>
      <w:r w:rsidRPr="00CB232A">
        <w:rPr>
          <w:rFonts w:ascii="Times New Roman" w:hAnsi="Times New Roman" w:cs="Times New Roman"/>
          <w:noProof/>
          <w:sz w:val="24"/>
          <w:szCs w:val="24"/>
        </w:rPr>
        <w:t>(2), 129–144. https://doi.org/10.12816/0019398</w:t>
      </w:r>
    </w:p>
    <w:p w14:paraId="56D0826E"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Habib, S. S., Perveen, S., &amp; Khuwaja, H. M. A. (2016). The role of micro health insurance in providing financial risk protection in developing countries- a systematic review. </w:t>
      </w:r>
      <w:r w:rsidRPr="00CB232A">
        <w:rPr>
          <w:rFonts w:ascii="Times New Roman" w:hAnsi="Times New Roman" w:cs="Times New Roman"/>
          <w:i/>
          <w:iCs/>
          <w:noProof/>
          <w:sz w:val="24"/>
          <w:szCs w:val="24"/>
        </w:rPr>
        <w:t>BMC Public Health</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16</w:t>
      </w:r>
      <w:r w:rsidRPr="00CB232A">
        <w:rPr>
          <w:rFonts w:ascii="Times New Roman" w:hAnsi="Times New Roman" w:cs="Times New Roman"/>
          <w:noProof/>
          <w:sz w:val="24"/>
          <w:szCs w:val="24"/>
        </w:rPr>
        <w:t>(1). https://doi.org/10.1186/s12889-016-2937-9</w:t>
      </w:r>
    </w:p>
    <w:p w14:paraId="1828998B"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Hasan, M. B., Hossain, M. D., &amp; Wahid, A. N. M. (2018). Application of forward contract and crop insurance as risk management tools of agriculture: A case study in Bangladesh. </w:t>
      </w:r>
      <w:r w:rsidRPr="00CB232A">
        <w:rPr>
          <w:rFonts w:ascii="Times New Roman" w:hAnsi="Times New Roman" w:cs="Times New Roman"/>
          <w:i/>
          <w:iCs/>
          <w:noProof/>
          <w:sz w:val="24"/>
          <w:szCs w:val="24"/>
        </w:rPr>
        <w:t>Asian Economic and Financial Review</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8</w:t>
      </w:r>
      <w:r w:rsidRPr="00CB232A">
        <w:rPr>
          <w:rFonts w:ascii="Times New Roman" w:hAnsi="Times New Roman" w:cs="Times New Roman"/>
          <w:noProof/>
          <w:sz w:val="24"/>
          <w:szCs w:val="24"/>
        </w:rPr>
        <w:t>(12), 1394–1405. https://doi.org/10.18488/journal.aefr.2018.812.1394.1405</w:t>
      </w:r>
    </w:p>
    <w:p w14:paraId="68972C54"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Hasan, M. B., Islam, S. N., &amp; Wahid, A. N. M. (2018). The effect of macroeconomic variables on the performance of non-life insurance companies in Bangladesh. </w:t>
      </w:r>
      <w:r w:rsidRPr="00CB232A">
        <w:rPr>
          <w:rFonts w:ascii="Times New Roman" w:hAnsi="Times New Roman" w:cs="Times New Roman"/>
          <w:i/>
          <w:iCs/>
          <w:noProof/>
          <w:sz w:val="24"/>
          <w:szCs w:val="24"/>
        </w:rPr>
        <w:t>Indian Economic Review</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53</w:t>
      </w:r>
      <w:r w:rsidRPr="00CB232A">
        <w:rPr>
          <w:rFonts w:ascii="Times New Roman" w:hAnsi="Times New Roman" w:cs="Times New Roman"/>
          <w:noProof/>
          <w:sz w:val="24"/>
          <w:szCs w:val="24"/>
        </w:rPr>
        <w:t>(1–2), 369–383. https://doi.org/10.1007/s41775-019-00037-6</w:t>
      </w:r>
    </w:p>
    <w:p w14:paraId="0A8C939F"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Jaloudi, M. M. (2019). The efficiency of Jordan insurance companies and its determinants using DEA, slacks, and logit models. </w:t>
      </w:r>
      <w:r w:rsidRPr="00CB232A">
        <w:rPr>
          <w:rFonts w:ascii="Times New Roman" w:hAnsi="Times New Roman" w:cs="Times New Roman"/>
          <w:i/>
          <w:iCs/>
          <w:noProof/>
          <w:sz w:val="24"/>
          <w:szCs w:val="24"/>
        </w:rPr>
        <w:t>Journal of Asian Business and Economic Studies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26</w:t>
      </w:r>
      <w:r w:rsidRPr="00CB232A">
        <w:rPr>
          <w:rFonts w:ascii="Times New Roman" w:hAnsi="Times New Roman" w:cs="Times New Roman"/>
          <w:noProof/>
          <w:sz w:val="24"/>
          <w:szCs w:val="24"/>
        </w:rPr>
        <w:t>(1), 153–166. https://doi.org/10.1108/jabes-10-2018-0072</w:t>
      </w:r>
    </w:p>
    <w:p w14:paraId="4E07ECF7"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Javad, S., &amp; Nateq, A. (2015). </w:t>
      </w:r>
      <w:r w:rsidRPr="00CB232A">
        <w:rPr>
          <w:rFonts w:ascii="Times New Roman" w:hAnsi="Times New Roman" w:cs="Times New Roman"/>
          <w:i/>
          <w:iCs/>
          <w:noProof/>
          <w:sz w:val="24"/>
          <w:szCs w:val="24"/>
        </w:rPr>
        <w:t>Insured risk perception towards electronic insurance</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2</w:t>
      </w:r>
      <w:r w:rsidRPr="00CB232A">
        <w:rPr>
          <w:rFonts w:ascii="Times New Roman" w:hAnsi="Times New Roman" w:cs="Times New Roman"/>
          <w:noProof/>
          <w:sz w:val="24"/>
          <w:szCs w:val="24"/>
        </w:rPr>
        <w:t>(12), 11–21.</w:t>
      </w:r>
    </w:p>
    <w:p w14:paraId="211A8E08"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Khanam, T. (2018). </w:t>
      </w:r>
      <w:r w:rsidRPr="00CB232A">
        <w:rPr>
          <w:rFonts w:ascii="Times New Roman" w:hAnsi="Times New Roman" w:cs="Times New Roman"/>
          <w:i/>
          <w:iCs/>
          <w:noProof/>
          <w:sz w:val="24"/>
          <w:szCs w:val="24"/>
        </w:rPr>
        <w:t>An analysis of the risk and profitability of Fareast Islami Life Insurance Company Limited</w:t>
      </w:r>
      <w:r w:rsidRPr="00CB232A">
        <w:rPr>
          <w:rFonts w:ascii="Times New Roman" w:hAnsi="Times New Roman" w:cs="Times New Roman"/>
          <w:noProof/>
          <w:sz w:val="24"/>
          <w:szCs w:val="24"/>
        </w:rPr>
        <w:t>.</w:t>
      </w:r>
    </w:p>
    <w:p w14:paraId="12C79BA1"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Kshetri, N. (2020). The evolution of cyber-insurance industry and market: An institutional analysis. </w:t>
      </w:r>
      <w:r w:rsidRPr="00CB232A">
        <w:rPr>
          <w:rFonts w:ascii="Times New Roman" w:hAnsi="Times New Roman" w:cs="Times New Roman"/>
          <w:i/>
          <w:iCs/>
          <w:noProof/>
          <w:sz w:val="24"/>
          <w:szCs w:val="24"/>
        </w:rPr>
        <w:t>Telecommunications Policy</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44</w:t>
      </w:r>
      <w:r w:rsidRPr="00CB232A">
        <w:rPr>
          <w:rFonts w:ascii="Times New Roman" w:hAnsi="Times New Roman" w:cs="Times New Roman"/>
          <w:noProof/>
          <w:sz w:val="24"/>
          <w:szCs w:val="24"/>
        </w:rPr>
        <w:t>(8), 102007. https://doi.org/10.1016/j.telpol.2020.102007</w:t>
      </w:r>
    </w:p>
    <w:p w14:paraId="0EAA3759"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Kumar, M. (2019). </w:t>
      </w:r>
      <w:r w:rsidRPr="00CB232A">
        <w:rPr>
          <w:rFonts w:ascii="Times New Roman" w:hAnsi="Times New Roman" w:cs="Times New Roman"/>
          <w:i/>
          <w:iCs/>
          <w:noProof/>
          <w:sz w:val="24"/>
          <w:szCs w:val="24"/>
        </w:rPr>
        <w:t>A COMPARATIVE ANALYISIS OF CAPITAL STRUCTURE BETWEEN COMMERCIAL BANKS AND</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07</w:t>
      </w:r>
      <w:r w:rsidRPr="00CB232A">
        <w:rPr>
          <w:rFonts w:ascii="Times New Roman" w:hAnsi="Times New Roman" w:cs="Times New Roman"/>
          <w:noProof/>
          <w:sz w:val="24"/>
          <w:szCs w:val="24"/>
        </w:rPr>
        <w:t>(05), 2254–2268.</w:t>
      </w:r>
    </w:p>
    <w:p w14:paraId="331A0C3A" w14:textId="77777777" w:rsidR="002C178D" w:rsidRPr="00CB232A" w:rsidRDefault="002C178D" w:rsidP="00314485">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Lee, C. C., &amp; Lin, C. W. (2016). Globalization, political institutions, financial liberalization, and performance of the insurance industry. </w:t>
      </w:r>
      <w:r w:rsidRPr="00CB232A">
        <w:rPr>
          <w:rFonts w:ascii="Times New Roman" w:hAnsi="Times New Roman" w:cs="Times New Roman"/>
          <w:i/>
          <w:iCs/>
          <w:noProof/>
          <w:sz w:val="24"/>
          <w:szCs w:val="24"/>
        </w:rPr>
        <w:t>North American Journal of Economics and Finance</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36</w:t>
      </w:r>
      <w:r w:rsidRPr="00CB232A">
        <w:rPr>
          <w:rFonts w:ascii="Times New Roman" w:hAnsi="Times New Roman" w:cs="Times New Roman"/>
          <w:noProof/>
          <w:sz w:val="24"/>
          <w:szCs w:val="24"/>
        </w:rPr>
        <w:t>, 244–266. https://doi.org/10.1016/j.najef.2016.01.007</w:t>
      </w:r>
    </w:p>
    <w:p w14:paraId="0953DE12"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Manokaran, K. R., Ramakrishnan, S., Hishan, S. S., &amp; Soehod, K. (2018). The impact of </w:t>
      </w:r>
      <w:r w:rsidRPr="00CB232A">
        <w:rPr>
          <w:rFonts w:ascii="Times New Roman" w:hAnsi="Times New Roman" w:cs="Times New Roman"/>
          <w:noProof/>
          <w:sz w:val="24"/>
          <w:szCs w:val="24"/>
        </w:rPr>
        <w:lastRenderedPageBreak/>
        <w:t xml:space="preserve">corporate social responsibility on financial performance: Evidence from insurance firms. </w:t>
      </w:r>
      <w:r w:rsidRPr="00CB232A">
        <w:rPr>
          <w:rFonts w:ascii="Times New Roman" w:hAnsi="Times New Roman" w:cs="Times New Roman"/>
          <w:i/>
          <w:iCs/>
          <w:noProof/>
          <w:sz w:val="24"/>
          <w:szCs w:val="24"/>
        </w:rPr>
        <w:t>Management Science Letters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8</w:t>
      </w:r>
      <w:r w:rsidRPr="00CB232A">
        <w:rPr>
          <w:rFonts w:ascii="Times New Roman" w:hAnsi="Times New Roman" w:cs="Times New Roman"/>
          <w:noProof/>
          <w:sz w:val="24"/>
          <w:szCs w:val="24"/>
        </w:rPr>
        <w:t>(9), 913–932. https://doi.org/10.5267/j.msl.2018.6.016</w:t>
      </w:r>
    </w:p>
    <w:p w14:paraId="717B1993"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MUSTEFA, H. (2017). </w:t>
      </w:r>
      <w:r w:rsidRPr="00CB232A">
        <w:rPr>
          <w:rFonts w:ascii="Times New Roman" w:hAnsi="Times New Roman" w:cs="Times New Roman"/>
          <w:i/>
          <w:iCs/>
          <w:noProof/>
          <w:sz w:val="24"/>
          <w:szCs w:val="24"/>
        </w:rPr>
        <w:t>Determinants of Audit Fee Among Ethiopian Insurance Companies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March</w:t>
      </w:r>
      <w:r w:rsidRPr="00CB232A">
        <w:rPr>
          <w:rFonts w:ascii="Times New Roman" w:hAnsi="Times New Roman" w:cs="Times New Roman"/>
          <w:noProof/>
          <w:sz w:val="24"/>
          <w:szCs w:val="24"/>
        </w:rPr>
        <w:t>, 1–83.</w:t>
      </w:r>
    </w:p>
    <w:p w14:paraId="1A910FB8"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Outreville, J. F. (1998). Theory and Practice of Insurance. </w:t>
      </w:r>
      <w:r w:rsidRPr="00CB232A">
        <w:rPr>
          <w:rFonts w:ascii="Times New Roman" w:hAnsi="Times New Roman" w:cs="Times New Roman"/>
          <w:i/>
          <w:iCs/>
          <w:noProof/>
          <w:sz w:val="24"/>
          <w:szCs w:val="24"/>
        </w:rPr>
        <w:t>Theory and Practice of Insurance</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January 1998</w:t>
      </w:r>
      <w:r w:rsidRPr="00CB232A">
        <w:rPr>
          <w:rFonts w:ascii="Times New Roman" w:hAnsi="Times New Roman" w:cs="Times New Roman"/>
          <w:noProof/>
          <w:sz w:val="24"/>
          <w:szCs w:val="24"/>
        </w:rPr>
        <w:t>. https://doi.org/10.1007/978-1-4615-6187-3</w:t>
      </w:r>
    </w:p>
    <w:p w14:paraId="4A14CE4D"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Shen, K. Y., Hu, S. K., &amp; Tzeng, G. H. (2017). Financial modeling and improvement planning for the life insurance industry by using a rough knowledge based hybrid MCDM model. </w:t>
      </w:r>
      <w:r w:rsidRPr="00CB232A">
        <w:rPr>
          <w:rFonts w:ascii="Times New Roman" w:hAnsi="Times New Roman" w:cs="Times New Roman"/>
          <w:i/>
          <w:iCs/>
          <w:noProof/>
          <w:sz w:val="24"/>
          <w:szCs w:val="24"/>
        </w:rPr>
        <w:t>Information Sciences</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375</w:t>
      </w:r>
      <w:r w:rsidRPr="00CB232A">
        <w:rPr>
          <w:rFonts w:ascii="Times New Roman" w:hAnsi="Times New Roman" w:cs="Times New Roman"/>
          <w:noProof/>
          <w:sz w:val="24"/>
          <w:szCs w:val="24"/>
        </w:rPr>
        <w:t>, 296–313. https://doi.org/10.1016/j.ins.2016.09.055</w:t>
      </w:r>
    </w:p>
    <w:p w14:paraId="1B3B2C41"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Sürdü, F. B., Çalişkan, A. Ö., &amp; Esen, E. (2020). Human resource disclosures in corporate annual reports of insurance companies: A case of developing country. </w:t>
      </w:r>
      <w:r w:rsidRPr="00CB232A">
        <w:rPr>
          <w:rFonts w:ascii="Times New Roman" w:hAnsi="Times New Roman" w:cs="Times New Roman"/>
          <w:i/>
          <w:iCs/>
          <w:noProof/>
          <w:sz w:val="24"/>
          <w:szCs w:val="24"/>
        </w:rPr>
        <w:t>Sustainability (Switzerland)</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12</w:t>
      </w:r>
      <w:r w:rsidRPr="00CB232A">
        <w:rPr>
          <w:rFonts w:ascii="Times New Roman" w:hAnsi="Times New Roman" w:cs="Times New Roman"/>
          <w:noProof/>
          <w:sz w:val="24"/>
          <w:szCs w:val="24"/>
        </w:rPr>
        <w:t>(8), 1–20. https://doi.org/10.3390/SU12083452</w:t>
      </w:r>
    </w:p>
    <w:p w14:paraId="481D69A4"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Talonen, A. (2016). Systematic literature review of research on mutual insurance companies. </w:t>
      </w:r>
      <w:r w:rsidRPr="00CB232A">
        <w:rPr>
          <w:rFonts w:ascii="Times New Roman" w:hAnsi="Times New Roman" w:cs="Times New Roman"/>
          <w:i/>
          <w:iCs/>
          <w:noProof/>
          <w:sz w:val="24"/>
          <w:szCs w:val="24"/>
        </w:rPr>
        <w:t>Journal of Co-Operative Organization and Management</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4</w:t>
      </w:r>
      <w:r w:rsidRPr="00CB232A">
        <w:rPr>
          <w:rFonts w:ascii="Times New Roman" w:hAnsi="Times New Roman" w:cs="Times New Roman"/>
          <w:noProof/>
          <w:sz w:val="24"/>
          <w:szCs w:val="24"/>
        </w:rPr>
        <w:t>(2), 53–65. https://doi.org/10.1016/j.jcom.2016.09.003</w:t>
      </w:r>
    </w:p>
    <w:p w14:paraId="2B6AA2FA" w14:textId="77777777" w:rsidR="002C178D" w:rsidRPr="00CB232A"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Tseng, P., Kaplan, R. S., Richman, B. D., Shah, M. A., &amp; Schulman, K. A. (2018). Administrative costs associated with physician billing and insurance-related activities at an academic health care system. </w:t>
      </w:r>
      <w:r w:rsidRPr="00CB232A">
        <w:rPr>
          <w:rFonts w:ascii="Times New Roman" w:hAnsi="Times New Roman" w:cs="Times New Roman"/>
          <w:i/>
          <w:iCs/>
          <w:noProof/>
          <w:sz w:val="24"/>
          <w:szCs w:val="24"/>
        </w:rPr>
        <w:t>JAMA - Journal of the American Medical Association</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319</w:t>
      </w:r>
      <w:r w:rsidRPr="00CB232A">
        <w:rPr>
          <w:rFonts w:ascii="Times New Roman" w:hAnsi="Times New Roman" w:cs="Times New Roman"/>
          <w:noProof/>
          <w:sz w:val="24"/>
          <w:szCs w:val="24"/>
        </w:rPr>
        <w:t>(7), 691–697. https://doi.org/10.1001/jama.2017.19148</w:t>
      </w:r>
    </w:p>
    <w:p w14:paraId="34FB27F7" w14:textId="77777777" w:rsidR="002C178D" w:rsidRDefault="002C178D" w:rsidP="005C6E92">
      <w:pPr>
        <w:pStyle w:val="ListParagraph"/>
        <w:widowControl w:val="0"/>
        <w:numPr>
          <w:ilvl w:val="0"/>
          <w:numId w:val="8"/>
        </w:numPr>
        <w:autoSpaceDE w:val="0"/>
        <w:autoSpaceDN w:val="0"/>
        <w:adjustRightInd w:val="0"/>
        <w:spacing w:line="360" w:lineRule="auto"/>
        <w:jc w:val="both"/>
        <w:rPr>
          <w:rFonts w:ascii="Times New Roman" w:hAnsi="Times New Roman" w:cs="Times New Roman"/>
          <w:noProof/>
          <w:sz w:val="24"/>
          <w:szCs w:val="24"/>
        </w:rPr>
      </w:pPr>
      <w:r w:rsidRPr="00CB232A">
        <w:rPr>
          <w:rFonts w:ascii="Times New Roman" w:hAnsi="Times New Roman" w:cs="Times New Roman"/>
          <w:noProof/>
          <w:sz w:val="24"/>
          <w:szCs w:val="24"/>
        </w:rPr>
        <w:t xml:space="preserve">Wise, W. (2017). A survey of life insurance efficiency papers: Methods, pros &amp; cons, trends. </w:t>
      </w:r>
      <w:r w:rsidRPr="00CB232A">
        <w:rPr>
          <w:rFonts w:ascii="Times New Roman" w:hAnsi="Times New Roman" w:cs="Times New Roman"/>
          <w:i/>
          <w:iCs/>
          <w:noProof/>
          <w:sz w:val="24"/>
          <w:szCs w:val="24"/>
        </w:rPr>
        <w:t>Accounting</w:t>
      </w:r>
      <w:r w:rsidRPr="00CB232A">
        <w:rPr>
          <w:rFonts w:ascii="Times New Roman" w:hAnsi="Times New Roman" w:cs="Times New Roman"/>
          <w:noProof/>
          <w:sz w:val="24"/>
          <w:szCs w:val="24"/>
        </w:rPr>
        <w:t xml:space="preserve">, </w:t>
      </w:r>
      <w:r w:rsidRPr="00CB232A">
        <w:rPr>
          <w:rFonts w:ascii="Times New Roman" w:hAnsi="Times New Roman" w:cs="Times New Roman"/>
          <w:i/>
          <w:iCs/>
          <w:noProof/>
          <w:sz w:val="24"/>
          <w:szCs w:val="24"/>
        </w:rPr>
        <w:t>3</w:t>
      </w:r>
      <w:r w:rsidRPr="00CB232A">
        <w:rPr>
          <w:rFonts w:ascii="Times New Roman" w:hAnsi="Times New Roman" w:cs="Times New Roman"/>
          <w:noProof/>
          <w:sz w:val="24"/>
          <w:szCs w:val="24"/>
        </w:rPr>
        <w:t>, 137–170. https://doi.org/10.5267/j.ac.2016.12.001</w:t>
      </w:r>
    </w:p>
    <w:p w14:paraId="2238EBB9" w14:textId="77777777" w:rsidR="002C178D" w:rsidRDefault="002C178D">
      <w:pPr>
        <w:rPr>
          <w:rFonts w:ascii="Times New Roman" w:hAnsi="Times New Roman" w:cs="Times New Roman"/>
          <w:noProof/>
          <w:sz w:val="24"/>
          <w:szCs w:val="24"/>
        </w:rPr>
      </w:pPr>
      <w:r>
        <w:rPr>
          <w:rFonts w:ascii="Times New Roman" w:hAnsi="Times New Roman" w:cs="Times New Roman"/>
          <w:noProof/>
          <w:sz w:val="24"/>
          <w:szCs w:val="24"/>
        </w:rPr>
        <w:br w:type="page"/>
      </w:r>
    </w:p>
    <w:p w14:paraId="7CB7EC7F" w14:textId="7B1C5B1F" w:rsidR="002C178D" w:rsidRPr="00CB232A" w:rsidRDefault="00077D03" w:rsidP="00FB4BCE">
      <w:pPr>
        <w:pStyle w:val="ListParagraph"/>
        <w:widowControl w:val="0"/>
        <w:autoSpaceDE w:val="0"/>
        <w:autoSpaceDN w:val="0"/>
        <w:adjustRightInd w:val="0"/>
        <w:spacing w:line="360" w:lineRule="auto"/>
        <w:jc w:val="both"/>
        <w:rPr>
          <w:rFonts w:ascii="Times New Roman" w:hAnsi="Times New Roman" w:cs="Times New Roman"/>
          <w:noProof/>
          <w:sz w:val="24"/>
        </w:rPr>
      </w:pPr>
      <w:r w:rsidRPr="002C178D">
        <w:rPr>
          <w:rFonts w:ascii="Calibri" w:eastAsia="Times New Roman" w:hAnsi="Calibri" w:cs="Calibri"/>
          <w:b/>
          <w:bCs/>
          <w:noProof/>
          <w:sz w:val="16"/>
          <w:szCs w:val="16"/>
        </w:rPr>
        <w:lastRenderedPageBreak/>
        <mc:AlternateContent>
          <mc:Choice Requires="wps">
            <w:drawing>
              <wp:anchor distT="0" distB="0" distL="114300" distR="114300" simplePos="0" relativeHeight="251663360" behindDoc="0" locked="0" layoutInCell="1" allowOverlap="1" wp14:anchorId="572E0BE9" wp14:editId="17203391">
                <wp:simplePos x="0" y="0"/>
                <wp:positionH relativeFrom="column">
                  <wp:posOffset>-1063265</wp:posOffset>
                </wp:positionH>
                <wp:positionV relativeFrom="paragraph">
                  <wp:posOffset>-1557235</wp:posOffset>
                </wp:positionV>
                <wp:extent cx="3944390" cy="419793"/>
                <wp:effectExtent l="0" t="0" r="18415" b="18415"/>
                <wp:wrapNone/>
                <wp:docPr id="7" name="Rectangle 7"/>
                <wp:cNvGraphicFramePr/>
                <a:graphic xmlns:a="http://schemas.openxmlformats.org/drawingml/2006/main">
                  <a:graphicData uri="http://schemas.microsoft.com/office/word/2010/wordprocessingShape">
                    <wps:wsp>
                      <wps:cNvSpPr/>
                      <wps:spPr>
                        <a:xfrm>
                          <a:off x="0" y="0"/>
                          <a:ext cx="3944390" cy="41979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2F2BF" w14:textId="77777777" w:rsidR="002C178D" w:rsidRPr="00F02794" w:rsidRDefault="002C178D" w:rsidP="00F02794">
                            <w:pPr>
                              <w:rPr>
                                <w:color w:val="000000" w:themeColor="text1"/>
                              </w:rPr>
                            </w:pPr>
                            <w:r w:rsidRPr="00F02794">
                              <w:rPr>
                                <w:color w:val="000000" w:themeColor="text1"/>
                              </w:rPr>
                              <w:t>Appendix (Literature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E0BE9" id="Rectangle 7" o:spid="_x0000_s1027" style="position:absolute;left:0;text-align:left;margin-left:-83.7pt;margin-top:-122.6pt;width:310.6pt;height:33.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" fillcolor="white [3212]" strokecolor="white [3212]" strokeweight="1pt">
                <v:textbox>
                  <w:txbxContent>
                    <w:p w14:paraId="6DF2F2BF" w14:textId="77777777" w:rsidR="002C178D" w:rsidRPr="00F02794" w:rsidRDefault="002C178D" w:rsidP="00F02794">
                      <w:pPr>
                        <w:rPr>
                          <w:color w:val="000000" w:themeColor="text1"/>
                        </w:rPr>
                      </w:pPr>
                      <w:r w:rsidRPr="00F02794">
                        <w:rPr>
                          <w:color w:val="000000" w:themeColor="text1"/>
                        </w:rPr>
                        <w:t>Appendix (Literature Review)</w:t>
                      </w:r>
                    </w:p>
                  </w:txbxContent>
                </v:textbox>
              </v:rect>
            </w:pict>
          </mc:Fallback>
        </mc:AlternateContent>
      </w:r>
    </w:p>
    <w:p w14:paraId="36F8D19A" w14:textId="77777777" w:rsidR="002C178D" w:rsidRDefault="002C178D" w:rsidP="005C6E92">
      <w:pPr>
        <w:spacing w:line="360" w:lineRule="auto"/>
        <w:jc w:val="both"/>
        <w:rPr>
          <w:rFonts w:ascii="Times New Roman" w:hAnsi="Times New Roman" w:cs="Times New Roman"/>
          <w:b/>
          <w:i/>
          <w:color w:val="2E74B5" w:themeColor="accent1" w:themeShade="BF"/>
          <w:sz w:val="24"/>
          <w:szCs w:val="24"/>
        </w:rPr>
      </w:pPr>
      <w:r>
        <w:rPr>
          <w:rFonts w:ascii="Times New Roman" w:hAnsi="Times New Roman" w:cs="Times New Roman"/>
          <w:b/>
          <w:i/>
          <w:color w:val="2E74B5" w:themeColor="accent1" w:themeShade="BF"/>
          <w:sz w:val="24"/>
          <w:szCs w:val="24"/>
        </w:rPr>
        <w:fldChar w:fldCharType="end"/>
      </w:r>
      <w:r>
        <w:rPr>
          <w:rFonts w:ascii="Times New Roman" w:hAnsi="Times New Roman" w:cs="Times New Roman"/>
          <w:b/>
          <w:i/>
          <w:color w:val="2E74B5" w:themeColor="accent1" w:themeShade="BF"/>
          <w:sz w:val="24"/>
          <w:szCs w:val="24"/>
        </w:rPr>
        <w:t>Appendix: Literature Review</w:t>
      </w:r>
    </w:p>
    <w:p w14:paraId="028DD864" w14:textId="77777777" w:rsidR="002C178D" w:rsidRPr="00316B9A" w:rsidRDefault="002C178D" w:rsidP="005C6E92">
      <w:pPr>
        <w:spacing w:line="360" w:lineRule="auto"/>
        <w:jc w:val="both"/>
        <w:rPr>
          <w:rFonts w:ascii="Times New Roman" w:hAnsi="Times New Roman" w:cs="Times New Roman"/>
          <w:b/>
          <w:i/>
          <w:color w:val="2E74B5" w:themeColor="accent1" w:themeShade="BF"/>
          <w:sz w:val="24"/>
          <w:szCs w:val="24"/>
        </w:rPr>
      </w:pPr>
    </w:p>
    <w:tbl>
      <w:tblPr>
        <w:tblW w:w="12544" w:type="dxa"/>
        <w:tblLayout w:type="fixed"/>
        <w:tblLook w:val="04A0" w:firstRow="1" w:lastRow="0" w:firstColumn="1" w:lastColumn="0" w:noHBand="0" w:noVBand="1"/>
      </w:tblPr>
      <w:tblGrid>
        <w:gridCol w:w="265"/>
        <w:gridCol w:w="536"/>
        <w:gridCol w:w="539"/>
        <w:gridCol w:w="900"/>
        <w:gridCol w:w="720"/>
        <w:gridCol w:w="720"/>
        <w:gridCol w:w="630"/>
        <w:gridCol w:w="808"/>
        <w:gridCol w:w="900"/>
        <w:gridCol w:w="1080"/>
        <w:gridCol w:w="1260"/>
        <w:gridCol w:w="990"/>
        <w:gridCol w:w="1496"/>
        <w:gridCol w:w="1700"/>
      </w:tblGrid>
      <w:tr w:rsidR="002C178D" w:rsidRPr="002C178D" w14:paraId="49CCCC78" w14:textId="77777777" w:rsidTr="00FD52EB">
        <w:trPr>
          <w:trHeight w:val="630"/>
        </w:trPr>
        <w:tc>
          <w:tcPr>
            <w:tcW w:w="265" w:type="dxa"/>
            <w:tcBorders>
              <w:top w:val="single" w:sz="8" w:space="0" w:color="auto"/>
              <w:left w:val="single" w:sz="8" w:space="0" w:color="auto"/>
              <w:bottom w:val="nil"/>
              <w:right w:val="nil"/>
            </w:tcBorders>
            <w:shd w:val="clear" w:color="auto" w:fill="auto"/>
            <w:vAlign w:val="bottom"/>
            <w:hideMark/>
          </w:tcPr>
          <w:p w14:paraId="16B326D5" w14:textId="2FF59330"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sl.</w:t>
            </w:r>
          </w:p>
        </w:tc>
        <w:tc>
          <w:tcPr>
            <w:tcW w:w="536" w:type="dxa"/>
            <w:tcBorders>
              <w:top w:val="single" w:sz="8" w:space="0" w:color="auto"/>
              <w:left w:val="single" w:sz="8" w:space="0" w:color="auto"/>
              <w:bottom w:val="nil"/>
              <w:right w:val="single" w:sz="8" w:space="0" w:color="auto"/>
            </w:tcBorders>
            <w:shd w:val="clear" w:color="auto" w:fill="auto"/>
            <w:vAlign w:val="bottom"/>
            <w:hideMark/>
          </w:tcPr>
          <w:p w14:paraId="71E57D30" w14:textId="77777777" w:rsidR="002C178D" w:rsidRPr="00FD52EB" w:rsidRDefault="002C178D" w:rsidP="005A705F">
            <w:pPr>
              <w:spacing w:after="0" w:line="240" w:lineRule="auto"/>
              <w:jc w:val="center"/>
              <w:rPr>
                <w:rFonts w:ascii="Calibri" w:eastAsia="Times New Roman" w:hAnsi="Calibri" w:cs="Calibri"/>
                <w:b/>
                <w:bCs/>
                <w:sz w:val="12"/>
                <w:szCs w:val="12"/>
              </w:rPr>
            </w:pPr>
            <w:r w:rsidRPr="00FD52EB">
              <w:rPr>
                <w:rFonts w:ascii="Calibri" w:eastAsia="Times New Roman" w:hAnsi="Calibri" w:cs="Calibri"/>
                <w:b/>
                <w:bCs/>
                <w:sz w:val="12"/>
                <w:szCs w:val="12"/>
              </w:rPr>
              <w:t>Author</w:t>
            </w:r>
          </w:p>
        </w:tc>
        <w:tc>
          <w:tcPr>
            <w:tcW w:w="539" w:type="dxa"/>
            <w:tcBorders>
              <w:top w:val="single" w:sz="8" w:space="0" w:color="auto"/>
              <w:left w:val="nil"/>
              <w:bottom w:val="single" w:sz="8" w:space="0" w:color="auto"/>
              <w:right w:val="single" w:sz="8" w:space="0" w:color="auto"/>
            </w:tcBorders>
            <w:shd w:val="clear" w:color="auto" w:fill="auto"/>
            <w:vAlign w:val="bottom"/>
            <w:hideMark/>
          </w:tcPr>
          <w:p w14:paraId="0C009A0B"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Year</w:t>
            </w:r>
          </w:p>
        </w:tc>
        <w:tc>
          <w:tcPr>
            <w:tcW w:w="900" w:type="dxa"/>
            <w:tcBorders>
              <w:top w:val="single" w:sz="8" w:space="0" w:color="auto"/>
              <w:left w:val="nil"/>
              <w:bottom w:val="nil"/>
              <w:right w:val="single" w:sz="8" w:space="0" w:color="auto"/>
            </w:tcBorders>
            <w:shd w:val="clear" w:color="auto" w:fill="auto"/>
            <w:vAlign w:val="bottom"/>
            <w:hideMark/>
          </w:tcPr>
          <w:p w14:paraId="0E22585D"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Title</w:t>
            </w:r>
          </w:p>
        </w:tc>
        <w:tc>
          <w:tcPr>
            <w:tcW w:w="720" w:type="dxa"/>
            <w:tcBorders>
              <w:top w:val="single" w:sz="8" w:space="0" w:color="auto"/>
              <w:left w:val="nil"/>
              <w:bottom w:val="nil"/>
              <w:right w:val="single" w:sz="8" w:space="0" w:color="auto"/>
            </w:tcBorders>
            <w:shd w:val="clear" w:color="auto" w:fill="auto"/>
            <w:vAlign w:val="bottom"/>
            <w:hideMark/>
          </w:tcPr>
          <w:p w14:paraId="56A49C62" w14:textId="77777777" w:rsidR="002C178D" w:rsidRPr="00FD52EB" w:rsidRDefault="002C178D" w:rsidP="005A705F">
            <w:pPr>
              <w:spacing w:after="0" w:line="240" w:lineRule="auto"/>
              <w:jc w:val="center"/>
              <w:rPr>
                <w:rFonts w:ascii="Calibri" w:eastAsia="Times New Roman" w:hAnsi="Calibri" w:cs="Calibri"/>
                <w:b/>
                <w:bCs/>
                <w:sz w:val="12"/>
                <w:szCs w:val="12"/>
              </w:rPr>
            </w:pPr>
            <w:r w:rsidRPr="00FD52EB">
              <w:rPr>
                <w:rFonts w:ascii="Calibri" w:eastAsia="Times New Roman" w:hAnsi="Calibri" w:cs="Calibri"/>
                <w:b/>
                <w:bCs/>
                <w:sz w:val="12"/>
                <w:szCs w:val="12"/>
              </w:rPr>
              <w:t>Name of the journal</w:t>
            </w:r>
          </w:p>
        </w:tc>
        <w:tc>
          <w:tcPr>
            <w:tcW w:w="720" w:type="dxa"/>
            <w:tcBorders>
              <w:top w:val="single" w:sz="8" w:space="0" w:color="auto"/>
              <w:left w:val="nil"/>
              <w:bottom w:val="nil"/>
              <w:right w:val="single" w:sz="8" w:space="0" w:color="auto"/>
            </w:tcBorders>
            <w:shd w:val="clear" w:color="auto" w:fill="auto"/>
            <w:vAlign w:val="bottom"/>
            <w:hideMark/>
          </w:tcPr>
          <w:p w14:paraId="04104913" w14:textId="77777777" w:rsidR="002C178D" w:rsidRPr="00FD52EB" w:rsidRDefault="002C178D" w:rsidP="005A705F">
            <w:pPr>
              <w:spacing w:after="0" w:line="240" w:lineRule="auto"/>
              <w:jc w:val="center"/>
              <w:rPr>
                <w:rFonts w:ascii="Calibri" w:eastAsia="Times New Roman" w:hAnsi="Calibri" w:cs="Calibri"/>
                <w:b/>
                <w:bCs/>
                <w:sz w:val="12"/>
                <w:szCs w:val="12"/>
              </w:rPr>
            </w:pPr>
            <w:r w:rsidRPr="00FD52EB">
              <w:rPr>
                <w:rFonts w:ascii="Calibri" w:eastAsia="Times New Roman" w:hAnsi="Calibri" w:cs="Calibri"/>
                <w:b/>
                <w:bCs/>
                <w:sz w:val="12"/>
                <w:szCs w:val="12"/>
              </w:rPr>
              <w:t>Publisher</w:t>
            </w:r>
          </w:p>
        </w:tc>
        <w:tc>
          <w:tcPr>
            <w:tcW w:w="630" w:type="dxa"/>
            <w:tcBorders>
              <w:top w:val="single" w:sz="8" w:space="0" w:color="auto"/>
              <w:left w:val="nil"/>
              <w:bottom w:val="nil"/>
              <w:right w:val="single" w:sz="8" w:space="0" w:color="auto"/>
            </w:tcBorders>
            <w:shd w:val="clear" w:color="auto" w:fill="auto"/>
            <w:vAlign w:val="bottom"/>
            <w:hideMark/>
          </w:tcPr>
          <w:p w14:paraId="7FD01FD6"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Country of Research</w:t>
            </w:r>
          </w:p>
        </w:tc>
        <w:tc>
          <w:tcPr>
            <w:tcW w:w="808" w:type="dxa"/>
            <w:tcBorders>
              <w:top w:val="single" w:sz="8" w:space="0" w:color="auto"/>
              <w:left w:val="nil"/>
              <w:bottom w:val="nil"/>
              <w:right w:val="single" w:sz="8" w:space="0" w:color="auto"/>
            </w:tcBorders>
            <w:shd w:val="clear" w:color="auto" w:fill="auto"/>
            <w:vAlign w:val="bottom"/>
            <w:hideMark/>
          </w:tcPr>
          <w:p w14:paraId="6E624EF3"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Time of Research</w:t>
            </w:r>
          </w:p>
        </w:tc>
        <w:tc>
          <w:tcPr>
            <w:tcW w:w="900" w:type="dxa"/>
            <w:tcBorders>
              <w:top w:val="single" w:sz="8" w:space="0" w:color="auto"/>
              <w:left w:val="nil"/>
              <w:bottom w:val="nil"/>
              <w:right w:val="single" w:sz="8" w:space="0" w:color="auto"/>
            </w:tcBorders>
            <w:shd w:val="clear" w:color="auto" w:fill="auto"/>
            <w:vAlign w:val="bottom"/>
            <w:hideMark/>
          </w:tcPr>
          <w:p w14:paraId="4C7BA402"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Data</w:t>
            </w:r>
          </w:p>
        </w:tc>
        <w:tc>
          <w:tcPr>
            <w:tcW w:w="1080" w:type="dxa"/>
            <w:tcBorders>
              <w:top w:val="single" w:sz="8" w:space="0" w:color="auto"/>
              <w:left w:val="nil"/>
              <w:bottom w:val="nil"/>
              <w:right w:val="single" w:sz="8" w:space="0" w:color="auto"/>
            </w:tcBorders>
            <w:shd w:val="clear" w:color="auto" w:fill="auto"/>
            <w:vAlign w:val="bottom"/>
            <w:hideMark/>
          </w:tcPr>
          <w:p w14:paraId="3E4FB193"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Variable</w:t>
            </w:r>
          </w:p>
        </w:tc>
        <w:tc>
          <w:tcPr>
            <w:tcW w:w="1260" w:type="dxa"/>
            <w:tcBorders>
              <w:top w:val="single" w:sz="8" w:space="0" w:color="auto"/>
              <w:left w:val="nil"/>
              <w:bottom w:val="nil"/>
              <w:right w:val="single" w:sz="8" w:space="0" w:color="auto"/>
            </w:tcBorders>
            <w:shd w:val="clear" w:color="auto" w:fill="auto"/>
            <w:vAlign w:val="bottom"/>
            <w:hideMark/>
          </w:tcPr>
          <w:p w14:paraId="125C2DDF"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Methodology</w:t>
            </w:r>
          </w:p>
        </w:tc>
        <w:tc>
          <w:tcPr>
            <w:tcW w:w="990" w:type="dxa"/>
            <w:tcBorders>
              <w:top w:val="single" w:sz="8" w:space="0" w:color="auto"/>
              <w:left w:val="nil"/>
              <w:bottom w:val="nil"/>
              <w:right w:val="single" w:sz="8" w:space="0" w:color="auto"/>
            </w:tcBorders>
            <w:shd w:val="clear" w:color="auto" w:fill="auto"/>
            <w:vAlign w:val="bottom"/>
            <w:hideMark/>
          </w:tcPr>
          <w:p w14:paraId="755872D7"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Expected Relationship (hypothesis)</w:t>
            </w:r>
          </w:p>
        </w:tc>
        <w:tc>
          <w:tcPr>
            <w:tcW w:w="1496" w:type="dxa"/>
            <w:tcBorders>
              <w:top w:val="single" w:sz="8" w:space="0" w:color="auto"/>
              <w:left w:val="nil"/>
              <w:bottom w:val="nil"/>
              <w:right w:val="nil"/>
            </w:tcBorders>
            <w:shd w:val="clear" w:color="auto" w:fill="auto"/>
            <w:vAlign w:val="bottom"/>
            <w:hideMark/>
          </w:tcPr>
          <w:p w14:paraId="5D3A9019"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Evidence Found</w:t>
            </w:r>
          </w:p>
        </w:tc>
        <w:tc>
          <w:tcPr>
            <w:tcW w:w="1700" w:type="dxa"/>
            <w:tcBorders>
              <w:top w:val="single" w:sz="8" w:space="0" w:color="auto"/>
              <w:left w:val="single" w:sz="8" w:space="0" w:color="auto"/>
              <w:bottom w:val="nil"/>
              <w:right w:val="single" w:sz="8" w:space="0" w:color="auto"/>
            </w:tcBorders>
            <w:shd w:val="clear" w:color="auto" w:fill="auto"/>
            <w:vAlign w:val="bottom"/>
            <w:hideMark/>
          </w:tcPr>
          <w:p w14:paraId="2AB701CD" w14:textId="77777777" w:rsidR="002C178D" w:rsidRPr="002C178D" w:rsidRDefault="002C178D" w:rsidP="005A705F">
            <w:pPr>
              <w:spacing w:after="0" w:line="240" w:lineRule="auto"/>
              <w:jc w:val="center"/>
              <w:rPr>
                <w:rFonts w:ascii="Calibri" w:eastAsia="Times New Roman" w:hAnsi="Calibri" w:cs="Calibri"/>
                <w:b/>
                <w:bCs/>
                <w:sz w:val="16"/>
                <w:szCs w:val="16"/>
              </w:rPr>
            </w:pPr>
            <w:r w:rsidRPr="002C178D">
              <w:rPr>
                <w:rFonts w:ascii="Calibri" w:eastAsia="Times New Roman" w:hAnsi="Calibri" w:cs="Calibri"/>
                <w:b/>
                <w:bCs/>
                <w:sz w:val="16"/>
                <w:szCs w:val="16"/>
              </w:rPr>
              <w:t>Other Relevant Comments</w:t>
            </w:r>
          </w:p>
        </w:tc>
      </w:tr>
      <w:tr w:rsidR="002C178D" w:rsidRPr="002C178D" w14:paraId="2A3D2704" w14:textId="77777777" w:rsidTr="00FD52EB">
        <w:trPr>
          <w:trHeight w:val="1390"/>
        </w:trPr>
        <w:tc>
          <w:tcPr>
            <w:tcW w:w="265" w:type="dxa"/>
            <w:tcBorders>
              <w:top w:val="single" w:sz="8" w:space="0" w:color="auto"/>
              <w:left w:val="single" w:sz="8" w:space="0" w:color="auto"/>
              <w:bottom w:val="single" w:sz="8" w:space="0" w:color="auto"/>
              <w:right w:val="nil"/>
            </w:tcBorders>
            <w:shd w:val="clear" w:color="auto" w:fill="auto"/>
            <w:hideMark/>
          </w:tcPr>
          <w:p w14:paraId="50CCFDDF"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w:t>
            </w:r>
          </w:p>
        </w:tc>
        <w:tc>
          <w:tcPr>
            <w:tcW w:w="536" w:type="dxa"/>
            <w:tcBorders>
              <w:top w:val="single" w:sz="8" w:space="0" w:color="auto"/>
              <w:left w:val="single" w:sz="8" w:space="0" w:color="auto"/>
              <w:bottom w:val="single" w:sz="8" w:space="0" w:color="auto"/>
              <w:right w:val="single" w:sz="8" w:space="0" w:color="auto"/>
            </w:tcBorders>
            <w:shd w:val="clear" w:color="auto" w:fill="auto"/>
            <w:hideMark/>
          </w:tcPr>
          <w:p w14:paraId="63342B8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Nir Kshetri</w:t>
            </w:r>
          </w:p>
        </w:tc>
        <w:tc>
          <w:tcPr>
            <w:tcW w:w="539" w:type="dxa"/>
            <w:tcBorders>
              <w:top w:val="nil"/>
              <w:left w:val="nil"/>
              <w:bottom w:val="single" w:sz="8" w:space="0" w:color="auto"/>
              <w:right w:val="single" w:sz="8" w:space="0" w:color="auto"/>
            </w:tcBorders>
            <w:shd w:val="clear" w:color="auto" w:fill="auto"/>
            <w:hideMark/>
          </w:tcPr>
          <w:p w14:paraId="6376B9E0"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2020</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5CC5AC6D" w14:textId="77777777" w:rsidR="002C178D" w:rsidRPr="002C178D" w:rsidRDefault="002C178D" w:rsidP="00FA54AE">
            <w:pPr>
              <w:spacing w:after="0" w:line="240" w:lineRule="auto"/>
              <w:jc w:val="both"/>
              <w:rPr>
                <w:rFonts w:ascii="Arial" w:eastAsia="Times New Roman" w:hAnsi="Arial" w:cs="Arial"/>
                <w:b/>
                <w:sz w:val="16"/>
                <w:szCs w:val="16"/>
              </w:rPr>
            </w:pPr>
            <w:r w:rsidRPr="002C178D">
              <w:rPr>
                <w:rFonts w:ascii="Arial" w:eastAsia="Times New Roman" w:hAnsi="Arial" w:cs="Arial"/>
                <w:b/>
                <w:sz w:val="16"/>
                <w:szCs w:val="16"/>
              </w:rPr>
              <w:t>The evolution of cyber-insurance industry and market</w:t>
            </w:r>
          </w:p>
        </w:tc>
        <w:tc>
          <w:tcPr>
            <w:tcW w:w="720" w:type="dxa"/>
            <w:tcBorders>
              <w:top w:val="single" w:sz="8" w:space="0" w:color="auto"/>
              <w:left w:val="nil"/>
              <w:bottom w:val="single" w:sz="8" w:space="0" w:color="auto"/>
              <w:right w:val="single" w:sz="8" w:space="0" w:color="auto"/>
            </w:tcBorders>
            <w:shd w:val="clear" w:color="auto" w:fill="auto"/>
            <w:hideMark/>
          </w:tcPr>
          <w:p w14:paraId="2674BA93"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Telecommunications Policy</w:t>
            </w:r>
          </w:p>
        </w:tc>
        <w:tc>
          <w:tcPr>
            <w:tcW w:w="720" w:type="dxa"/>
            <w:tcBorders>
              <w:top w:val="single" w:sz="8" w:space="0" w:color="auto"/>
              <w:left w:val="nil"/>
              <w:bottom w:val="single" w:sz="8" w:space="0" w:color="auto"/>
              <w:right w:val="single" w:sz="8" w:space="0" w:color="auto"/>
            </w:tcBorders>
            <w:shd w:val="clear" w:color="auto" w:fill="auto"/>
            <w:hideMark/>
          </w:tcPr>
          <w:p w14:paraId="67265F3C"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 Ltd</w:t>
            </w:r>
          </w:p>
        </w:tc>
        <w:tc>
          <w:tcPr>
            <w:tcW w:w="630" w:type="dxa"/>
            <w:tcBorders>
              <w:top w:val="single" w:sz="8" w:space="0" w:color="auto"/>
              <w:left w:val="nil"/>
              <w:bottom w:val="single" w:sz="8" w:space="0" w:color="auto"/>
              <w:right w:val="single" w:sz="8" w:space="0" w:color="auto"/>
            </w:tcBorders>
            <w:shd w:val="clear" w:color="auto" w:fill="auto"/>
            <w:hideMark/>
          </w:tcPr>
          <w:p w14:paraId="462065B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USA</w:t>
            </w:r>
          </w:p>
        </w:tc>
        <w:tc>
          <w:tcPr>
            <w:tcW w:w="808" w:type="dxa"/>
            <w:tcBorders>
              <w:top w:val="single" w:sz="8" w:space="0" w:color="auto"/>
              <w:left w:val="nil"/>
              <w:bottom w:val="single" w:sz="8" w:space="0" w:color="auto"/>
              <w:right w:val="single" w:sz="8" w:space="0" w:color="auto"/>
            </w:tcBorders>
            <w:shd w:val="clear" w:color="auto" w:fill="auto"/>
            <w:hideMark/>
          </w:tcPr>
          <w:p w14:paraId="63EB5DB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1983-2020</w:t>
            </w:r>
          </w:p>
        </w:tc>
        <w:tc>
          <w:tcPr>
            <w:tcW w:w="900" w:type="dxa"/>
            <w:tcBorders>
              <w:top w:val="single" w:sz="8" w:space="0" w:color="auto"/>
              <w:left w:val="nil"/>
              <w:bottom w:val="single" w:sz="8" w:space="0" w:color="auto"/>
              <w:right w:val="single" w:sz="8" w:space="0" w:color="auto"/>
            </w:tcBorders>
            <w:shd w:val="clear" w:color="auto" w:fill="auto"/>
            <w:hideMark/>
          </w:tcPr>
          <w:p w14:paraId="577845A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Global CI market, RBC capital market, Some representative surveys</w:t>
            </w:r>
          </w:p>
        </w:tc>
        <w:tc>
          <w:tcPr>
            <w:tcW w:w="1080" w:type="dxa"/>
            <w:tcBorders>
              <w:top w:val="single" w:sz="8" w:space="0" w:color="auto"/>
              <w:left w:val="nil"/>
              <w:bottom w:val="single" w:sz="8" w:space="0" w:color="auto"/>
              <w:right w:val="single" w:sz="8" w:space="0" w:color="auto"/>
            </w:tcBorders>
            <w:shd w:val="clear" w:color="auto" w:fill="auto"/>
            <w:hideMark/>
          </w:tcPr>
          <w:p w14:paraId="3C15B6C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Regulative, Cognitive Technological &amp; Normative institutions, Size of CI market</w:t>
            </w:r>
          </w:p>
        </w:tc>
        <w:tc>
          <w:tcPr>
            <w:tcW w:w="1260" w:type="dxa"/>
            <w:tcBorders>
              <w:top w:val="single" w:sz="8" w:space="0" w:color="auto"/>
              <w:left w:val="nil"/>
              <w:bottom w:val="single" w:sz="8" w:space="0" w:color="auto"/>
              <w:right w:val="single" w:sz="8" w:space="0" w:color="auto"/>
            </w:tcBorders>
            <w:shd w:val="clear" w:color="auto" w:fill="auto"/>
            <w:hideMark/>
          </w:tcPr>
          <w:p w14:paraId="2812656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(Theoretical &amp; Empirical study)</w:t>
            </w:r>
          </w:p>
        </w:tc>
        <w:tc>
          <w:tcPr>
            <w:tcW w:w="990" w:type="dxa"/>
            <w:tcBorders>
              <w:top w:val="single" w:sz="8" w:space="0" w:color="auto"/>
              <w:left w:val="nil"/>
              <w:bottom w:val="single" w:sz="8" w:space="0" w:color="auto"/>
              <w:right w:val="single" w:sz="8" w:space="0" w:color="auto"/>
            </w:tcBorders>
            <w:shd w:val="clear" w:color="auto" w:fill="auto"/>
            <w:hideMark/>
          </w:tcPr>
          <w:p w14:paraId="64C8400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Size of CI market has no relationship with Cyber-risks. 2. Institutional development has positive correlation with minimizing cyber-risks.</w:t>
            </w:r>
          </w:p>
        </w:tc>
        <w:tc>
          <w:tcPr>
            <w:tcW w:w="1496" w:type="dxa"/>
            <w:tcBorders>
              <w:top w:val="single" w:sz="8" w:space="0" w:color="auto"/>
              <w:left w:val="nil"/>
              <w:bottom w:val="single" w:sz="8" w:space="0" w:color="auto"/>
              <w:right w:val="nil"/>
            </w:tcBorders>
            <w:shd w:val="clear" w:color="auto" w:fill="auto"/>
            <w:hideMark/>
          </w:tcPr>
          <w:p w14:paraId="714E690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This paper is provides insights into institutions surrounding to this new and rapidly evolving Cyber industry.</w:t>
            </w:r>
          </w:p>
        </w:tc>
        <w:tc>
          <w:tcPr>
            <w:tcW w:w="1700" w:type="dxa"/>
            <w:tcBorders>
              <w:top w:val="single" w:sz="8" w:space="0" w:color="auto"/>
              <w:left w:val="single" w:sz="8" w:space="0" w:color="auto"/>
              <w:bottom w:val="single" w:sz="8" w:space="0" w:color="auto"/>
              <w:right w:val="single" w:sz="8" w:space="0" w:color="auto"/>
            </w:tcBorders>
            <w:shd w:val="clear" w:color="auto" w:fill="auto"/>
            <w:hideMark/>
          </w:tcPr>
          <w:p w14:paraId="681FE265"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This study outlines most important facts regarding cyber insurance industry defining the risks, relationships and other factors associated with it. Cyber Insurance industry involves sensitive information regarding customers' security numbers, credit card number, or the records of insurance accounts, health account numbers etc.</w:t>
            </w:r>
          </w:p>
        </w:tc>
      </w:tr>
      <w:tr w:rsidR="002C178D" w:rsidRPr="002C178D" w14:paraId="6351F8EF" w14:textId="77777777" w:rsidTr="00FD52EB">
        <w:trPr>
          <w:trHeight w:val="5340"/>
        </w:trPr>
        <w:tc>
          <w:tcPr>
            <w:tcW w:w="265" w:type="dxa"/>
            <w:tcBorders>
              <w:top w:val="nil"/>
              <w:left w:val="single" w:sz="8" w:space="0" w:color="auto"/>
              <w:bottom w:val="single" w:sz="8" w:space="0" w:color="auto"/>
              <w:right w:val="nil"/>
            </w:tcBorders>
            <w:shd w:val="clear" w:color="auto" w:fill="auto"/>
            <w:hideMark/>
          </w:tcPr>
          <w:p w14:paraId="070E94A1"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w:t>
            </w:r>
          </w:p>
        </w:tc>
        <w:tc>
          <w:tcPr>
            <w:tcW w:w="536" w:type="dxa"/>
            <w:tcBorders>
              <w:top w:val="nil"/>
              <w:left w:val="single" w:sz="8" w:space="0" w:color="auto"/>
              <w:bottom w:val="single" w:sz="8" w:space="0" w:color="auto"/>
              <w:right w:val="single" w:sz="8" w:space="0" w:color="auto"/>
            </w:tcBorders>
            <w:shd w:val="clear" w:color="auto" w:fill="auto"/>
            <w:hideMark/>
          </w:tcPr>
          <w:p w14:paraId="5568A59A"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Rafiqul Bhuyan, Deanne Butchey,Jerry Haar,Bakhtear Talukdar</w:t>
            </w:r>
          </w:p>
        </w:tc>
        <w:tc>
          <w:tcPr>
            <w:tcW w:w="539" w:type="dxa"/>
            <w:tcBorders>
              <w:top w:val="nil"/>
              <w:left w:val="nil"/>
              <w:bottom w:val="single" w:sz="8" w:space="0" w:color="auto"/>
              <w:right w:val="single" w:sz="8" w:space="0" w:color="auto"/>
            </w:tcBorders>
            <w:shd w:val="clear" w:color="auto" w:fill="auto"/>
            <w:hideMark/>
          </w:tcPr>
          <w:p w14:paraId="2AA5D8DE"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2020</w:t>
            </w:r>
          </w:p>
        </w:tc>
        <w:tc>
          <w:tcPr>
            <w:tcW w:w="900" w:type="dxa"/>
            <w:tcBorders>
              <w:top w:val="nil"/>
              <w:left w:val="nil"/>
              <w:bottom w:val="single" w:sz="8" w:space="0" w:color="auto"/>
              <w:right w:val="single" w:sz="8" w:space="0" w:color="auto"/>
            </w:tcBorders>
            <w:shd w:val="clear" w:color="auto" w:fill="auto"/>
            <w:hideMark/>
          </w:tcPr>
          <w:p w14:paraId="377D80E9" w14:textId="77777777" w:rsidR="002C178D" w:rsidRPr="002C178D" w:rsidRDefault="002C178D" w:rsidP="00FA54AE">
            <w:pPr>
              <w:spacing w:after="0" w:line="240" w:lineRule="auto"/>
              <w:jc w:val="both"/>
              <w:rPr>
                <w:rFonts w:ascii="Arial" w:eastAsia="Times New Roman" w:hAnsi="Arial" w:cs="Arial"/>
                <w:b/>
                <w:sz w:val="16"/>
                <w:szCs w:val="16"/>
              </w:rPr>
            </w:pPr>
            <w:r w:rsidRPr="002C178D">
              <w:rPr>
                <w:rFonts w:ascii="Arial" w:eastAsia="Times New Roman" w:hAnsi="Arial" w:cs="Arial"/>
                <w:b/>
                <w:sz w:val="16"/>
                <w:szCs w:val="16"/>
              </w:rPr>
              <w:t>CEO compensation and firm performance in the insurance industry</w:t>
            </w:r>
          </w:p>
        </w:tc>
        <w:tc>
          <w:tcPr>
            <w:tcW w:w="720" w:type="dxa"/>
            <w:tcBorders>
              <w:top w:val="nil"/>
              <w:left w:val="nil"/>
              <w:bottom w:val="single" w:sz="8" w:space="0" w:color="auto"/>
              <w:right w:val="single" w:sz="8" w:space="0" w:color="auto"/>
            </w:tcBorders>
            <w:shd w:val="clear" w:color="auto" w:fill="auto"/>
            <w:hideMark/>
          </w:tcPr>
          <w:p w14:paraId="64C73053"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Managerial Finance</w:t>
            </w:r>
          </w:p>
        </w:tc>
        <w:tc>
          <w:tcPr>
            <w:tcW w:w="720" w:type="dxa"/>
            <w:tcBorders>
              <w:top w:val="nil"/>
              <w:left w:val="nil"/>
              <w:bottom w:val="single" w:sz="8" w:space="0" w:color="auto"/>
              <w:right w:val="single" w:sz="8" w:space="0" w:color="auto"/>
            </w:tcBorders>
            <w:shd w:val="clear" w:color="auto" w:fill="auto"/>
            <w:hideMark/>
          </w:tcPr>
          <w:p w14:paraId="4895DD8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Emerald Insight</w:t>
            </w:r>
          </w:p>
        </w:tc>
        <w:tc>
          <w:tcPr>
            <w:tcW w:w="630" w:type="dxa"/>
            <w:tcBorders>
              <w:top w:val="nil"/>
              <w:left w:val="nil"/>
              <w:bottom w:val="single" w:sz="8" w:space="0" w:color="auto"/>
              <w:right w:val="single" w:sz="8" w:space="0" w:color="auto"/>
            </w:tcBorders>
            <w:shd w:val="clear" w:color="auto" w:fill="auto"/>
            <w:hideMark/>
          </w:tcPr>
          <w:p w14:paraId="385F99A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USA</w:t>
            </w:r>
          </w:p>
        </w:tc>
        <w:tc>
          <w:tcPr>
            <w:tcW w:w="808" w:type="dxa"/>
            <w:tcBorders>
              <w:top w:val="nil"/>
              <w:left w:val="nil"/>
              <w:bottom w:val="single" w:sz="8" w:space="0" w:color="auto"/>
              <w:right w:val="single" w:sz="8" w:space="0" w:color="auto"/>
            </w:tcBorders>
            <w:shd w:val="clear" w:color="auto" w:fill="auto"/>
            <w:hideMark/>
          </w:tcPr>
          <w:p w14:paraId="46962B7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2008-2019</w:t>
            </w:r>
          </w:p>
        </w:tc>
        <w:tc>
          <w:tcPr>
            <w:tcW w:w="900" w:type="dxa"/>
            <w:tcBorders>
              <w:top w:val="nil"/>
              <w:left w:val="nil"/>
              <w:bottom w:val="single" w:sz="8" w:space="0" w:color="auto"/>
              <w:right w:val="single" w:sz="8" w:space="0" w:color="auto"/>
            </w:tcBorders>
            <w:shd w:val="clear" w:color="auto" w:fill="auto"/>
            <w:hideMark/>
          </w:tcPr>
          <w:p w14:paraId="0A0ECDAD" w14:textId="77777777" w:rsidR="002C178D" w:rsidRPr="002C178D" w:rsidRDefault="002C178D" w:rsidP="0042029D">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Center for research in security prices(CRSP),Wharton research data services(WRDS),S&amp;P Capital IQ's,CompuStat North America, ISS, ExecuComp, Life, Fire, Marine &amp; Casualty, Surety, Accident &amp; Health Insurance etc.(Samples </w:t>
            </w:r>
            <w:r w:rsidRPr="002C178D">
              <w:rPr>
                <w:rFonts w:ascii="Arial" w:eastAsia="Times New Roman" w:hAnsi="Arial" w:cs="Arial"/>
                <w:b/>
                <w:sz w:val="16"/>
                <w:szCs w:val="16"/>
              </w:rPr>
              <w:lastRenderedPageBreak/>
              <w:t>from 73 Insurance companies &amp; 143 CEOs).</w:t>
            </w:r>
          </w:p>
        </w:tc>
        <w:tc>
          <w:tcPr>
            <w:tcW w:w="1080" w:type="dxa"/>
            <w:tcBorders>
              <w:top w:val="nil"/>
              <w:left w:val="nil"/>
              <w:bottom w:val="single" w:sz="8" w:space="0" w:color="auto"/>
              <w:right w:val="single" w:sz="8" w:space="0" w:color="auto"/>
            </w:tcBorders>
            <w:shd w:val="clear" w:color="auto" w:fill="auto"/>
            <w:hideMark/>
          </w:tcPr>
          <w:p w14:paraId="74F51DF7" w14:textId="77777777" w:rsidR="002C178D" w:rsidRPr="002C178D" w:rsidRDefault="002C178D" w:rsidP="0042029D">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Salary &amp;compensations, Restricted Stock Grants, Long-term Incentive payouts, All other compensations, Value of option grants, age, tenure, experience. (ROA), (TA), (MTBR), (Standard Deviation), (LTIP).</w:t>
            </w:r>
          </w:p>
        </w:tc>
        <w:tc>
          <w:tcPr>
            <w:tcW w:w="1260" w:type="dxa"/>
            <w:tcBorders>
              <w:top w:val="nil"/>
              <w:left w:val="nil"/>
              <w:bottom w:val="single" w:sz="8" w:space="0" w:color="auto"/>
              <w:right w:val="single" w:sz="8" w:space="0" w:color="auto"/>
            </w:tcBorders>
            <w:shd w:val="clear" w:color="auto" w:fill="auto"/>
            <w:hideMark/>
          </w:tcPr>
          <w:p w14:paraId="7A8B8EC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Generalized Methods of Moments (Gmm).              2. Regression Model of Analysis. 3. Auto-Correlation tests.                                </w:t>
            </w:r>
          </w:p>
        </w:tc>
        <w:tc>
          <w:tcPr>
            <w:tcW w:w="990" w:type="dxa"/>
            <w:tcBorders>
              <w:top w:val="nil"/>
              <w:left w:val="nil"/>
              <w:bottom w:val="single" w:sz="8" w:space="0" w:color="auto"/>
              <w:right w:val="single" w:sz="8" w:space="0" w:color="auto"/>
            </w:tcBorders>
            <w:shd w:val="clear" w:color="auto" w:fill="auto"/>
            <w:hideMark/>
          </w:tcPr>
          <w:p w14:paraId="56F25B4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Pay system is negatively impacted by the financial crisis of 2008.2.ROA was positively correlated with total compensations. 3. Firm' market-to-book ratio is positively related to long-term incentives. 4. CEO tenure and duality both are positively &amp; strongly related to </w:t>
            </w:r>
            <w:r w:rsidRPr="002C178D">
              <w:rPr>
                <w:rFonts w:ascii="Arial" w:eastAsia="Times New Roman" w:hAnsi="Arial" w:cs="Arial"/>
                <w:b/>
                <w:sz w:val="16"/>
                <w:szCs w:val="16"/>
              </w:rPr>
              <w:lastRenderedPageBreak/>
              <w:t>Compensation, salary &amp; Long-term incentives.</w:t>
            </w:r>
          </w:p>
        </w:tc>
        <w:tc>
          <w:tcPr>
            <w:tcW w:w="1496" w:type="dxa"/>
            <w:tcBorders>
              <w:top w:val="nil"/>
              <w:left w:val="nil"/>
              <w:bottom w:val="single" w:sz="8" w:space="0" w:color="auto"/>
              <w:right w:val="nil"/>
            </w:tcBorders>
            <w:shd w:val="clear" w:color="auto" w:fill="auto"/>
            <w:hideMark/>
          </w:tcPr>
          <w:p w14:paraId="2AA3FEDF" w14:textId="2D0360EE"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 xml:space="preserve">1. After the crisis, the executives of insurance Industries have faced with numerous changes in compensation and payments. 2. </w:t>
            </w:r>
            <w:r w:rsidR="0027586C" w:rsidRPr="002C178D">
              <w:rPr>
                <w:rFonts w:ascii="Arial" w:eastAsia="Times New Roman" w:hAnsi="Arial" w:cs="Arial"/>
                <w:b/>
                <w:sz w:val="16"/>
                <w:szCs w:val="16"/>
              </w:rPr>
              <w:t>When</w:t>
            </w:r>
            <w:r w:rsidRPr="002C178D">
              <w:rPr>
                <w:rFonts w:ascii="Arial" w:eastAsia="Times New Roman" w:hAnsi="Arial" w:cs="Arial"/>
                <w:b/>
                <w:sz w:val="16"/>
                <w:szCs w:val="16"/>
              </w:rPr>
              <w:t xml:space="preserve"> the experience of C.E.Os. </w:t>
            </w:r>
            <w:r w:rsidR="0027586C" w:rsidRPr="002C178D">
              <w:rPr>
                <w:rFonts w:ascii="Arial" w:eastAsia="Times New Roman" w:hAnsi="Arial" w:cs="Arial"/>
                <w:b/>
                <w:sz w:val="16"/>
                <w:szCs w:val="16"/>
              </w:rPr>
              <w:t>Increases</w:t>
            </w:r>
            <w:r w:rsidRPr="002C178D">
              <w:rPr>
                <w:rFonts w:ascii="Arial" w:eastAsia="Times New Roman" w:hAnsi="Arial" w:cs="Arial"/>
                <w:b/>
                <w:sz w:val="16"/>
                <w:szCs w:val="16"/>
              </w:rPr>
              <w:t>, the stock awards &amp; option awards are replaced with cash bonuses.</w:t>
            </w:r>
          </w:p>
        </w:tc>
        <w:tc>
          <w:tcPr>
            <w:tcW w:w="1700" w:type="dxa"/>
            <w:tcBorders>
              <w:top w:val="nil"/>
              <w:left w:val="single" w:sz="8" w:space="0" w:color="auto"/>
              <w:bottom w:val="single" w:sz="8" w:space="0" w:color="auto"/>
              <w:right w:val="single" w:sz="8" w:space="0" w:color="auto"/>
            </w:tcBorders>
            <w:shd w:val="clear" w:color="auto" w:fill="auto"/>
            <w:hideMark/>
          </w:tcPr>
          <w:p w14:paraId="70756935"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During after crisis period, the CEOs' &amp; Executives; compensation based on bonuses got down. After the crisis, the scenario became worse, but soon with the passing years, the overall payments of CEOs had started to fall into place by replacing cash with stock awards and other bonuses(Based in Experience and Efficiency).</w:t>
            </w:r>
          </w:p>
        </w:tc>
      </w:tr>
      <w:tr w:rsidR="002C178D" w:rsidRPr="002C178D" w14:paraId="378ECED5" w14:textId="77777777" w:rsidTr="00FD52EB">
        <w:trPr>
          <w:trHeight w:val="4760"/>
        </w:trPr>
        <w:tc>
          <w:tcPr>
            <w:tcW w:w="265" w:type="dxa"/>
            <w:tcBorders>
              <w:top w:val="nil"/>
              <w:left w:val="single" w:sz="8" w:space="0" w:color="auto"/>
              <w:bottom w:val="single" w:sz="8" w:space="0" w:color="auto"/>
              <w:right w:val="nil"/>
            </w:tcBorders>
            <w:shd w:val="clear" w:color="auto" w:fill="auto"/>
            <w:hideMark/>
          </w:tcPr>
          <w:p w14:paraId="5AC7CB34"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3</w:t>
            </w:r>
          </w:p>
        </w:tc>
        <w:tc>
          <w:tcPr>
            <w:tcW w:w="536" w:type="dxa"/>
            <w:tcBorders>
              <w:top w:val="nil"/>
              <w:left w:val="single" w:sz="8" w:space="0" w:color="auto"/>
              <w:bottom w:val="single" w:sz="8" w:space="0" w:color="auto"/>
              <w:right w:val="single" w:sz="8" w:space="0" w:color="auto"/>
            </w:tcBorders>
            <w:shd w:val="clear" w:color="auto" w:fill="auto"/>
            <w:hideMark/>
          </w:tcPr>
          <w:p w14:paraId="3DCB76B0"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Chien-Chiang Lee,Chun-Wei Lin</w:t>
            </w:r>
          </w:p>
        </w:tc>
        <w:tc>
          <w:tcPr>
            <w:tcW w:w="539" w:type="dxa"/>
            <w:tcBorders>
              <w:top w:val="nil"/>
              <w:left w:val="nil"/>
              <w:bottom w:val="single" w:sz="8" w:space="0" w:color="auto"/>
              <w:right w:val="single" w:sz="8" w:space="0" w:color="auto"/>
            </w:tcBorders>
            <w:shd w:val="clear" w:color="auto" w:fill="auto"/>
            <w:hideMark/>
          </w:tcPr>
          <w:p w14:paraId="41950DE3"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hideMark/>
          </w:tcPr>
          <w:p w14:paraId="0E42900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Globalization, political institutions, financial liberalization, and performance of the insurance industry </w:t>
            </w:r>
          </w:p>
        </w:tc>
        <w:tc>
          <w:tcPr>
            <w:tcW w:w="720" w:type="dxa"/>
            <w:tcBorders>
              <w:top w:val="nil"/>
              <w:left w:val="nil"/>
              <w:bottom w:val="single" w:sz="8" w:space="0" w:color="auto"/>
              <w:right w:val="single" w:sz="8" w:space="0" w:color="auto"/>
            </w:tcBorders>
            <w:shd w:val="clear" w:color="auto" w:fill="auto"/>
            <w:hideMark/>
          </w:tcPr>
          <w:p w14:paraId="2A9C898E"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North American Journal of Economics &amp; Finance</w:t>
            </w:r>
          </w:p>
        </w:tc>
        <w:tc>
          <w:tcPr>
            <w:tcW w:w="720" w:type="dxa"/>
            <w:tcBorders>
              <w:top w:val="nil"/>
              <w:left w:val="nil"/>
              <w:bottom w:val="single" w:sz="8" w:space="0" w:color="auto"/>
              <w:right w:val="single" w:sz="8" w:space="0" w:color="auto"/>
            </w:tcBorders>
            <w:shd w:val="clear" w:color="auto" w:fill="auto"/>
            <w:hideMark/>
          </w:tcPr>
          <w:p w14:paraId="5255CFB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 Inc.</w:t>
            </w:r>
          </w:p>
        </w:tc>
        <w:tc>
          <w:tcPr>
            <w:tcW w:w="630" w:type="dxa"/>
            <w:tcBorders>
              <w:top w:val="nil"/>
              <w:left w:val="nil"/>
              <w:bottom w:val="single" w:sz="8" w:space="0" w:color="auto"/>
              <w:right w:val="single" w:sz="8" w:space="0" w:color="auto"/>
            </w:tcBorders>
            <w:shd w:val="clear" w:color="auto" w:fill="auto"/>
            <w:hideMark/>
          </w:tcPr>
          <w:p w14:paraId="410EBC7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Selected 30 OECD(The Organization for Economic co-operation &amp; Development)countries; </w:t>
            </w:r>
          </w:p>
        </w:tc>
        <w:tc>
          <w:tcPr>
            <w:tcW w:w="808" w:type="dxa"/>
            <w:tcBorders>
              <w:top w:val="nil"/>
              <w:left w:val="nil"/>
              <w:bottom w:val="single" w:sz="8" w:space="0" w:color="auto"/>
              <w:right w:val="single" w:sz="8" w:space="0" w:color="auto"/>
            </w:tcBorders>
            <w:shd w:val="clear" w:color="auto" w:fill="auto"/>
            <w:hideMark/>
          </w:tcPr>
          <w:p w14:paraId="6D609C9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2015-2016</w:t>
            </w:r>
          </w:p>
        </w:tc>
        <w:tc>
          <w:tcPr>
            <w:tcW w:w="900" w:type="dxa"/>
            <w:tcBorders>
              <w:top w:val="nil"/>
              <w:left w:val="nil"/>
              <w:bottom w:val="single" w:sz="8" w:space="0" w:color="auto"/>
              <w:right w:val="single" w:sz="8" w:space="0" w:color="auto"/>
            </w:tcBorders>
            <w:shd w:val="clear" w:color="auto" w:fill="auto"/>
            <w:hideMark/>
          </w:tcPr>
          <w:p w14:paraId="2E63F64B" w14:textId="77777777" w:rsidR="002C178D" w:rsidRPr="002C178D" w:rsidRDefault="002C178D" w:rsidP="00FA54AE">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Studies focusing on banking industries, Studies determining insurance performance and non-life insurance companies in single &amp; various countries, Studies regarding the significance determinants of insurer's profitability, Study of Pakistan's insurance industry, Studies of cross-</w:t>
            </w:r>
            <w:r w:rsidRPr="002C178D">
              <w:rPr>
                <w:rFonts w:ascii="Arial" w:eastAsia="Times New Roman" w:hAnsi="Arial" w:cs="Arial"/>
                <w:b/>
                <w:sz w:val="16"/>
                <w:szCs w:val="16"/>
              </w:rPr>
              <w:lastRenderedPageBreak/>
              <w:t>country comparisons of insurance performance, financial data for life insurance companies in OECD countries ;sample data of 1324 life insurance companies across 30 OECD members,</w:t>
            </w:r>
          </w:p>
        </w:tc>
        <w:tc>
          <w:tcPr>
            <w:tcW w:w="1080" w:type="dxa"/>
            <w:tcBorders>
              <w:top w:val="nil"/>
              <w:left w:val="nil"/>
              <w:bottom w:val="single" w:sz="8" w:space="0" w:color="auto"/>
              <w:right w:val="single" w:sz="8" w:space="0" w:color="auto"/>
            </w:tcBorders>
            <w:shd w:val="clear" w:color="auto" w:fill="auto"/>
            <w:hideMark/>
          </w:tcPr>
          <w:p w14:paraId="4BEC5FF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 xml:space="preserve">Net premium written, Profit Margin, Solvency and Leverage Ratio, Total Assets &amp; Net investments, volatility in earnings, expenses, and reserves. Annual Population Growth Ratio, GDP CPI(Inflation) </w:t>
            </w:r>
          </w:p>
        </w:tc>
        <w:tc>
          <w:tcPr>
            <w:tcW w:w="1260" w:type="dxa"/>
            <w:tcBorders>
              <w:top w:val="nil"/>
              <w:left w:val="nil"/>
              <w:bottom w:val="single" w:sz="8" w:space="0" w:color="auto"/>
              <w:right w:val="single" w:sz="8" w:space="0" w:color="auto"/>
            </w:tcBorders>
            <w:shd w:val="clear" w:color="auto" w:fill="auto"/>
            <w:hideMark/>
          </w:tcPr>
          <w:p w14:paraId="462A032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Dynamic Panel of GMM Model. 2. Regression model of analysis. 3.Two-step system GMM Model</w:t>
            </w:r>
          </w:p>
        </w:tc>
        <w:tc>
          <w:tcPr>
            <w:tcW w:w="990" w:type="dxa"/>
            <w:tcBorders>
              <w:top w:val="nil"/>
              <w:left w:val="nil"/>
              <w:bottom w:val="single" w:sz="8" w:space="0" w:color="auto"/>
              <w:right w:val="single" w:sz="8" w:space="0" w:color="auto"/>
            </w:tcBorders>
            <w:shd w:val="clear" w:color="auto" w:fill="auto"/>
            <w:hideMark/>
          </w:tcPr>
          <w:p w14:paraId="54C713F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Globalization and political institutions are positively associated with insurer performance,    2.Financial liberalization has a significantly negative impact on insurer performance.         3. Globalization &amp; Political Institutions have negative impacts on insurer's risk-taking.        4. Recent Global Financial Crisis effects on performa</w:t>
            </w:r>
            <w:r w:rsidRPr="002C178D">
              <w:rPr>
                <w:rFonts w:ascii="Arial" w:eastAsia="Times New Roman" w:hAnsi="Arial" w:cs="Arial"/>
                <w:b/>
                <w:sz w:val="16"/>
                <w:szCs w:val="16"/>
              </w:rPr>
              <w:lastRenderedPageBreak/>
              <w:t>nces &amp; Risk-takings of insurance firms.</w:t>
            </w:r>
          </w:p>
        </w:tc>
        <w:tc>
          <w:tcPr>
            <w:tcW w:w="1496" w:type="dxa"/>
            <w:tcBorders>
              <w:top w:val="nil"/>
              <w:left w:val="nil"/>
              <w:bottom w:val="single" w:sz="8" w:space="0" w:color="auto"/>
              <w:right w:val="nil"/>
            </w:tcBorders>
            <w:shd w:val="clear" w:color="auto" w:fill="auto"/>
            <w:hideMark/>
          </w:tcPr>
          <w:p w14:paraId="74565BD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1. Greater globalization and a stable political institution lead insurance companies to exhibit a better performance. 2. Greater globalization and a stable political environment both drive less risk-taking for insurers.</w:t>
            </w:r>
          </w:p>
        </w:tc>
        <w:tc>
          <w:tcPr>
            <w:tcW w:w="1700" w:type="dxa"/>
            <w:tcBorders>
              <w:top w:val="nil"/>
              <w:left w:val="single" w:sz="8" w:space="0" w:color="auto"/>
              <w:bottom w:val="single" w:sz="8" w:space="0" w:color="auto"/>
              <w:right w:val="single" w:sz="8" w:space="0" w:color="auto"/>
            </w:tcBorders>
            <w:shd w:val="clear" w:color="auto" w:fill="auto"/>
            <w:hideMark/>
          </w:tcPr>
          <w:p w14:paraId="300E819A"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Measuring the performance of insurers has gained importance in the literature, because a strong performance not only increases the market value of that firm, but also leads towards growth for the whole industry, which helps the overall prosperity of the economy. That is why Globalization, Political issues, financial liberation, insurance industry's performance efficiency all are major indicators to measure the changes in the Performance of #0 OECD Country’s' Insurance industries.</w:t>
            </w:r>
          </w:p>
        </w:tc>
      </w:tr>
      <w:tr w:rsidR="002C178D" w:rsidRPr="002C178D" w14:paraId="27A28D0E" w14:textId="77777777" w:rsidTr="00FD52EB">
        <w:trPr>
          <w:trHeight w:val="3260"/>
        </w:trPr>
        <w:tc>
          <w:tcPr>
            <w:tcW w:w="265" w:type="dxa"/>
            <w:tcBorders>
              <w:top w:val="nil"/>
              <w:left w:val="single" w:sz="8" w:space="0" w:color="auto"/>
              <w:bottom w:val="single" w:sz="8" w:space="0" w:color="auto"/>
              <w:right w:val="nil"/>
            </w:tcBorders>
            <w:shd w:val="clear" w:color="auto" w:fill="auto"/>
            <w:hideMark/>
          </w:tcPr>
          <w:p w14:paraId="7CA18BB4"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4</w:t>
            </w:r>
          </w:p>
        </w:tc>
        <w:tc>
          <w:tcPr>
            <w:tcW w:w="536" w:type="dxa"/>
            <w:tcBorders>
              <w:top w:val="nil"/>
              <w:left w:val="single" w:sz="8" w:space="0" w:color="auto"/>
              <w:bottom w:val="single" w:sz="8" w:space="0" w:color="auto"/>
              <w:right w:val="single" w:sz="8" w:space="0" w:color="auto"/>
            </w:tcBorders>
            <w:shd w:val="clear" w:color="auto" w:fill="auto"/>
            <w:hideMark/>
          </w:tcPr>
          <w:p w14:paraId="5C797FC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Samuel Guerineau, Relwende Sawadogo</w:t>
            </w:r>
          </w:p>
        </w:tc>
        <w:tc>
          <w:tcPr>
            <w:tcW w:w="539" w:type="dxa"/>
            <w:tcBorders>
              <w:top w:val="nil"/>
              <w:left w:val="nil"/>
              <w:bottom w:val="single" w:sz="8" w:space="0" w:color="auto"/>
              <w:right w:val="single" w:sz="8" w:space="0" w:color="auto"/>
            </w:tcBorders>
            <w:shd w:val="clear" w:color="auto" w:fill="auto"/>
            <w:hideMark/>
          </w:tcPr>
          <w:p w14:paraId="3C28248D"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hideMark/>
          </w:tcPr>
          <w:p w14:paraId="6B0F099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On the determinants of life insurance development in Sub-Saharan Africa: the role of the institutions quality in the effect of economic development</w:t>
            </w:r>
          </w:p>
        </w:tc>
        <w:tc>
          <w:tcPr>
            <w:tcW w:w="720" w:type="dxa"/>
            <w:tcBorders>
              <w:top w:val="nil"/>
              <w:left w:val="nil"/>
              <w:bottom w:val="single" w:sz="8" w:space="0" w:color="auto"/>
              <w:right w:val="single" w:sz="8" w:space="0" w:color="auto"/>
            </w:tcBorders>
            <w:shd w:val="clear" w:color="auto" w:fill="auto"/>
            <w:noWrap/>
            <w:vAlign w:val="bottom"/>
            <w:hideMark/>
          </w:tcPr>
          <w:p w14:paraId="3AEFD3E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ocumeEtudes et Dents</w:t>
            </w:r>
          </w:p>
        </w:tc>
        <w:tc>
          <w:tcPr>
            <w:tcW w:w="720" w:type="dxa"/>
            <w:tcBorders>
              <w:top w:val="nil"/>
              <w:left w:val="nil"/>
              <w:bottom w:val="single" w:sz="8" w:space="0" w:color="auto"/>
              <w:right w:val="single" w:sz="8" w:space="0" w:color="auto"/>
            </w:tcBorders>
            <w:shd w:val="clear" w:color="auto" w:fill="auto"/>
            <w:hideMark/>
          </w:tcPr>
          <w:p w14:paraId="1DA1FE7F"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HAL Scientific Research</w:t>
            </w:r>
          </w:p>
        </w:tc>
        <w:tc>
          <w:tcPr>
            <w:tcW w:w="630" w:type="dxa"/>
            <w:tcBorders>
              <w:top w:val="nil"/>
              <w:left w:val="nil"/>
              <w:bottom w:val="single" w:sz="8" w:space="0" w:color="auto"/>
              <w:right w:val="single" w:sz="8" w:space="0" w:color="auto"/>
            </w:tcBorders>
            <w:shd w:val="clear" w:color="auto" w:fill="auto"/>
            <w:hideMark/>
          </w:tcPr>
          <w:p w14:paraId="6AAD07F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 countries in Sub-Saharan Africa(Gabon,Cote D'lvoire,Senegal,Cameroon,Bostwana,Tanzania,Burkina Faso,Malawi,Nigeria, Kenya,Uganda,Niger,Mali,Angola,Madagascar,Mozambique,Ghan</w:t>
            </w:r>
            <w:r w:rsidRPr="002C178D">
              <w:rPr>
                <w:rFonts w:ascii="Arial" w:eastAsia="Times New Roman" w:hAnsi="Arial" w:cs="Arial"/>
                <w:b/>
                <w:sz w:val="16"/>
                <w:szCs w:val="16"/>
              </w:rPr>
              <w:lastRenderedPageBreak/>
              <w:t>a,Ethiopia,Zambia)</w:t>
            </w:r>
          </w:p>
        </w:tc>
        <w:tc>
          <w:tcPr>
            <w:tcW w:w="808" w:type="dxa"/>
            <w:tcBorders>
              <w:top w:val="nil"/>
              <w:left w:val="nil"/>
              <w:bottom w:val="single" w:sz="8" w:space="0" w:color="auto"/>
              <w:right w:val="single" w:sz="8" w:space="0" w:color="auto"/>
            </w:tcBorders>
            <w:shd w:val="clear" w:color="auto" w:fill="auto"/>
            <w:hideMark/>
          </w:tcPr>
          <w:p w14:paraId="0B180AB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1993-2011</w:t>
            </w:r>
          </w:p>
        </w:tc>
        <w:tc>
          <w:tcPr>
            <w:tcW w:w="900" w:type="dxa"/>
            <w:tcBorders>
              <w:top w:val="nil"/>
              <w:left w:val="nil"/>
              <w:bottom w:val="single" w:sz="8" w:space="0" w:color="auto"/>
              <w:right w:val="single" w:sz="8" w:space="0" w:color="auto"/>
            </w:tcBorders>
            <w:shd w:val="clear" w:color="auto" w:fill="auto"/>
            <w:hideMark/>
          </w:tcPr>
          <w:p w14:paraId="345FE2DA" w14:textId="77777777" w:rsidR="002C178D" w:rsidRPr="002C178D" w:rsidRDefault="002C178D" w:rsidP="008B385D">
            <w:pPr>
              <w:spacing w:after="0" w:line="240" w:lineRule="auto"/>
              <w:rPr>
                <w:rFonts w:ascii="Arial" w:eastAsia="Times New Roman" w:hAnsi="Arial" w:cs="Arial"/>
                <w:b/>
                <w:sz w:val="16"/>
                <w:szCs w:val="16"/>
              </w:rPr>
            </w:pPr>
            <w:r w:rsidRPr="002C178D">
              <w:rPr>
                <w:rFonts w:ascii="Arial" w:eastAsia="Times New Roman" w:hAnsi="Arial" w:cs="Arial"/>
                <w:b/>
                <w:sz w:val="16"/>
                <w:szCs w:val="16"/>
              </w:rPr>
              <w:t>Financial structure &amp; Economic development database, Database of Economic Freedom &amp; Heritage Foundation, ICRG Database,</w:t>
            </w:r>
          </w:p>
        </w:tc>
        <w:tc>
          <w:tcPr>
            <w:tcW w:w="1080" w:type="dxa"/>
            <w:tcBorders>
              <w:top w:val="nil"/>
              <w:left w:val="nil"/>
              <w:bottom w:val="single" w:sz="8" w:space="0" w:color="auto"/>
              <w:right w:val="single" w:sz="8" w:space="0" w:color="auto"/>
            </w:tcBorders>
            <w:shd w:val="clear" w:color="auto" w:fill="auto"/>
            <w:hideMark/>
          </w:tcPr>
          <w:p w14:paraId="5D8E8CE6" w14:textId="77777777" w:rsidR="002C178D" w:rsidRPr="002C178D" w:rsidRDefault="002C178D" w:rsidP="008B385D">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GDP Per Capita, Life expectancy, Young dependency, Old dependency, real interest rate, Financial depts., Property rights, Law Orders, Fiscal freedom, Government stability, Income, liquidity ratio, young dependency ratio, life expectancy at birth.</w:t>
            </w:r>
          </w:p>
        </w:tc>
        <w:tc>
          <w:tcPr>
            <w:tcW w:w="1260" w:type="dxa"/>
            <w:tcBorders>
              <w:top w:val="nil"/>
              <w:left w:val="nil"/>
              <w:bottom w:val="single" w:sz="8" w:space="0" w:color="auto"/>
              <w:right w:val="single" w:sz="8" w:space="0" w:color="auto"/>
            </w:tcBorders>
            <w:shd w:val="clear" w:color="auto" w:fill="auto"/>
            <w:hideMark/>
          </w:tcPr>
          <w:p w14:paraId="40C04D3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Regression analysis Model            2. Crag Donald Statistics</w:t>
            </w:r>
          </w:p>
        </w:tc>
        <w:tc>
          <w:tcPr>
            <w:tcW w:w="990" w:type="dxa"/>
            <w:tcBorders>
              <w:top w:val="nil"/>
              <w:left w:val="nil"/>
              <w:bottom w:val="single" w:sz="8" w:space="0" w:color="auto"/>
              <w:right w:val="single" w:sz="8" w:space="0" w:color="auto"/>
            </w:tcBorders>
            <w:shd w:val="clear" w:color="auto" w:fill="auto"/>
            <w:hideMark/>
          </w:tcPr>
          <w:p w14:paraId="2C5FF66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Positive correlation between income per capita and life insurance penetration.2.Positive correlation between life insurance penetration &amp; economic development. 3. life expectancy and young dependency have negative impacts on insurance penetration. 4. old dependency ratio influences positively on life insurance </w:t>
            </w:r>
            <w:r w:rsidRPr="002C178D">
              <w:rPr>
                <w:rFonts w:ascii="Arial" w:eastAsia="Times New Roman" w:hAnsi="Arial" w:cs="Arial"/>
                <w:b/>
                <w:sz w:val="16"/>
                <w:szCs w:val="16"/>
              </w:rPr>
              <w:lastRenderedPageBreak/>
              <w:t>penetration.</w:t>
            </w:r>
          </w:p>
        </w:tc>
        <w:tc>
          <w:tcPr>
            <w:tcW w:w="1496" w:type="dxa"/>
            <w:tcBorders>
              <w:top w:val="nil"/>
              <w:left w:val="nil"/>
              <w:bottom w:val="single" w:sz="8" w:space="0" w:color="auto"/>
              <w:right w:val="nil"/>
            </w:tcBorders>
            <w:shd w:val="clear" w:color="auto" w:fill="auto"/>
            <w:hideMark/>
          </w:tcPr>
          <w:p w14:paraId="787C8DB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1. The impact of economic development on the life insurance depends on socio- political and institutional contexts.2. The quality of the legal and political environment improves the emergence of the life insurance sector. 3.when the system of social security in increased, the development of life insurance sector is hindered.</w:t>
            </w:r>
          </w:p>
        </w:tc>
        <w:tc>
          <w:tcPr>
            <w:tcW w:w="1700" w:type="dxa"/>
            <w:tcBorders>
              <w:top w:val="nil"/>
              <w:left w:val="single" w:sz="8" w:space="0" w:color="auto"/>
              <w:bottom w:val="single" w:sz="8" w:space="0" w:color="auto"/>
              <w:right w:val="single" w:sz="8" w:space="0" w:color="auto"/>
            </w:tcBorders>
            <w:shd w:val="clear" w:color="auto" w:fill="auto"/>
            <w:hideMark/>
          </w:tcPr>
          <w:p w14:paraId="5D552CBF"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Article highlights the role of the institutions quality on the effect of economic development on the life insurance. The demographic variables are responsible for the factions in life insurance industry’s' efficiencies.</w:t>
            </w:r>
          </w:p>
        </w:tc>
      </w:tr>
      <w:tr w:rsidR="002C178D" w:rsidRPr="002C178D" w14:paraId="5D62A257" w14:textId="77777777" w:rsidTr="00FD52EB">
        <w:trPr>
          <w:trHeight w:val="1510"/>
        </w:trPr>
        <w:tc>
          <w:tcPr>
            <w:tcW w:w="265" w:type="dxa"/>
            <w:tcBorders>
              <w:top w:val="nil"/>
              <w:left w:val="single" w:sz="8" w:space="0" w:color="auto"/>
              <w:bottom w:val="single" w:sz="8" w:space="0" w:color="auto"/>
              <w:right w:val="nil"/>
            </w:tcBorders>
            <w:shd w:val="clear" w:color="auto" w:fill="auto"/>
            <w:hideMark/>
          </w:tcPr>
          <w:p w14:paraId="220A1A9E"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5</w:t>
            </w:r>
          </w:p>
        </w:tc>
        <w:tc>
          <w:tcPr>
            <w:tcW w:w="536" w:type="dxa"/>
            <w:tcBorders>
              <w:top w:val="nil"/>
              <w:left w:val="single" w:sz="8" w:space="0" w:color="auto"/>
              <w:bottom w:val="single" w:sz="8" w:space="0" w:color="auto"/>
              <w:right w:val="single" w:sz="8" w:space="0" w:color="auto"/>
            </w:tcBorders>
            <w:shd w:val="clear" w:color="auto" w:fill="auto"/>
            <w:hideMark/>
          </w:tcPr>
          <w:p w14:paraId="78ABF2A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Asian Business and Economic Studies</w:t>
            </w:r>
          </w:p>
        </w:tc>
        <w:tc>
          <w:tcPr>
            <w:tcW w:w="539" w:type="dxa"/>
            <w:tcBorders>
              <w:top w:val="nil"/>
              <w:left w:val="nil"/>
              <w:bottom w:val="single" w:sz="8" w:space="0" w:color="auto"/>
              <w:right w:val="single" w:sz="8" w:space="0" w:color="auto"/>
            </w:tcBorders>
            <w:shd w:val="clear" w:color="auto" w:fill="auto"/>
            <w:hideMark/>
          </w:tcPr>
          <w:p w14:paraId="77887636"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2019</w:t>
            </w:r>
          </w:p>
        </w:tc>
        <w:tc>
          <w:tcPr>
            <w:tcW w:w="900" w:type="dxa"/>
            <w:tcBorders>
              <w:top w:val="nil"/>
              <w:left w:val="nil"/>
              <w:bottom w:val="single" w:sz="8" w:space="0" w:color="auto"/>
              <w:right w:val="single" w:sz="8" w:space="0" w:color="auto"/>
            </w:tcBorders>
            <w:shd w:val="clear" w:color="auto" w:fill="auto"/>
            <w:hideMark/>
          </w:tcPr>
          <w:p w14:paraId="492BE08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efficiency of Jordan insurance companies and its determinants using DEA, slacks, and logit models</w:t>
            </w:r>
          </w:p>
        </w:tc>
        <w:tc>
          <w:tcPr>
            <w:tcW w:w="720" w:type="dxa"/>
            <w:tcBorders>
              <w:top w:val="nil"/>
              <w:left w:val="nil"/>
              <w:bottom w:val="single" w:sz="8" w:space="0" w:color="auto"/>
              <w:right w:val="single" w:sz="8" w:space="0" w:color="auto"/>
            </w:tcBorders>
            <w:shd w:val="clear" w:color="auto" w:fill="auto"/>
            <w:hideMark/>
          </w:tcPr>
          <w:p w14:paraId="3351EFC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Asian Business and Economic Studies</w:t>
            </w:r>
          </w:p>
        </w:tc>
        <w:tc>
          <w:tcPr>
            <w:tcW w:w="720" w:type="dxa"/>
            <w:tcBorders>
              <w:top w:val="nil"/>
              <w:left w:val="nil"/>
              <w:bottom w:val="single" w:sz="8" w:space="0" w:color="auto"/>
              <w:right w:val="single" w:sz="8" w:space="0" w:color="auto"/>
            </w:tcBorders>
            <w:shd w:val="clear" w:color="auto" w:fill="auto"/>
            <w:hideMark/>
          </w:tcPr>
          <w:p w14:paraId="6967FFA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Emerald Insight</w:t>
            </w:r>
          </w:p>
        </w:tc>
        <w:tc>
          <w:tcPr>
            <w:tcW w:w="630" w:type="dxa"/>
            <w:tcBorders>
              <w:top w:val="nil"/>
              <w:left w:val="nil"/>
              <w:bottom w:val="single" w:sz="8" w:space="0" w:color="auto"/>
              <w:right w:val="single" w:sz="8" w:space="0" w:color="auto"/>
            </w:tcBorders>
            <w:shd w:val="clear" w:color="auto" w:fill="auto"/>
            <w:hideMark/>
          </w:tcPr>
          <w:p w14:paraId="55C8890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Jordan</w:t>
            </w:r>
          </w:p>
        </w:tc>
        <w:tc>
          <w:tcPr>
            <w:tcW w:w="808" w:type="dxa"/>
            <w:tcBorders>
              <w:top w:val="nil"/>
              <w:left w:val="nil"/>
              <w:bottom w:val="single" w:sz="8" w:space="0" w:color="auto"/>
              <w:right w:val="single" w:sz="8" w:space="0" w:color="auto"/>
            </w:tcBorders>
            <w:shd w:val="clear" w:color="auto" w:fill="auto"/>
            <w:hideMark/>
          </w:tcPr>
          <w:p w14:paraId="093CE08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2000-2016</w:t>
            </w:r>
          </w:p>
        </w:tc>
        <w:tc>
          <w:tcPr>
            <w:tcW w:w="900" w:type="dxa"/>
            <w:tcBorders>
              <w:top w:val="nil"/>
              <w:left w:val="nil"/>
              <w:bottom w:val="single" w:sz="8" w:space="0" w:color="auto"/>
              <w:right w:val="single" w:sz="8" w:space="0" w:color="auto"/>
            </w:tcBorders>
            <w:shd w:val="clear" w:color="auto" w:fill="auto"/>
            <w:hideMark/>
          </w:tcPr>
          <w:p w14:paraId="7F7F5E5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Annual financial statements from Jordan's insurance companies, Data of insurance companies inside Jordan</w:t>
            </w:r>
          </w:p>
        </w:tc>
        <w:tc>
          <w:tcPr>
            <w:tcW w:w="1080" w:type="dxa"/>
            <w:tcBorders>
              <w:top w:val="nil"/>
              <w:left w:val="nil"/>
              <w:bottom w:val="single" w:sz="8" w:space="0" w:color="auto"/>
              <w:right w:val="single" w:sz="8" w:space="0" w:color="auto"/>
            </w:tcBorders>
            <w:shd w:val="clear" w:color="auto" w:fill="auto"/>
            <w:hideMark/>
          </w:tcPr>
          <w:p w14:paraId="5453C0C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Business Capital, Business Services, Total operating expense, Debt &amp; Owner's Equity, Total Technical Provisions, and Net earned premiums, Investments income.</w:t>
            </w:r>
          </w:p>
        </w:tc>
        <w:tc>
          <w:tcPr>
            <w:tcW w:w="1260" w:type="dxa"/>
            <w:tcBorders>
              <w:top w:val="nil"/>
              <w:left w:val="nil"/>
              <w:bottom w:val="single" w:sz="8" w:space="0" w:color="auto"/>
              <w:right w:val="single" w:sz="8" w:space="0" w:color="auto"/>
            </w:tcBorders>
            <w:shd w:val="clear" w:color="auto" w:fill="auto"/>
            <w:hideMark/>
          </w:tcPr>
          <w:p w14:paraId="2C180FC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Asset or intermediation approach, user-cost approach and value added approach. 2. DEA (Data Envelopment Analysis) Approach. 3. Slacks-Based Model. 4.Logit Model</w:t>
            </w:r>
          </w:p>
        </w:tc>
        <w:tc>
          <w:tcPr>
            <w:tcW w:w="990" w:type="dxa"/>
            <w:tcBorders>
              <w:top w:val="nil"/>
              <w:left w:val="nil"/>
              <w:bottom w:val="single" w:sz="8" w:space="0" w:color="auto"/>
              <w:right w:val="single" w:sz="8" w:space="0" w:color="auto"/>
            </w:tcBorders>
            <w:shd w:val="clear" w:color="auto" w:fill="auto"/>
            <w:hideMark/>
          </w:tcPr>
          <w:p w14:paraId="32220B9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 1. Technicalmeffivciencies, operating expense influence owner's equity and company's efficiency. 2. Significant correlation exists between type, size &amp; return of assets of the insurer &amp; its efficiency.</w:t>
            </w:r>
          </w:p>
        </w:tc>
        <w:tc>
          <w:tcPr>
            <w:tcW w:w="1496" w:type="dxa"/>
            <w:tcBorders>
              <w:top w:val="nil"/>
              <w:left w:val="nil"/>
              <w:bottom w:val="single" w:sz="8" w:space="0" w:color="auto"/>
              <w:right w:val="nil"/>
            </w:tcBorders>
            <w:shd w:val="clear" w:color="auto" w:fill="auto"/>
            <w:hideMark/>
          </w:tcPr>
          <w:p w14:paraId="5F22EEC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There is a slight development of technical efficiency for the Jordanian insurance companies during the study period. 2. There is a substantial efficiency difference among insurance companies in each year. 3. There is a variation at the level of efficiency for each company each year.</w:t>
            </w:r>
          </w:p>
        </w:tc>
        <w:tc>
          <w:tcPr>
            <w:tcW w:w="1700" w:type="dxa"/>
            <w:tcBorders>
              <w:top w:val="nil"/>
              <w:left w:val="single" w:sz="8" w:space="0" w:color="auto"/>
              <w:bottom w:val="single" w:sz="8" w:space="0" w:color="auto"/>
              <w:right w:val="single" w:sz="8" w:space="0" w:color="auto"/>
            </w:tcBorders>
            <w:shd w:val="clear" w:color="auto" w:fill="auto"/>
            <w:hideMark/>
          </w:tcPr>
          <w:p w14:paraId="5A2F231B"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For insurance managers, this report provides a wide array of indicators that direct them utilize their resources at best.</w:t>
            </w:r>
          </w:p>
        </w:tc>
      </w:tr>
      <w:tr w:rsidR="002C178D" w:rsidRPr="002C178D" w14:paraId="5FE2EE3A" w14:textId="77777777" w:rsidTr="00FD52EB">
        <w:trPr>
          <w:trHeight w:val="3260"/>
        </w:trPr>
        <w:tc>
          <w:tcPr>
            <w:tcW w:w="265" w:type="dxa"/>
            <w:tcBorders>
              <w:top w:val="nil"/>
              <w:left w:val="single" w:sz="8" w:space="0" w:color="auto"/>
              <w:bottom w:val="single" w:sz="8" w:space="0" w:color="auto"/>
              <w:right w:val="single" w:sz="8" w:space="0" w:color="auto"/>
            </w:tcBorders>
            <w:shd w:val="clear" w:color="auto" w:fill="auto"/>
            <w:hideMark/>
          </w:tcPr>
          <w:p w14:paraId="2BFAD426"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6</w:t>
            </w:r>
          </w:p>
        </w:tc>
        <w:tc>
          <w:tcPr>
            <w:tcW w:w="536" w:type="dxa"/>
            <w:tcBorders>
              <w:top w:val="nil"/>
              <w:left w:val="nil"/>
              <w:bottom w:val="single" w:sz="8" w:space="0" w:color="auto"/>
              <w:right w:val="single" w:sz="8" w:space="0" w:color="auto"/>
            </w:tcBorders>
            <w:shd w:val="clear" w:color="auto" w:fill="auto"/>
            <w:hideMark/>
          </w:tcPr>
          <w:p w14:paraId="50A988E6"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Christian Biener,Matin Eling,Jan Hendrik Wirfs</w:t>
            </w:r>
          </w:p>
        </w:tc>
        <w:tc>
          <w:tcPr>
            <w:tcW w:w="539" w:type="dxa"/>
            <w:tcBorders>
              <w:top w:val="nil"/>
              <w:left w:val="nil"/>
              <w:bottom w:val="single" w:sz="8" w:space="0" w:color="auto"/>
              <w:right w:val="single" w:sz="8" w:space="0" w:color="auto"/>
            </w:tcBorders>
            <w:shd w:val="clear" w:color="auto" w:fill="auto"/>
            <w:hideMark/>
          </w:tcPr>
          <w:p w14:paraId="12F5CA41"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hideMark/>
          </w:tcPr>
          <w:p w14:paraId="7A5CEC4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Determinants of efficiency and productivity in the  Swiss insurance industry</w:t>
            </w:r>
          </w:p>
        </w:tc>
        <w:tc>
          <w:tcPr>
            <w:tcW w:w="720" w:type="dxa"/>
            <w:tcBorders>
              <w:top w:val="nil"/>
              <w:left w:val="nil"/>
              <w:bottom w:val="single" w:sz="8" w:space="0" w:color="auto"/>
              <w:right w:val="single" w:sz="8" w:space="0" w:color="auto"/>
            </w:tcBorders>
            <w:shd w:val="clear" w:color="auto" w:fill="auto"/>
            <w:hideMark/>
          </w:tcPr>
          <w:p w14:paraId="59E0BF93"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Working Papers on Risk management &amp; Insurance</w:t>
            </w:r>
          </w:p>
        </w:tc>
        <w:tc>
          <w:tcPr>
            <w:tcW w:w="720" w:type="dxa"/>
            <w:tcBorders>
              <w:top w:val="nil"/>
              <w:left w:val="nil"/>
              <w:bottom w:val="single" w:sz="8" w:space="0" w:color="auto"/>
              <w:right w:val="single" w:sz="8" w:space="0" w:color="auto"/>
            </w:tcBorders>
            <w:shd w:val="clear" w:color="auto" w:fill="auto"/>
            <w:hideMark/>
          </w:tcPr>
          <w:p w14:paraId="1E22405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 </w:t>
            </w:r>
          </w:p>
        </w:tc>
        <w:tc>
          <w:tcPr>
            <w:tcW w:w="630" w:type="dxa"/>
            <w:tcBorders>
              <w:top w:val="nil"/>
              <w:left w:val="nil"/>
              <w:bottom w:val="single" w:sz="8" w:space="0" w:color="auto"/>
              <w:right w:val="single" w:sz="8" w:space="0" w:color="auto"/>
            </w:tcBorders>
            <w:shd w:val="clear" w:color="auto" w:fill="auto"/>
            <w:hideMark/>
          </w:tcPr>
          <w:p w14:paraId="230B56E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Switzerland</w:t>
            </w:r>
          </w:p>
        </w:tc>
        <w:tc>
          <w:tcPr>
            <w:tcW w:w="808" w:type="dxa"/>
            <w:tcBorders>
              <w:top w:val="nil"/>
              <w:left w:val="nil"/>
              <w:bottom w:val="single" w:sz="8" w:space="0" w:color="auto"/>
              <w:right w:val="single" w:sz="8" w:space="0" w:color="auto"/>
            </w:tcBorders>
            <w:shd w:val="clear" w:color="auto" w:fill="auto"/>
            <w:hideMark/>
          </w:tcPr>
          <w:p w14:paraId="0512653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1997-2013</w:t>
            </w:r>
          </w:p>
        </w:tc>
        <w:tc>
          <w:tcPr>
            <w:tcW w:w="900" w:type="dxa"/>
            <w:tcBorders>
              <w:top w:val="nil"/>
              <w:left w:val="nil"/>
              <w:bottom w:val="single" w:sz="8" w:space="0" w:color="auto"/>
              <w:right w:val="single" w:sz="8" w:space="0" w:color="auto"/>
            </w:tcBorders>
            <w:shd w:val="clear" w:color="auto" w:fill="auto"/>
            <w:hideMark/>
          </w:tcPr>
          <w:p w14:paraId="2DC2B64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Swiss regulator FINMA. 2. Life, P/C &amp; reinsurance financial statements reported for the period 1997-2013.</w:t>
            </w:r>
          </w:p>
        </w:tc>
        <w:tc>
          <w:tcPr>
            <w:tcW w:w="1080" w:type="dxa"/>
            <w:tcBorders>
              <w:top w:val="nil"/>
              <w:left w:val="nil"/>
              <w:bottom w:val="single" w:sz="8" w:space="0" w:color="auto"/>
              <w:right w:val="single" w:sz="8" w:space="0" w:color="auto"/>
            </w:tcBorders>
            <w:shd w:val="clear" w:color="auto" w:fill="auto"/>
            <w:hideMark/>
          </w:tcPr>
          <w:p w14:paraId="21D7382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Cost: technical, allocative, scale, and revenue efficiency levels, total factor productivity (TFP) changes, drivers of efficiency, labor &amp; business servides,debt capital, equity capital, total investments, benefits/losses, Efficiency </w:t>
            </w:r>
            <w:r w:rsidRPr="002C178D">
              <w:rPr>
                <w:rFonts w:ascii="Arial" w:eastAsia="Times New Roman" w:hAnsi="Arial" w:cs="Arial"/>
                <w:b/>
                <w:sz w:val="16"/>
                <w:szCs w:val="16"/>
              </w:rPr>
              <w:lastRenderedPageBreak/>
              <w:t>value-Cost(CE),Technical(TE),allocative(AE),scale(SE),revenue (RE)efficiencies. Average number of firms.</w:t>
            </w:r>
          </w:p>
        </w:tc>
        <w:tc>
          <w:tcPr>
            <w:tcW w:w="1260" w:type="dxa"/>
            <w:tcBorders>
              <w:top w:val="nil"/>
              <w:left w:val="nil"/>
              <w:bottom w:val="single" w:sz="8" w:space="0" w:color="auto"/>
              <w:right w:val="single" w:sz="8" w:space="0" w:color="auto"/>
            </w:tcBorders>
            <w:shd w:val="clear" w:color="auto" w:fill="auto"/>
            <w:hideMark/>
          </w:tcPr>
          <w:p w14:paraId="5891134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 xml:space="preserve">1. Data envelopment analysis (DEA). 2. Constant returns to scales. 3. Variable returns to scales. 4. Bootstrap approach by Simer &amp; Wilson. 5. Second stage regression model. 6. Malmquist index of total factor productivity (TFP). 7. Ordinary least </w:t>
            </w:r>
            <w:r w:rsidRPr="002C178D">
              <w:rPr>
                <w:rFonts w:ascii="Arial" w:eastAsia="Times New Roman" w:hAnsi="Arial" w:cs="Arial"/>
                <w:b/>
                <w:sz w:val="16"/>
                <w:szCs w:val="16"/>
              </w:rPr>
              <w:lastRenderedPageBreak/>
              <w:t>squares(OLS)</w:t>
            </w:r>
          </w:p>
        </w:tc>
        <w:tc>
          <w:tcPr>
            <w:tcW w:w="990" w:type="dxa"/>
            <w:tcBorders>
              <w:top w:val="nil"/>
              <w:left w:val="nil"/>
              <w:bottom w:val="single" w:sz="8" w:space="0" w:color="auto"/>
              <w:right w:val="single" w:sz="8" w:space="0" w:color="auto"/>
            </w:tcBorders>
            <w:shd w:val="clear" w:color="auto" w:fill="auto"/>
            <w:hideMark/>
          </w:tcPr>
          <w:p w14:paraId="509D0A4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br w:type="page"/>
            </w:r>
            <w:r w:rsidRPr="002C178D">
              <w:rPr>
                <w:rFonts w:ascii="Arial" w:eastAsia="Times New Roman" w:hAnsi="Arial" w:cs="Arial"/>
                <w:b/>
                <w:sz w:val="16"/>
                <w:szCs w:val="16"/>
              </w:rPr>
              <w:br w:type="page"/>
              <w:t xml:space="preserve">1. Positive relationship between the level of international diversification and efficiency. 2. Positive relationship between firm size and efficiency. 3. Negative relationship between </w:t>
            </w:r>
            <w:r w:rsidRPr="002C178D">
              <w:rPr>
                <w:rFonts w:ascii="Arial" w:eastAsia="Times New Roman" w:hAnsi="Arial" w:cs="Arial"/>
                <w:b/>
                <w:sz w:val="16"/>
                <w:szCs w:val="16"/>
              </w:rPr>
              <w:lastRenderedPageBreak/>
              <w:t xml:space="preserve">leverage and efficiency. 4. Negative relationship between premium growth &amp; efficiency. 5.Negative relationship between company age and efficiency             </w:t>
            </w:r>
          </w:p>
        </w:tc>
        <w:tc>
          <w:tcPr>
            <w:tcW w:w="1496" w:type="dxa"/>
            <w:tcBorders>
              <w:top w:val="nil"/>
              <w:left w:val="nil"/>
              <w:bottom w:val="single" w:sz="8" w:space="0" w:color="auto"/>
              <w:right w:val="nil"/>
            </w:tcBorders>
            <w:shd w:val="clear" w:color="auto" w:fill="auto"/>
            <w:hideMark/>
          </w:tcPr>
          <w:p w14:paraId="339FC87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1. Productivity and efficiency in the Swiss insurance market have improved for the property/casualty and reinsurer sectors, but not in the case of life insurance.      2. its evident that being a small specialist or a large diversified company is optimal from the efficiency's point of view.</w:t>
            </w:r>
          </w:p>
        </w:tc>
        <w:tc>
          <w:tcPr>
            <w:tcW w:w="1700" w:type="dxa"/>
            <w:tcBorders>
              <w:top w:val="nil"/>
              <w:left w:val="single" w:sz="8" w:space="0" w:color="auto"/>
              <w:bottom w:val="single" w:sz="8" w:space="0" w:color="auto"/>
              <w:right w:val="single" w:sz="8" w:space="0" w:color="auto"/>
            </w:tcBorders>
            <w:shd w:val="clear" w:color="auto" w:fill="auto"/>
            <w:hideMark/>
          </w:tcPr>
          <w:p w14:paraId="13DB51EF"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International diversification, firm size, premium growth all result with productive efficiency and large spread in worldwide-these have highlighted in this study through DEA approach in Swiss insurance industry.</w:t>
            </w:r>
          </w:p>
        </w:tc>
      </w:tr>
      <w:tr w:rsidR="002C178D" w:rsidRPr="002C178D" w14:paraId="709B4CED" w14:textId="77777777" w:rsidTr="00FD52EB">
        <w:trPr>
          <w:trHeight w:val="7620"/>
        </w:trPr>
        <w:tc>
          <w:tcPr>
            <w:tcW w:w="265" w:type="dxa"/>
            <w:tcBorders>
              <w:top w:val="nil"/>
              <w:left w:val="single" w:sz="8" w:space="0" w:color="auto"/>
              <w:bottom w:val="single" w:sz="8" w:space="0" w:color="auto"/>
              <w:right w:val="nil"/>
            </w:tcBorders>
            <w:shd w:val="clear" w:color="auto" w:fill="auto"/>
            <w:hideMark/>
          </w:tcPr>
          <w:p w14:paraId="1FDA0DF3"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7</w:t>
            </w:r>
          </w:p>
        </w:tc>
        <w:tc>
          <w:tcPr>
            <w:tcW w:w="536" w:type="dxa"/>
            <w:tcBorders>
              <w:top w:val="nil"/>
              <w:left w:val="single" w:sz="8" w:space="0" w:color="auto"/>
              <w:bottom w:val="single" w:sz="8" w:space="0" w:color="auto"/>
              <w:right w:val="single" w:sz="8" w:space="0" w:color="auto"/>
            </w:tcBorders>
            <w:shd w:val="clear" w:color="auto" w:fill="auto"/>
            <w:hideMark/>
          </w:tcPr>
          <w:p w14:paraId="0B55E5D1"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Fadi Abdelmuniem Abdelfattah, Muhammad Sabbir Rahman, Mohamad Osman</w:t>
            </w:r>
          </w:p>
        </w:tc>
        <w:tc>
          <w:tcPr>
            <w:tcW w:w="539" w:type="dxa"/>
            <w:tcBorders>
              <w:top w:val="nil"/>
              <w:left w:val="nil"/>
              <w:bottom w:val="single" w:sz="8" w:space="0" w:color="auto"/>
              <w:right w:val="single" w:sz="8" w:space="0" w:color="auto"/>
            </w:tcBorders>
            <w:shd w:val="clear" w:color="auto" w:fill="auto"/>
            <w:hideMark/>
          </w:tcPr>
          <w:p w14:paraId="795E41CA"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hideMark/>
          </w:tcPr>
          <w:p w14:paraId="300ECB6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Assessing the Antecedents of Customer Loyalty on Healthcare</w:t>
            </w:r>
            <w:r w:rsidRPr="002C178D">
              <w:rPr>
                <w:rFonts w:ascii="Arial" w:eastAsia="Times New Roman" w:hAnsi="Arial" w:cs="Arial"/>
                <w:b/>
                <w:sz w:val="16"/>
                <w:szCs w:val="16"/>
              </w:rPr>
              <w:br w:type="page"/>
              <w:t>Insurance Products: Service Quality; Perceived Value Embedded Model</w:t>
            </w:r>
            <w:r w:rsidRPr="002C178D">
              <w:rPr>
                <w:rFonts w:ascii="Arial" w:eastAsia="Times New Roman" w:hAnsi="Arial" w:cs="Arial"/>
                <w:b/>
                <w:sz w:val="16"/>
                <w:szCs w:val="16"/>
              </w:rPr>
              <w:br w:type="page"/>
              <w:t>Fadi</w:t>
            </w:r>
          </w:p>
        </w:tc>
        <w:tc>
          <w:tcPr>
            <w:tcW w:w="720" w:type="dxa"/>
            <w:tcBorders>
              <w:top w:val="nil"/>
              <w:left w:val="nil"/>
              <w:bottom w:val="single" w:sz="8" w:space="0" w:color="auto"/>
              <w:right w:val="single" w:sz="8" w:space="0" w:color="auto"/>
            </w:tcBorders>
            <w:shd w:val="clear" w:color="auto" w:fill="auto"/>
            <w:hideMark/>
          </w:tcPr>
          <w:p w14:paraId="429F2E4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Industrial Engineering and Management</w:t>
            </w:r>
          </w:p>
        </w:tc>
        <w:tc>
          <w:tcPr>
            <w:tcW w:w="720" w:type="dxa"/>
            <w:tcBorders>
              <w:top w:val="nil"/>
              <w:left w:val="nil"/>
              <w:bottom w:val="single" w:sz="8" w:space="0" w:color="auto"/>
              <w:right w:val="single" w:sz="8" w:space="0" w:color="auto"/>
            </w:tcBorders>
            <w:shd w:val="clear" w:color="auto" w:fill="auto"/>
            <w:hideMark/>
          </w:tcPr>
          <w:p w14:paraId="6FBF222C"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ECONSTOR</w:t>
            </w:r>
          </w:p>
        </w:tc>
        <w:tc>
          <w:tcPr>
            <w:tcW w:w="630" w:type="dxa"/>
            <w:tcBorders>
              <w:top w:val="nil"/>
              <w:left w:val="nil"/>
              <w:bottom w:val="single" w:sz="8" w:space="0" w:color="auto"/>
              <w:right w:val="single" w:sz="8" w:space="0" w:color="auto"/>
            </w:tcBorders>
            <w:shd w:val="clear" w:color="auto" w:fill="auto"/>
            <w:hideMark/>
          </w:tcPr>
          <w:p w14:paraId="128EDDA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Malaysia</w:t>
            </w:r>
          </w:p>
        </w:tc>
        <w:tc>
          <w:tcPr>
            <w:tcW w:w="808" w:type="dxa"/>
            <w:tcBorders>
              <w:top w:val="nil"/>
              <w:left w:val="nil"/>
              <w:bottom w:val="single" w:sz="8" w:space="0" w:color="auto"/>
              <w:right w:val="single" w:sz="8" w:space="0" w:color="auto"/>
            </w:tcBorders>
            <w:shd w:val="clear" w:color="auto" w:fill="auto"/>
            <w:hideMark/>
          </w:tcPr>
          <w:p w14:paraId="0DDA509F"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hideMark/>
          </w:tcPr>
          <w:p w14:paraId="0B53AE6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Information from the healthcare insurance customers in Kang Valley, Malaysia(Through a set of Questionnaire),</w:t>
            </w:r>
          </w:p>
        </w:tc>
        <w:tc>
          <w:tcPr>
            <w:tcW w:w="1080" w:type="dxa"/>
            <w:tcBorders>
              <w:top w:val="nil"/>
              <w:left w:val="nil"/>
              <w:bottom w:val="single" w:sz="8" w:space="0" w:color="auto"/>
              <w:right w:val="single" w:sz="8" w:space="0" w:color="auto"/>
            </w:tcBorders>
            <w:shd w:val="clear" w:color="auto" w:fill="auto"/>
            <w:hideMark/>
          </w:tcPr>
          <w:p w14:paraId="245608D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Race,Gender,Age,Subscription period of healthcare insurance, type of healthcare insurance,Employment,educational background, marital status, Functional qualities(FQ),Technical Qualities(TQ),Firms Value(FV),Customer Perceived Value(CPV),Customers' loyalty</w:t>
            </w:r>
          </w:p>
        </w:tc>
        <w:tc>
          <w:tcPr>
            <w:tcW w:w="1260" w:type="dxa"/>
            <w:tcBorders>
              <w:top w:val="nil"/>
              <w:left w:val="nil"/>
              <w:bottom w:val="single" w:sz="8" w:space="0" w:color="auto"/>
              <w:right w:val="single" w:sz="8" w:space="0" w:color="auto"/>
            </w:tcBorders>
            <w:shd w:val="clear" w:color="auto" w:fill="auto"/>
            <w:hideMark/>
          </w:tcPr>
          <w:p w14:paraId="139F24F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Sampling Method, Principle Component Analysis(PCA),Confirmatory Factor Analysis(CFA),CHI-SQUARE test, Root mean square error of approximation(RMSEA),Goodness-of-fit index(GFI),Adjusted goodness-of-fit index(AGFI),Normed fit index(NFI),Comparative fit index(CFI),Structural equation modeling(SEM),</w:t>
            </w:r>
          </w:p>
        </w:tc>
        <w:tc>
          <w:tcPr>
            <w:tcW w:w="990" w:type="dxa"/>
            <w:tcBorders>
              <w:top w:val="nil"/>
              <w:left w:val="nil"/>
              <w:bottom w:val="single" w:sz="8" w:space="0" w:color="auto"/>
              <w:right w:val="single" w:sz="8" w:space="0" w:color="auto"/>
            </w:tcBorders>
            <w:shd w:val="clear" w:color="auto" w:fill="auto"/>
            <w:hideMark/>
          </w:tcPr>
          <w:p w14:paraId="5B5AA67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rivalry of the insurance industry in Malaysia is more intensified now than ever before.</w:t>
            </w:r>
          </w:p>
        </w:tc>
        <w:tc>
          <w:tcPr>
            <w:tcW w:w="1496" w:type="dxa"/>
            <w:tcBorders>
              <w:top w:val="nil"/>
              <w:left w:val="nil"/>
              <w:bottom w:val="single" w:sz="8" w:space="0" w:color="auto"/>
              <w:right w:val="nil"/>
            </w:tcBorders>
            <w:shd w:val="clear" w:color="auto" w:fill="auto"/>
            <w:hideMark/>
          </w:tcPr>
          <w:p w14:paraId="3FB0478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Healthcare insurance customers are highly influenced by service quality followed by the perceived value in reaching their loyalty towards a particular health insurance service provider.</w:t>
            </w:r>
            <w:r w:rsidRPr="002C178D">
              <w:rPr>
                <w:rFonts w:ascii="Arial" w:eastAsia="Times New Roman" w:hAnsi="Arial" w:cs="Arial"/>
                <w:b/>
                <w:sz w:val="16"/>
                <w:szCs w:val="16"/>
              </w:rPr>
              <w:br w:type="page"/>
            </w:r>
          </w:p>
        </w:tc>
        <w:tc>
          <w:tcPr>
            <w:tcW w:w="1700" w:type="dxa"/>
            <w:tcBorders>
              <w:top w:val="nil"/>
              <w:left w:val="single" w:sz="8" w:space="0" w:color="auto"/>
              <w:bottom w:val="single" w:sz="8" w:space="0" w:color="auto"/>
              <w:right w:val="single" w:sz="8" w:space="0" w:color="auto"/>
            </w:tcBorders>
            <w:shd w:val="clear" w:color="auto" w:fill="auto"/>
            <w:hideMark/>
          </w:tcPr>
          <w:p w14:paraId="68B48691"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The mediation role of perceived value in between service quality &amp; Customers' loyalty on health insurance in properly clarified through systematic analysis.</w:t>
            </w:r>
          </w:p>
        </w:tc>
      </w:tr>
      <w:tr w:rsidR="002C178D" w:rsidRPr="002C178D" w14:paraId="4CE510A7" w14:textId="77777777" w:rsidTr="00FD52EB">
        <w:trPr>
          <w:trHeight w:val="5070"/>
        </w:trPr>
        <w:tc>
          <w:tcPr>
            <w:tcW w:w="265" w:type="dxa"/>
            <w:tcBorders>
              <w:top w:val="nil"/>
              <w:left w:val="single" w:sz="8" w:space="0" w:color="auto"/>
              <w:bottom w:val="single" w:sz="8" w:space="0" w:color="auto"/>
              <w:right w:val="nil"/>
            </w:tcBorders>
            <w:shd w:val="clear" w:color="auto" w:fill="auto"/>
            <w:hideMark/>
          </w:tcPr>
          <w:p w14:paraId="10E321A7"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8</w:t>
            </w:r>
          </w:p>
        </w:tc>
        <w:tc>
          <w:tcPr>
            <w:tcW w:w="536" w:type="dxa"/>
            <w:tcBorders>
              <w:top w:val="nil"/>
              <w:left w:val="single" w:sz="8" w:space="0" w:color="auto"/>
              <w:bottom w:val="single" w:sz="8" w:space="0" w:color="auto"/>
              <w:right w:val="single" w:sz="8" w:space="0" w:color="auto"/>
            </w:tcBorders>
            <w:shd w:val="clear" w:color="auto" w:fill="auto"/>
            <w:hideMark/>
          </w:tcPr>
          <w:p w14:paraId="748EB96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 </w:t>
            </w:r>
          </w:p>
        </w:tc>
        <w:tc>
          <w:tcPr>
            <w:tcW w:w="539" w:type="dxa"/>
            <w:tcBorders>
              <w:top w:val="nil"/>
              <w:left w:val="nil"/>
              <w:bottom w:val="single" w:sz="8" w:space="0" w:color="auto"/>
              <w:right w:val="single" w:sz="8" w:space="0" w:color="auto"/>
            </w:tcBorders>
            <w:shd w:val="clear" w:color="auto" w:fill="auto"/>
            <w:hideMark/>
          </w:tcPr>
          <w:p w14:paraId="226B143C"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hideMark/>
          </w:tcPr>
          <w:p w14:paraId="00F412A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Islamic marketing paradoxes: a way to understand it again...</w:t>
            </w:r>
          </w:p>
        </w:tc>
        <w:tc>
          <w:tcPr>
            <w:tcW w:w="720" w:type="dxa"/>
            <w:tcBorders>
              <w:top w:val="nil"/>
              <w:left w:val="nil"/>
              <w:bottom w:val="single" w:sz="8" w:space="0" w:color="auto"/>
              <w:right w:val="single" w:sz="8" w:space="0" w:color="auto"/>
            </w:tcBorders>
            <w:shd w:val="clear" w:color="auto" w:fill="auto"/>
            <w:hideMark/>
          </w:tcPr>
          <w:p w14:paraId="2E7C1D68"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Islamic Marketing</w:t>
            </w:r>
          </w:p>
        </w:tc>
        <w:tc>
          <w:tcPr>
            <w:tcW w:w="720" w:type="dxa"/>
            <w:tcBorders>
              <w:top w:val="nil"/>
              <w:left w:val="nil"/>
              <w:bottom w:val="single" w:sz="8" w:space="0" w:color="auto"/>
              <w:right w:val="single" w:sz="8" w:space="0" w:color="auto"/>
            </w:tcBorders>
            <w:shd w:val="clear" w:color="auto" w:fill="auto"/>
            <w:hideMark/>
          </w:tcPr>
          <w:p w14:paraId="6A80F3F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Emerald Insight</w:t>
            </w:r>
          </w:p>
        </w:tc>
        <w:tc>
          <w:tcPr>
            <w:tcW w:w="630" w:type="dxa"/>
            <w:tcBorders>
              <w:top w:val="nil"/>
              <w:left w:val="nil"/>
              <w:bottom w:val="single" w:sz="8" w:space="0" w:color="auto"/>
              <w:right w:val="single" w:sz="8" w:space="0" w:color="auto"/>
            </w:tcBorders>
            <w:shd w:val="clear" w:color="auto" w:fill="auto"/>
            <w:hideMark/>
          </w:tcPr>
          <w:p w14:paraId="701C90F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UAE</w:t>
            </w:r>
          </w:p>
        </w:tc>
        <w:tc>
          <w:tcPr>
            <w:tcW w:w="808" w:type="dxa"/>
            <w:tcBorders>
              <w:top w:val="nil"/>
              <w:left w:val="nil"/>
              <w:bottom w:val="single" w:sz="8" w:space="0" w:color="auto"/>
              <w:right w:val="single" w:sz="8" w:space="0" w:color="auto"/>
            </w:tcBorders>
            <w:shd w:val="clear" w:color="auto" w:fill="auto"/>
            <w:hideMark/>
          </w:tcPr>
          <w:p w14:paraId="12F1BB9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1995-2016</w:t>
            </w:r>
          </w:p>
        </w:tc>
        <w:tc>
          <w:tcPr>
            <w:tcW w:w="900" w:type="dxa"/>
            <w:tcBorders>
              <w:top w:val="nil"/>
              <w:left w:val="nil"/>
              <w:bottom w:val="single" w:sz="8" w:space="0" w:color="auto"/>
              <w:right w:val="single" w:sz="8" w:space="0" w:color="auto"/>
            </w:tcBorders>
            <w:shd w:val="clear" w:color="auto" w:fill="auto"/>
            <w:hideMark/>
          </w:tcPr>
          <w:p w14:paraId="5EB6F09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Primary and Secondary Data</w:t>
            </w:r>
          </w:p>
        </w:tc>
        <w:tc>
          <w:tcPr>
            <w:tcW w:w="1080" w:type="dxa"/>
            <w:tcBorders>
              <w:top w:val="nil"/>
              <w:left w:val="nil"/>
              <w:bottom w:val="single" w:sz="8" w:space="0" w:color="auto"/>
              <w:right w:val="single" w:sz="8" w:space="0" w:color="auto"/>
            </w:tcBorders>
            <w:shd w:val="clear" w:color="auto" w:fill="auto"/>
            <w:hideMark/>
          </w:tcPr>
          <w:p w14:paraId="2B37BA8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Muslims’ increasing growth rates, increasing immigration to other non-Muslims’ countries, globalization, information technology and communication revolution.</w:t>
            </w:r>
            <w:r w:rsidRPr="002C178D">
              <w:rPr>
                <w:rFonts w:ascii="Arial" w:eastAsia="Times New Roman" w:hAnsi="Arial" w:cs="Arial"/>
                <w:b/>
                <w:sz w:val="16"/>
                <w:szCs w:val="16"/>
              </w:rPr>
              <w:br w:type="page"/>
            </w:r>
          </w:p>
        </w:tc>
        <w:tc>
          <w:tcPr>
            <w:tcW w:w="1260" w:type="dxa"/>
            <w:tcBorders>
              <w:top w:val="nil"/>
              <w:left w:val="nil"/>
              <w:bottom w:val="single" w:sz="8" w:space="0" w:color="auto"/>
              <w:right w:val="single" w:sz="8" w:space="0" w:color="auto"/>
            </w:tcBorders>
            <w:shd w:val="clear" w:color="auto" w:fill="auto"/>
            <w:hideMark/>
          </w:tcPr>
          <w:p w14:paraId="13FC7ED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paper is conceptual in nature. It is based on several assumptions of IM concepts and implications that were originated from literature. Couple of arguments were addressed deeply:</w:t>
            </w:r>
            <w:r w:rsidRPr="002C178D">
              <w:rPr>
                <w:rFonts w:ascii="Arial" w:eastAsia="Times New Roman" w:hAnsi="Arial" w:cs="Arial"/>
                <w:b/>
                <w:sz w:val="16"/>
                <w:szCs w:val="16"/>
              </w:rPr>
              <w:br w:type="page"/>
              <w:t>(1) the contradiction between conventional and IM, and the success of the non-Muslim companies before the emerging of IM, (2) the importance of IM in the current era, (3) the nature of the lens that is used in understanding IM, and (4) Islam as marketing tool or IM as a tool to promote Islam.</w:t>
            </w:r>
          </w:p>
        </w:tc>
        <w:tc>
          <w:tcPr>
            <w:tcW w:w="990" w:type="dxa"/>
            <w:tcBorders>
              <w:top w:val="nil"/>
              <w:left w:val="nil"/>
              <w:bottom w:val="single" w:sz="8" w:space="0" w:color="auto"/>
              <w:right w:val="single" w:sz="8" w:space="0" w:color="auto"/>
            </w:tcBorders>
            <w:shd w:val="clear" w:color="auto" w:fill="auto"/>
            <w:hideMark/>
          </w:tcPr>
          <w:p w14:paraId="589A490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Is there any contradiction between conventional marketing and Islamic marketing? Why many non-Muslims’ companies succeed in Islamic markets hundred years ago, although this new IM field did not exist then?</w:t>
            </w:r>
            <w:r w:rsidRPr="002C178D">
              <w:rPr>
                <w:rFonts w:ascii="Arial" w:eastAsia="Times New Roman" w:hAnsi="Arial" w:cs="Arial"/>
                <w:b/>
                <w:sz w:val="16"/>
                <w:szCs w:val="16"/>
              </w:rPr>
              <w:br w:type="page"/>
            </w:r>
            <w:r w:rsidRPr="002C178D">
              <w:rPr>
                <w:rFonts w:ascii="Arial" w:eastAsia="Times New Roman" w:hAnsi="Arial" w:cs="Arial"/>
                <w:b/>
                <w:sz w:val="16"/>
                <w:szCs w:val="16"/>
              </w:rPr>
              <w:br w:type="page"/>
              <w:t>2) With which lens IM should be understood: with a holistic lens that include all macro environmental factors or with religious lens as a dominant factor in the market?</w:t>
            </w:r>
            <w:r w:rsidRPr="002C178D">
              <w:rPr>
                <w:rFonts w:ascii="Arial" w:eastAsia="Times New Roman" w:hAnsi="Arial" w:cs="Arial"/>
                <w:b/>
                <w:sz w:val="16"/>
                <w:szCs w:val="16"/>
              </w:rPr>
              <w:br w:type="page"/>
            </w:r>
            <w:r w:rsidRPr="002C178D">
              <w:rPr>
                <w:rFonts w:ascii="Arial" w:eastAsia="Times New Roman" w:hAnsi="Arial" w:cs="Arial"/>
                <w:b/>
                <w:sz w:val="16"/>
                <w:szCs w:val="16"/>
              </w:rPr>
              <w:br w:type="page"/>
              <w:t>3) Does Islamic marketing use Islam as a marketing tool or it’ used as a tool to promote Islam?</w:t>
            </w:r>
          </w:p>
        </w:tc>
        <w:tc>
          <w:tcPr>
            <w:tcW w:w="1496" w:type="dxa"/>
            <w:tcBorders>
              <w:top w:val="nil"/>
              <w:left w:val="nil"/>
              <w:bottom w:val="single" w:sz="8" w:space="0" w:color="auto"/>
              <w:right w:val="nil"/>
            </w:tcBorders>
            <w:shd w:val="clear" w:color="auto" w:fill="auto"/>
            <w:hideMark/>
          </w:tcPr>
          <w:p w14:paraId="31F1873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There is no apparent difference between conventional marketing and Islamic marketing as it is built with the core conventional principles other than the Shariah Practices.</w:t>
            </w:r>
            <w:r w:rsidRPr="002C178D">
              <w:rPr>
                <w:rFonts w:ascii="Arial" w:eastAsia="Times New Roman" w:hAnsi="Arial" w:cs="Arial"/>
                <w:b/>
                <w:sz w:val="16"/>
                <w:szCs w:val="16"/>
              </w:rPr>
              <w:br w:type="page"/>
            </w:r>
            <w:r w:rsidRPr="002C178D">
              <w:rPr>
                <w:rFonts w:ascii="Arial" w:eastAsia="Times New Roman" w:hAnsi="Arial" w:cs="Arial"/>
                <w:b/>
                <w:sz w:val="16"/>
                <w:szCs w:val="16"/>
              </w:rPr>
              <w:br w:type="page"/>
              <w:t>2) Focus on holistic lens on the understanding of the Muslim market in context of the particular practices and perceptions of that specific market.</w:t>
            </w:r>
            <w:r w:rsidRPr="002C178D">
              <w:rPr>
                <w:rFonts w:ascii="Arial" w:eastAsia="Times New Roman" w:hAnsi="Arial" w:cs="Arial"/>
                <w:b/>
                <w:sz w:val="16"/>
                <w:szCs w:val="16"/>
              </w:rPr>
              <w:br w:type="page"/>
            </w:r>
            <w:r w:rsidRPr="002C178D">
              <w:rPr>
                <w:rFonts w:ascii="Arial" w:eastAsia="Times New Roman" w:hAnsi="Arial" w:cs="Arial"/>
                <w:b/>
                <w:sz w:val="16"/>
                <w:szCs w:val="16"/>
              </w:rPr>
              <w:br w:type="page"/>
              <w:t>3) Islam is not a marketing tool, but a mere backbone to prevail the IM field.</w:t>
            </w:r>
          </w:p>
        </w:tc>
        <w:tc>
          <w:tcPr>
            <w:tcW w:w="1700" w:type="dxa"/>
            <w:tcBorders>
              <w:top w:val="nil"/>
              <w:left w:val="single" w:sz="8" w:space="0" w:color="auto"/>
              <w:bottom w:val="single" w:sz="8" w:space="0" w:color="auto"/>
              <w:right w:val="single" w:sz="8" w:space="0" w:color="auto"/>
            </w:tcBorders>
            <w:shd w:val="clear" w:color="auto" w:fill="auto"/>
            <w:hideMark/>
          </w:tcPr>
          <w:p w14:paraId="19DCF664"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Conventional marketing fails to fulfill the Islamic aspiration, and directs to enhance the seller’s behavior instead of the consumer’s behavior. It stresses on the principle of self-interest maximization and managers</w:t>
            </w:r>
            <w:r w:rsidRPr="002C178D">
              <w:rPr>
                <w:rFonts w:ascii="Arial" w:eastAsia="Times New Roman" w:hAnsi="Arial" w:cs="Arial"/>
                <w:b/>
                <w:bCs/>
                <w:i/>
                <w:iCs/>
                <w:sz w:val="16"/>
                <w:szCs w:val="16"/>
              </w:rPr>
              <w:br w:type="page"/>
              <w:t xml:space="preserve">and individual consumer’s benefits, with no weight to individual, societal and the planet welfare and well-being while the main objective of IM is to improve people’s health, welfare and quality. Employing Islamic ideas and values to gain more profits is an important concern for IM. Using IM to gain profit is absolutely permissible in Islam as long as the trade is permissible. But, this is not the issue of discussion. The dangerous is to confine Islam to a “marketing tool” and using it as a mean to exploit the religious sense of customers. </w:t>
            </w:r>
            <w:r w:rsidRPr="002C178D">
              <w:rPr>
                <w:rFonts w:ascii="Arial" w:eastAsia="Times New Roman" w:hAnsi="Arial" w:cs="Arial"/>
                <w:b/>
                <w:bCs/>
                <w:i/>
                <w:iCs/>
                <w:sz w:val="16"/>
                <w:szCs w:val="16"/>
              </w:rPr>
              <w:br w:type="page"/>
            </w:r>
            <w:r w:rsidRPr="002C178D">
              <w:rPr>
                <w:rFonts w:ascii="Arial" w:eastAsia="Times New Roman" w:hAnsi="Arial" w:cs="Arial"/>
                <w:b/>
                <w:bCs/>
                <w:i/>
                <w:iCs/>
                <w:sz w:val="16"/>
                <w:szCs w:val="16"/>
              </w:rPr>
              <w:br w:type="page"/>
            </w:r>
          </w:p>
        </w:tc>
      </w:tr>
      <w:tr w:rsidR="002C178D" w:rsidRPr="002C178D" w14:paraId="5BE724BF" w14:textId="77777777" w:rsidTr="00FD52EB">
        <w:trPr>
          <w:trHeight w:val="2360"/>
        </w:trPr>
        <w:tc>
          <w:tcPr>
            <w:tcW w:w="265" w:type="dxa"/>
            <w:tcBorders>
              <w:top w:val="nil"/>
              <w:left w:val="single" w:sz="8" w:space="0" w:color="auto"/>
              <w:bottom w:val="single" w:sz="8" w:space="0" w:color="auto"/>
              <w:right w:val="nil"/>
            </w:tcBorders>
            <w:shd w:val="clear" w:color="auto" w:fill="auto"/>
            <w:vAlign w:val="bottom"/>
            <w:hideMark/>
          </w:tcPr>
          <w:p w14:paraId="0ABCA499"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10</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0203317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(Adeniyi et al., 2019)</w:t>
            </w:r>
          </w:p>
        </w:tc>
        <w:tc>
          <w:tcPr>
            <w:tcW w:w="539" w:type="dxa"/>
            <w:tcBorders>
              <w:top w:val="nil"/>
              <w:left w:val="nil"/>
              <w:bottom w:val="single" w:sz="8" w:space="0" w:color="auto"/>
              <w:right w:val="single" w:sz="8" w:space="0" w:color="auto"/>
            </w:tcBorders>
            <w:shd w:val="clear" w:color="auto" w:fill="auto"/>
            <w:vAlign w:val="bottom"/>
            <w:hideMark/>
          </w:tcPr>
          <w:p w14:paraId="4F8D5854"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2019</w:t>
            </w:r>
          </w:p>
        </w:tc>
        <w:tc>
          <w:tcPr>
            <w:tcW w:w="900" w:type="dxa"/>
            <w:tcBorders>
              <w:top w:val="nil"/>
              <w:left w:val="nil"/>
              <w:bottom w:val="single" w:sz="8" w:space="0" w:color="auto"/>
              <w:right w:val="single" w:sz="8" w:space="0" w:color="auto"/>
            </w:tcBorders>
            <w:shd w:val="clear" w:color="auto" w:fill="auto"/>
            <w:vAlign w:val="bottom"/>
            <w:hideMark/>
          </w:tcPr>
          <w:p w14:paraId="7C826DE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Insurance Companies and the Efficiency of Financial Intermediation in Nigeria</w:t>
            </w:r>
          </w:p>
        </w:tc>
        <w:tc>
          <w:tcPr>
            <w:tcW w:w="720" w:type="dxa"/>
            <w:tcBorders>
              <w:top w:val="nil"/>
              <w:left w:val="nil"/>
              <w:bottom w:val="single" w:sz="8" w:space="0" w:color="auto"/>
              <w:right w:val="single" w:sz="8" w:space="0" w:color="auto"/>
            </w:tcBorders>
            <w:shd w:val="clear" w:color="auto" w:fill="auto"/>
            <w:vAlign w:val="bottom"/>
            <w:hideMark/>
          </w:tcPr>
          <w:p w14:paraId="32BF0A2A"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American International Journal of Economics and Finance Research</w:t>
            </w:r>
          </w:p>
        </w:tc>
        <w:tc>
          <w:tcPr>
            <w:tcW w:w="720" w:type="dxa"/>
            <w:tcBorders>
              <w:top w:val="nil"/>
              <w:left w:val="nil"/>
              <w:bottom w:val="single" w:sz="8" w:space="0" w:color="auto"/>
              <w:right w:val="single" w:sz="8" w:space="0" w:color="auto"/>
            </w:tcBorders>
            <w:shd w:val="clear" w:color="auto" w:fill="auto"/>
            <w:vAlign w:val="bottom"/>
            <w:hideMark/>
          </w:tcPr>
          <w:p w14:paraId="65F5BF9A"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American Center of Science and Education, USA</w:t>
            </w:r>
          </w:p>
        </w:tc>
        <w:tc>
          <w:tcPr>
            <w:tcW w:w="630" w:type="dxa"/>
            <w:tcBorders>
              <w:top w:val="nil"/>
              <w:left w:val="nil"/>
              <w:bottom w:val="single" w:sz="8" w:space="0" w:color="auto"/>
              <w:right w:val="single" w:sz="8" w:space="0" w:color="auto"/>
            </w:tcBorders>
            <w:shd w:val="clear" w:color="auto" w:fill="auto"/>
            <w:vAlign w:val="bottom"/>
            <w:hideMark/>
          </w:tcPr>
          <w:p w14:paraId="1FC468B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Nigeria</w:t>
            </w:r>
          </w:p>
        </w:tc>
        <w:tc>
          <w:tcPr>
            <w:tcW w:w="808" w:type="dxa"/>
            <w:tcBorders>
              <w:top w:val="nil"/>
              <w:left w:val="nil"/>
              <w:bottom w:val="single" w:sz="8" w:space="0" w:color="auto"/>
              <w:right w:val="single" w:sz="8" w:space="0" w:color="auto"/>
            </w:tcBorders>
            <w:shd w:val="clear" w:color="auto" w:fill="auto"/>
            <w:vAlign w:val="bottom"/>
            <w:hideMark/>
          </w:tcPr>
          <w:p w14:paraId="4CF0F77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1981-2011</w:t>
            </w:r>
          </w:p>
        </w:tc>
        <w:tc>
          <w:tcPr>
            <w:tcW w:w="900" w:type="dxa"/>
            <w:tcBorders>
              <w:top w:val="nil"/>
              <w:left w:val="nil"/>
              <w:bottom w:val="single" w:sz="8" w:space="0" w:color="auto"/>
              <w:right w:val="single" w:sz="8" w:space="0" w:color="auto"/>
            </w:tcBorders>
            <w:shd w:val="clear" w:color="auto" w:fill="auto"/>
            <w:vAlign w:val="bottom"/>
            <w:hideMark/>
          </w:tcPr>
          <w:p w14:paraId="535152D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Central Bank of Nigeria statistical bulletin (CBN) and National Insurance Commission (NAICOM) annual report,</w:t>
            </w:r>
          </w:p>
        </w:tc>
        <w:tc>
          <w:tcPr>
            <w:tcW w:w="1080" w:type="dxa"/>
            <w:tcBorders>
              <w:top w:val="nil"/>
              <w:left w:val="nil"/>
              <w:bottom w:val="single" w:sz="8" w:space="0" w:color="auto"/>
              <w:right w:val="single" w:sz="8" w:space="0" w:color="auto"/>
            </w:tcBorders>
            <w:shd w:val="clear" w:color="auto" w:fill="auto"/>
            <w:vAlign w:val="bottom"/>
            <w:hideMark/>
          </w:tcPr>
          <w:p w14:paraId="71E2C83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Total insurance claims, total insurance incomes, other insurance expenditures, intercept parammeter,slope of regression line, stochastic terms(U),Years,</w:t>
            </w:r>
          </w:p>
        </w:tc>
        <w:tc>
          <w:tcPr>
            <w:tcW w:w="1260" w:type="dxa"/>
            <w:tcBorders>
              <w:top w:val="nil"/>
              <w:left w:val="nil"/>
              <w:bottom w:val="single" w:sz="8" w:space="0" w:color="auto"/>
              <w:right w:val="single" w:sz="8" w:space="0" w:color="auto"/>
            </w:tcBorders>
            <w:shd w:val="clear" w:color="auto" w:fill="auto"/>
            <w:vAlign w:val="bottom"/>
            <w:hideMark/>
          </w:tcPr>
          <w:p w14:paraId="2427808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Multiple regression analysis, Insurance efficiency equation[Total insurance claims=intercept parameter+(slope of regression line*total insurance claims)+(slope of regression line*other expenditures)+Stochastic terms],Analysis of Variance(ANOVA)</w:t>
            </w:r>
          </w:p>
        </w:tc>
        <w:tc>
          <w:tcPr>
            <w:tcW w:w="990" w:type="dxa"/>
            <w:tcBorders>
              <w:top w:val="nil"/>
              <w:left w:val="nil"/>
              <w:bottom w:val="single" w:sz="8" w:space="0" w:color="auto"/>
              <w:right w:val="single" w:sz="8" w:space="0" w:color="auto"/>
            </w:tcBorders>
            <w:shd w:val="clear" w:color="auto" w:fill="auto"/>
            <w:vAlign w:val="bottom"/>
            <w:hideMark/>
          </w:tcPr>
          <w:p w14:paraId="1A79BA6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Positive or strong correlation between the dependent variable and independent variable in the insurance efficiency equation. 2. Increased and positive level of efficiencies in fulfilling customer claims.</w:t>
            </w:r>
          </w:p>
        </w:tc>
        <w:tc>
          <w:tcPr>
            <w:tcW w:w="1496" w:type="dxa"/>
            <w:tcBorders>
              <w:top w:val="nil"/>
              <w:left w:val="nil"/>
              <w:bottom w:val="single" w:sz="8" w:space="0" w:color="auto"/>
              <w:right w:val="nil"/>
            </w:tcBorders>
            <w:shd w:val="clear" w:color="auto" w:fill="auto"/>
            <w:vAlign w:val="bottom"/>
            <w:hideMark/>
          </w:tcPr>
          <w:p w14:paraId="4AF06CE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Insurance companies' strategies are trying to make the funds available to support the insured customers.2 Supply of insurance fund to the insured persons has not improved. 3.neo-liberal economic policy prescription most often, failed to work through the postulated channels for developing countries like Nigeria.</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048E2326"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As in Nigeria, insurance companies are performing efficiently, it means insurers are well efficient at fulfilling their customer demand.</w:t>
            </w:r>
          </w:p>
        </w:tc>
      </w:tr>
      <w:tr w:rsidR="002C178D" w:rsidRPr="002C178D" w14:paraId="7F643CD3" w14:textId="77777777" w:rsidTr="00FD52EB">
        <w:trPr>
          <w:trHeight w:val="2260"/>
        </w:trPr>
        <w:tc>
          <w:tcPr>
            <w:tcW w:w="265" w:type="dxa"/>
            <w:tcBorders>
              <w:top w:val="nil"/>
              <w:left w:val="single" w:sz="8" w:space="0" w:color="auto"/>
              <w:bottom w:val="single" w:sz="8" w:space="0" w:color="auto"/>
              <w:right w:val="nil"/>
            </w:tcBorders>
            <w:shd w:val="clear" w:color="auto" w:fill="auto"/>
            <w:vAlign w:val="bottom"/>
            <w:hideMark/>
          </w:tcPr>
          <w:p w14:paraId="4D799937"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11</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4CF7A70D" w14:textId="77777777" w:rsidR="002C178D" w:rsidRPr="00FD52EB" w:rsidRDefault="002C178D" w:rsidP="005A705F">
            <w:pPr>
              <w:spacing w:after="0" w:line="240" w:lineRule="auto"/>
              <w:rPr>
                <w:rFonts w:ascii="Calibri" w:eastAsia="Times New Roman" w:hAnsi="Calibri" w:cs="Calibri"/>
                <w:b/>
                <w:sz w:val="12"/>
                <w:szCs w:val="12"/>
              </w:rPr>
            </w:pPr>
            <w:r w:rsidRPr="00FD52EB">
              <w:rPr>
                <w:rFonts w:ascii="Calibri" w:eastAsia="Times New Roman" w:hAnsi="Calibri" w:cs="Calibri"/>
                <w:b/>
                <w:sz w:val="12"/>
                <w:szCs w:val="12"/>
              </w:rPr>
              <w:t>(Bhatpara, 2018)</w:t>
            </w:r>
          </w:p>
        </w:tc>
        <w:tc>
          <w:tcPr>
            <w:tcW w:w="539" w:type="dxa"/>
            <w:tcBorders>
              <w:top w:val="nil"/>
              <w:left w:val="nil"/>
              <w:bottom w:val="single" w:sz="8" w:space="0" w:color="auto"/>
              <w:right w:val="single" w:sz="8" w:space="0" w:color="auto"/>
            </w:tcBorders>
            <w:shd w:val="clear" w:color="auto" w:fill="auto"/>
            <w:vAlign w:val="bottom"/>
            <w:hideMark/>
          </w:tcPr>
          <w:p w14:paraId="53D06FEB"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7E626E2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Firm Specific and Macroeconomic Variables Effects on Share Prices of Nepalese Commercial Banks and Insurance Companies</w:t>
            </w:r>
          </w:p>
        </w:tc>
        <w:tc>
          <w:tcPr>
            <w:tcW w:w="720" w:type="dxa"/>
            <w:tcBorders>
              <w:top w:val="nil"/>
              <w:left w:val="nil"/>
              <w:bottom w:val="single" w:sz="8" w:space="0" w:color="auto"/>
              <w:right w:val="single" w:sz="8" w:space="0" w:color="auto"/>
            </w:tcBorders>
            <w:shd w:val="clear" w:color="auto" w:fill="auto"/>
            <w:vAlign w:val="bottom"/>
            <w:hideMark/>
          </w:tcPr>
          <w:p w14:paraId="21298C1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Review of Integrative Business and Economics Research</w:t>
            </w:r>
          </w:p>
        </w:tc>
        <w:tc>
          <w:tcPr>
            <w:tcW w:w="720" w:type="dxa"/>
            <w:tcBorders>
              <w:top w:val="nil"/>
              <w:left w:val="nil"/>
              <w:bottom w:val="single" w:sz="8" w:space="0" w:color="auto"/>
              <w:right w:val="single" w:sz="8" w:space="0" w:color="auto"/>
            </w:tcBorders>
            <w:shd w:val="clear" w:color="auto" w:fill="auto"/>
            <w:vAlign w:val="bottom"/>
            <w:hideMark/>
          </w:tcPr>
          <w:p w14:paraId="51F01CCE"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 </w:t>
            </w:r>
          </w:p>
        </w:tc>
        <w:tc>
          <w:tcPr>
            <w:tcW w:w="630" w:type="dxa"/>
            <w:tcBorders>
              <w:top w:val="nil"/>
              <w:left w:val="nil"/>
              <w:bottom w:val="single" w:sz="8" w:space="0" w:color="auto"/>
              <w:right w:val="single" w:sz="8" w:space="0" w:color="auto"/>
            </w:tcBorders>
            <w:shd w:val="clear" w:color="auto" w:fill="auto"/>
            <w:vAlign w:val="bottom"/>
            <w:hideMark/>
          </w:tcPr>
          <w:p w14:paraId="038DEB7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Nepal</w:t>
            </w:r>
          </w:p>
        </w:tc>
        <w:tc>
          <w:tcPr>
            <w:tcW w:w="808" w:type="dxa"/>
            <w:tcBorders>
              <w:top w:val="nil"/>
              <w:left w:val="nil"/>
              <w:bottom w:val="single" w:sz="8" w:space="0" w:color="auto"/>
              <w:right w:val="single" w:sz="8" w:space="0" w:color="auto"/>
            </w:tcBorders>
            <w:shd w:val="clear" w:color="auto" w:fill="auto"/>
            <w:vAlign w:val="bottom"/>
            <w:hideMark/>
          </w:tcPr>
          <w:p w14:paraId="769026B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2009-2015</w:t>
            </w:r>
          </w:p>
        </w:tc>
        <w:tc>
          <w:tcPr>
            <w:tcW w:w="900" w:type="dxa"/>
            <w:tcBorders>
              <w:top w:val="nil"/>
              <w:left w:val="nil"/>
              <w:bottom w:val="single" w:sz="8" w:space="0" w:color="auto"/>
              <w:right w:val="single" w:sz="8" w:space="0" w:color="auto"/>
            </w:tcBorders>
            <w:shd w:val="clear" w:color="auto" w:fill="auto"/>
            <w:vAlign w:val="bottom"/>
            <w:hideMark/>
          </w:tcPr>
          <w:p w14:paraId="132B75C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126 observations from 18 commercial banks in Nepal, 2.Annual reports of selected commercial banks, 3. Supervision report by Nepal Rastra Bank</w:t>
            </w:r>
          </w:p>
        </w:tc>
        <w:tc>
          <w:tcPr>
            <w:tcW w:w="1080" w:type="dxa"/>
            <w:tcBorders>
              <w:top w:val="nil"/>
              <w:left w:val="nil"/>
              <w:bottom w:val="single" w:sz="8" w:space="0" w:color="auto"/>
              <w:right w:val="single" w:sz="8" w:space="0" w:color="auto"/>
            </w:tcBorders>
            <w:shd w:val="clear" w:color="auto" w:fill="auto"/>
            <w:vAlign w:val="bottom"/>
            <w:hideMark/>
          </w:tcPr>
          <w:p w14:paraId="05515D6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Firm specific variables: ROA, DPS, DPR,P/E ratio, size. Macroeconomic variables:independent:Money Supply(MS),Exchange Rate(ER),Inflation Rate(IR),GDP growth rate(GDPR),MPS(Market price of Shares).</w:t>
            </w:r>
          </w:p>
        </w:tc>
        <w:tc>
          <w:tcPr>
            <w:tcW w:w="1260" w:type="dxa"/>
            <w:tcBorders>
              <w:top w:val="nil"/>
              <w:left w:val="nil"/>
              <w:bottom w:val="single" w:sz="8" w:space="0" w:color="auto"/>
              <w:right w:val="single" w:sz="8" w:space="0" w:color="auto"/>
            </w:tcBorders>
            <w:shd w:val="clear" w:color="auto" w:fill="auto"/>
            <w:vAlign w:val="bottom"/>
            <w:hideMark/>
          </w:tcPr>
          <w:p w14:paraId="1D7A298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Multiple regression analysis, 2. Correlation analysis</w:t>
            </w:r>
          </w:p>
        </w:tc>
        <w:tc>
          <w:tcPr>
            <w:tcW w:w="990" w:type="dxa"/>
            <w:tcBorders>
              <w:top w:val="nil"/>
              <w:left w:val="nil"/>
              <w:bottom w:val="single" w:sz="8" w:space="0" w:color="auto"/>
              <w:right w:val="single" w:sz="8" w:space="0" w:color="auto"/>
            </w:tcBorders>
            <w:shd w:val="clear" w:color="auto" w:fill="auto"/>
            <w:vAlign w:val="bottom"/>
            <w:hideMark/>
          </w:tcPr>
          <w:p w14:paraId="72977DA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an increase in earnings per share, dividend per share, return on assets, price earnings ratio and gross domestic product leads to an increase in the market price per share. 2. Firm size &amp; Stock prize have positive correlation in between them. 3. Major Macroeconomic variables are related to share price.</w:t>
            </w:r>
          </w:p>
        </w:tc>
        <w:tc>
          <w:tcPr>
            <w:tcW w:w="1496" w:type="dxa"/>
            <w:tcBorders>
              <w:top w:val="nil"/>
              <w:left w:val="nil"/>
              <w:bottom w:val="single" w:sz="8" w:space="0" w:color="auto"/>
              <w:right w:val="nil"/>
            </w:tcBorders>
            <w:shd w:val="clear" w:color="auto" w:fill="auto"/>
            <w:vAlign w:val="bottom"/>
            <w:hideMark/>
          </w:tcPr>
          <w:p w14:paraId="38BC3B3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Major factors firm specific: ROE, ROA, EPS, DPS, P/E Ratio, size and macroeconomic: MS, GDPR, ER and IR affecting the share prices of banks and insurances companies in Nepalese context.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2837CA9A"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Factors Mentioned in this study affects a lot Nepalese stock market &amp; insurance industry.Equity investors and stock managers find this study very helpful in the case of identifying major indicators to measure Future share prices &amp; stock returns.</w:t>
            </w:r>
          </w:p>
        </w:tc>
      </w:tr>
      <w:tr w:rsidR="002C178D" w:rsidRPr="002C178D" w14:paraId="5A98C801" w14:textId="77777777" w:rsidTr="00FD52EB">
        <w:trPr>
          <w:trHeight w:val="4950"/>
        </w:trPr>
        <w:tc>
          <w:tcPr>
            <w:tcW w:w="265" w:type="dxa"/>
            <w:tcBorders>
              <w:top w:val="nil"/>
              <w:left w:val="single" w:sz="8" w:space="0" w:color="auto"/>
              <w:bottom w:val="single" w:sz="8" w:space="0" w:color="auto"/>
              <w:right w:val="nil"/>
            </w:tcBorders>
            <w:shd w:val="clear" w:color="auto" w:fill="auto"/>
            <w:vAlign w:val="bottom"/>
            <w:hideMark/>
          </w:tcPr>
          <w:p w14:paraId="437E6469"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12</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62DEF06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(Faruk &amp; Rahman, 2015)</w:t>
            </w:r>
          </w:p>
        </w:tc>
        <w:tc>
          <w:tcPr>
            <w:tcW w:w="539" w:type="dxa"/>
            <w:tcBorders>
              <w:top w:val="nil"/>
              <w:left w:val="nil"/>
              <w:bottom w:val="single" w:sz="8" w:space="0" w:color="auto"/>
              <w:right w:val="single" w:sz="8" w:space="0" w:color="auto"/>
            </w:tcBorders>
            <w:shd w:val="clear" w:color="auto" w:fill="auto"/>
            <w:vAlign w:val="bottom"/>
            <w:hideMark/>
          </w:tcPr>
          <w:p w14:paraId="1DBA6F19"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vAlign w:val="bottom"/>
            <w:hideMark/>
          </w:tcPr>
          <w:p w14:paraId="1444E25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Measuring Efficiency of Conventional Life Insurance Companies in Bangladesh and Takaful Life Insurance Companies in Malaysia: A Non-Parametric Approach</w:t>
            </w:r>
            <w:r w:rsidRPr="002C178D">
              <w:rPr>
                <w:rFonts w:ascii="Arial" w:eastAsia="Times New Roman" w:hAnsi="Arial" w:cs="Arial"/>
                <w:b/>
                <w:sz w:val="16"/>
                <w:szCs w:val="16"/>
              </w:rPr>
              <w:br w:type="page"/>
            </w:r>
          </w:p>
        </w:tc>
        <w:tc>
          <w:tcPr>
            <w:tcW w:w="720" w:type="dxa"/>
            <w:tcBorders>
              <w:top w:val="nil"/>
              <w:left w:val="nil"/>
              <w:bottom w:val="single" w:sz="8" w:space="0" w:color="auto"/>
              <w:right w:val="single" w:sz="8" w:space="0" w:color="auto"/>
            </w:tcBorders>
            <w:shd w:val="clear" w:color="auto" w:fill="auto"/>
            <w:vAlign w:val="bottom"/>
            <w:hideMark/>
          </w:tcPr>
          <w:p w14:paraId="31AB9EF6"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Management Studies and Economic Systems</w:t>
            </w:r>
          </w:p>
        </w:tc>
        <w:tc>
          <w:tcPr>
            <w:tcW w:w="720" w:type="dxa"/>
            <w:tcBorders>
              <w:top w:val="nil"/>
              <w:left w:val="nil"/>
              <w:bottom w:val="single" w:sz="8" w:space="0" w:color="auto"/>
              <w:right w:val="single" w:sz="8" w:space="0" w:color="auto"/>
            </w:tcBorders>
            <w:shd w:val="clear" w:color="auto" w:fill="auto"/>
            <w:vAlign w:val="bottom"/>
            <w:hideMark/>
          </w:tcPr>
          <w:p w14:paraId="1FFE132B"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ZARSMI</w:t>
            </w:r>
          </w:p>
        </w:tc>
        <w:tc>
          <w:tcPr>
            <w:tcW w:w="630" w:type="dxa"/>
            <w:tcBorders>
              <w:top w:val="nil"/>
              <w:left w:val="nil"/>
              <w:bottom w:val="single" w:sz="8" w:space="0" w:color="auto"/>
              <w:right w:val="single" w:sz="8" w:space="0" w:color="auto"/>
            </w:tcBorders>
            <w:shd w:val="clear" w:color="auto" w:fill="auto"/>
            <w:vAlign w:val="bottom"/>
            <w:hideMark/>
          </w:tcPr>
          <w:p w14:paraId="71321D4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Bangladesh, Malaysia</w:t>
            </w:r>
          </w:p>
        </w:tc>
        <w:tc>
          <w:tcPr>
            <w:tcW w:w="808" w:type="dxa"/>
            <w:tcBorders>
              <w:top w:val="nil"/>
              <w:left w:val="nil"/>
              <w:bottom w:val="single" w:sz="8" w:space="0" w:color="auto"/>
              <w:right w:val="single" w:sz="8" w:space="0" w:color="auto"/>
            </w:tcBorders>
            <w:shd w:val="clear" w:color="auto" w:fill="auto"/>
            <w:vAlign w:val="bottom"/>
            <w:hideMark/>
          </w:tcPr>
          <w:p w14:paraId="2A992F2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2009-2011</w:t>
            </w:r>
          </w:p>
        </w:tc>
        <w:tc>
          <w:tcPr>
            <w:tcW w:w="900" w:type="dxa"/>
            <w:tcBorders>
              <w:top w:val="nil"/>
              <w:left w:val="nil"/>
              <w:bottom w:val="single" w:sz="8" w:space="0" w:color="auto"/>
              <w:right w:val="single" w:sz="8" w:space="0" w:color="auto"/>
            </w:tcBorders>
            <w:shd w:val="clear" w:color="auto" w:fill="auto"/>
            <w:vAlign w:val="bottom"/>
            <w:hideMark/>
          </w:tcPr>
          <w:p w14:paraId="51B23A8A" w14:textId="77777777" w:rsidR="002C178D" w:rsidRPr="002C178D" w:rsidRDefault="002C178D" w:rsidP="00307AFC">
            <w:pPr>
              <w:spacing w:after="0" w:line="240" w:lineRule="auto"/>
              <w:rPr>
                <w:rFonts w:ascii="Arial" w:eastAsia="Times New Roman" w:hAnsi="Arial" w:cs="Arial"/>
                <w:b/>
                <w:bCs/>
                <w:sz w:val="16"/>
                <w:szCs w:val="16"/>
              </w:rPr>
            </w:pPr>
            <w:r w:rsidRPr="002C178D">
              <w:rPr>
                <w:rFonts w:ascii="Arial" w:eastAsia="Times New Roman" w:hAnsi="Arial" w:cs="Arial"/>
                <w:b/>
                <w:bCs/>
                <w:sz w:val="16"/>
                <w:szCs w:val="16"/>
              </w:rPr>
              <w:t xml:space="preserve">!0 life insurance companies from Bangladesh. Five Malaysian takaful life insurance companies </w:t>
            </w:r>
          </w:p>
        </w:tc>
        <w:tc>
          <w:tcPr>
            <w:tcW w:w="1080" w:type="dxa"/>
            <w:tcBorders>
              <w:top w:val="nil"/>
              <w:left w:val="nil"/>
              <w:bottom w:val="single" w:sz="8" w:space="0" w:color="auto"/>
              <w:right w:val="single" w:sz="8" w:space="0" w:color="auto"/>
            </w:tcBorders>
            <w:shd w:val="clear" w:color="auto" w:fill="auto"/>
            <w:vAlign w:val="bottom"/>
            <w:hideMark/>
          </w:tcPr>
          <w:p w14:paraId="3D7C9E6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Total Factor Productivity, Commissions expense, Management expenses, Premium income &amp; Net investment income.</w:t>
            </w:r>
          </w:p>
        </w:tc>
        <w:tc>
          <w:tcPr>
            <w:tcW w:w="1260" w:type="dxa"/>
            <w:tcBorders>
              <w:top w:val="nil"/>
              <w:left w:val="nil"/>
              <w:bottom w:val="single" w:sz="8" w:space="0" w:color="auto"/>
              <w:right w:val="single" w:sz="8" w:space="0" w:color="auto"/>
            </w:tcBorders>
            <w:shd w:val="clear" w:color="auto" w:fill="auto"/>
            <w:vAlign w:val="bottom"/>
            <w:hideMark/>
          </w:tcPr>
          <w:p w14:paraId="70D54F7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Data Envelopment Analysis (DEA) &amp; 2. Malmquist index </w:t>
            </w:r>
          </w:p>
        </w:tc>
        <w:tc>
          <w:tcPr>
            <w:tcW w:w="990" w:type="dxa"/>
            <w:tcBorders>
              <w:top w:val="nil"/>
              <w:left w:val="nil"/>
              <w:bottom w:val="single" w:sz="8" w:space="0" w:color="auto"/>
              <w:right w:val="single" w:sz="8" w:space="0" w:color="auto"/>
            </w:tcBorders>
            <w:shd w:val="clear" w:color="auto" w:fill="auto"/>
            <w:vAlign w:val="bottom"/>
            <w:hideMark/>
          </w:tcPr>
          <w:p w14:paraId="4257ADE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 Size of the companies has a very limited influence in affecting efficiency changes.</w:t>
            </w:r>
          </w:p>
        </w:tc>
        <w:tc>
          <w:tcPr>
            <w:tcW w:w="1496" w:type="dxa"/>
            <w:tcBorders>
              <w:top w:val="nil"/>
              <w:left w:val="nil"/>
              <w:bottom w:val="single" w:sz="8" w:space="0" w:color="auto"/>
              <w:right w:val="nil"/>
            </w:tcBorders>
            <w:shd w:val="clear" w:color="auto" w:fill="auto"/>
            <w:vAlign w:val="bottom"/>
            <w:hideMark/>
          </w:tcPr>
          <w:p w14:paraId="38B8416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Popular and Sun life have occupied the highest and lowest rank respectively.2. Insignificant improvement,3. Diminutive significant growth in technical components,4.Life insurance industries have a great potential to further increase their TFP through improvements in both efficiency and technical component such</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0FB2D4C2"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This study has apparently revealed the differences in life insurance efficiencies between Bangladesh &amp; Malaysia. Further actions include-focusing on promotional actions, Marketing influences, Development for customer satisfaction, stability in requirements and property, monitoring rival nations' functions.</w:t>
            </w:r>
          </w:p>
        </w:tc>
      </w:tr>
      <w:tr w:rsidR="002C178D" w:rsidRPr="002C178D" w14:paraId="6FAD3627" w14:textId="77777777" w:rsidTr="00FD52EB">
        <w:trPr>
          <w:trHeight w:val="1970"/>
        </w:trPr>
        <w:tc>
          <w:tcPr>
            <w:tcW w:w="265" w:type="dxa"/>
            <w:tcBorders>
              <w:top w:val="nil"/>
              <w:left w:val="single" w:sz="8" w:space="0" w:color="auto"/>
              <w:bottom w:val="single" w:sz="8" w:space="0" w:color="auto"/>
              <w:right w:val="nil"/>
            </w:tcBorders>
            <w:shd w:val="clear" w:color="auto" w:fill="auto"/>
            <w:vAlign w:val="bottom"/>
            <w:hideMark/>
          </w:tcPr>
          <w:p w14:paraId="323DAAAD"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13</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02C9804C"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(Bryce et al., 2016)</w:t>
            </w:r>
          </w:p>
        </w:tc>
        <w:tc>
          <w:tcPr>
            <w:tcW w:w="539" w:type="dxa"/>
            <w:tcBorders>
              <w:top w:val="nil"/>
              <w:left w:val="nil"/>
              <w:bottom w:val="single" w:sz="8" w:space="0" w:color="auto"/>
              <w:right w:val="single" w:sz="8" w:space="0" w:color="auto"/>
            </w:tcBorders>
            <w:shd w:val="clear" w:color="auto" w:fill="auto"/>
            <w:vAlign w:val="bottom"/>
            <w:hideMark/>
          </w:tcPr>
          <w:p w14:paraId="074BA819"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vAlign w:val="bottom"/>
            <w:hideMark/>
          </w:tcPr>
          <w:p w14:paraId="7C7C7B4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Should the Insurance Industry be Banking on Risk Escalation for Solvency II?</w:t>
            </w:r>
          </w:p>
        </w:tc>
        <w:tc>
          <w:tcPr>
            <w:tcW w:w="720" w:type="dxa"/>
            <w:tcBorders>
              <w:top w:val="nil"/>
              <w:left w:val="nil"/>
              <w:bottom w:val="single" w:sz="8" w:space="0" w:color="auto"/>
              <w:right w:val="single" w:sz="8" w:space="0" w:color="auto"/>
            </w:tcBorders>
            <w:shd w:val="clear" w:color="auto" w:fill="auto"/>
            <w:vAlign w:val="bottom"/>
            <w:hideMark/>
          </w:tcPr>
          <w:p w14:paraId="4E93675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Review of Financial Analysis</w:t>
            </w:r>
          </w:p>
        </w:tc>
        <w:tc>
          <w:tcPr>
            <w:tcW w:w="720" w:type="dxa"/>
            <w:tcBorders>
              <w:top w:val="nil"/>
              <w:left w:val="nil"/>
              <w:bottom w:val="single" w:sz="8" w:space="0" w:color="auto"/>
              <w:right w:val="single" w:sz="8" w:space="0" w:color="auto"/>
            </w:tcBorders>
            <w:shd w:val="clear" w:color="auto" w:fill="auto"/>
            <w:vAlign w:val="bottom"/>
            <w:hideMark/>
          </w:tcPr>
          <w:p w14:paraId="07EF996C"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 B.V</w:t>
            </w:r>
          </w:p>
        </w:tc>
        <w:tc>
          <w:tcPr>
            <w:tcW w:w="630" w:type="dxa"/>
            <w:tcBorders>
              <w:top w:val="nil"/>
              <w:left w:val="nil"/>
              <w:bottom w:val="single" w:sz="8" w:space="0" w:color="auto"/>
              <w:right w:val="single" w:sz="8" w:space="0" w:color="auto"/>
            </w:tcBorders>
            <w:shd w:val="clear" w:color="auto" w:fill="auto"/>
            <w:vAlign w:val="bottom"/>
            <w:hideMark/>
          </w:tcPr>
          <w:p w14:paraId="0DDD758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United Kingdom(UK)</w:t>
            </w:r>
          </w:p>
        </w:tc>
        <w:tc>
          <w:tcPr>
            <w:tcW w:w="808" w:type="dxa"/>
            <w:tcBorders>
              <w:top w:val="nil"/>
              <w:left w:val="nil"/>
              <w:bottom w:val="single" w:sz="8" w:space="0" w:color="auto"/>
              <w:right w:val="single" w:sz="8" w:space="0" w:color="auto"/>
            </w:tcBorders>
            <w:shd w:val="clear" w:color="auto" w:fill="auto"/>
            <w:vAlign w:val="bottom"/>
            <w:hideMark/>
          </w:tcPr>
          <w:p w14:paraId="03F2F68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2004-2014</w:t>
            </w:r>
          </w:p>
        </w:tc>
        <w:tc>
          <w:tcPr>
            <w:tcW w:w="900" w:type="dxa"/>
            <w:tcBorders>
              <w:top w:val="nil"/>
              <w:left w:val="nil"/>
              <w:bottom w:val="single" w:sz="8" w:space="0" w:color="auto"/>
              <w:right w:val="single" w:sz="8" w:space="0" w:color="auto"/>
            </w:tcBorders>
            <w:shd w:val="clear" w:color="auto" w:fill="auto"/>
            <w:vAlign w:val="bottom"/>
            <w:hideMark/>
          </w:tcPr>
          <w:p w14:paraId="1AE8E9F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UK Insurance Companies</w:t>
            </w:r>
          </w:p>
        </w:tc>
        <w:tc>
          <w:tcPr>
            <w:tcW w:w="1080" w:type="dxa"/>
            <w:tcBorders>
              <w:top w:val="nil"/>
              <w:left w:val="nil"/>
              <w:bottom w:val="single" w:sz="8" w:space="0" w:color="auto"/>
              <w:right w:val="single" w:sz="8" w:space="0" w:color="auto"/>
            </w:tcBorders>
            <w:shd w:val="clear" w:color="auto" w:fill="auto"/>
            <w:vAlign w:val="bottom"/>
            <w:hideMark/>
          </w:tcPr>
          <w:p w14:paraId="7463AC4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Risk integrity, Job role, Volume of calls, Length of time spent in role, Education</w:t>
            </w:r>
          </w:p>
        </w:tc>
        <w:tc>
          <w:tcPr>
            <w:tcW w:w="1260" w:type="dxa"/>
            <w:tcBorders>
              <w:top w:val="nil"/>
              <w:left w:val="nil"/>
              <w:bottom w:val="single" w:sz="8" w:space="0" w:color="auto"/>
              <w:right w:val="single" w:sz="8" w:space="0" w:color="auto"/>
            </w:tcBorders>
            <w:shd w:val="clear" w:color="auto" w:fill="auto"/>
            <w:vAlign w:val="bottom"/>
            <w:hideMark/>
          </w:tcPr>
          <w:p w14:paraId="2ED4DE9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Standard statistical methods, 2.Confirmatory Factor Analysis, 3.Structural Equation Modeling</w:t>
            </w:r>
          </w:p>
        </w:tc>
        <w:tc>
          <w:tcPr>
            <w:tcW w:w="990" w:type="dxa"/>
            <w:tcBorders>
              <w:top w:val="nil"/>
              <w:left w:val="nil"/>
              <w:bottom w:val="single" w:sz="8" w:space="0" w:color="auto"/>
              <w:right w:val="single" w:sz="8" w:space="0" w:color="auto"/>
            </w:tcBorders>
            <w:shd w:val="clear" w:color="auto" w:fill="auto"/>
            <w:vAlign w:val="bottom"/>
            <w:hideMark/>
          </w:tcPr>
          <w:p w14:paraId="376BDC5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Uncertainty negatively affects to mitigate operational risks. 2. Staff training has a negative effect upon employee uncertainty.3.Attitude positively effects on decreasing operational risks.4.Attitude and uncertainty are significantly negatively related to each other.</w:t>
            </w:r>
          </w:p>
        </w:tc>
        <w:tc>
          <w:tcPr>
            <w:tcW w:w="1496" w:type="dxa"/>
            <w:tcBorders>
              <w:top w:val="nil"/>
              <w:left w:val="nil"/>
              <w:bottom w:val="single" w:sz="8" w:space="0" w:color="auto"/>
              <w:right w:val="nil"/>
            </w:tcBorders>
            <w:shd w:val="clear" w:color="auto" w:fill="auto"/>
            <w:vAlign w:val="bottom"/>
            <w:hideMark/>
          </w:tcPr>
          <w:p w14:paraId="3FF1944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Attitude and other constructs of the theory of planned behavior do not account for the effects of uncertainty on the risk escalation procedure. 2. Individual decision processes makes effective ‘risk aware’ employees. 3. new documentation system of best practices has been brought to bear on the academic community with little or no evidence to support it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31D26659" w14:textId="77777777" w:rsidR="002C178D" w:rsidRPr="002C178D" w:rsidRDefault="002C178D" w:rsidP="005A705F">
            <w:pPr>
              <w:spacing w:after="0" w:line="240" w:lineRule="auto"/>
              <w:rPr>
                <w:rFonts w:ascii="Arial" w:eastAsia="Times New Roman" w:hAnsi="Arial" w:cs="Arial"/>
                <w:i/>
                <w:iCs/>
                <w:sz w:val="16"/>
                <w:szCs w:val="16"/>
              </w:rPr>
            </w:pPr>
            <w:r w:rsidRPr="002C178D">
              <w:rPr>
                <w:rFonts w:ascii="Arial" w:eastAsia="Times New Roman" w:hAnsi="Arial" w:cs="Arial"/>
                <w:i/>
                <w:iCs/>
                <w:sz w:val="16"/>
                <w:szCs w:val="16"/>
              </w:rPr>
              <w:t>This report highlights the uncertainty in decision making process. This study highlights the importance of both from a qualitative and quantitative training and educational development perspective. Evidence</w:t>
            </w:r>
          </w:p>
        </w:tc>
      </w:tr>
      <w:tr w:rsidR="002C178D" w:rsidRPr="002C178D" w14:paraId="72BAEDC6" w14:textId="77777777" w:rsidTr="00FD52EB">
        <w:trPr>
          <w:trHeight w:val="1520"/>
        </w:trPr>
        <w:tc>
          <w:tcPr>
            <w:tcW w:w="265" w:type="dxa"/>
            <w:tcBorders>
              <w:top w:val="nil"/>
              <w:left w:val="single" w:sz="8" w:space="0" w:color="auto"/>
              <w:bottom w:val="single" w:sz="8" w:space="0" w:color="auto"/>
              <w:right w:val="nil"/>
            </w:tcBorders>
            <w:shd w:val="clear" w:color="auto" w:fill="auto"/>
            <w:vAlign w:val="bottom"/>
            <w:hideMark/>
          </w:tcPr>
          <w:p w14:paraId="63035D7E"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14</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13269733" w14:textId="77777777" w:rsidR="002C178D" w:rsidRPr="00FD52EB" w:rsidRDefault="002C178D" w:rsidP="005A705F">
            <w:pPr>
              <w:spacing w:after="0" w:line="240" w:lineRule="auto"/>
              <w:rPr>
                <w:rFonts w:ascii="Calibri" w:eastAsia="Times New Roman" w:hAnsi="Calibri" w:cs="Calibri"/>
                <w:b/>
                <w:sz w:val="12"/>
                <w:szCs w:val="12"/>
              </w:rPr>
            </w:pPr>
            <w:r w:rsidRPr="00FD52EB">
              <w:rPr>
                <w:rFonts w:ascii="Calibri" w:eastAsia="Times New Roman" w:hAnsi="Calibri" w:cs="Calibri"/>
                <w:b/>
                <w:sz w:val="12"/>
                <w:szCs w:val="12"/>
              </w:rPr>
              <w:t>(Cole, 2015)</w:t>
            </w:r>
          </w:p>
        </w:tc>
        <w:tc>
          <w:tcPr>
            <w:tcW w:w="539" w:type="dxa"/>
            <w:tcBorders>
              <w:top w:val="nil"/>
              <w:left w:val="nil"/>
              <w:bottom w:val="single" w:sz="8" w:space="0" w:color="auto"/>
              <w:right w:val="single" w:sz="8" w:space="0" w:color="auto"/>
            </w:tcBorders>
            <w:shd w:val="clear" w:color="auto" w:fill="auto"/>
            <w:vAlign w:val="bottom"/>
            <w:hideMark/>
          </w:tcPr>
          <w:p w14:paraId="4A832CA2"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vAlign w:val="bottom"/>
            <w:hideMark/>
          </w:tcPr>
          <w:p w14:paraId="25542A0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Overcoming Barriers to Micro insurance Adoption: Evidence from the Field</w:t>
            </w:r>
          </w:p>
        </w:tc>
        <w:tc>
          <w:tcPr>
            <w:tcW w:w="720" w:type="dxa"/>
            <w:tcBorders>
              <w:top w:val="nil"/>
              <w:left w:val="nil"/>
              <w:bottom w:val="single" w:sz="8" w:space="0" w:color="auto"/>
              <w:right w:val="single" w:sz="8" w:space="0" w:color="auto"/>
            </w:tcBorders>
            <w:shd w:val="clear" w:color="auto" w:fill="auto"/>
            <w:vAlign w:val="bottom"/>
            <w:hideMark/>
          </w:tcPr>
          <w:p w14:paraId="28DD2CF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Geneva Papers on Risk and Insurance: Issues and Practice</w:t>
            </w:r>
          </w:p>
        </w:tc>
        <w:tc>
          <w:tcPr>
            <w:tcW w:w="720" w:type="dxa"/>
            <w:tcBorders>
              <w:top w:val="nil"/>
              <w:left w:val="nil"/>
              <w:bottom w:val="single" w:sz="8" w:space="0" w:color="auto"/>
              <w:right w:val="single" w:sz="8" w:space="0" w:color="auto"/>
            </w:tcBorders>
            <w:shd w:val="clear" w:color="auto" w:fill="auto"/>
            <w:vAlign w:val="bottom"/>
            <w:hideMark/>
          </w:tcPr>
          <w:p w14:paraId="4812616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Nature Publishing Group</w:t>
            </w:r>
          </w:p>
        </w:tc>
        <w:tc>
          <w:tcPr>
            <w:tcW w:w="630" w:type="dxa"/>
            <w:tcBorders>
              <w:top w:val="nil"/>
              <w:left w:val="nil"/>
              <w:bottom w:val="single" w:sz="8" w:space="0" w:color="auto"/>
              <w:right w:val="single" w:sz="8" w:space="0" w:color="auto"/>
            </w:tcBorders>
            <w:shd w:val="clear" w:color="auto" w:fill="auto"/>
            <w:vAlign w:val="bottom"/>
            <w:hideMark/>
          </w:tcPr>
          <w:p w14:paraId="042ED72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[Global]</w:t>
            </w:r>
          </w:p>
        </w:tc>
        <w:tc>
          <w:tcPr>
            <w:tcW w:w="808" w:type="dxa"/>
            <w:tcBorders>
              <w:top w:val="nil"/>
              <w:left w:val="nil"/>
              <w:bottom w:val="single" w:sz="8" w:space="0" w:color="auto"/>
              <w:right w:val="single" w:sz="8" w:space="0" w:color="auto"/>
            </w:tcBorders>
            <w:shd w:val="clear" w:color="auto" w:fill="auto"/>
            <w:vAlign w:val="bottom"/>
            <w:hideMark/>
          </w:tcPr>
          <w:p w14:paraId="1400B1E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2005-2015</w:t>
            </w:r>
          </w:p>
        </w:tc>
        <w:tc>
          <w:tcPr>
            <w:tcW w:w="900" w:type="dxa"/>
            <w:tcBorders>
              <w:top w:val="nil"/>
              <w:left w:val="nil"/>
              <w:bottom w:val="single" w:sz="8" w:space="0" w:color="auto"/>
              <w:right w:val="single" w:sz="8" w:space="0" w:color="auto"/>
            </w:tcBorders>
            <w:shd w:val="clear" w:color="auto" w:fill="auto"/>
            <w:vAlign w:val="bottom"/>
            <w:hideMark/>
          </w:tcPr>
          <w:p w14:paraId="79B5063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World Development report, International Labor organization, World bank, Life insurance in Nigeria, Health insurance in Pakistan, Journal Articles</w:t>
            </w:r>
          </w:p>
        </w:tc>
        <w:tc>
          <w:tcPr>
            <w:tcW w:w="1080" w:type="dxa"/>
            <w:tcBorders>
              <w:top w:val="nil"/>
              <w:left w:val="nil"/>
              <w:bottom w:val="single" w:sz="8" w:space="0" w:color="auto"/>
              <w:right w:val="single" w:sz="8" w:space="0" w:color="auto"/>
            </w:tcBorders>
            <w:shd w:val="clear" w:color="auto" w:fill="auto"/>
            <w:vAlign w:val="bottom"/>
            <w:hideMark/>
          </w:tcPr>
          <w:p w14:paraId="30BC410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Economic factors, Social &amp; Cultural factors, Structural factors and personal/demographic factors.</w:t>
            </w:r>
          </w:p>
        </w:tc>
        <w:tc>
          <w:tcPr>
            <w:tcW w:w="1260" w:type="dxa"/>
            <w:tcBorders>
              <w:top w:val="nil"/>
              <w:left w:val="nil"/>
              <w:bottom w:val="single" w:sz="8" w:space="0" w:color="auto"/>
              <w:right w:val="single" w:sz="8" w:space="0" w:color="auto"/>
            </w:tcBorders>
            <w:shd w:val="clear" w:color="auto" w:fill="auto"/>
            <w:vAlign w:val="bottom"/>
            <w:hideMark/>
          </w:tcPr>
          <w:p w14:paraId="4117635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Field Research: Study participants attrite, survey quiestionnaire,case studies,Randomised Controlled Trials(RCTs)</w:t>
            </w:r>
          </w:p>
        </w:tc>
        <w:tc>
          <w:tcPr>
            <w:tcW w:w="990" w:type="dxa"/>
            <w:tcBorders>
              <w:top w:val="nil"/>
              <w:left w:val="nil"/>
              <w:bottom w:val="single" w:sz="8" w:space="0" w:color="auto"/>
              <w:right w:val="single" w:sz="8" w:space="0" w:color="auto"/>
            </w:tcBorders>
            <w:shd w:val="clear" w:color="auto" w:fill="auto"/>
            <w:vAlign w:val="bottom"/>
            <w:hideMark/>
          </w:tcPr>
          <w:p w14:paraId="3949CFA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Strong correlation between economic growth &amp; financial market and Insurance market.</w:t>
            </w:r>
          </w:p>
        </w:tc>
        <w:tc>
          <w:tcPr>
            <w:tcW w:w="1496" w:type="dxa"/>
            <w:tcBorders>
              <w:top w:val="nil"/>
              <w:left w:val="nil"/>
              <w:bottom w:val="single" w:sz="8" w:space="0" w:color="auto"/>
              <w:right w:val="nil"/>
            </w:tcBorders>
            <w:shd w:val="clear" w:color="auto" w:fill="auto"/>
            <w:vAlign w:val="bottom"/>
            <w:hideMark/>
          </w:tcPr>
          <w:p w14:paraId="5FAF059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Risk management presents numerous scopes to improve income &amp; welfare.2.Private sector has developed many creative new products to make risk management available to those who re deprived of formal financial system.</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587745BB" w14:textId="77777777" w:rsidR="002C178D" w:rsidRPr="002C178D" w:rsidRDefault="002C178D" w:rsidP="005A705F">
            <w:pPr>
              <w:spacing w:after="0" w:line="240" w:lineRule="auto"/>
              <w:rPr>
                <w:rFonts w:ascii="Arial" w:eastAsia="Times New Roman" w:hAnsi="Arial" w:cs="Arial"/>
                <w:i/>
                <w:iCs/>
                <w:sz w:val="16"/>
                <w:szCs w:val="16"/>
              </w:rPr>
            </w:pPr>
            <w:r w:rsidRPr="002C178D">
              <w:rPr>
                <w:rFonts w:ascii="Arial" w:eastAsia="Times New Roman" w:hAnsi="Arial" w:cs="Arial"/>
                <w:i/>
                <w:iCs/>
                <w:sz w:val="16"/>
                <w:szCs w:val="16"/>
              </w:rPr>
              <w:t>Over the few decades many private insurance industries have inaugurated many new products which was absent in formal financial system. This paper has revealed this new initiatives by the private insurance industries in formal financial system.</w:t>
            </w:r>
          </w:p>
        </w:tc>
      </w:tr>
      <w:tr w:rsidR="002C178D" w:rsidRPr="002C178D" w14:paraId="769D7AF3" w14:textId="77777777" w:rsidTr="00FD52EB">
        <w:trPr>
          <w:trHeight w:val="6720"/>
        </w:trPr>
        <w:tc>
          <w:tcPr>
            <w:tcW w:w="265" w:type="dxa"/>
            <w:tcBorders>
              <w:top w:val="nil"/>
              <w:left w:val="single" w:sz="8" w:space="0" w:color="auto"/>
              <w:bottom w:val="single" w:sz="8" w:space="0" w:color="auto"/>
              <w:right w:val="nil"/>
            </w:tcBorders>
            <w:shd w:val="clear" w:color="auto" w:fill="auto"/>
            <w:vAlign w:val="bottom"/>
            <w:hideMark/>
          </w:tcPr>
          <w:p w14:paraId="0840B2C7"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15</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35173ADC"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(Ashraf S &amp; Kumari, 2016)</w:t>
            </w:r>
          </w:p>
        </w:tc>
        <w:tc>
          <w:tcPr>
            <w:tcW w:w="539" w:type="dxa"/>
            <w:tcBorders>
              <w:top w:val="nil"/>
              <w:left w:val="nil"/>
              <w:bottom w:val="single" w:sz="8" w:space="0" w:color="auto"/>
              <w:right w:val="single" w:sz="8" w:space="0" w:color="auto"/>
            </w:tcBorders>
            <w:shd w:val="clear" w:color="auto" w:fill="auto"/>
            <w:vAlign w:val="bottom"/>
            <w:hideMark/>
          </w:tcPr>
          <w:p w14:paraId="5739D719"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vAlign w:val="bottom"/>
            <w:hideMark/>
          </w:tcPr>
          <w:p w14:paraId="60FDB7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An Evaluation of Investment Performance of Private Life Insurance</w:t>
            </w:r>
            <w:r w:rsidRPr="002C178D">
              <w:rPr>
                <w:rFonts w:ascii="Arial" w:eastAsia="Times New Roman" w:hAnsi="Arial" w:cs="Arial"/>
                <w:b/>
                <w:sz w:val="16"/>
                <w:szCs w:val="16"/>
              </w:rPr>
              <w:br w:type="page"/>
              <w:t>Industry in India</w:t>
            </w:r>
          </w:p>
        </w:tc>
        <w:tc>
          <w:tcPr>
            <w:tcW w:w="720" w:type="dxa"/>
            <w:tcBorders>
              <w:top w:val="nil"/>
              <w:left w:val="nil"/>
              <w:bottom w:val="single" w:sz="8" w:space="0" w:color="auto"/>
              <w:right w:val="single" w:sz="8" w:space="0" w:color="auto"/>
            </w:tcBorders>
            <w:shd w:val="clear" w:color="auto" w:fill="auto"/>
            <w:vAlign w:val="bottom"/>
            <w:hideMark/>
          </w:tcPr>
          <w:p w14:paraId="00707076"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Journal of Accounting Research</w:t>
            </w:r>
          </w:p>
        </w:tc>
        <w:tc>
          <w:tcPr>
            <w:tcW w:w="720" w:type="dxa"/>
            <w:tcBorders>
              <w:top w:val="nil"/>
              <w:left w:val="nil"/>
              <w:bottom w:val="single" w:sz="8" w:space="0" w:color="auto"/>
              <w:right w:val="single" w:sz="8" w:space="0" w:color="auto"/>
            </w:tcBorders>
            <w:shd w:val="clear" w:color="auto" w:fill="auto"/>
            <w:vAlign w:val="bottom"/>
            <w:hideMark/>
          </w:tcPr>
          <w:p w14:paraId="74971423"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Academia.edu</w:t>
            </w:r>
          </w:p>
        </w:tc>
        <w:tc>
          <w:tcPr>
            <w:tcW w:w="630" w:type="dxa"/>
            <w:tcBorders>
              <w:top w:val="nil"/>
              <w:left w:val="nil"/>
              <w:bottom w:val="single" w:sz="8" w:space="0" w:color="auto"/>
              <w:right w:val="single" w:sz="8" w:space="0" w:color="auto"/>
            </w:tcBorders>
            <w:shd w:val="clear" w:color="auto" w:fill="auto"/>
            <w:vAlign w:val="bottom"/>
            <w:hideMark/>
          </w:tcPr>
          <w:p w14:paraId="62EC888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India</w:t>
            </w:r>
          </w:p>
        </w:tc>
        <w:tc>
          <w:tcPr>
            <w:tcW w:w="808" w:type="dxa"/>
            <w:tcBorders>
              <w:top w:val="nil"/>
              <w:left w:val="nil"/>
              <w:bottom w:val="single" w:sz="8" w:space="0" w:color="auto"/>
              <w:right w:val="single" w:sz="8" w:space="0" w:color="auto"/>
            </w:tcBorders>
            <w:shd w:val="clear" w:color="auto" w:fill="auto"/>
            <w:vAlign w:val="bottom"/>
            <w:hideMark/>
          </w:tcPr>
          <w:p w14:paraId="273EE4E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2010-2014</w:t>
            </w:r>
          </w:p>
        </w:tc>
        <w:tc>
          <w:tcPr>
            <w:tcW w:w="900" w:type="dxa"/>
            <w:tcBorders>
              <w:top w:val="nil"/>
              <w:left w:val="nil"/>
              <w:bottom w:val="single" w:sz="8" w:space="0" w:color="auto"/>
              <w:right w:val="single" w:sz="8" w:space="0" w:color="auto"/>
            </w:tcBorders>
            <w:shd w:val="clear" w:color="auto" w:fill="auto"/>
            <w:vAlign w:val="bottom"/>
            <w:hideMark/>
          </w:tcPr>
          <w:p w14:paraId="32DF8845" w14:textId="77777777" w:rsidR="002C178D" w:rsidRPr="002C178D" w:rsidRDefault="002C178D" w:rsidP="00900502">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India, IRDA annual reports and annual reports Ltd., SBI Life Insurance Company Ltd. Shriram Life Insurance Company Ltd. Star Union Dai-ichi Life Insurance Company Ltd. TATA AIA Life Insurance Company Ltd.</w:t>
            </w:r>
            <w:r w:rsidRPr="002C178D">
              <w:rPr>
                <w:rFonts w:ascii="Arial" w:eastAsia="Times New Roman" w:hAnsi="Arial" w:cs="Arial"/>
                <w:b/>
                <w:sz w:val="16"/>
                <w:szCs w:val="16"/>
              </w:rPr>
              <w:br w:type="page"/>
            </w:r>
            <w:r w:rsidRPr="002C178D">
              <w:rPr>
                <w:rFonts w:ascii="Arial" w:eastAsia="Times New Roman" w:hAnsi="Arial" w:cs="Arial"/>
                <w:b/>
                <w:sz w:val="16"/>
                <w:szCs w:val="16"/>
              </w:rPr>
              <w:br w:type="page"/>
            </w:r>
          </w:p>
        </w:tc>
        <w:tc>
          <w:tcPr>
            <w:tcW w:w="1080" w:type="dxa"/>
            <w:tcBorders>
              <w:top w:val="nil"/>
              <w:left w:val="nil"/>
              <w:bottom w:val="single" w:sz="8" w:space="0" w:color="auto"/>
              <w:right w:val="single" w:sz="8" w:space="0" w:color="auto"/>
            </w:tcBorders>
            <w:shd w:val="clear" w:color="auto" w:fill="auto"/>
            <w:vAlign w:val="bottom"/>
            <w:hideMark/>
          </w:tcPr>
          <w:p w14:paraId="447B948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Shareholders’ investment, Policyholders’ investment, Investment income to the shareholders, Investment income to the policyholders</w:t>
            </w:r>
          </w:p>
        </w:tc>
        <w:tc>
          <w:tcPr>
            <w:tcW w:w="1260" w:type="dxa"/>
            <w:tcBorders>
              <w:top w:val="nil"/>
              <w:left w:val="nil"/>
              <w:bottom w:val="single" w:sz="8" w:space="0" w:color="auto"/>
              <w:right w:val="single" w:sz="8" w:space="0" w:color="auto"/>
            </w:tcBorders>
            <w:shd w:val="clear" w:color="auto" w:fill="auto"/>
            <w:vAlign w:val="bottom"/>
            <w:hideMark/>
          </w:tcPr>
          <w:p w14:paraId="53FF157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Data Envelopment Analysis, Banker, Charnes and Cooper (BCC) model and Charnes, Cooper and Rhodes (CCR) model</w:t>
            </w:r>
          </w:p>
        </w:tc>
        <w:tc>
          <w:tcPr>
            <w:tcW w:w="990" w:type="dxa"/>
            <w:tcBorders>
              <w:top w:val="nil"/>
              <w:left w:val="nil"/>
              <w:bottom w:val="single" w:sz="8" w:space="0" w:color="auto"/>
              <w:right w:val="single" w:sz="8" w:space="0" w:color="auto"/>
            </w:tcBorders>
            <w:shd w:val="clear" w:color="auto" w:fill="auto"/>
            <w:vAlign w:val="bottom"/>
            <w:hideMark/>
          </w:tcPr>
          <w:p w14:paraId="7BE6E5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Efficiency issues are positively correlated to productivity scale. 2. Investment efficiency model is positively related to BCC &amp; CCC model, 3.negative relationship between efficiency and investment income.</w:t>
            </w:r>
          </w:p>
        </w:tc>
        <w:tc>
          <w:tcPr>
            <w:tcW w:w="1496" w:type="dxa"/>
            <w:tcBorders>
              <w:top w:val="nil"/>
              <w:left w:val="nil"/>
              <w:bottom w:val="single" w:sz="8" w:space="0" w:color="auto"/>
              <w:right w:val="nil"/>
            </w:tcBorders>
            <w:shd w:val="clear" w:color="auto" w:fill="auto"/>
            <w:vAlign w:val="bottom"/>
            <w:hideMark/>
          </w:tcPr>
          <w:p w14:paraId="63FA4C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study finds that during all years under study, 15% to 40% life insurance companies have been found on the CRS frontier and 40% to 60% life insurance companies have been found on the VRS frontier. The study further highlighted that least number of companies found to be efficient during 2011-12 which is mainly due to the decline in income from investment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1450B0DB"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This study reveals that efficiency and overall performance management in private life insurance has been increased during the years of this research study.in the beginning(2011-12),the efficiency was poor because of lower income and investments which were ultimately the results of stock market &amp; insurance efficiency decline.</w:t>
            </w:r>
          </w:p>
        </w:tc>
      </w:tr>
      <w:tr w:rsidR="002C178D" w:rsidRPr="002C178D" w14:paraId="2ADF7DAE" w14:textId="77777777" w:rsidTr="00FD52EB">
        <w:trPr>
          <w:trHeight w:val="2470"/>
        </w:trPr>
        <w:tc>
          <w:tcPr>
            <w:tcW w:w="265" w:type="dxa"/>
            <w:tcBorders>
              <w:top w:val="nil"/>
              <w:left w:val="single" w:sz="8" w:space="0" w:color="auto"/>
              <w:bottom w:val="single" w:sz="8" w:space="0" w:color="auto"/>
              <w:right w:val="nil"/>
            </w:tcBorders>
            <w:shd w:val="clear" w:color="auto" w:fill="auto"/>
            <w:vAlign w:val="bottom"/>
            <w:hideMark/>
          </w:tcPr>
          <w:p w14:paraId="1282C1BA"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16</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3D4EC361" w14:textId="77777777" w:rsidR="002C178D" w:rsidRPr="00FD52EB" w:rsidRDefault="002C178D" w:rsidP="005A705F">
            <w:pPr>
              <w:spacing w:after="0" w:line="240" w:lineRule="auto"/>
              <w:rPr>
                <w:rFonts w:ascii="Calibri" w:eastAsia="Times New Roman" w:hAnsi="Calibri" w:cs="Calibri"/>
                <w:b/>
                <w:sz w:val="12"/>
                <w:szCs w:val="12"/>
              </w:rPr>
            </w:pPr>
            <w:r w:rsidRPr="00FD52EB">
              <w:rPr>
                <w:rFonts w:ascii="Calibri" w:eastAsia="Times New Roman" w:hAnsi="Calibri" w:cs="Calibri"/>
                <w:b/>
                <w:sz w:val="12"/>
                <w:szCs w:val="12"/>
              </w:rPr>
              <w:t>(Tseng et al., 2018)</w:t>
            </w:r>
          </w:p>
        </w:tc>
        <w:tc>
          <w:tcPr>
            <w:tcW w:w="539" w:type="dxa"/>
            <w:tcBorders>
              <w:top w:val="nil"/>
              <w:left w:val="nil"/>
              <w:bottom w:val="single" w:sz="8" w:space="0" w:color="auto"/>
              <w:right w:val="single" w:sz="8" w:space="0" w:color="auto"/>
            </w:tcBorders>
            <w:shd w:val="clear" w:color="auto" w:fill="auto"/>
            <w:vAlign w:val="bottom"/>
            <w:hideMark/>
          </w:tcPr>
          <w:p w14:paraId="11AA2CAB"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48805A1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Administrative Costs Associated With Physician Billing and Insurance-Related Activities at an Academic Health Care System</w:t>
            </w:r>
          </w:p>
        </w:tc>
        <w:tc>
          <w:tcPr>
            <w:tcW w:w="720" w:type="dxa"/>
            <w:tcBorders>
              <w:top w:val="nil"/>
              <w:left w:val="nil"/>
              <w:bottom w:val="single" w:sz="8" w:space="0" w:color="auto"/>
              <w:right w:val="single" w:sz="8" w:space="0" w:color="auto"/>
            </w:tcBorders>
            <w:shd w:val="clear" w:color="auto" w:fill="auto"/>
            <w:noWrap/>
            <w:vAlign w:val="bottom"/>
            <w:hideMark/>
          </w:tcPr>
          <w:p w14:paraId="7F0CE025"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the American Medical Association</w:t>
            </w:r>
          </w:p>
        </w:tc>
        <w:tc>
          <w:tcPr>
            <w:tcW w:w="720" w:type="dxa"/>
            <w:tcBorders>
              <w:top w:val="nil"/>
              <w:left w:val="nil"/>
              <w:bottom w:val="single" w:sz="8" w:space="0" w:color="auto"/>
              <w:right w:val="single" w:sz="8" w:space="0" w:color="auto"/>
            </w:tcBorders>
            <w:shd w:val="clear" w:color="auto" w:fill="auto"/>
            <w:vAlign w:val="bottom"/>
            <w:hideMark/>
          </w:tcPr>
          <w:p w14:paraId="2BFFE9B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jamanetwork.com</w:t>
            </w:r>
          </w:p>
        </w:tc>
        <w:tc>
          <w:tcPr>
            <w:tcW w:w="630" w:type="dxa"/>
            <w:tcBorders>
              <w:top w:val="nil"/>
              <w:left w:val="nil"/>
              <w:bottom w:val="single" w:sz="8" w:space="0" w:color="auto"/>
              <w:right w:val="single" w:sz="8" w:space="0" w:color="auto"/>
            </w:tcBorders>
            <w:shd w:val="clear" w:color="auto" w:fill="auto"/>
            <w:vAlign w:val="bottom"/>
            <w:hideMark/>
          </w:tcPr>
          <w:p w14:paraId="13B52E0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USA</w:t>
            </w:r>
          </w:p>
        </w:tc>
        <w:tc>
          <w:tcPr>
            <w:tcW w:w="808" w:type="dxa"/>
            <w:tcBorders>
              <w:top w:val="nil"/>
              <w:left w:val="nil"/>
              <w:bottom w:val="single" w:sz="8" w:space="0" w:color="auto"/>
              <w:right w:val="single" w:sz="8" w:space="0" w:color="auto"/>
            </w:tcBorders>
            <w:shd w:val="clear" w:color="auto" w:fill="auto"/>
            <w:vAlign w:val="bottom"/>
            <w:hideMark/>
          </w:tcPr>
          <w:p w14:paraId="28B4812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2016-2017</w:t>
            </w:r>
          </w:p>
        </w:tc>
        <w:tc>
          <w:tcPr>
            <w:tcW w:w="900" w:type="dxa"/>
            <w:tcBorders>
              <w:top w:val="nil"/>
              <w:left w:val="nil"/>
              <w:bottom w:val="single" w:sz="8" w:space="0" w:color="auto"/>
              <w:right w:val="single" w:sz="8" w:space="0" w:color="auto"/>
            </w:tcBorders>
            <w:shd w:val="clear" w:color="auto" w:fill="auto"/>
            <w:vAlign w:val="bottom"/>
            <w:hideMark/>
          </w:tcPr>
          <w:p w14:paraId="2FCB027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Interviews were conducted with 27 health system administrators and 34 physicians</w:t>
            </w:r>
          </w:p>
        </w:tc>
        <w:tc>
          <w:tcPr>
            <w:tcW w:w="1080" w:type="dxa"/>
            <w:tcBorders>
              <w:top w:val="nil"/>
              <w:left w:val="nil"/>
              <w:bottom w:val="single" w:sz="8" w:space="0" w:color="auto"/>
              <w:right w:val="single" w:sz="8" w:space="0" w:color="auto"/>
            </w:tcBorders>
            <w:shd w:val="clear" w:color="auto" w:fill="auto"/>
            <w:vAlign w:val="bottom"/>
            <w:hideMark/>
          </w:tcPr>
          <w:p w14:paraId="1A29840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time-driven activity based costing, process mapping, Activity costs, Overhead costs, processing time, primary care visit, emergency department visit, general impatient stay, Ambulatory surgery, impatient surgery</w:t>
            </w:r>
          </w:p>
        </w:tc>
        <w:tc>
          <w:tcPr>
            <w:tcW w:w="1260" w:type="dxa"/>
            <w:tcBorders>
              <w:top w:val="nil"/>
              <w:left w:val="nil"/>
              <w:bottom w:val="single" w:sz="8" w:space="0" w:color="auto"/>
              <w:right w:val="single" w:sz="8" w:space="0" w:color="auto"/>
            </w:tcBorders>
            <w:shd w:val="clear" w:color="auto" w:fill="auto"/>
            <w:vAlign w:val="bottom"/>
            <w:hideMark/>
          </w:tcPr>
          <w:p w14:paraId="45BA548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Time-driven activity based costing, 2.State-of-the-art accounting method</w:t>
            </w:r>
          </w:p>
        </w:tc>
        <w:tc>
          <w:tcPr>
            <w:tcW w:w="990" w:type="dxa"/>
            <w:tcBorders>
              <w:top w:val="nil"/>
              <w:left w:val="nil"/>
              <w:bottom w:val="single" w:sz="8" w:space="0" w:color="auto"/>
              <w:right w:val="single" w:sz="8" w:space="0" w:color="auto"/>
            </w:tcBorders>
            <w:shd w:val="clear" w:color="auto" w:fill="auto"/>
            <w:noWrap/>
            <w:vAlign w:val="bottom"/>
            <w:hideMark/>
          </w:tcPr>
          <w:p w14:paraId="184ADA4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Administrative costs are relevant to billing &amp; insurance related activities.</w:t>
            </w:r>
          </w:p>
        </w:tc>
        <w:tc>
          <w:tcPr>
            <w:tcW w:w="1496" w:type="dxa"/>
            <w:tcBorders>
              <w:top w:val="nil"/>
              <w:left w:val="nil"/>
              <w:bottom w:val="single" w:sz="8" w:space="0" w:color="auto"/>
              <w:right w:val="nil"/>
            </w:tcBorders>
            <w:shd w:val="clear" w:color="auto" w:fill="auto"/>
            <w:vAlign w:val="bottom"/>
            <w:hideMark/>
          </w:tcPr>
          <w:p w14:paraId="0AA39D1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Specific billing &amp; insurance related activities contribute a lot to administrative costs and deduct expenses.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41CE8560"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Overall Administrative costs have been increased in a certain number of years, knowledge regarding these billing &amp; expenditures paves the way for managers to take necessary policies &amp; initiatives further.</w:t>
            </w:r>
          </w:p>
        </w:tc>
      </w:tr>
      <w:tr w:rsidR="002C178D" w:rsidRPr="002C178D" w14:paraId="5565DCC3" w14:textId="77777777" w:rsidTr="00FD52EB">
        <w:trPr>
          <w:trHeight w:val="1620"/>
        </w:trPr>
        <w:tc>
          <w:tcPr>
            <w:tcW w:w="265" w:type="dxa"/>
            <w:tcBorders>
              <w:top w:val="nil"/>
              <w:left w:val="single" w:sz="8" w:space="0" w:color="auto"/>
              <w:bottom w:val="single" w:sz="8" w:space="0" w:color="auto"/>
              <w:right w:val="nil"/>
            </w:tcBorders>
            <w:shd w:val="clear" w:color="auto" w:fill="auto"/>
            <w:vAlign w:val="bottom"/>
            <w:hideMark/>
          </w:tcPr>
          <w:p w14:paraId="5AE552D4"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17</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2AA767F5"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(Talonen, 2016)</w:t>
            </w:r>
          </w:p>
        </w:tc>
        <w:tc>
          <w:tcPr>
            <w:tcW w:w="539" w:type="dxa"/>
            <w:tcBorders>
              <w:top w:val="nil"/>
              <w:left w:val="nil"/>
              <w:bottom w:val="single" w:sz="8" w:space="0" w:color="auto"/>
              <w:right w:val="single" w:sz="8" w:space="0" w:color="auto"/>
            </w:tcBorders>
            <w:shd w:val="clear" w:color="auto" w:fill="auto"/>
            <w:vAlign w:val="bottom"/>
            <w:hideMark/>
          </w:tcPr>
          <w:p w14:paraId="734BECC8"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vAlign w:val="bottom"/>
            <w:hideMark/>
          </w:tcPr>
          <w:p w14:paraId="42C7992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Systematic literature review of research on mutual insurance companies</w:t>
            </w:r>
          </w:p>
        </w:tc>
        <w:tc>
          <w:tcPr>
            <w:tcW w:w="720" w:type="dxa"/>
            <w:tcBorders>
              <w:top w:val="nil"/>
              <w:left w:val="nil"/>
              <w:bottom w:val="single" w:sz="8" w:space="0" w:color="auto"/>
              <w:right w:val="single" w:sz="8" w:space="0" w:color="auto"/>
            </w:tcBorders>
            <w:shd w:val="clear" w:color="auto" w:fill="auto"/>
            <w:vAlign w:val="bottom"/>
            <w:hideMark/>
          </w:tcPr>
          <w:p w14:paraId="7E4A9D8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Co-operative Organization and Management</w:t>
            </w:r>
          </w:p>
        </w:tc>
        <w:tc>
          <w:tcPr>
            <w:tcW w:w="720" w:type="dxa"/>
            <w:tcBorders>
              <w:top w:val="nil"/>
              <w:left w:val="nil"/>
              <w:bottom w:val="single" w:sz="8" w:space="0" w:color="auto"/>
              <w:right w:val="single" w:sz="8" w:space="0" w:color="auto"/>
            </w:tcBorders>
            <w:shd w:val="clear" w:color="auto" w:fill="auto"/>
            <w:vAlign w:val="bottom"/>
            <w:hideMark/>
          </w:tcPr>
          <w:p w14:paraId="0F89CDF0"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w:t>
            </w:r>
          </w:p>
        </w:tc>
        <w:tc>
          <w:tcPr>
            <w:tcW w:w="630" w:type="dxa"/>
            <w:tcBorders>
              <w:top w:val="nil"/>
              <w:left w:val="nil"/>
              <w:bottom w:val="single" w:sz="8" w:space="0" w:color="auto"/>
              <w:right w:val="single" w:sz="8" w:space="0" w:color="auto"/>
            </w:tcBorders>
            <w:shd w:val="clear" w:color="auto" w:fill="auto"/>
            <w:vAlign w:val="bottom"/>
            <w:hideMark/>
          </w:tcPr>
          <w:p w14:paraId="34AE22C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[Global]</w:t>
            </w:r>
          </w:p>
        </w:tc>
        <w:tc>
          <w:tcPr>
            <w:tcW w:w="808" w:type="dxa"/>
            <w:tcBorders>
              <w:top w:val="nil"/>
              <w:left w:val="nil"/>
              <w:bottom w:val="single" w:sz="8" w:space="0" w:color="auto"/>
              <w:right w:val="single" w:sz="8" w:space="0" w:color="auto"/>
            </w:tcBorders>
            <w:shd w:val="clear" w:color="auto" w:fill="auto"/>
            <w:vAlign w:val="bottom"/>
            <w:hideMark/>
          </w:tcPr>
          <w:p w14:paraId="177883F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2015-2016</w:t>
            </w:r>
          </w:p>
        </w:tc>
        <w:tc>
          <w:tcPr>
            <w:tcW w:w="900" w:type="dxa"/>
            <w:tcBorders>
              <w:top w:val="nil"/>
              <w:left w:val="nil"/>
              <w:bottom w:val="single" w:sz="8" w:space="0" w:color="auto"/>
              <w:right w:val="single" w:sz="8" w:space="0" w:color="auto"/>
            </w:tcBorders>
            <w:shd w:val="clear" w:color="auto" w:fill="auto"/>
            <w:vAlign w:val="bottom"/>
            <w:hideMark/>
          </w:tcPr>
          <w:p w14:paraId="056C18A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37 Journals &amp; 77 articles</w:t>
            </w:r>
          </w:p>
        </w:tc>
        <w:tc>
          <w:tcPr>
            <w:tcW w:w="1080" w:type="dxa"/>
            <w:tcBorders>
              <w:top w:val="nil"/>
              <w:left w:val="nil"/>
              <w:bottom w:val="single" w:sz="8" w:space="0" w:color="auto"/>
              <w:right w:val="single" w:sz="8" w:space="0" w:color="auto"/>
            </w:tcBorders>
            <w:shd w:val="clear" w:color="auto" w:fill="auto"/>
            <w:vAlign w:val="bottom"/>
            <w:hideMark/>
          </w:tcPr>
          <w:p w14:paraId="1EFAFB7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year of publication, scientific journal, type of article, and type of insurance, nature of articles, managerial discretion,</w:t>
            </w:r>
          </w:p>
        </w:tc>
        <w:tc>
          <w:tcPr>
            <w:tcW w:w="1260" w:type="dxa"/>
            <w:tcBorders>
              <w:top w:val="nil"/>
              <w:left w:val="nil"/>
              <w:bottom w:val="single" w:sz="8" w:space="0" w:color="auto"/>
              <w:right w:val="single" w:sz="8" w:space="0" w:color="auto"/>
            </w:tcBorders>
            <w:shd w:val="clear" w:color="auto" w:fill="auto"/>
            <w:vAlign w:val="bottom"/>
            <w:hideMark/>
          </w:tcPr>
          <w:p w14:paraId="1D8EBA1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Systematic Literature Review(SLR)</w:t>
            </w:r>
          </w:p>
        </w:tc>
        <w:tc>
          <w:tcPr>
            <w:tcW w:w="990" w:type="dxa"/>
            <w:tcBorders>
              <w:top w:val="nil"/>
              <w:left w:val="nil"/>
              <w:bottom w:val="single" w:sz="8" w:space="0" w:color="auto"/>
              <w:right w:val="single" w:sz="8" w:space="0" w:color="auto"/>
            </w:tcBorders>
            <w:shd w:val="clear" w:color="auto" w:fill="auto"/>
            <w:vAlign w:val="bottom"/>
            <w:hideMark/>
          </w:tcPr>
          <w:p w14:paraId="0784AE8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Length of time negatively impacts policyholders' opportunities in stock companies. 2. Weaker control of mechanisms generates more costs.</w:t>
            </w:r>
          </w:p>
        </w:tc>
        <w:tc>
          <w:tcPr>
            <w:tcW w:w="1496" w:type="dxa"/>
            <w:tcBorders>
              <w:top w:val="nil"/>
              <w:left w:val="nil"/>
              <w:bottom w:val="single" w:sz="8" w:space="0" w:color="auto"/>
              <w:right w:val="nil"/>
            </w:tcBorders>
            <w:shd w:val="clear" w:color="auto" w:fill="auto"/>
            <w:vAlign w:val="bottom"/>
            <w:hideMark/>
          </w:tcPr>
          <w:p w14:paraId="0827A1F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study actually captures nature and categories of research papers through identifying relevant articles and journals.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737E7545"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The characteristics &amp; contents of Mutual Insurance Companies are identified with the thorough analysis of many articles. Journals &amp; research papers. Thus this study reveals about the way of defining mutual insurance industry by those articles.</w:t>
            </w:r>
          </w:p>
        </w:tc>
      </w:tr>
      <w:tr w:rsidR="002C178D" w:rsidRPr="002C178D" w14:paraId="4B2B84C2" w14:textId="77777777" w:rsidTr="00FD52EB">
        <w:trPr>
          <w:trHeight w:val="2080"/>
        </w:trPr>
        <w:tc>
          <w:tcPr>
            <w:tcW w:w="265" w:type="dxa"/>
            <w:tcBorders>
              <w:top w:val="nil"/>
              <w:left w:val="single" w:sz="8" w:space="0" w:color="auto"/>
              <w:bottom w:val="single" w:sz="8" w:space="0" w:color="auto"/>
              <w:right w:val="nil"/>
            </w:tcBorders>
            <w:shd w:val="clear" w:color="auto" w:fill="auto"/>
            <w:vAlign w:val="bottom"/>
            <w:hideMark/>
          </w:tcPr>
          <w:p w14:paraId="3FD3190E"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18</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2074FD5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(Habib et al., 2016)</w:t>
            </w:r>
          </w:p>
        </w:tc>
        <w:tc>
          <w:tcPr>
            <w:tcW w:w="539" w:type="dxa"/>
            <w:tcBorders>
              <w:top w:val="nil"/>
              <w:left w:val="nil"/>
              <w:bottom w:val="single" w:sz="8" w:space="0" w:color="auto"/>
              <w:right w:val="single" w:sz="8" w:space="0" w:color="auto"/>
            </w:tcBorders>
            <w:shd w:val="clear" w:color="auto" w:fill="auto"/>
            <w:vAlign w:val="bottom"/>
            <w:hideMark/>
          </w:tcPr>
          <w:p w14:paraId="43289301"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2016</w:t>
            </w:r>
          </w:p>
        </w:tc>
        <w:tc>
          <w:tcPr>
            <w:tcW w:w="900" w:type="dxa"/>
            <w:tcBorders>
              <w:top w:val="nil"/>
              <w:left w:val="nil"/>
              <w:bottom w:val="single" w:sz="8" w:space="0" w:color="auto"/>
              <w:right w:val="single" w:sz="8" w:space="0" w:color="auto"/>
            </w:tcBorders>
            <w:shd w:val="clear" w:color="auto" w:fill="auto"/>
            <w:vAlign w:val="bottom"/>
            <w:hideMark/>
          </w:tcPr>
          <w:p w14:paraId="069C6C6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role of micro health insurance in providing financial risk protection in</w:t>
            </w:r>
            <w:r w:rsidRPr="002C178D">
              <w:rPr>
                <w:rFonts w:ascii="Arial" w:eastAsia="Times New Roman" w:hAnsi="Arial" w:cs="Arial"/>
                <w:b/>
                <w:sz w:val="16"/>
                <w:szCs w:val="16"/>
              </w:rPr>
              <w:br/>
              <w:t>developing countries- a systematic review</w:t>
            </w:r>
          </w:p>
        </w:tc>
        <w:tc>
          <w:tcPr>
            <w:tcW w:w="720" w:type="dxa"/>
            <w:tcBorders>
              <w:top w:val="nil"/>
              <w:left w:val="nil"/>
              <w:bottom w:val="single" w:sz="8" w:space="0" w:color="auto"/>
              <w:right w:val="single" w:sz="8" w:space="0" w:color="auto"/>
            </w:tcBorders>
            <w:shd w:val="clear" w:color="auto" w:fill="auto"/>
            <w:vAlign w:val="bottom"/>
            <w:hideMark/>
          </w:tcPr>
          <w:p w14:paraId="39F65EA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BMC Public Health</w:t>
            </w:r>
          </w:p>
        </w:tc>
        <w:tc>
          <w:tcPr>
            <w:tcW w:w="720" w:type="dxa"/>
            <w:tcBorders>
              <w:top w:val="nil"/>
              <w:left w:val="nil"/>
              <w:bottom w:val="single" w:sz="8" w:space="0" w:color="auto"/>
              <w:right w:val="single" w:sz="8" w:space="0" w:color="auto"/>
            </w:tcBorders>
            <w:shd w:val="clear" w:color="auto" w:fill="auto"/>
            <w:vAlign w:val="bottom"/>
            <w:hideMark/>
          </w:tcPr>
          <w:p w14:paraId="3B99832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 </w:t>
            </w:r>
          </w:p>
        </w:tc>
        <w:tc>
          <w:tcPr>
            <w:tcW w:w="630" w:type="dxa"/>
            <w:tcBorders>
              <w:top w:val="nil"/>
              <w:left w:val="nil"/>
              <w:bottom w:val="single" w:sz="8" w:space="0" w:color="auto"/>
              <w:right w:val="single" w:sz="8" w:space="0" w:color="auto"/>
            </w:tcBorders>
            <w:shd w:val="clear" w:color="auto" w:fill="auto"/>
            <w:vAlign w:val="bottom"/>
            <w:hideMark/>
          </w:tcPr>
          <w:p w14:paraId="0B497D9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Pakistan</w:t>
            </w:r>
          </w:p>
        </w:tc>
        <w:tc>
          <w:tcPr>
            <w:tcW w:w="808" w:type="dxa"/>
            <w:tcBorders>
              <w:top w:val="nil"/>
              <w:left w:val="nil"/>
              <w:bottom w:val="single" w:sz="8" w:space="0" w:color="auto"/>
              <w:right w:val="single" w:sz="8" w:space="0" w:color="auto"/>
            </w:tcBorders>
            <w:shd w:val="clear" w:color="auto" w:fill="auto"/>
            <w:vAlign w:val="bottom"/>
            <w:hideMark/>
          </w:tcPr>
          <w:p w14:paraId="1D64889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2006-2016</w:t>
            </w:r>
          </w:p>
        </w:tc>
        <w:tc>
          <w:tcPr>
            <w:tcW w:w="900" w:type="dxa"/>
            <w:tcBorders>
              <w:top w:val="nil"/>
              <w:left w:val="nil"/>
              <w:bottom w:val="single" w:sz="8" w:space="0" w:color="auto"/>
              <w:right w:val="single" w:sz="8" w:space="0" w:color="auto"/>
            </w:tcBorders>
            <w:shd w:val="clear" w:color="auto" w:fill="auto"/>
            <w:vAlign w:val="bottom"/>
            <w:hideMark/>
          </w:tcPr>
          <w:p w14:paraId="34D9B8B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Pubmed, Google Scholar, Science Direct (Elsevier),World Bank, World Health Organization and International Labor Organization</w:t>
            </w:r>
          </w:p>
        </w:tc>
        <w:tc>
          <w:tcPr>
            <w:tcW w:w="1080" w:type="dxa"/>
            <w:tcBorders>
              <w:top w:val="nil"/>
              <w:left w:val="nil"/>
              <w:bottom w:val="single" w:sz="8" w:space="0" w:color="auto"/>
              <w:right w:val="single" w:sz="8" w:space="0" w:color="auto"/>
            </w:tcBorders>
            <w:shd w:val="clear" w:color="auto" w:fill="auto"/>
            <w:vAlign w:val="bottom"/>
            <w:hideMark/>
          </w:tcPr>
          <w:p w14:paraId="1F8F26F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Insurance schemes, types of health insurance, financial protection,co-payments or premiums,</w:t>
            </w:r>
          </w:p>
        </w:tc>
        <w:tc>
          <w:tcPr>
            <w:tcW w:w="1260" w:type="dxa"/>
            <w:tcBorders>
              <w:top w:val="nil"/>
              <w:left w:val="nil"/>
              <w:bottom w:val="single" w:sz="8" w:space="0" w:color="auto"/>
              <w:right w:val="single" w:sz="8" w:space="0" w:color="auto"/>
            </w:tcBorders>
            <w:shd w:val="clear" w:color="auto" w:fill="auto"/>
            <w:vAlign w:val="bottom"/>
            <w:hideMark/>
          </w:tcPr>
          <w:p w14:paraId="51D74C5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Systematic search for public literatures.</w:t>
            </w:r>
          </w:p>
        </w:tc>
        <w:tc>
          <w:tcPr>
            <w:tcW w:w="990" w:type="dxa"/>
            <w:tcBorders>
              <w:top w:val="nil"/>
              <w:left w:val="nil"/>
              <w:bottom w:val="single" w:sz="8" w:space="0" w:color="auto"/>
              <w:right w:val="single" w:sz="8" w:space="0" w:color="auto"/>
            </w:tcBorders>
            <w:shd w:val="clear" w:color="auto" w:fill="auto"/>
            <w:vAlign w:val="bottom"/>
            <w:hideMark/>
          </w:tcPr>
          <w:p w14:paraId="4B997C2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Mutual Health insurance has negative correlation with all expenditures, household borrowings and poverty</w:t>
            </w:r>
          </w:p>
        </w:tc>
        <w:tc>
          <w:tcPr>
            <w:tcW w:w="1496" w:type="dxa"/>
            <w:tcBorders>
              <w:top w:val="nil"/>
              <w:left w:val="nil"/>
              <w:bottom w:val="single" w:sz="8" w:space="0" w:color="auto"/>
              <w:right w:val="nil"/>
            </w:tcBorders>
            <w:shd w:val="clear" w:color="auto" w:fill="auto"/>
            <w:vAlign w:val="bottom"/>
            <w:hideMark/>
          </w:tcPr>
          <w:p w14:paraId="5A3DB5D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MHI, targeted at the low-income households may contribute towards providing protection to the households from catastrophe and impoverishment resulting from health expenditures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0C76F898"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Micro Health Insurance impacts a lot on household income &amp; it is structured in a way to get suited well in accordance with geographical areas of Pakistan. Although this paper has ground out some indicators, but to get more specific indicators or factors of Micro Health Insurance impacts, there’s a need of Further research &amp; development.</w:t>
            </w:r>
          </w:p>
        </w:tc>
      </w:tr>
      <w:tr w:rsidR="002C178D" w:rsidRPr="002C178D" w14:paraId="4A42E4E3" w14:textId="77777777" w:rsidTr="00FD52EB">
        <w:trPr>
          <w:trHeight w:val="1760"/>
        </w:trPr>
        <w:tc>
          <w:tcPr>
            <w:tcW w:w="265" w:type="dxa"/>
            <w:tcBorders>
              <w:top w:val="nil"/>
              <w:left w:val="single" w:sz="8" w:space="0" w:color="auto"/>
              <w:bottom w:val="single" w:sz="8" w:space="0" w:color="auto"/>
              <w:right w:val="nil"/>
            </w:tcBorders>
            <w:shd w:val="clear" w:color="auto" w:fill="auto"/>
            <w:vAlign w:val="bottom"/>
            <w:hideMark/>
          </w:tcPr>
          <w:p w14:paraId="5F90E064"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19</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53FD34F8" w14:textId="77777777" w:rsidR="002C178D" w:rsidRPr="00FD52EB" w:rsidRDefault="002C178D" w:rsidP="005A705F">
            <w:pPr>
              <w:spacing w:after="0" w:line="240" w:lineRule="auto"/>
              <w:rPr>
                <w:rFonts w:ascii="Times New Roman" w:eastAsia="Times New Roman" w:hAnsi="Times New Roman" w:cs="Times New Roman"/>
                <w:b/>
                <w:sz w:val="12"/>
                <w:szCs w:val="12"/>
              </w:rPr>
            </w:pPr>
            <w:r w:rsidRPr="00FD52EB">
              <w:rPr>
                <w:rFonts w:ascii="Times New Roman" w:eastAsia="Times New Roman" w:hAnsi="Times New Roman" w:cs="Times New Roman"/>
                <w:b/>
                <w:sz w:val="12"/>
                <w:szCs w:val="12"/>
              </w:rPr>
              <w:t>(Eling &amp; Jia, 2018)</w:t>
            </w:r>
          </w:p>
        </w:tc>
        <w:tc>
          <w:tcPr>
            <w:tcW w:w="539" w:type="dxa"/>
            <w:tcBorders>
              <w:top w:val="nil"/>
              <w:left w:val="nil"/>
              <w:bottom w:val="single" w:sz="8" w:space="0" w:color="auto"/>
              <w:right w:val="single" w:sz="8" w:space="0" w:color="auto"/>
            </w:tcBorders>
            <w:shd w:val="clear" w:color="auto" w:fill="auto"/>
            <w:vAlign w:val="bottom"/>
            <w:hideMark/>
          </w:tcPr>
          <w:p w14:paraId="33E5E35D"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1550356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Business failure, efficiency, and volatility: Evidence from the European insurance industry</w:t>
            </w:r>
          </w:p>
        </w:tc>
        <w:tc>
          <w:tcPr>
            <w:tcW w:w="720" w:type="dxa"/>
            <w:tcBorders>
              <w:top w:val="nil"/>
              <w:left w:val="nil"/>
              <w:bottom w:val="single" w:sz="8" w:space="0" w:color="auto"/>
              <w:right w:val="single" w:sz="8" w:space="0" w:color="auto"/>
            </w:tcBorders>
            <w:shd w:val="clear" w:color="auto" w:fill="auto"/>
            <w:vAlign w:val="bottom"/>
            <w:hideMark/>
          </w:tcPr>
          <w:p w14:paraId="411CDF3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Review of Financial Analysis</w:t>
            </w:r>
          </w:p>
        </w:tc>
        <w:tc>
          <w:tcPr>
            <w:tcW w:w="720" w:type="dxa"/>
            <w:tcBorders>
              <w:top w:val="nil"/>
              <w:left w:val="nil"/>
              <w:bottom w:val="single" w:sz="8" w:space="0" w:color="auto"/>
              <w:right w:val="single" w:sz="8" w:space="0" w:color="auto"/>
            </w:tcBorders>
            <w:shd w:val="clear" w:color="auto" w:fill="auto"/>
            <w:vAlign w:val="bottom"/>
            <w:hideMark/>
          </w:tcPr>
          <w:p w14:paraId="0BAB5EE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w:t>
            </w:r>
          </w:p>
        </w:tc>
        <w:tc>
          <w:tcPr>
            <w:tcW w:w="630" w:type="dxa"/>
            <w:tcBorders>
              <w:top w:val="nil"/>
              <w:left w:val="nil"/>
              <w:bottom w:val="single" w:sz="8" w:space="0" w:color="auto"/>
              <w:right w:val="single" w:sz="8" w:space="0" w:color="auto"/>
            </w:tcBorders>
            <w:shd w:val="clear" w:color="auto" w:fill="auto"/>
            <w:vAlign w:val="bottom"/>
            <w:hideMark/>
          </w:tcPr>
          <w:p w14:paraId="4864804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European Countries</w:t>
            </w:r>
          </w:p>
        </w:tc>
        <w:tc>
          <w:tcPr>
            <w:tcW w:w="808" w:type="dxa"/>
            <w:tcBorders>
              <w:top w:val="nil"/>
              <w:left w:val="nil"/>
              <w:bottom w:val="single" w:sz="8" w:space="0" w:color="auto"/>
              <w:right w:val="single" w:sz="8" w:space="0" w:color="auto"/>
            </w:tcBorders>
            <w:shd w:val="clear" w:color="auto" w:fill="auto"/>
            <w:vAlign w:val="bottom"/>
            <w:hideMark/>
          </w:tcPr>
          <w:p w14:paraId="529B3FF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2006-2013</w:t>
            </w:r>
          </w:p>
        </w:tc>
        <w:tc>
          <w:tcPr>
            <w:tcW w:w="900" w:type="dxa"/>
            <w:tcBorders>
              <w:top w:val="nil"/>
              <w:left w:val="nil"/>
              <w:bottom w:val="single" w:sz="8" w:space="0" w:color="auto"/>
              <w:right w:val="single" w:sz="8" w:space="0" w:color="auto"/>
            </w:tcBorders>
            <w:shd w:val="clear" w:color="auto" w:fill="auto"/>
            <w:vAlign w:val="bottom"/>
            <w:hideMark/>
          </w:tcPr>
          <w:p w14:paraId="28F2152A" w14:textId="7DAB3E15"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Non-US version of Best’s Insurance Reports</w:t>
            </w:r>
            <w:r w:rsidR="00DB7D8F" w:rsidRPr="002C178D">
              <w:rPr>
                <w:rFonts w:ascii="Arial" w:eastAsia="Times New Roman" w:hAnsi="Arial" w:cs="Arial"/>
                <w:b/>
                <w:sz w:val="16"/>
                <w:szCs w:val="16"/>
              </w:rPr>
              <w:t>, 2060</w:t>
            </w:r>
            <w:r w:rsidRPr="002C178D">
              <w:rPr>
                <w:rFonts w:ascii="Arial" w:eastAsia="Times New Roman" w:hAnsi="Arial" w:cs="Arial"/>
                <w:b/>
                <w:sz w:val="16"/>
                <w:szCs w:val="16"/>
              </w:rPr>
              <w:t xml:space="preserve"> insurers from 16 countries</w:t>
            </w:r>
            <w:r w:rsidR="00D1761F" w:rsidRPr="002C178D">
              <w:rPr>
                <w:rFonts w:ascii="Arial" w:eastAsia="Times New Roman" w:hAnsi="Arial" w:cs="Arial"/>
                <w:b/>
                <w:sz w:val="16"/>
                <w:szCs w:val="16"/>
              </w:rPr>
              <w:t>, 250</w:t>
            </w:r>
            <w:r w:rsidRPr="002C178D">
              <w:rPr>
                <w:rFonts w:ascii="Arial" w:eastAsia="Times New Roman" w:hAnsi="Arial" w:cs="Arial"/>
                <w:b/>
                <w:sz w:val="16"/>
                <w:szCs w:val="16"/>
              </w:rPr>
              <w:t xml:space="preserve"> failure events.</w:t>
            </w:r>
          </w:p>
        </w:tc>
        <w:tc>
          <w:tcPr>
            <w:tcW w:w="1080" w:type="dxa"/>
            <w:tcBorders>
              <w:top w:val="nil"/>
              <w:left w:val="nil"/>
              <w:bottom w:val="single" w:sz="8" w:space="0" w:color="auto"/>
              <w:right w:val="single" w:sz="8" w:space="0" w:color="auto"/>
            </w:tcBorders>
            <w:shd w:val="clear" w:color="auto" w:fill="auto"/>
            <w:vAlign w:val="bottom"/>
            <w:hideMark/>
          </w:tcPr>
          <w:p w14:paraId="6A22C0B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ROE, Real asset growth, Leverage ratio, Technical efficiency, Real GDP growth, Interest rate,Labor,Capital&amp; Surplus,Reserve changes, Investments </w:t>
            </w:r>
          </w:p>
        </w:tc>
        <w:tc>
          <w:tcPr>
            <w:tcW w:w="1260" w:type="dxa"/>
            <w:tcBorders>
              <w:top w:val="nil"/>
              <w:left w:val="nil"/>
              <w:bottom w:val="single" w:sz="8" w:space="0" w:color="auto"/>
              <w:right w:val="single" w:sz="8" w:space="0" w:color="auto"/>
            </w:tcBorders>
            <w:shd w:val="clear" w:color="auto" w:fill="auto"/>
            <w:vAlign w:val="bottom"/>
            <w:hideMark/>
          </w:tcPr>
          <w:p w14:paraId="5247881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State-of-the-art data envelopment analysis, Rare event logistic Regression, Hazard model of time to failure, Supporting vector machine approach.</w:t>
            </w:r>
          </w:p>
        </w:tc>
        <w:tc>
          <w:tcPr>
            <w:tcW w:w="990" w:type="dxa"/>
            <w:tcBorders>
              <w:top w:val="nil"/>
              <w:left w:val="nil"/>
              <w:bottom w:val="single" w:sz="8" w:space="0" w:color="auto"/>
              <w:right w:val="single" w:sz="8" w:space="0" w:color="auto"/>
            </w:tcBorders>
            <w:shd w:val="clear" w:color="auto" w:fill="auto"/>
            <w:vAlign w:val="bottom"/>
            <w:hideMark/>
          </w:tcPr>
          <w:p w14:paraId="1D3BC36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Negative relationship between technical efficiency &amp; probability of failure, 2. Positive relationship between business volatility &amp; probability of failure.</w:t>
            </w:r>
          </w:p>
        </w:tc>
        <w:tc>
          <w:tcPr>
            <w:tcW w:w="1496" w:type="dxa"/>
            <w:tcBorders>
              <w:top w:val="nil"/>
              <w:left w:val="nil"/>
              <w:bottom w:val="single" w:sz="8" w:space="0" w:color="auto"/>
              <w:right w:val="nil"/>
            </w:tcBorders>
            <w:shd w:val="clear" w:color="auto" w:fill="auto"/>
            <w:vAlign w:val="bottom"/>
            <w:hideMark/>
          </w:tcPr>
          <w:p w14:paraId="18C3137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Firm growth has a U-shaped, nonlinear impact on failure probability. 2. Technical efficiency &amp; Business volatility is persistent to open up available measures to prevent failures. </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0ECF858B" w14:textId="4B186723"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 xml:space="preserve">Firm's growth and failure is totally dependent on technical efficiency, business volatility and </w:t>
            </w:r>
            <w:r w:rsidR="00D1761F" w:rsidRPr="002C178D">
              <w:rPr>
                <w:rFonts w:ascii="Arial" w:eastAsia="Times New Roman" w:hAnsi="Arial" w:cs="Arial"/>
                <w:b/>
                <w:bCs/>
                <w:i/>
                <w:iCs/>
                <w:sz w:val="16"/>
                <w:szCs w:val="16"/>
              </w:rPr>
              <w:t>other</w:t>
            </w:r>
            <w:r w:rsidRPr="002C178D">
              <w:rPr>
                <w:rFonts w:ascii="Arial" w:eastAsia="Times New Roman" w:hAnsi="Arial" w:cs="Arial"/>
                <w:b/>
                <w:bCs/>
                <w:i/>
                <w:iCs/>
                <w:sz w:val="16"/>
                <w:szCs w:val="16"/>
              </w:rPr>
              <w:t xml:space="preserve"> factors.</w:t>
            </w:r>
          </w:p>
        </w:tc>
      </w:tr>
      <w:tr w:rsidR="002C178D" w:rsidRPr="002C178D" w14:paraId="4F3F2596" w14:textId="77777777" w:rsidTr="00FD52EB">
        <w:trPr>
          <w:trHeight w:val="2760"/>
        </w:trPr>
        <w:tc>
          <w:tcPr>
            <w:tcW w:w="265" w:type="dxa"/>
            <w:tcBorders>
              <w:top w:val="nil"/>
              <w:left w:val="single" w:sz="8" w:space="0" w:color="auto"/>
              <w:bottom w:val="single" w:sz="8" w:space="0" w:color="auto"/>
              <w:right w:val="nil"/>
            </w:tcBorders>
            <w:shd w:val="clear" w:color="auto" w:fill="auto"/>
            <w:vAlign w:val="bottom"/>
            <w:hideMark/>
          </w:tcPr>
          <w:p w14:paraId="0353A592"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20</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3B0381FE"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(Eling &amp; Schaper, 2017)</w:t>
            </w:r>
          </w:p>
        </w:tc>
        <w:tc>
          <w:tcPr>
            <w:tcW w:w="539" w:type="dxa"/>
            <w:tcBorders>
              <w:top w:val="nil"/>
              <w:left w:val="nil"/>
              <w:bottom w:val="single" w:sz="8" w:space="0" w:color="auto"/>
              <w:right w:val="single" w:sz="8" w:space="0" w:color="auto"/>
            </w:tcBorders>
            <w:shd w:val="clear" w:color="auto" w:fill="auto"/>
            <w:vAlign w:val="bottom"/>
            <w:hideMark/>
          </w:tcPr>
          <w:p w14:paraId="109ED0B5"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2017</w:t>
            </w:r>
          </w:p>
        </w:tc>
        <w:tc>
          <w:tcPr>
            <w:tcW w:w="900" w:type="dxa"/>
            <w:tcBorders>
              <w:top w:val="nil"/>
              <w:left w:val="nil"/>
              <w:bottom w:val="single" w:sz="8" w:space="0" w:color="auto"/>
              <w:right w:val="single" w:sz="8" w:space="0" w:color="auto"/>
            </w:tcBorders>
            <w:shd w:val="clear" w:color="auto" w:fill="auto"/>
            <w:vAlign w:val="bottom"/>
            <w:hideMark/>
          </w:tcPr>
          <w:p w14:paraId="37B97BA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Under Pressure: How the Business Environment Affects Productivity and Efficiency of European Life Insurance Companies</w:t>
            </w:r>
          </w:p>
        </w:tc>
        <w:tc>
          <w:tcPr>
            <w:tcW w:w="720" w:type="dxa"/>
            <w:tcBorders>
              <w:top w:val="nil"/>
              <w:left w:val="nil"/>
              <w:bottom w:val="single" w:sz="8" w:space="0" w:color="auto"/>
              <w:right w:val="single" w:sz="8" w:space="0" w:color="auto"/>
            </w:tcBorders>
            <w:shd w:val="clear" w:color="auto" w:fill="auto"/>
            <w:vAlign w:val="bottom"/>
            <w:hideMark/>
          </w:tcPr>
          <w:p w14:paraId="61C9B5F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European Journal of Operational Research</w:t>
            </w:r>
          </w:p>
        </w:tc>
        <w:tc>
          <w:tcPr>
            <w:tcW w:w="720" w:type="dxa"/>
            <w:tcBorders>
              <w:top w:val="nil"/>
              <w:left w:val="nil"/>
              <w:bottom w:val="single" w:sz="8" w:space="0" w:color="auto"/>
              <w:right w:val="single" w:sz="8" w:space="0" w:color="auto"/>
            </w:tcBorders>
            <w:shd w:val="clear" w:color="auto" w:fill="auto"/>
            <w:vAlign w:val="bottom"/>
            <w:hideMark/>
          </w:tcPr>
          <w:p w14:paraId="1255DD8F"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w:t>
            </w:r>
          </w:p>
        </w:tc>
        <w:tc>
          <w:tcPr>
            <w:tcW w:w="630" w:type="dxa"/>
            <w:tcBorders>
              <w:top w:val="nil"/>
              <w:left w:val="nil"/>
              <w:bottom w:val="single" w:sz="8" w:space="0" w:color="auto"/>
              <w:right w:val="single" w:sz="8" w:space="0" w:color="auto"/>
            </w:tcBorders>
            <w:shd w:val="clear" w:color="auto" w:fill="auto"/>
            <w:vAlign w:val="bottom"/>
            <w:hideMark/>
          </w:tcPr>
          <w:p w14:paraId="032165DC" w14:textId="59028265" w:rsidR="002C178D" w:rsidRPr="002C178D" w:rsidRDefault="006650BB" w:rsidP="006650BB">
            <w:pPr>
              <w:spacing w:after="0" w:line="240" w:lineRule="auto"/>
              <w:rPr>
                <w:rFonts w:ascii="Arial" w:eastAsia="Times New Roman" w:hAnsi="Arial" w:cs="Arial"/>
                <w:b/>
                <w:sz w:val="16"/>
                <w:szCs w:val="16"/>
              </w:rPr>
            </w:pPr>
            <w:r>
              <w:rPr>
                <w:rFonts w:ascii="Arial" w:eastAsia="Times New Roman" w:hAnsi="Arial" w:cs="Arial"/>
                <w:b/>
                <w:sz w:val="16"/>
                <w:szCs w:val="16"/>
              </w:rPr>
              <w:t>European Countries</w:t>
            </w:r>
            <w:r w:rsidR="002C178D" w:rsidRPr="002C178D">
              <w:rPr>
                <w:rFonts w:ascii="Arial" w:eastAsia="Times New Roman" w:hAnsi="Arial" w:cs="Arial"/>
                <w:b/>
                <w:sz w:val="16"/>
                <w:szCs w:val="16"/>
              </w:rPr>
              <w:t>.</w:t>
            </w:r>
          </w:p>
        </w:tc>
        <w:tc>
          <w:tcPr>
            <w:tcW w:w="808" w:type="dxa"/>
            <w:tcBorders>
              <w:top w:val="nil"/>
              <w:left w:val="nil"/>
              <w:bottom w:val="single" w:sz="8" w:space="0" w:color="auto"/>
              <w:right w:val="single" w:sz="8" w:space="0" w:color="auto"/>
            </w:tcBorders>
            <w:shd w:val="clear" w:color="auto" w:fill="auto"/>
            <w:vAlign w:val="bottom"/>
            <w:hideMark/>
          </w:tcPr>
          <w:p w14:paraId="334D512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2002-2013</w:t>
            </w:r>
          </w:p>
        </w:tc>
        <w:tc>
          <w:tcPr>
            <w:tcW w:w="900" w:type="dxa"/>
            <w:tcBorders>
              <w:top w:val="nil"/>
              <w:left w:val="nil"/>
              <w:bottom w:val="single" w:sz="8" w:space="0" w:color="auto"/>
              <w:right w:val="single" w:sz="8" w:space="0" w:color="auto"/>
            </w:tcBorders>
            <w:shd w:val="clear" w:color="auto" w:fill="auto"/>
            <w:vAlign w:val="bottom"/>
            <w:hideMark/>
          </w:tcPr>
          <w:p w14:paraId="382F5A2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Sample of 970 life insurance companies from 14 European countries</w:t>
            </w:r>
          </w:p>
        </w:tc>
        <w:tc>
          <w:tcPr>
            <w:tcW w:w="1080" w:type="dxa"/>
            <w:tcBorders>
              <w:top w:val="nil"/>
              <w:left w:val="nil"/>
              <w:bottom w:val="single" w:sz="8" w:space="0" w:color="auto"/>
              <w:right w:val="single" w:sz="8" w:space="0" w:color="auto"/>
            </w:tcBorders>
            <w:shd w:val="clear" w:color="auto" w:fill="auto"/>
            <w:vAlign w:val="bottom"/>
            <w:hideMark/>
          </w:tcPr>
          <w:p w14:paraId="0BA172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Efficiency, Stock market performance, GDP, Unemployment, Interest rate, Inflation.</w:t>
            </w:r>
          </w:p>
        </w:tc>
        <w:tc>
          <w:tcPr>
            <w:tcW w:w="1260" w:type="dxa"/>
            <w:tcBorders>
              <w:top w:val="nil"/>
              <w:left w:val="nil"/>
              <w:bottom w:val="single" w:sz="8" w:space="0" w:color="auto"/>
              <w:right w:val="single" w:sz="8" w:space="0" w:color="auto"/>
            </w:tcBorders>
            <w:shd w:val="clear" w:color="auto" w:fill="auto"/>
            <w:vAlign w:val="bottom"/>
            <w:hideMark/>
          </w:tcPr>
          <w:p w14:paraId="4BAD337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Data Envelopment Analysis, Multistage DEA,Malmquist Index of Total Factor Productivity Period</w:t>
            </w:r>
          </w:p>
        </w:tc>
        <w:tc>
          <w:tcPr>
            <w:tcW w:w="990" w:type="dxa"/>
            <w:tcBorders>
              <w:top w:val="nil"/>
              <w:left w:val="nil"/>
              <w:bottom w:val="single" w:sz="8" w:space="0" w:color="auto"/>
              <w:right w:val="single" w:sz="8" w:space="0" w:color="auto"/>
            </w:tcBorders>
            <w:shd w:val="clear" w:color="auto" w:fill="auto"/>
            <w:vAlign w:val="bottom"/>
            <w:hideMark/>
          </w:tcPr>
          <w:p w14:paraId="4E9C930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Positive relationship between GDP per capita &amp; Insurance efficiency 2.Positive relationship between Insurance efficiency &amp; Unemployment, 3.Negative relationship between inflation &amp; Insurance efficiency. 4. Negative relationship between interest &amp; efficiency. 5. Positive relationship between stock market efficiency &amp; insurance efficiency. 6. Regulation and efficiency </w:t>
            </w:r>
            <w:r w:rsidRPr="002C178D">
              <w:rPr>
                <w:rFonts w:ascii="Arial" w:eastAsia="Times New Roman" w:hAnsi="Arial" w:cs="Arial"/>
                <w:b/>
                <w:sz w:val="16"/>
                <w:szCs w:val="16"/>
              </w:rPr>
              <w:lastRenderedPageBreak/>
              <w:t>have negative correlation.</w:t>
            </w:r>
          </w:p>
        </w:tc>
        <w:tc>
          <w:tcPr>
            <w:tcW w:w="1496" w:type="dxa"/>
            <w:tcBorders>
              <w:top w:val="nil"/>
              <w:left w:val="nil"/>
              <w:bottom w:val="single" w:sz="8" w:space="0" w:color="auto"/>
              <w:right w:val="nil"/>
            </w:tcBorders>
            <w:shd w:val="clear" w:color="auto" w:fill="auto"/>
            <w:vAlign w:val="bottom"/>
            <w:hideMark/>
          </w:tcPr>
          <w:p w14:paraId="67C261B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1. DEA approach enables us to distinguish environmental changes and changes in management practices. 2. Capital market, insurance market, general economy have significant impact on life insurer efficiency. 3. Business environment influences a lot in technical stagnation and technological development in life insurance industries.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272B9D52"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This research has identified several impacts on European Insurance because of rapid changes in Economy &amp; regulation in insurance industry during the last decades. Although this study indicated that there was hardly any changes in technological improvement, but it was found out that there was efficiency increase in a certain years which had resulted with higher productivity.</w:t>
            </w:r>
          </w:p>
        </w:tc>
      </w:tr>
      <w:tr w:rsidR="002C178D" w:rsidRPr="002C178D" w14:paraId="42CCC68E" w14:textId="77777777" w:rsidTr="00FD52EB">
        <w:trPr>
          <w:trHeight w:val="1760"/>
        </w:trPr>
        <w:tc>
          <w:tcPr>
            <w:tcW w:w="265" w:type="dxa"/>
            <w:tcBorders>
              <w:top w:val="nil"/>
              <w:left w:val="single" w:sz="8" w:space="0" w:color="auto"/>
              <w:bottom w:val="single" w:sz="8" w:space="0" w:color="auto"/>
              <w:right w:val="nil"/>
            </w:tcBorders>
            <w:shd w:val="clear" w:color="auto" w:fill="auto"/>
            <w:vAlign w:val="bottom"/>
            <w:hideMark/>
          </w:tcPr>
          <w:p w14:paraId="4491BA51"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21</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25A59290" w14:textId="77777777" w:rsidR="002C178D" w:rsidRPr="00FD52EB" w:rsidRDefault="002C178D" w:rsidP="005A705F">
            <w:pPr>
              <w:spacing w:after="0" w:line="240" w:lineRule="auto"/>
              <w:rPr>
                <w:rFonts w:ascii="Times New Roman" w:eastAsia="Times New Roman" w:hAnsi="Times New Roman" w:cs="Times New Roman"/>
                <w:b/>
                <w:sz w:val="12"/>
                <w:szCs w:val="12"/>
              </w:rPr>
            </w:pPr>
            <w:r w:rsidRPr="00FD52EB">
              <w:rPr>
                <w:rFonts w:ascii="Times New Roman" w:eastAsia="Times New Roman" w:hAnsi="Times New Roman" w:cs="Times New Roman"/>
                <w:b/>
                <w:sz w:val="12"/>
                <w:szCs w:val="12"/>
              </w:rPr>
              <w:t>(Shen et al., 2017)</w:t>
            </w:r>
          </w:p>
        </w:tc>
        <w:tc>
          <w:tcPr>
            <w:tcW w:w="539" w:type="dxa"/>
            <w:tcBorders>
              <w:top w:val="nil"/>
              <w:left w:val="nil"/>
              <w:bottom w:val="single" w:sz="8" w:space="0" w:color="auto"/>
              <w:right w:val="single" w:sz="8" w:space="0" w:color="auto"/>
            </w:tcBorders>
            <w:shd w:val="clear" w:color="auto" w:fill="auto"/>
            <w:vAlign w:val="bottom"/>
            <w:hideMark/>
          </w:tcPr>
          <w:p w14:paraId="5BF46FAF"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2017</w:t>
            </w:r>
          </w:p>
        </w:tc>
        <w:tc>
          <w:tcPr>
            <w:tcW w:w="900" w:type="dxa"/>
            <w:tcBorders>
              <w:top w:val="nil"/>
              <w:left w:val="nil"/>
              <w:bottom w:val="single" w:sz="8" w:space="0" w:color="auto"/>
              <w:right w:val="single" w:sz="8" w:space="0" w:color="auto"/>
            </w:tcBorders>
            <w:shd w:val="clear" w:color="auto" w:fill="auto"/>
            <w:vAlign w:val="bottom"/>
            <w:hideMark/>
          </w:tcPr>
          <w:p w14:paraId="4B6D707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Financial modeling and improvement planning for the life insurance industry by using a rough knowledge based hybrid MCDM model</w:t>
            </w:r>
          </w:p>
        </w:tc>
        <w:tc>
          <w:tcPr>
            <w:tcW w:w="720" w:type="dxa"/>
            <w:tcBorders>
              <w:top w:val="nil"/>
              <w:left w:val="nil"/>
              <w:bottom w:val="single" w:sz="8" w:space="0" w:color="auto"/>
              <w:right w:val="single" w:sz="8" w:space="0" w:color="auto"/>
            </w:tcBorders>
            <w:shd w:val="clear" w:color="auto" w:fill="auto"/>
            <w:vAlign w:val="bottom"/>
            <w:hideMark/>
          </w:tcPr>
          <w:p w14:paraId="407FF0DA"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Information Sciences</w:t>
            </w:r>
          </w:p>
        </w:tc>
        <w:tc>
          <w:tcPr>
            <w:tcW w:w="720" w:type="dxa"/>
            <w:tcBorders>
              <w:top w:val="nil"/>
              <w:left w:val="nil"/>
              <w:bottom w:val="single" w:sz="8" w:space="0" w:color="auto"/>
              <w:right w:val="single" w:sz="8" w:space="0" w:color="auto"/>
            </w:tcBorders>
            <w:shd w:val="clear" w:color="auto" w:fill="auto"/>
            <w:vAlign w:val="bottom"/>
            <w:hideMark/>
          </w:tcPr>
          <w:p w14:paraId="0747A57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w:t>
            </w:r>
          </w:p>
        </w:tc>
        <w:tc>
          <w:tcPr>
            <w:tcW w:w="630" w:type="dxa"/>
            <w:tcBorders>
              <w:top w:val="nil"/>
              <w:left w:val="nil"/>
              <w:bottom w:val="single" w:sz="8" w:space="0" w:color="auto"/>
              <w:right w:val="single" w:sz="8" w:space="0" w:color="auto"/>
            </w:tcBorders>
            <w:shd w:val="clear" w:color="auto" w:fill="auto"/>
            <w:vAlign w:val="bottom"/>
            <w:hideMark/>
          </w:tcPr>
          <w:p w14:paraId="62A306D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Taiwan</w:t>
            </w:r>
          </w:p>
        </w:tc>
        <w:tc>
          <w:tcPr>
            <w:tcW w:w="808" w:type="dxa"/>
            <w:tcBorders>
              <w:top w:val="nil"/>
              <w:left w:val="nil"/>
              <w:bottom w:val="single" w:sz="8" w:space="0" w:color="auto"/>
              <w:right w:val="single" w:sz="8" w:space="0" w:color="auto"/>
            </w:tcBorders>
            <w:shd w:val="clear" w:color="auto" w:fill="auto"/>
            <w:vAlign w:val="bottom"/>
            <w:hideMark/>
          </w:tcPr>
          <w:p w14:paraId="234A4CA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2009-2013</w:t>
            </w:r>
          </w:p>
        </w:tc>
        <w:tc>
          <w:tcPr>
            <w:tcW w:w="900" w:type="dxa"/>
            <w:tcBorders>
              <w:top w:val="nil"/>
              <w:left w:val="nil"/>
              <w:bottom w:val="single" w:sz="8" w:space="0" w:color="auto"/>
              <w:right w:val="single" w:sz="8" w:space="0" w:color="auto"/>
            </w:tcBorders>
            <w:shd w:val="clear" w:color="auto" w:fill="auto"/>
            <w:vAlign w:val="bottom"/>
            <w:hideMark/>
          </w:tcPr>
          <w:p w14:paraId="746CA29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Historical reports or life insurance companies(Taiwan Insurance Institute),Opinions of 8 domain experts,</w:t>
            </w:r>
          </w:p>
        </w:tc>
        <w:tc>
          <w:tcPr>
            <w:tcW w:w="1080" w:type="dxa"/>
            <w:tcBorders>
              <w:top w:val="nil"/>
              <w:left w:val="nil"/>
              <w:bottom w:val="single" w:sz="8" w:space="0" w:color="auto"/>
              <w:right w:val="single" w:sz="8" w:space="0" w:color="auto"/>
            </w:tcBorders>
            <w:shd w:val="clear" w:color="auto" w:fill="auto"/>
            <w:vAlign w:val="bottom"/>
            <w:hideMark/>
          </w:tcPr>
          <w:p w14:paraId="06A6BD4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Capital Structure (D1), Payback (D2), Operational Efficiency (D3), Revenue Quality (D4), and Capital Efficiency (D5)</w:t>
            </w:r>
          </w:p>
        </w:tc>
        <w:tc>
          <w:tcPr>
            <w:tcW w:w="1260" w:type="dxa"/>
            <w:tcBorders>
              <w:top w:val="nil"/>
              <w:left w:val="nil"/>
              <w:bottom w:val="single" w:sz="8" w:space="0" w:color="auto"/>
              <w:right w:val="single" w:sz="8" w:space="0" w:color="auto"/>
            </w:tcBorders>
            <w:shd w:val="clear" w:color="auto" w:fill="auto"/>
            <w:vAlign w:val="bottom"/>
            <w:hideMark/>
          </w:tcPr>
          <w:p w14:paraId="45B8CDD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Multiple-criteria decision making(MCDM),DEMATEL based analytic network process(DANP)weights,Multi-attribute utility theory(MUT),Rough Set Theory(RST), Integrated Fuzzy integral evaluation model.</w:t>
            </w:r>
          </w:p>
        </w:tc>
        <w:tc>
          <w:tcPr>
            <w:tcW w:w="990" w:type="dxa"/>
            <w:tcBorders>
              <w:top w:val="nil"/>
              <w:left w:val="nil"/>
              <w:bottom w:val="single" w:sz="8" w:space="0" w:color="auto"/>
              <w:right w:val="single" w:sz="8" w:space="0" w:color="auto"/>
            </w:tcBorders>
            <w:shd w:val="clear" w:color="auto" w:fill="auto"/>
            <w:vAlign w:val="bottom"/>
            <w:hideMark/>
          </w:tcPr>
          <w:p w14:paraId="5DBEC5D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There are cause-effect relationship among core dimensions. </w:t>
            </w:r>
          </w:p>
        </w:tc>
        <w:tc>
          <w:tcPr>
            <w:tcW w:w="1496" w:type="dxa"/>
            <w:tcBorders>
              <w:top w:val="nil"/>
              <w:left w:val="nil"/>
              <w:bottom w:val="single" w:sz="8" w:space="0" w:color="auto"/>
              <w:right w:val="nil"/>
            </w:tcBorders>
            <w:shd w:val="clear" w:color="auto" w:fill="auto"/>
            <w:vAlign w:val="bottom"/>
            <w:hideMark/>
          </w:tcPr>
          <w:p w14:paraId="7AB9B80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This research has supported insurers in a systematic approach to improve financial performance. This study has decreased the difference between soft computing techniques and pragmatic financial modeling in a dynamic business environment.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41D5D157"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The findings of this research not only contribute to the integration or combination of heterogeneous methodologies in modeling, but also provide practical insights for life insurance companies.</w:t>
            </w:r>
          </w:p>
        </w:tc>
      </w:tr>
      <w:tr w:rsidR="002C178D" w:rsidRPr="002C178D" w14:paraId="636A2BB0" w14:textId="77777777" w:rsidTr="00FD52EB">
        <w:trPr>
          <w:trHeight w:val="2010"/>
        </w:trPr>
        <w:tc>
          <w:tcPr>
            <w:tcW w:w="265" w:type="dxa"/>
            <w:tcBorders>
              <w:top w:val="nil"/>
              <w:left w:val="single" w:sz="8" w:space="0" w:color="auto"/>
              <w:bottom w:val="single" w:sz="8" w:space="0" w:color="auto"/>
              <w:right w:val="nil"/>
            </w:tcBorders>
            <w:shd w:val="clear" w:color="auto" w:fill="auto"/>
            <w:vAlign w:val="bottom"/>
            <w:hideMark/>
          </w:tcPr>
          <w:p w14:paraId="44EA0828"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22</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6147C6D0" w14:textId="77777777" w:rsidR="002C178D" w:rsidRPr="00FD52EB" w:rsidRDefault="002C178D" w:rsidP="005A705F">
            <w:pPr>
              <w:spacing w:after="0" w:line="240" w:lineRule="auto"/>
              <w:rPr>
                <w:rFonts w:ascii="Calibri" w:eastAsia="Times New Roman" w:hAnsi="Calibri" w:cs="Calibri"/>
                <w:b/>
                <w:sz w:val="12"/>
                <w:szCs w:val="12"/>
              </w:rPr>
            </w:pPr>
            <w:r w:rsidRPr="00FD52EB">
              <w:rPr>
                <w:rFonts w:ascii="Calibri" w:eastAsia="Times New Roman" w:hAnsi="Calibri" w:cs="Calibri"/>
                <w:b/>
                <w:sz w:val="12"/>
                <w:szCs w:val="12"/>
              </w:rPr>
              <w:t>(Javad &amp; Nateq, 2015)</w:t>
            </w:r>
          </w:p>
        </w:tc>
        <w:tc>
          <w:tcPr>
            <w:tcW w:w="539" w:type="dxa"/>
            <w:tcBorders>
              <w:top w:val="nil"/>
              <w:left w:val="nil"/>
              <w:bottom w:val="single" w:sz="8" w:space="0" w:color="auto"/>
              <w:right w:val="single" w:sz="8" w:space="0" w:color="auto"/>
            </w:tcBorders>
            <w:shd w:val="clear" w:color="auto" w:fill="auto"/>
            <w:vAlign w:val="bottom"/>
            <w:hideMark/>
          </w:tcPr>
          <w:p w14:paraId="19A30310"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vAlign w:val="bottom"/>
            <w:hideMark/>
          </w:tcPr>
          <w:p w14:paraId="1DB94D1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Insured risk perception towards electronic insurance</w:t>
            </w:r>
          </w:p>
        </w:tc>
        <w:tc>
          <w:tcPr>
            <w:tcW w:w="720" w:type="dxa"/>
            <w:tcBorders>
              <w:top w:val="nil"/>
              <w:left w:val="nil"/>
              <w:bottom w:val="single" w:sz="8" w:space="0" w:color="auto"/>
              <w:right w:val="single" w:sz="8" w:space="0" w:color="auto"/>
            </w:tcBorders>
            <w:shd w:val="clear" w:color="auto" w:fill="auto"/>
            <w:vAlign w:val="bottom"/>
            <w:hideMark/>
          </w:tcPr>
          <w:p w14:paraId="68CE26E4"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Academic Journal of Business Management</w:t>
            </w:r>
          </w:p>
        </w:tc>
        <w:tc>
          <w:tcPr>
            <w:tcW w:w="720" w:type="dxa"/>
            <w:tcBorders>
              <w:top w:val="nil"/>
              <w:left w:val="nil"/>
              <w:bottom w:val="single" w:sz="8" w:space="0" w:color="auto"/>
              <w:right w:val="single" w:sz="8" w:space="0" w:color="auto"/>
            </w:tcBorders>
            <w:shd w:val="clear" w:color="auto" w:fill="auto"/>
            <w:vAlign w:val="bottom"/>
            <w:hideMark/>
          </w:tcPr>
          <w:p w14:paraId="47B6EEF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Academic Institute for Science and Technology</w:t>
            </w:r>
          </w:p>
        </w:tc>
        <w:tc>
          <w:tcPr>
            <w:tcW w:w="630" w:type="dxa"/>
            <w:tcBorders>
              <w:top w:val="nil"/>
              <w:left w:val="nil"/>
              <w:bottom w:val="single" w:sz="8" w:space="0" w:color="auto"/>
              <w:right w:val="single" w:sz="8" w:space="0" w:color="auto"/>
            </w:tcBorders>
            <w:shd w:val="clear" w:color="auto" w:fill="auto"/>
            <w:vAlign w:val="bottom"/>
            <w:hideMark/>
          </w:tcPr>
          <w:p w14:paraId="4FFB4AE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Northeastern Iran(Khorasan Province)</w:t>
            </w:r>
          </w:p>
        </w:tc>
        <w:tc>
          <w:tcPr>
            <w:tcW w:w="808" w:type="dxa"/>
            <w:tcBorders>
              <w:top w:val="nil"/>
              <w:left w:val="nil"/>
              <w:bottom w:val="single" w:sz="8" w:space="0" w:color="auto"/>
              <w:right w:val="single" w:sz="8" w:space="0" w:color="auto"/>
            </w:tcBorders>
            <w:shd w:val="clear" w:color="auto" w:fill="auto"/>
            <w:vAlign w:val="bottom"/>
            <w:hideMark/>
          </w:tcPr>
          <w:p w14:paraId="76758EC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2009-2014</w:t>
            </w:r>
          </w:p>
        </w:tc>
        <w:tc>
          <w:tcPr>
            <w:tcW w:w="900" w:type="dxa"/>
            <w:tcBorders>
              <w:top w:val="nil"/>
              <w:left w:val="nil"/>
              <w:bottom w:val="single" w:sz="8" w:space="0" w:color="auto"/>
              <w:right w:val="single" w:sz="8" w:space="0" w:color="auto"/>
            </w:tcBorders>
            <w:shd w:val="clear" w:color="auto" w:fill="auto"/>
            <w:vAlign w:val="bottom"/>
            <w:hideMark/>
          </w:tcPr>
          <w:p w14:paraId="16F45D9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survey on the population of customer insurers of Khorasan province in Northeastern Iran</w:t>
            </w:r>
          </w:p>
        </w:tc>
        <w:tc>
          <w:tcPr>
            <w:tcW w:w="1080" w:type="dxa"/>
            <w:tcBorders>
              <w:top w:val="nil"/>
              <w:left w:val="nil"/>
              <w:bottom w:val="single" w:sz="8" w:space="0" w:color="auto"/>
              <w:right w:val="single" w:sz="8" w:space="0" w:color="auto"/>
            </w:tcBorders>
            <w:shd w:val="clear" w:color="auto" w:fill="auto"/>
            <w:vAlign w:val="bottom"/>
            <w:hideMark/>
          </w:tcPr>
          <w:p w14:paraId="37B71AE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Perceived risk dimensions:Time,financial,operational,social,security,privacy,overall risk</w:t>
            </w:r>
          </w:p>
        </w:tc>
        <w:tc>
          <w:tcPr>
            <w:tcW w:w="1260" w:type="dxa"/>
            <w:tcBorders>
              <w:top w:val="nil"/>
              <w:left w:val="nil"/>
              <w:bottom w:val="single" w:sz="8" w:space="0" w:color="auto"/>
              <w:right w:val="single" w:sz="8" w:space="0" w:color="auto"/>
            </w:tcBorders>
            <w:shd w:val="clear" w:color="auto" w:fill="auto"/>
            <w:vAlign w:val="bottom"/>
            <w:hideMark/>
          </w:tcPr>
          <w:p w14:paraId="06911BB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[Descriptive survey-based research]:Chi square of degree of freedom, Root mean square error(RMSEA),Goodness of fit index(GFI),Modified goodness of fit index(MGFI),Bentler-Bonnet normalized fit index(NFI),Comparative fit index(CFI),Cochran's formula</w:t>
            </w:r>
          </w:p>
        </w:tc>
        <w:tc>
          <w:tcPr>
            <w:tcW w:w="990" w:type="dxa"/>
            <w:tcBorders>
              <w:top w:val="nil"/>
              <w:left w:val="nil"/>
              <w:bottom w:val="single" w:sz="8" w:space="0" w:color="auto"/>
              <w:right w:val="single" w:sz="8" w:space="0" w:color="auto"/>
            </w:tcBorders>
            <w:shd w:val="clear" w:color="auto" w:fill="auto"/>
            <w:vAlign w:val="bottom"/>
            <w:hideMark/>
          </w:tcPr>
          <w:p w14:paraId="07E0191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Perceived risk of policy holders &amp; insurers have decreased in the case of electronic insurance</w:t>
            </w:r>
          </w:p>
        </w:tc>
        <w:tc>
          <w:tcPr>
            <w:tcW w:w="1496" w:type="dxa"/>
            <w:tcBorders>
              <w:top w:val="nil"/>
              <w:left w:val="nil"/>
              <w:bottom w:val="single" w:sz="8" w:space="0" w:color="auto"/>
              <w:right w:val="nil"/>
            </w:tcBorders>
            <w:shd w:val="clear" w:color="auto" w:fill="auto"/>
            <w:vAlign w:val="bottom"/>
            <w:hideMark/>
          </w:tcPr>
          <w:p w14:paraId="3B302FC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Managers of insurance companies have achieved trusts of customers in electronic insurance by providing them the opportunity to avail the service of insurance-email. Thus this has mitigated all relevant risks like-operational, performance, perceived and other risks.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42A58849"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This study outlines the received advantages &amp; importance because of electronic insurance &amp; its facilities. More recommendation complies, policyholders &amp; managers need to adopt more updated system of electronic insurance to ensure the lowest rate of perceived risk and highest rate of customers or insurers.</w:t>
            </w:r>
          </w:p>
        </w:tc>
      </w:tr>
      <w:tr w:rsidR="002C178D" w:rsidRPr="002C178D" w14:paraId="47D0B21F" w14:textId="77777777" w:rsidTr="00FD52EB">
        <w:trPr>
          <w:trHeight w:val="1850"/>
        </w:trPr>
        <w:tc>
          <w:tcPr>
            <w:tcW w:w="265" w:type="dxa"/>
            <w:tcBorders>
              <w:top w:val="nil"/>
              <w:left w:val="single" w:sz="8" w:space="0" w:color="auto"/>
              <w:bottom w:val="single" w:sz="8" w:space="0" w:color="auto"/>
              <w:right w:val="nil"/>
            </w:tcBorders>
            <w:shd w:val="clear" w:color="auto" w:fill="auto"/>
            <w:vAlign w:val="bottom"/>
            <w:hideMark/>
          </w:tcPr>
          <w:p w14:paraId="7B1AF09A"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23</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538D32D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(Manokaran et al., 2018)</w:t>
            </w:r>
          </w:p>
        </w:tc>
        <w:tc>
          <w:tcPr>
            <w:tcW w:w="539" w:type="dxa"/>
            <w:tcBorders>
              <w:top w:val="nil"/>
              <w:left w:val="nil"/>
              <w:bottom w:val="single" w:sz="8" w:space="0" w:color="auto"/>
              <w:right w:val="single" w:sz="8" w:space="0" w:color="auto"/>
            </w:tcBorders>
            <w:shd w:val="clear" w:color="auto" w:fill="auto"/>
            <w:vAlign w:val="bottom"/>
            <w:hideMark/>
          </w:tcPr>
          <w:p w14:paraId="6AE43559"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4FDF8FF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impact of corporate social responsibility on financial performance: Evidenc</w:t>
            </w:r>
            <w:r w:rsidRPr="002C178D">
              <w:rPr>
                <w:rFonts w:ascii="Arial" w:eastAsia="Times New Roman" w:hAnsi="Arial" w:cs="Arial"/>
                <w:b/>
                <w:sz w:val="16"/>
                <w:szCs w:val="16"/>
              </w:rPr>
              <w:lastRenderedPageBreak/>
              <w:t>e from Insurance firms</w:t>
            </w:r>
          </w:p>
        </w:tc>
        <w:tc>
          <w:tcPr>
            <w:tcW w:w="720" w:type="dxa"/>
            <w:tcBorders>
              <w:top w:val="nil"/>
              <w:left w:val="nil"/>
              <w:bottom w:val="single" w:sz="8" w:space="0" w:color="auto"/>
              <w:right w:val="single" w:sz="8" w:space="0" w:color="auto"/>
            </w:tcBorders>
            <w:shd w:val="clear" w:color="auto" w:fill="auto"/>
            <w:vAlign w:val="bottom"/>
            <w:hideMark/>
          </w:tcPr>
          <w:p w14:paraId="4EA2E1A7"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lastRenderedPageBreak/>
              <w:t>Management Science Letters</w:t>
            </w:r>
          </w:p>
        </w:tc>
        <w:tc>
          <w:tcPr>
            <w:tcW w:w="720" w:type="dxa"/>
            <w:tcBorders>
              <w:top w:val="nil"/>
              <w:left w:val="nil"/>
              <w:bottom w:val="single" w:sz="8" w:space="0" w:color="auto"/>
              <w:right w:val="single" w:sz="8" w:space="0" w:color="auto"/>
            </w:tcBorders>
            <w:shd w:val="clear" w:color="auto" w:fill="auto"/>
            <w:vAlign w:val="bottom"/>
            <w:hideMark/>
          </w:tcPr>
          <w:p w14:paraId="59B7A53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Growing Science</w:t>
            </w:r>
          </w:p>
        </w:tc>
        <w:tc>
          <w:tcPr>
            <w:tcW w:w="630" w:type="dxa"/>
            <w:tcBorders>
              <w:top w:val="nil"/>
              <w:left w:val="nil"/>
              <w:bottom w:val="single" w:sz="8" w:space="0" w:color="auto"/>
              <w:right w:val="single" w:sz="8" w:space="0" w:color="auto"/>
            </w:tcBorders>
            <w:shd w:val="clear" w:color="auto" w:fill="auto"/>
            <w:vAlign w:val="bottom"/>
            <w:hideMark/>
          </w:tcPr>
          <w:p w14:paraId="754A689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Malaysia</w:t>
            </w:r>
          </w:p>
        </w:tc>
        <w:tc>
          <w:tcPr>
            <w:tcW w:w="808" w:type="dxa"/>
            <w:tcBorders>
              <w:top w:val="nil"/>
              <w:left w:val="nil"/>
              <w:bottom w:val="single" w:sz="8" w:space="0" w:color="auto"/>
              <w:right w:val="single" w:sz="8" w:space="0" w:color="auto"/>
            </w:tcBorders>
            <w:shd w:val="clear" w:color="auto" w:fill="auto"/>
            <w:vAlign w:val="bottom"/>
            <w:hideMark/>
          </w:tcPr>
          <w:p w14:paraId="429ACCA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2008-2017</w:t>
            </w:r>
          </w:p>
        </w:tc>
        <w:tc>
          <w:tcPr>
            <w:tcW w:w="900" w:type="dxa"/>
            <w:tcBorders>
              <w:top w:val="nil"/>
              <w:left w:val="nil"/>
              <w:bottom w:val="single" w:sz="8" w:space="0" w:color="auto"/>
              <w:right w:val="single" w:sz="8" w:space="0" w:color="auto"/>
            </w:tcBorders>
            <w:shd w:val="clear" w:color="auto" w:fill="auto"/>
            <w:vAlign w:val="bottom"/>
            <w:hideMark/>
          </w:tcPr>
          <w:p w14:paraId="47AB240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13 domestic-owned Malaysian Insurance companies</w:t>
            </w:r>
          </w:p>
        </w:tc>
        <w:tc>
          <w:tcPr>
            <w:tcW w:w="1080" w:type="dxa"/>
            <w:tcBorders>
              <w:top w:val="nil"/>
              <w:left w:val="nil"/>
              <w:bottom w:val="single" w:sz="8" w:space="0" w:color="auto"/>
              <w:right w:val="single" w:sz="8" w:space="0" w:color="auto"/>
            </w:tcBorders>
            <w:shd w:val="clear" w:color="auto" w:fill="auto"/>
            <w:vAlign w:val="bottom"/>
            <w:hideMark/>
          </w:tcPr>
          <w:p w14:paraId="0B91DAD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Returns on assets(ROA),Returns on equities(ROE),Earnings per Share(EPS),Corporate Social </w:t>
            </w:r>
            <w:r w:rsidRPr="002C178D">
              <w:rPr>
                <w:rFonts w:ascii="Arial" w:eastAsia="Times New Roman" w:hAnsi="Arial" w:cs="Arial"/>
                <w:b/>
                <w:sz w:val="16"/>
                <w:szCs w:val="16"/>
              </w:rPr>
              <w:lastRenderedPageBreak/>
              <w:t>responsibility(CSR)</w:t>
            </w:r>
          </w:p>
        </w:tc>
        <w:tc>
          <w:tcPr>
            <w:tcW w:w="1260" w:type="dxa"/>
            <w:tcBorders>
              <w:top w:val="nil"/>
              <w:left w:val="nil"/>
              <w:bottom w:val="single" w:sz="8" w:space="0" w:color="auto"/>
              <w:right w:val="single" w:sz="8" w:space="0" w:color="auto"/>
            </w:tcBorders>
            <w:shd w:val="clear" w:color="auto" w:fill="auto"/>
            <w:vAlign w:val="bottom"/>
            <w:hideMark/>
          </w:tcPr>
          <w:p w14:paraId="758529B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Correlation Analysis</w:t>
            </w:r>
          </w:p>
        </w:tc>
        <w:tc>
          <w:tcPr>
            <w:tcW w:w="990" w:type="dxa"/>
            <w:tcBorders>
              <w:top w:val="nil"/>
              <w:left w:val="nil"/>
              <w:bottom w:val="single" w:sz="8" w:space="0" w:color="auto"/>
              <w:right w:val="single" w:sz="8" w:space="0" w:color="auto"/>
            </w:tcBorders>
            <w:shd w:val="clear" w:color="auto" w:fill="auto"/>
            <w:vAlign w:val="bottom"/>
            <w:hideMark/>
          </w:tcPr>
          <w:p w14:paraId="109E59D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1. Positive and significant relationship between CSR disclosure and </w:t>
            </w:r>
            <w:r w:rsidRPr="002C178D">
              <w:rPr>
                <w:rFonts w:ascii="Arial" w:eastAsia="Times New Roman" w:hAnsi="Arial" w:cs="Arial"/>
                <w:b/>
                <w:sz w:val="16"/>
                <w:szCs w:val="16"/>
              </w:rPr>
              <w:lastRenderedPageBreak/>
              <w:t>firm’s EPS. 2. Positive and significant relationship between CSR disclosure and firm’s ROA. 3.positive and significant relationship between CSR disclosure and firm’s ROE</w:t>
            </w:r>
          </w:p>
        </w:tc>
        <w:tc>
          <w:tcPr>
            <w:tcW w:w="1496" w:type="dxa"/>
            <w:tcBorders>
              <w:top w:val="nil"/>
              <w:left w:val="nil"/>
              <w:bottom w:val="single" w:sz="8" w:space="0" w:color="auto"/>
              <w:right w:val="nil"/>
            </w:tcBorders>
            <w:shd w:val="clear" w:color="auto" w:fill="auto"/>
            <w:vAlign w:val="bottom"/>
            <w:hideMark/>
          </w:tcPr>
          <w:p w14:paraId="25E9CA2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lastRenderedPageBreak/>
              <w:t xml:space="preserve">In the terms of investment, nonfinancial factors are more appropriate and considerable. PS is an </w:t>
            </w:r>
            <w:commentRangeStart w:id="30"/>
            <w:commentRangeStart w:id="31"/>
            <w:r w:rsidRPr="002C178D">
              <w:rPr>
                <w:rFonts w:ascii="Arial" w:eastAsia="Times New Roman" w:hAnsi="Arial" w:cs="Arial"/>
                <w:b/>
                <w:sz w:val="16"/>
                <w:szCs w:val="16"/>
              </w:rPr>
              <w:t>important</w:t>
            </w:r>
            <w:commentRangeEnd w:id="30"/>
            <w:r w:rsidRPr="002C178D">
              <w:rPr>
                <w:rStyle w:val="CommentReference"/>
                <w:b/>
              </w:rPr>
              <w:commentReference w:id="30"/>
            </w:r>
            <w:commentRangeEnd w:id="31"/>
            <w:r w:rsidR="00FD52EB">
              <w:rPr>
                <w:rStyle w:val="CommentReference"/>
              </w:rPr>
              <w:commentReference w:id="31"/>
            </w:r>
            <w:r w:rsidRPr="002C178D">
              <w:rPr>
                <w:rFonts w:ascii="Arial" w:eastAsia="Times New Roman" w:hAnsi="Arial" w:cs="Arial"/>
                <w:b/>
                <w:sz w:val="16"/>
                <w:szCs w:val="16"/>
              </w:rPr>
              <w:t xml:space="preserve"> indicator for shareholders to determine their </w:t>
            </w:r>
            <w:r w:rsidRPr="002C178D">
              <w:rPr>
                <w:rFonts w:ascii="Arial" w:eastAsia="Times New Roman" w:hAnsi="Arial" w:cs="Arial"/>
                <w:b/>
                <w:sz w:val="16"/>
                <w:szCs w:val="16"/>
              </w:rPr>
              <w:lastRenderedPageBreak/>
              <w:t>investing decisions.ROA And CSR are positively correlated for increasing firm's image building, image building &amp; market stability.</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14FCF85D"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lastRenderedPageBreak/>
              <w:t xml:space="preserve">Study reveals the importance, impacts and overall advantages of CSR,ROA &amp; EPS.this defines positive and strong relationship between CSR &amp; ROE. But insignificant </w:t>
            </w:r>
            <w:r w:rsidRPr="002C178D">
              <w:rPr>
                <w:rFonts w:ascii="Arial" w:eastAsia="Times New Roman" w:hAnsi="Arial" w:cs="Arial"/>
                <w:b/>
                <w:bCs/>
                <w:i/>
                <w:iCs/>
                <w:sz w:val="16"/>
                <w:szCs w:val="16"/>
              </w:rPr>
              <w:lastRenderedPageBreak/>
              <w:t>relationship between CSR, ROA &amp; EPS.To bring more change and improvement, Malaysian insurance industry needs to avail more CSR &amp; ROA in futuristic log run.</w:t>
            </w:r>
          </w:p>
        </w:tc>
      </w:tr>
      <w:tr w:rsidR="002C178D" w:rsidRPr="002C178D" w14:paraId="2B9FFB24" w14:textId="77777777" w:rsidTr="00FD52EB">
        <w:trPr>
          <w:trHeight w:val="1260"/>
        </w:trPr>
        <w:tc>
          <w:tcPr>
            <w:tcW w:w="265" w:type="dxa"/>
            <w:tcBorders>
              <w:top w:val="nil"/>
              <w:left w:val="single" w:sz="8" w:space="0" w:color="auto"/>
              <w:bottom w:val="single" w:sz="8" w:space="0" w:color="auto"/>
              <w:right w:val="nil"/>
            </w:tcBorders>
            <w:shd w:val="clear" w:color="auto" w:fill="auto"/>
            <w:vAlign w:val="bottom"/>
            <w:hideMark/>
          </w:tcPr>
          <w:p w14:paraId="2C4E1ACA"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24</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4B6694D1"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(Burhan et al., 2015)</w:t>
            </w:r>
          </w:p>
        </w:tc>
        <w:tc>
          <w:tcPr>
            <w:tcW w:w="539" w:type="dxa"/>
            <w:tcBorders>
              <w:top w:val="nil"/>
              <w:left w:val="nil"/>
              <w:bottom w:val="single" w:sz="8" w:space="0" w:color="auto"/>
              <w:right w:val="single" w:sz="8" w:space="0" w:color="auto"/>
            </w:tcBorders>
            <w:shd w:val="clear" w:color="auto" w:fill="auto"/>
            <w:vAlign w:val="bottom"/>
            <w:hideMark/>
          </w:tcPr>
          <w:p w14:paraId="3968032C"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2015</w:t>
            </w:r>
          </w:p>
        </w:tc>
        <w:tc>
          <w:tcPr>
            <w:tcW w:w="900" w:type="dxa"/>
            <w:tcBorders>
              <w:top w:val="nil"/>
              <w:left w:val="nil"/>
              <w:bottom w:val="single" w:sz="8" w:space="0" w:color="auto"/>
              <w:right w:val="single" w:sz="8" w:space="0" w:color="auto"/>
            </w:tcBorders>
            <w:shd w:val="clear" w:color="auto" w:fill="auto"/>
            <w:vAlign w:val="bottom"/>
            <w:hideMark/>
          </w:tcPr>
          <w:p w14:paraId="664E826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National Intelligence and Private Health Expenditure: Do High IQ Societies Spend More on Health Insurance?</w:t>
            </w:r>
          </w:p>
        </w:tc>
        <w:tc>
          <w:tcPr>
            <w:tcW w:w="720" w:type="dxa"/>
            <w:tcBorders>
              <w:top w:val="nil"/>
              <w:left w:val="nil"/>
              <w:bottom w:val="single" w:sz="8" w:space="0" w:color="auto"/>
              <w:right w:val="single" w:sz="8" w:space="0" w:color="auto"/>
            </w:tcBorders>
            <w:shd w:val="clear" w:color="auto" w:fill="auto"/>
            <w:vAlign w:val="bottom"/>
            <w:hideMark/>
          </w:tcPr>
          <w:p w14:paraId="6CECA37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Intelligence</w:t>
            </w:r>
          </w:p>
        </w:tc>
        <w:tc>
          <w:tcPr>
            <w:tcW w:w="720" w:type="dxa"/>
            <w:tcBorders>
              <w:top w:val="nil"/>
              <w:left w:val="nil"/>
              <w:bottom w:val="single" w:sz="8" w:space="0" w:color="auto"/>
              <w:right w:val="single" w:sz="8" w:space="0" w:color="auto"/>
            </w:tcBorders>
            <w:shd w:val="clear" w:color="auto" w:fill="auto"/>
            <w:vAlign w:val="bottom"/>
            <w:hideMark/>
          </w:tcPr>
          <w:p w14:paraId="4D472EF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MRPA(Munich Personal RePEc Archive)</w:t>
            </w:r>
          </w:p>
        </w:tc>
        <w:tc>
          <w:tcPr>
            <w:tcW w:w="630" w:type="dxa"/>
            <w:tcBorders>
              <w:top w:val="nil"/>
              <w:left w:val="nil"/>
              <w:bottom w:val="single" w:sz="8" w:space="0" w:color="auto"/>
              <w:right w:val="single" w:sz="8" w:space="0" w:color="auto"/>
            </w:tcBorders>
            <w:shd w:val="clear" w:color="auto" w:fill="auto"/>
            <w:vAlign w:val="bottom"/>
            <w:hideMark/>
          </w:tcPr>
          <w:p w14:paraId="3EE0CE5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More than 107 countries</w:t>
            </w:r>
          </w:p>
        </w:tc>
        <w:tc>
          <w:tcPr>
            <w:tcW w:w="808" w:type="dxa"/>
            <w:tcBorders>
              <w:top w:val="nil"/>
              <w:left w:val="nil"/>
              <w:bottom w:val="single" w:sz="8" w:space="0" w:color="auto"/>
              <w:right w:val="single" w:sz="8" w:space="0" w:color="auto"/>
            </w:tcBorders>
            <w:shd w:val="clear" w:color="auto" w:fill="auto"/>
            <w:vAlign w:val="bottom"/>
            <w:hideMark/>
          </w:tcPr>
          <w:p w14:paraId="51596E1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2002-2015</w:t>
            </w:r>
          </w:p>
        </w:tc>
        <w:tc>
          <w:tcPr>
            <w:tcW w:w="900" w:type="dxa"/>
            <w:tcBorders>
              <w:top w:val="nil"/>
              <w:left w:val="nil"/>
              <w:bottom w:val="single" w:sz="8" w:space="0" w:color="auto"/>
              <w:right w:val="single" w:sz="8" w:space="0" w:color="auto"/>
            </w:tcBorders>
            <w:shd w:val="clear" w:color="auto" w:fill="auto"/>
            <w:vAlign w:val="bottom"/>
            <w:hideMark/>
          </w:tcPr>
          <w:p w14:paraId="6EE1844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Health insurance companies from selected 107+ countries based on availability of data</w:t>
            </w:r>
          </w:p>
        </w:tc>
        <w:tc>
          <w:tcPr>
            <w:tcW w:w="1080" w:type="dxa"/>
            <w:tcBorders>
              <w:top w:val="nil"/>
              <w:left w:val="nil"/>
              <w:bottom w:val="single" w:sz="8" w:space="0" w:color="auto"/>
              <w:right w:val="single" w:sz="8" w:space="0" w:color="auto"/>
            </w:tcBorders>
            <w:shd w:val="clear" w:color="auto" w:fill="auto"/>
            <w:vAlign w:val="bottom"/>
            <w:hideMark/>
          </w:tcPr>
          <w:p w14:paraId="5C9C97C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Income, the old-age dependency ratio, and government expenditure on health, Expenditures (total, pocket &amp; insurance),GDP per capita.</w:t>
            </w:r>
          </w:p>
        </w:tc>
        <w:tc>
          <w:tcPr>
            <w:tcW w:w="1260" w:type="dxa"/>
            <w:tcBorders>
              <w:top w:val="nil"/>
              <w:left w:val="nil"/>
              <w:bottom w:val="single" w:sz="8" w:space="0" w:color="auto"/>
              <w:right w:val="single" w:sz="8" w:space="0" w:color="auto"/>
            </w:tcBorders>
            <w:shd w:val="clear" w:color="auto" w:fill="auto"/>
            <w:vAlign w:val="bottom"/>
            <w:hideMark/>
          </w:tcPr>
          <w:p w14:paraId="7E7743B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Hierarchical multiple regression analysis</w:t>
            </w:r>
          </w:p>
        </w:tc>
        <w:tc>
          <w:tcPr>
            <w:tcW w:w="990" w:type="dxa"/>
            <w:tcBorders>
              <w:top w:val="nil"/>
              <w:left w:val="nil"/>
              <w:bottom w:val="single" w:sz="8" w:space="0" w:color="auto"/>
              <w:right w:val="single" w:sz="8" w:space="0" w:color="auto"/>
            </w:tcBorders>
            <w:shd w:val="clear" w:color="auto" w:fill="auto"/>
            <w:vAlign w:val="bottom"/>
            <w:hideMark/>
          </w:tcPr>
          <w:p w14:paraId="406CE96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High IQ is positively related to out-of-pocket healthcare, 2.IQ is negatively related to private healthcare insurance expenditure.</w:t>
            </w:r>
          </w:p>
        </w:tc>
        <w:tc>
          <w:tcPr>
            <w:tcW w:w="1496" w:type="dxa"/>
            <w:tcBorders>
              <w:top w:val="nil"/>
              <w:left w:val="nil"/>
              <w:bottom w:val="single" w:sz="8" w:space="0" w:color="auto"/>
              <w:right w:val="nil"/>
            </w:tcBorders>
            <w:shd w:val="clear" w:color="auto" w:fill="auto"/>
            <w:vAlign w:val="bottom"/>
            <w:hideMark/>
          </w:tcPr>
          <w:p w14:paraId="2D437B2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Longevity &amp; Population growth leads high expenses in health &amp; out-of-pocket expenditures that's why higher age was significant to pocket &amp; Total expenditures but insignificant to insurance.</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10D73885" w14:textId="7E144CF8"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Private health care insurance industry is highly impactful because of higher IQ</w:t>
            </w:r>
            <w:r w:rsidR="00C85C9E" w:rsidRPr="002C178D">
              <w:rPr>
                <w:rFonts w:ascii="Arial" w:eastAsia="Times New Roman" w:hAnsi="Arial" w:cs="Arial"/>
                <w:b/>
                <w:bCs/>
                <w:i/>
                <w:iCs/>
                <w:sz w:val="16"/>
                <w:szCs w:val="16"/>
              </w:rPr>
              <w:t>, Expenditures</w:t>
            </w:r>
            <w:r w:rsidRPr="002C178D">
              <w:rPr>
                <w:rFonts w:ascii="Arial" w:eastAsia="Times New Roman" w:hAnsi="Arial" w:cs="Arial"/>
                <w:b/>
                <w:bCs/>
                <w:i/>
                <w:iCs/>
                <w:sz w:val="16"/>
                <w:szCs w:val="16"/>
              </w:rPr>
              <w:t xml:space="preserve"> of total aspects and Ages.</w:t>
            </w:r>
          </w:p>
        </w:tc>
      </w:tr>
      <w:tr w:rsidR="002C178D" w:rsidRPr="002C178D" w14:paraId="7F7EE896" w14:textId="77777777" w:rsidTr="00FD52EB">
        <w:trPr>
          <w:trHeight w:val="1510"/>
        </w:trPr>
        <w:tc>
          <w:tcPr>
            <w:tcW w:w="265" w:type="dxa"/>
            <w:tcBorders>
              <w:top w:val="nil"/>
              <w:left w:val="single" w:sz="8" w:space="0" w:color="auto"/>
              <w:bottom w:val="single" w:sz="8" w:space="0" w:color="auto"/>
              <w:right w:val="nil"/>
            </w:tcBorders>
            <w:shd w:val="clear" w:color="auto" w:fill="auto"/>
            <w:vAlign w:val="bottom"/>
            <w:hideMark/>
          </w:tcPr>
          <w:p w14:paraId="33727017"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25</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4842FE4B" w14:textId="77777777" w:rsidR="002C178D" w:rsidRPr="00FD52EB" w:rsidRDefault="002C178D" w:rsidP="005A705F">
            <w:pPr>
              <w:spacing w:after="0" w:line="240" w:lineRule="auto"/>
              <w:rPr>
                <w:rFonts w:ascii="Times New Roman" w:eastAsia="Times New Roman" w:hAnsi="Times New Roman" w:cs="Times New Roman"/>
                <w:b/>
                <w:sz w:val="12"/>
                <w:szCs w:val="12"/>
              </w:rPr>
            </w:pPr>
            <w:r w:rsidRPr="00FD52EB">
              <w:rPr>
                <w:rFonts w:ascii="Times New Roman" w:eastAsia="Times New Roman" w:hAnsi="Times New Roman" w:cs="Times New Roman"/>
                <w:b/>
                <w:sz w:val="12"/>
                <w:szCs w:val="12"/>
              </w:rPr>
              <w:t>(Wise, 2017)</w:t>
            </w:r>
          </w:p>
        </w:tc>
        <w:tc>
          <w:tcPr>
            <w:tcW w:w="539" w:type="dxa"/>
            <w:tcBorders>
              <w:top w:val="nil"/>
              <w:left w:val="nil"/>
              <w:bottom w:val="single" w:sz="8" w:space="0" w:color="auto"/>
              <w:right w:val="single" w:sz="8" w:space="0" w:color="auto"/>
            </w:tcBorders>
            <w:shd w:val="clear" w:color="auto" w:fill="auto"/>
            <w:vAlign w:val="bottom"/>
            <w:hideMark/>
          </w:tcPr>
          <w:p w14:paraId="4D225837"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2017</w:t>
            </w:r>
          </w:p>
        </w:tc>
        <w:tc>
          <w:tcPr>
            <w:tcW w:w="900" w:type="dxa"/>
            <w:tcBorders>
              <w:top w:val="nil"/>
              <w:left w:val="nil"/>
              <w:bottom w:val="single" w:sz="8" w:space="0" w:color="auto"/>
              <w:right w:val="single" w:sz="8" w:space="0" w:color="auto"/>
            </w:tcBorders>
            <w:shd w:val="clear" w:color="auto" w:fill="auto"/>
            <w:vAlign w:val="bottom"/>
            <w:hideMark/>
          </w:tcPr>
          <w:p w14:paraId="399F0F1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 survey of life insurance efficiency papers: Methods, pros &amp; cons, trends.</w:t>
            </w:r>
          </w:p>
        </w:tc>
        <w:tc>
          <w:tcPr>
            <w:tcW w:w="720" w:type="dxa"/>
            <w:tcBorders>
              <w:top w:val="nil"/>
              <w:left w:val="nil"/>
              <w:bottom w:val="single" w:sz="8" w:space="0" w:color="auto"/>
              <w:right w:val="single" w:sz="8" w:space="0" w:color="auto"/>
            </w:tcBorders>
            <w:shd w:val="clear" w:color="auto" w:fill="auto"/>
            <w:vAlign w:val="bottom"/>
            <w:hideMark/>
          </w:tcPr>
          <w:p w14:paraId="2611FE4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Accounting</w:t>
            </w:r>
          </w:p>
        </w:tc>
        <w:tc>
          <w:tcPr>
            <w:tcW w:w="720" w:type="dxa"/>
            <w:tcBorders>
              <w:top w:val="nil"/>
              <w:left w:val="nil"/>
              <w:bottom w:val="single" w:sz="8" w:space="0" w:color="auto"/>
              <w:right w:val="single" w:sz="8" w:space="0" w:color="auto"/>
            </w:tcBorders>
            <w:shd w:val="clear" w:color="auto" w:fill="auto"/>
            <w:vAlign w:val="bottom"/>
            <w:hideMark/>
          </w:tcPr>
          <w:p w14:paraId="1B53DFDA"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Growing Science</w:t>
            </w:r>
          </w:p>
        </w:tc>
        <w:tc>
          <w:tcPr>
            <w:tcW w:w="630" w:type="dxa"/>
            <w:tcBorders>
              <w:top w:val="nil"/>
              <w:left w:val="nil"/>
              <w:bottom w:val="single" w:sz="8" w:space="0" w:color="auto"/>
              <w:right w:val="single" w:sz="8" w:space="0" w:color="auto"/>
            </w:tcBorders>
            <w:shd w:val="clear" w:color="auto" w:fill="auto"/>
            <w:vAlign w:val="bottom"/>
            <w:hideMark/>
          </w:tcPr>
          <w:p w14:paraId="7BBF78A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Germany,China,India,Malaysia,United Staes,Italy,United Kingdom, Spain</w:t>
            </w:r>
          </w:p>
        </w:tc>
        <w:tc>
          <w:tcPr>
            <w:tcW w:w="808" w:type="dxa"/>
            <w:tcBorders>
              <w:top w:val="nil"/>
              <w:left w:val="nil"/>
              <w:bottom w:val="single" w:sz="8" w:space="0" w:color="auto"/>
              <w:right w:val="single" w:sz="8" w:space="0" w:color="auto"/>
            </w:tcBorders>
            <w:shd w:val="clear" w:color="auto" w:fill="auto"/>
            <w:vAlign w:val="bottom"/>
            <w:hideMark/>
          </w:tcPr>
          <w:p w14:paraId="7B854D7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1997-2015</w:t>
            </w:r>
          </w:p>
        </w:tc>
        <w:tc>
          <w:tcPr>
            <w:tcW w:w="900" w:type="dxa"/>
            <w:tcBorders>
              <w:top w:val="nil"/>
              <w:left w:val="nil"/>
              <w:bottom w:val="single" w:sz="8" w:space="0" w:color="auto"/>
              <w:right w:val="single" w:sz="8" w:space="0" w:color="auto"/>
            </w:tcBorders>
            <w:shd w:val="clear" w:color="auto" w:fill="auto"/>
            <w:vAlign w:val="bottom"/>
            <w:hideMark/>
          </w:tcPr>
          <w:p w14:paraId="43F9356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More than 190 studies based on life insurance efficiency</w:t>
            </w:r>
          </w:p>
        </w:tc>
        <w:tc>
          <w:tcPr>
            <w:tcW w:w="1080" w:type="dxa"/>
            <w:tcBorders>
              <w:top w:val="nil"/>
              <w:left w:val="nil"/>
              <w:bottom w:val="single" w:sz="8" w:space="0" w:color="auto"/>
              <w:right w:val="single" w:sz="8" w:space="0" w:color="auto"/>
            </w:tcBorders>
            <w:shd w:val="clear" w:color="auto" w:fill="auto"/>
            <w:vAlign w:val="bottom"/>
            <w:hideMark/>
          </w:tcPr>
          <w:p w14:paraId="4A839227"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premium, investment income, reserve changes,</w:t>
            </w:r>
          </w:p>
        </w:tc>
        <w:tc>
          <w:tcPr>
            <w:tcW w:w="1260" w:type="dxa"/>
            <w:tcBorders>
              <w:top w:val="nil"/>
              <w:left w:val="nil"/>
              <w:bottom w:val="single" w:sz="8" w:space="0" w:color="auto"/>
              <w:right w:val="single" w:sz="8" w:space="0" w:color="auto"/>
            </w:tcBorders>
            <w:shd w:val="clear" w:color="auto" w:fill="auto"/>
            <w:vAlign w:val="bottom"/>
            <w:hideMark/>
          </w:tcPr>
          <w:p w14:paraId="348AD02A"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Data Envelopment Analysis(DEA),Scholastic frontier analysis(SFA),Thick front analysis(TFA),Distribution-free approach(DFA)</w:t>
            </w:r>
          </w:p>
        </w:tc>
        <w:tc>
          <w:tcPr>
            <w:tcW w:w="990" w:type="dxa"/>
            <w:tcBorders>
              <w:top w:val="nil"/>
              <w:left w:val="nil"/>
              <w:bottom w:val="single" w:sz="8" w:space="0" w:color="auto"/>
              <w:right w:val="single" w:sz="8" w:space="0" w:color="auto"/>
            </w:tcBorders>
            <w:shd w:val="clear" w:color="auto" w:fill="auto"/>
            <w:vAlign w:val="bottom"/>
            <w:hideMark/>
          </w:tcPr>
          <w:p w14:paraId="4C60A79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SFA &amp; DFA methods are most significant ones that’s why they should be adopted for measuring inefficiency levels.</w:t>
            </w:r>
          </w:p>
        </w:tc>
        <w:tc>
          <w:tcPr>
            <w:tcW w:w="1496" w:type="dxa"/>
            <w:tcBorders>
              <w:top w:val="nil"/>
              <w:left w:val="nil"/>
              <w:bottom w:val="single" w:sz="8" w:space="0" w:color="auto"/>
              <w:right w:val="nil"/>
            </w:tcBorders>
            <w:shd w:val="clear" w:color="auto" w:fill="auto"/>
            <w:vAlign w:val="bottom"/>
            <w:hideMark/>
          </w:tcPr>
          <w:p w14:paraId="330AE90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This study shows the methods which are best ones to measure efficiency level in health insurance industries. Identifies that SFA &amp; DFA methods are advantageous in comparison to the methods.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449ABE2F"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Life insurance industry is continuously developoing,concerned insurers can find this research paper very helpful and effective by analyzing &amp; comparing different methods of measuring efficiencies and inefficiencies.</w:t>
            </w:r>
          </w:p>
        </w:tc>
      </w:tr>
      <w:tr w:rsidR="002C178D" w:rsidRPr="002C178D" w14:paraId="5A608691" w14:textId="77777777" w:rsidTr="00FD52EB">
        <w:trPr>
          <w:trHeight w:val="2760"/>
        </w:trPr>
        <w:tc>
          <w:tcPr>
            <w:tcW w:w="265" w:type="dxa"/>
            <w:tcBorders>
              <w:top w:val="nil"/>
              <w:left w:val="single" w:sz="8" w:space="0" w:color="auto"/>
              <w:bottom w:val="single" w:sz="8" w:space="0" w:color="auto"/>
              <w:right w:val="nil"/>
            </w:tcBorders>
            <w:shd w:val="clear" w:color="auto" w:fill="auto"/>
            <w:vAlign w:val="bottom"/>
            <w:hideMark/>
          </w:tcPr>
          <w:p w14:paraId="42ADC8B0"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26</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1FF8EE11"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(Chang, 2018)</w:t>
            </w:r>
          </w:p>
        </w:tc>
        <w:tc>
          <w:tcPr>
            <w:tcW w:w="539" w:type="dxa"/>
            <w:tcBorders>
              <w:top w:val="nil"/>
              <w:left w:val="nil"/>
              <w:bottom w:val="single" w:sz="8" w:space="0" w:color="auto"/>
              <w:right w:val="single" w:sz="8" w:space="0" w:color="auto"/>
            </w:tcBorders>
            <w:shd w:val="clear" w:color="auto" w:fill="auto"/>
            <w:vAlign w:val="bottom"/>
            <w:hideMark/>
          </w:tcPr>
          <w:p w14:paraId="2BD1CBC2"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2A82933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dynamic linkage between insurance and banking activities: An analysis on insurance sector assets Author:</w:t>
            </w:r>
          </w:p>
        </w:tc>
        <w:tc>
          <w:tcPr>
            <w:tcW w:w="720" w:type="dxa"/>
            <w:tcBorders>
              <w:top w:val="nil"/>
              <w:left w:val="nil"/>
              <w:bottom w:val="single" w:sz="8" w:space="0" w:color="auto"/>
              <w:right w:val="single" w:sz="8" w:space="0" w:color="auto"/>
            </w:tcBorders>
            <w:shd w:val="clear" w:color="auto" w:fill="auto"/>
            <w:vAlign w:val="bottom"/>
            <w:hideMark/>
          </w:tcPr>
          <w:p w14:paraId="6E557DB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Journal of multinational financial management</w:t>
            </w:r>
          </w:p>
        </w:tc>
        <w:tc>
          <w:tcPr>
            <w:tcW w:w="720" w:type="dxa"/>
            <w:tcBorders>
              <w:top w:val="nil"/>
              <w:left w:val="nil"/>
              <w:bottom w:val="single" w:sz="8" w:space="0" w:color="auto"/>
              <w:right w:val="single" w:sz="8" w:space="0" w:color="auto"/>
            </w:tcBorders>
            <w:shd w:val="clear" w:color="auto" w:fill="auto"/>
            <w:vAlign w:val="bottom"/>
            <w:hideMark/>
          </w:tcPr>
          <w:p w14:paraId="60C5ABAD"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Elsevier B.V</w:t>
            </w:r>
          </w:p>
        </w:tc>
        <w:tc>
          <w:tcPr>
            <w:tcW w:w="630" w:type="dxa"/>
            <w:tcBorders>
              <w:top w:val="nil"/>
              <w:left w:val="nil"/>
              <w:bottom w:val="single" w:sz="8" w:space="0" w:color="auto"/>
              <w:right w:val="single" w:sz="8" w:space="0" w:color="auto"/>
            </w:tcBorders>
            <w:shd w:val="clear" w:color="auto" w:fill="auto"/>
            <w:vAlign w:val="bottom"/>
            <w:hideMark/>
          </w:tcPr>
          <w:p w14:paraId="1A57FAF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[73 Countries]Australia,Austria,Salvador,Fiji,Finland,France,Gabon,Greece,Guatemala etc.</w:t>
            </w:r>
          </w:p>
        </w:tc>
        <w:tc>
          <w:tcPr>
            <w:tcW w:w="808" w:type="dxa"/>
            <w:tcBorders>
              <w:top w:val="nil"/>
              <w:left w:val="nil"/>
              <w:bottom w:val="single" w:sz="8" w:space="0" w:color="auto"/>
              <w:right w:val="single" w:sz="8" w:space="0" w:color="auto"/>
            </w:tcBorders>
            <w:shd w:val="clear" w:color="auto" w:fill="auto"/>
            <w:vAlign w:val="bottom"/>
            <w:hideMark/>
          </w:tcPr>
          <w:p w14:paraId="3C43BDE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1980-2014</w:t>
            </w:r>
          </w:p>
        </w:tc>
        <w:tc>
          <w:tcPr>
            <w:tcW w:w="900" w:type="dxa"/>
            <w:tcBorders>
              <w:top w:val="nil"/>
              <w:left w:val="nil"/>
              <w:bottom w:val="single" w:sz="8" w:space="0" w:color="auto"/>
              <w:right w:val="single" w:sz="8" w:space="0" w:color="auto"/>
            </w:tcBorders>
            <w:shd w:val="clear" w:color="auto" w:fill="auto"/>
            <w:vAlign w:val="bottom"/>
            <w:hideMark/>
          </w:tcPr>
          <w:p w14:paraId="0DD84D0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Global Financial Development Database of World Bank, Financial Structure dataset.</w:t>
            </w:r>
          </w:p>
        </w:tc>
        <w:tc>
          <w:tcPr>
            <w:tcW w:w="1080" w:type="dxa"/>
            <w:tcBorders>
              <w:top w:val="nil"/>
              <w:left w:val="nil"/>
              <w:bottom w:val="single" w:sz="8" w:space="0" w:color="auto"/>
              <w:right w:val="single" w:sz="8" w:space="0" w:color="auto"/>
            </w:tcBorders>
            <w:shd w:val="clear" w:color="auto" w:fill="auto"/>
            <w:vAlign w:val="bottom"/>
            <w:hideMark/>
          </w:tcPr>
          <w:p w14:paraId="3E0F31A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liquid liabilities of the financial system divided by GDP, deposit money bank assets divided by GDP, the ratio of credit issued to the private sector by commercial banks another financial intermediaries to GDP, the ratio of financial system deposits to GDP, and private credit from deposit banks divided by GDP.</w:t>
            </w:r>
          </w:p>
        </w:tc>
        <w:tc>
          <w:tcPr>
            <w:tcW w:w="1260" w:type="dxa"/>
            <w:tcBorders>
              <w:top w:val="nil"/>
              <w:left w:val="nil"/>
              <w:bottom w:val="single" w:sz="8" w:space="0" w:color="auto"/>
              <w:right w:val="single" w:sz="8" w:space="0" w:color="auto"/>
            </w:tcBorders>
            <w:shd w:val="clear" w:color="auto" w:fill="auto"/>
            <w:vAlign w:val="bottom"/>
            <w:hideMark/>
          </w:tcPr>
          <w:p w14:paraId="67EF902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Vector Auto regression Model (VAR); 2. Granger Casualty Test</w:t>
            </w:r>
          </w:p>
        </w:tc>
        <w:tc>
          <w:tcPr>
            <w:tcW w:w="990" w:type="dxa"/>
            <w:tcBorders>
              <w:top w:val="nil"/>
              <w:left w:val="nil"/>
              <w:bottom w:val="single" w:sz="8" w:space="0" w:color="auto"/>
              <w:right w:val="single" w:sz="8" w:space="0" w:color="auto"/>
            </w:tcBorders>
            <w:shd w:val="clear" w:color="auto" w:fill="auto"/>
            <w:vAlign w:val="bottom"/>
            <w:hideMark/>
          </w:tcPr>
          <w:p w14:paraId="6C7B12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Insurance industry assets have positive correlation with the shock of liquid liabilities &amp; deposits of financial system. 2.Insurance industry assets have negative correlation with shock to deposit money bank assets, private credit issued by commercial banks, other financial intermediaries, and deposit banks.</w:t>
            </w:r>
          </w:p>
        </w:tc>
        <w:tc>
          <w:tcPr>
            <w:tcW w:w="1496" w:type="dxa"/>
            <w:tcBorders>
              <w:top w:val="nil"/>
              <w:left w:val="nil"/>
              <w:bottom w:val="single" w:sz="8" w:space="0" w:color="auto"/>
              <w:right w:val="nil"/>
            </w:tcBorders>
            <w:shd w:val="clear" w:color="auto" w:fill="auto"/>
            <w:vAlign w:val="bottom"/>
            <w:hideMark/>
          </w:tcPr>
          <w:p w14:paraId="487CA24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Adequate flow of monetary system &amp; enough deposit funds help to the expansion of assets &amp; insurance sector. But the response of banking sectors depending on insurance activities in not that significant.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706B2B14"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Banking sector and insurance efficiency is correlated with the facts of flow of assets, liabilities, deposits of commercial banks, private credit issues, other financial sectors and reserve banks.</w:t>
            </w:r>
          </w:p>
        </w:tc>
      </w:tr>
      <w:tr w:rsidR="002C178D" w:rsidRPr="002C178D" w14:paraId="7939011A" w14:textId="77777777" w:rsidTr="00FD52EB">
        <w:trPr>
          <w:trHeight w:val="2260"/>
        </w:trPr>
        <w:tc>
          <w:tcPr>
            <w:tcW w:w="265" w:type="dxa"/>
            <w:tcBorders>
              <w:top w:val="nil"/>
              <w:left w:val="single" w:sz="8" w:space="0" w:color="auto"/>
              <w:bottom w:val="single" w:sz="8" w:space="0" w:color="auto"/>
              <w:right w:val="nil"/>
            </w:tcBorders>
            <w:shd w:val="clear" w:color="auto" w:fill="auto"/>
            <w:vAlign w:val="bottom"/>
            <w:hideMark/>
          </w:tcPr>
          <w:p w14:paraId="44173C85"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27</w:t>
            </w:r>
          </w:p>
        </w:tc>
        <w:tc>
          <w:tcPr>
            <w:tcW w:w="536" w:type="dxa"/>
            <w:tcBorders>
              <w:top w:val="nil"/>
              <w:left w:val="single" w:sz="8" w:space="0" w:color="auto"/>
              <w:bottom w:val="single" w:sz="8" w:space="0" w:color="auto"/>
              <w:right w:val="single" w:sz="8" w:space="0" w:color="auto"/>
            </w:tcBorders>
            <w:shd w:val="clear" w:color="auto" w:fill="auto"/>
            <w:vAlign w:val="bottom"/>
            <w:hideMark/>
          </w:tcPr>
          <w:p w14:paraId="4A799DF9"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(Sürdü et al., 2020)</w:t>
            </w:r>
          </w:p>
        </w:tc>
        <w:tc>
          <w:tcPr>
            <w:tcW w:w="539" w:type="dxa"/>
            <w:tcBorders>
              <w:top w:val="nil"/>
              <w:left w:val="nil"/>
              <w:bottom w:val="single" w:sz="8" w:space="0" w:color="auto"/>
              <w:right w:val="single" w:sz="8" w:space="0" w:color="auto"/>
            </w:tcBorders>
            <w:shd w:val="clear" w:color="auto" w:fill="auto"/>
            <w:vAlign w:val="bottom"/>
            <w:hideMark/>
          </w:tcPr>
          <w:p w14:paraId="36AE2343"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2020</w:t>
            </w:r>
          </w:p>
        </w:tc>
        <w:tc>
          <w:tcPr>
            <w:tcW w:w="900" w:type="dxa"/>
            <w:tcBorders>
              <w:top w:val="nil"/>
              <w:left w:val="nil"/>
              <w:bottom w:val="single" w:sz="8" w:space="0" w:color="auto"/>
              <w:right w:val="single" w:sz="8" w:space="0" w:color="auto"/>
            </w:tcBorders>
            <w:shd w:val="clear" w:color="auto" w:fill="auto"/>
            <w:vAlign w:val="bottom"/>
            <w:hideMark/>
          </w:tcPr>
          <w:p w14:paraId="518B97F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Human Resource Disclosures in Corporate Annual Reports of Insurance Companies: A Case of Developing Country</w:t>
            </w:r>
          </w:p>
        </w:tc>
        <w:tc>
          <w:tcPr>
            <w:tcW w:w="720" w:type="dxa"/>
            <w:tcBorders>
              <w:top w:val="nil"/>
              <w:left w:val="nil"/>
              <w:bottom w:val="single" w:sz="8" w:space="0" w:color="auto"/>
              <w:right w:val="single" w:sz="8" w:space="0" w:color="auto"/>
            </w:tcBorders>
            <w:shd w:val="clear" w:color="auto" w:fill="auto"/>
            <w:noWrap/>
            <w:vAlign w:val="bottom"/>
            <w:hideMark/>
          </w:tcPr>
          <w:p w14:paraId="73516AF1"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Sustainability (Switzerland)</w:t>
            </w:r>
          </w:p>
        </w:tc>
        <w:tc>
          <w:tcPr>
            <w:tcW w:w="720" w:type="dxa"/>
            <w:tcBorders>
              <w:top w:val="nil"/>
              <w:left w:val="nil"/>
              <w:bottom w:val="single" w:sz="8" w:space="0" w:color="auto"/>
              <w:right w:val="single" w:sz="8" w:space="0" w:color="auto"/>
            </w:tcBorders>
            <w:shd w:val="clear" w:color="auto" w:fill="auto"/>
            <w:vAlign w:val="bottom"/>
            <w:hideMark/>
          </w:tcPr>
          <w:p w14:paraId="158090B2"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MDPI</w:t>
            </w:r>
          </w:p>
        </w:tc>
        <w:tc>
          <w:tcPr>
            <w:tcW w:w="630" w:type="dxa"/>
            <w:tcBorders>
              <w:top w:val="nil"/>
              <w:left w:val="nil"/>
              <w:bottom w:val="single" w:sz="8" w:space="0" w:color="auto"/>
              <w:right w:val="single" w:sz="8" w:space="0" w:color="auto"/>
            </w:tcBorders>
            <w:shd w:val="clear" w:color="auto" w:fill="auto"/>
            <w:vAlign w:val="bottom"/>
            <w:hideMark/>
          </w:tcPr>
          <w:p w14:paraId="003BBAE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Turkey</w:t>
            </w:r>
          </w:p>
        </w:tc>
        <w:tc>
          <w:tcPr>
            <w:tcW w:w="808" w:type="dxa"/>
            <w:tcBorders>
              <w:top w:val="nil"/>
              <w:left w:val="nil"/>
              <w:bottom w:val="single" w:sz="8" w:space="0" w:color="auto"/>
              <w:right w:val="single" w:sz="8" w:space="0" w:color="auto"/>
            </w:tcBorders>
            <w:shd w:val="clear" w:color="auto" w:fill="auto"/>
            <w:vAlign w:val="bottom"/>
            <w:hideMark/>
          </w:tcPr>
          <w:p w14:paraId="0E7F142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2007-2017</w:t>
            </w:r>
          </w:p>
        </w:tc>
        <w:tc>
          <w:tcPr>
            <w:tcW w:w="900" w:type="dxa"/>
            <w:tcBorders>
              <w:top w:val="nil"/>
              <w:left w:val="nil"/>
              <w:bottom w:val="single" w:sz="8" w:space="0" w:color="auto"/>
              <w:right w:val="single" w:sz="8" w:space="0" w:color="auto"/>
            </w:tcBorders>
            <w:shd w:val="clear" w:color="auto" w:fill="auto"/>
            <w:vAlign w:val="bottom"/>
            <w:hideMark/>
          </w:tcPr>
          <w:p w14:paraId="3C33FD66"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Annual Reports from 54 insurance companies in Turkey</w:t>
            </w:r>
          </w:p>
        </w:tc>
        <w:tc>
          <w:tcPr>
            <w:tcW w:w="1080" w:type="dxa"/>
            <w:tcBorders>
              <w:top w:val="nil"/>
              <w:left w:val="nil"/>
              <w:bottom w:val="single" w:sz="8" w:space="0" w:color="auto"/>
              <w:right w:val="single" w:sz="8" w:space="0" w:color="auto"/>
            </w:tcBorders>
            <w:shd w:val="clear" w:color="auto" w:fill="auto"/>
            <w:vAlign w:val="bottom"/>
            <w:hideMark/>
          </w:tcPr>
          <w:p w14:paraId="318CF7D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Dependent: Human Resource Disclosure Score(HRDS);Independent:ROA,ROE,Leverage,Number of Employees,Age,TypeOf company,BIST</w:t>
            </w:r>
            <w:r w:rsidRPr="002C178D">
              <w:rPr>
                <w:rFonts w:ascii="Arial" w:eastAsia="Times New Roman" w:hAnsi="Arial" w:cs="Arial"/>
                <w:b/>
                <w:sz w:val="16"/>
                <w:szCs w:val="16"/>
              </w:rPr>
              <w:br w:type="page"/>
              <w:t>(The existence of securities on the Borsa Istanbul),Foreign ownership</w:t>
            </w:r>
          </w:p>
        </w:tc>
        <w:tc>
          <w:tcPr>
            <w:tcW w:w="1260" w:type="dxa"/>
            <w:tcBorders>
              <w:top w:val="nil"/>
              <w:left w:val="nil"/>
              <w:bottom w:val="single" w:sz="8" w:space="0" w:color="auto"/>
              <w:right w:val="single" w:sz="8" w:space="0" w:color="auto"/>
            </w:tcBorders>
            <w:shd w:val="clear" w:color="auto" w:fill="auto"/>
            <w:vAlign w:val="bottom"/>
            <w:hideMark/>
          </w:tcPr>
          <w:p w14:paraId="080DEC7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Correlation analysis, 2.Ordinary Least Square (OLS) Method.</w:t>
            </w:r>
          </w:p>
        </w:tc>
        <w:tc>
          <w:tcPr>
            <w:tcW w:w="990" w:type="dxa"/>
            <w:tcBorders>
              <w:top w:val="nil"/>
              <w:left w:val="nil"/>
              <w:bottom w:val="single" w:sz="8" w:space="0" w:color="auto"/>
              <w:right w:val="single" w:sz="8" w:space="0" w:color="auto"/>
            </w:tcBorders>
            <w:shd w:val="clear" w:color="auto" w:fill="auto"/>
            <w:vAlign w:val="bottom"/>
            <w:hideMark/>
          </w:tcPr>
          <w:p w14:paraId="1934A15E"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 extend of human resources disclosure is positively associated with ROA,ROE,Leverage,Size of firm, number of employees, Age of firm,Existance of Securities on the Borsa Istanbul(BIST),Firm's type.</w:t>
            </w:r>
          </w:p>
        </w:tc>
        <w:tc>
          <w:tcPr>
            <w:tcW w:w="1496" w:type="dxa"/>
            <w:tcBorders>
              <w:top w:val="nil"/>
              <w:left w:val="nil"/>
              <w:bottom w:val="single" w:sz="8" w:space="0" w:color="auto"/>
              <w:right w:val="nil"/>
            </w:tcBorders>
            <w:shd w:val="clear" w:color="auto" w:fill="auto"/>
            <w:vAlign w:val="bottom"/>
            <w:hideMark/>
          </w:tcPr>
          <w:p w14:paraId="131F3F5C"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 accordance with OLS model, Human resource disclosure has positive correlation with no. of employees, BIST, Firms type; &amp; negative correlation with ROA, ROE, Leverage ,Age of firm.</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30CE6658"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The findings indicate that the extent of human resources disclosure depends on some company characteristics. These results were also supported by several empirical studies in the recent literature</w:t>
            </w:r>
          </w:p>
        </w:tc>
      </w:tr>
      <w:tr w:rsidR="002C178D" w:rsidRPr="002C178D" w14:paraId="0023DAE2" w14:textId="77777777" w:rsidTr="00FD52EB">
        <w:trPr>
          <w:trHeight w:val="3010"/>
        </w:trPr>
        <w:tc>
          <w:tcPr>
            <w:tcW w:w="265" w:type="dxa"/>
            <w:tcBorders>
              <w:top w:val="nil"/>
              <w:left w:val="single" w:sz="8" w:space="0" w:color="auto"/>
              <w:bottom w:val="single" w:sz="8" w:space="0" w:color="auto"/>
              <w:right w:val="nil"/>
            </w:tcBorders>
            <w:shd w:val="clear" w:color="auto" w:fill="auto"/>
            <w:vAlign w:val="bottom"/>
            <w:hideMark/>
          </w:tcPr>
          <w:p w14:paraId="1AEC390F"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28</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7355BC9A" w14:textId="77777777" w:rsidR="002C178D" w:rsidRPr="00FD52EB" w:rsidRDefault="002C178D" w:rsidP="005A705F">
            <w:pPr>
              <w:spacing w:after="0" w:line="240" w:lineRule="auto"/>
              <w:rPr>
                <w:rFonts w:ascii="Arial" w:eastAsia="Times New Roman" w:hAnsi="Arial" w:cs="Arial"/>
                <w:b/>
                <w:color w:val="000000"/>
                <w:sz w:val="12"/>
                <w:szCs w:val="12"/>
              </w:rPr>
            </w:pPr>
            <w:r w:rsidRPr="00FD52EB">
              <w:rPr>
                <w:rFonts w:ascii="Arial" w:eastAsia="Times New Roman" w:hAnsi="Arial" w:cs="Arial"/>
                <w:b/>
                <w:noProof/>
                <w:color w:val="000000"/>
                <w:sz w:val="12"/>
                <w:szCs w:val="12"/>
              </w:rPr>
              <w:t>(MUSTEFA, 2017)</w:t>
            </w:r>
          </w:p>
        </w:tc>
        <w:tc>
          <w:tcPr>
            <w:tcW w:w="539" w:type="dxa"/>
            <w:tcBorders>
              <w:top w:val="nil"/>
              <w:left w:val="nil"/>
              <w:bottom w:val="single" w:sz="8" w:space="0" w:color="auto"/>
              <w:right w:val="single" w:sz="8" w:space="0" w:color="auto"/>
            </w:tcBorders>
            <w:shd w:val="clear" w:color="auto" w:fill="auto"/>
            <w:vAlign w:val="bottom"/>
            <w:hideMark/>
          </w:tcPr>
          <w:p w14:paraId="3B315D14"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2017</w:t>
            </w:r>
          </w:p>
        </w:tc>
        <w:tc>
          <w:tcPr>
            <w:tcW w:w="900" w:type="dxa"/>
            <w:tcBorders>
              <w:top w:val="nil"/>
              <w:left w:val="nil"/>
              <w:bottom w:val="single" w:sz="8" w:space="0" w:color="auto"/>
              <w:right w:val="single" w:sz="8" w:space="0" w:color="auto"/>
            </w:tcBorders>
            <w:shd w:val="clear" w:color="auto" w:fill="auto"/>
            <w:vAlign w:val="bottom"/>
            <w:hideMark/>
          </w:tcPr>
          <w:p w14:paraId="6FCC88E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Determinants of audit fee among Ethiopian Insurance companies</w:t>
            </w:r>
          </w:p>
        </w:tc>
        <w:tc>
          <w:tcPr>
            <w:tcW w:w="720" w:type="dxa"/>
            <w:tcBorders>
              <w:top w:val="nil"/>
              <w:left w:val="nil"/>
              <w:bottom w:val="single" w:sz="8" w:space="0" w:color="auto"/>
              <w:right w:val="single" w:sz="8" w:space="0" w:color="auto"/>
            </w:tcBorders>
            <w:shd w:val="clear" w:color="auto" w:fill="auto"/>
            <w:vAlign w:val="bottom"/>
            <w:hideMark/>
          </w:tcPr>
          <w:p w14:paraId="14ADE2F0"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(Thesis Paper Submitted to ST.Marry's University)</w:t>
            </w:r>
          </w:p>
        </w:tc>
        <w:tc>
          <w:tcPr>
            <w:tcW w:w="720" w:type="dxa"/>
            <w:tcBorders>
              <w:top w:val="nil"/>
              <w:left w:val="nil"/>
              <w:bottom w:val="single" w:sz="8" w:space="0" w:color="auto"/>
              <w:right w:val="single" w:sz="8" w:space="0" w:color="auto"/>
            </w:tcBorders>
            <w:shd w:val="clear" w:color="auto" w:fill="auto"/>
            <w:vAlign w:val="bottom"/>
            <w:hideMark/>
          </w:tcPr>
          <w:p w14:paraId="6DE7C7F5"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 </w:t>
            </w:r>
          </w:p>
        </w:tc>
        <w:tc>
          <w:tcPr>
            <w:tcW w:w="630" w:type="dxa"/>
            <w:tcBorders>
              <w:top w:val="nil"/>
              <w:left w:val="nil"/>
              <w:bottom w:val="single" w:sz="8" w:space="0" w:color="auto"/>
              <w:right w:val="single" w:sz="8" w:space="0" w:color="auto"/>
            </w:tcBorders>
            <w:shd w:val="clear" w:color="auto" w:fill="auto"/>
            <w:vAlign w:val="bottom"/>
            <w:hideMark/>
          </w:tcPr>
          <w:p w14:paraId="6FEEF9B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Ethiopia</w:t>
            </w:r>
          </w:p>
        </w:tc>
        <w:tc>
          <w:tcPr>
            <w:tcW w:w="808" w:type="dxa"/>
            <w:tcBorders>
              <w:top w:val="nil"/>
              <w:left w:val="nil"/>
              <w:bottom w:val="single" w:sz="8" w:space="0" w:color="auto"/>
              <w:right w:val="single" w:sz="8" w:space="0" w:color="auto"/>
            </w:tcBorders>
            <w:shd w:val="clear" w:color="auto" w:fill="auto"/>
            <w:vAlign w:val="bottom"/>
            <w:hideMark/>
          </w:tcPr>
          <w:p w14:paraId="3DEFABB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2006-2015</w:t>
            </w:r>
          </w:p>
        </w:tc>
        <w:tc>
          <w:tcPr>
            <w:tcW w:w="900" w:type="dxa"/>
            <w:tcBorders>
              <w:top w:val="nil"/>
              <w:left w:val="nil"/>
              <w:bottom w:val="single" w:sz="8" w:space="0" w:color="auto"/>
              <w:right w:val="single" w:sz="8" w:space="0" w:color="auto"/>
            </w:tcBorders>
            <w:shd w:val="clear" w:color="auto" w:fill="auto"/>
            <w:vAlign w:val="bottom"/>
            <w:hideMark/>
          </w:tcPr>
          <w:p w14:paraId="2E9A6BA9" w14:textId="77777777" w:rsidR="002C178D" w:rsidRPr="002C178D" w:rsidRDefault="002C178D" w:rsidP="00B23EE7">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Data from 9 insurance companies Through judgmental techniques in Ethiopea.8 private and 1 state owned Insurance Companies.</w:t>
            </w:r>
          </w:p>
        </w:tc>
        <w:tc>
          <w:tcPr>
            <w:tcW w:w="1080" w:type="dxa"/>
            <w:tcBorders>
              <w:top w:val="nil"/>
              <w:left w:val="nil"/>
              <w:bottom w:val="single" w:sz="8" w:space="0" w:color="auto"/>
              <w:right w:val="single" w:sz="8" w:space="0" w:color="auto"/>
            </w:tcBorders>
            <w:shd w:val="clear" w:color="auto" w:fill="auto"/>
            <w:vAlign w:val="bottom"/>
            <w:hideMark/>
          </w:tcPr>
          <w:p w14:paraId="7520FB5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Audit size, Client profitability, Liquidity risk, Client complexity, Credit Risk,Efficiency,ROA,ROI,ROE</w:t>
            </w:r>
          </w:p>
        </w:tc>
        <w:tc>
          <w:tcPr>
            <w:tcW w:w="1260" w:type="dxa"/>
            <w:tcBorders>
              <w:top w:val="nil"/>
              <w:left w:val="nil"/>
              <w:bottom w:val="single" w:sz="8" w:space="0" w:color="auto"/>
              <w:right w:val="single" w:sz="8" w:space="0" w:color="auto"/>
            </w:tcBorders>
            <w:shd w:val="clear" w:color="auto" w:fill="auto"/>
            <w:vAlign w:val="bottom"/>
            <w:hideMark/>
          </w:tcPr>
          <w:p w14:paraId="0D58689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Auto correlation test, Multi-collinearity test, Normality test, Linear Regression Model.</w:t>
            </w:r>
          </w:p>
        </w:tc>
        <w:tc>
          <w:tcPr>
            <w:tcW w:w="990" w:type="dxa"/>
            <w:tcBorders>
              <w:top w:val="nil"/>
              <w:left w:val="nil"/>
              <w:bottom w:val="single" w:sz="8" w:space="0" w:color="auto"/>
              <w:right w:val="single" w:sz="8" w:space="0" w:color="auto"/>
            </w:tcBorders>
            <w:shd w:val="clear" w:color="auto" w:fill="auto"/>
            <w:vAlign w:val="bottom"/>
            <w:hideMark/>
          </w:tcPr>
          <w:p w14:paraId="13B062A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Strong relationship between profitability &amp; audit fees, audit fees &amp; audit size, Complex size &amp; audit fees. Negative correlation between liquidity risks &amp; audit fees, efficiency ratios &amp; audit fees. Insignificant relationship between credit risks and audit fees.</w:t>
            </w:r>
          </w:p>
        </w:tc>
        <w:tc>
          <w:tcPr>
            <w:tcW w:w="1496" w:type="dxa"/>
            <w:tcBorders>
              <w:top w:val="nil"/>
              <w:left w:val="nil"/>
              <w:bottom w:val="single" w:sz="8" w:space="0" w:color="auto"/>
              <w:right w:val="nil"/>
            </w:tcBorders>
            <w:shd w:val="clear" w:color="auto" w:fill="auto"/>
            <w:vAlign w:val="bottom"/>
            <w:hideMark/>
          </w:tcPr>
          <w:p w14:paraId="70C5BB0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If the corporate size of the insurance company is increased then the amount of audit pricing is increased. If the Complexity of the insurance company is increased then the amount of audit pricing is increased. The amount of audit fee paid in Ethiopian insurance companies is very low compared to other countries</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6CA48F8C"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The study properly defined that the determinants taken in this study of audit fees are most relevant &amp; applicable as these factors reflects the direct/indirect &amp; significant/insignificant relationship with them.</w:t>
            </w:r>
          </w:p>
        </w:tc>
      </w:tr>
      <w:tr w:rsidR="002C178D" w:rsidRPr="002C178D" w14:paraId="4D0C4A05" w14:textId="77777777" w:rsidTr="00FD52EB">
        <w:trPr>
          <w:trHeight w:val="2260"/>
        </w:trPr>
        <w:tc>
          <w:tcPr>
            <w:tcW w:w="265" w:type="dxa"/>
            <w:tcBorders>
              <w:top w:val="nil"/>
              <w:left w:val="single" w:sz="8" w:space="0" w:color="auto"/>
              <w:bottom w:val="single" w:sz="8" w:space="0" w:color="auto"/>
              <w:right w:val="nil"/>
            </w:tcBorders>
            <w:shd w:val="clear" w:color="auto" w:fill="auto"/>
            <w:vAlign w:val="bottom"/>
            <w:hideMark/>
          </w:tcPr>
          <w:p w14:paraId="7A90CEAA"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t>29</w:t>
            </w:r>
          </w:p>
        </w:tc>
        <w:tc>
          <w:tcPr>
            <w:tcW w:w="536" w:type="dxa"/>
            <w:tcBorders>
              <w:top w:val="nil"/>
              <w:left w:val="single" w:sz="8" w:space="0" w:color="auto"/>
              <w:bottom w:val="single" w:sz="8" w:space="0" w:color="auto"/>
              <w:right w:val="single" w:sz="8" w:space="0" w:color="auto"/>
            </w:tcBorders>
            <w:shd w:val="clear" w:color="auto" w:fill="auto"/>
            <w:noWrap/>
            <w:vAlign w:val="center"/>
            <w:hideMark/>
          </w:tcPr>
          <w:p w14:paraId="2055434D" w14:textId="77777777" w:rsidR="002C178D" w:rsidRPr="00FD52EB" w:rsidRDefault="002C178D" w:rsidP="005A705F">
            <w:pPr>
              <w:spacing w:after="0" w:line="240" w:lineRule="auto"/>
              <w:rPr>
                <w:rFonts w:ascii="Arial" w:eastAsia="Times New Roman" w:hAnsi="Arial" w:cs="Arial"/>
                <w:b/>
                <w:color w:val="000000"/>
                <w:sz w:val="12"/>
                <w:szCs w:val="12"/>
              </w:rPr>
            </w:pPr>
            <w:r w:rsidRPr="00FD52EB">
              <w:rPr>
                <w:rFonts w:ascii="Arial" w:eastAsia="Times New Roman" w:hAnsi="Arial" w:cs="Arial"/>
                <w:b/>
                <w:noProof/>
                <w:color w:val="000000"/>
                <w:sz w:val="12"/>
                <w:szCs w:val="12"/>
              </w:rPr>
              <w:t>(Kumar, 2019)</w:t>
            </w:r>
          </w:p>
        </w:tc>
        <w:tc>
          <w:tcPr>
            <w:tcW w:w="539" w:type="dxa"/>
            <w:tcBorders>
              <w:top w:val="nil"/>
              <w:left w:val="nil"/>
              <w:bottom w:val="single" w:sz="8" w:space="0" w:color="auto"/>
              <w:right w:val="single" w:sz="8" w:space="0" w:color="auto"/>
            </w:tcBorders>
            <w:shd w:val="clear" w:color="auto" w:fill="auto"/>
            <w:vAlign w:val="bottom"/>
            <w:hideMark/>
          </w:tcPr>
          <w:p w14:paraId="0203A649"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2019</w:t>
            </w:r>
          </w:p>
        </w:tc>
        <w:tc>
          <w:tcPr>
            <w:tcW w:w="900" w:type="dxa"/>
            <w:tcBorders>
              <w:top w:val="nil"/>
              <w:left w:val="nil"/>
              <w:bottom w:val="single" w:sz="8" w:space="0" w:color="auto"/>
              <w:right w:val="single" w:sz="8" w:space="0" w:color="auto"/>
            </w:tcBorders>
            <w:shd w:val="clear" w:color="auto" w:fill="auto"/>
            <w:vAlign w:val="bottom"/>
            <w:hideMark/>
          </w:tcPr>
          <w:p w14:paraId="610EF2AB"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 Comparative Analysis of capital structure between Commercial banks and insurance companies</w:t>
            </w:r>
          </w:p>
        </w:tc>
        <w:tc>
          <w:tcPr>
            <w:tcW w:w="720" w:type="dxa"/>
            <w:tcBorders>
              <w:top w:val="nil"/>
              <w:left w:val="nil"/>
              <w:bottom w:val="single" w:sz="8" w:space="0" w:color="auto"/>
              <w:right w:val="single" w:sz="8" w:space="0" w:color="auto"/>
            </w:tcBorders>
            <w:shd w:val="clear" w:color="auto" w:fill="auto"/>
            <w:vAlign w:val="bottom"/>
            <w:hideMark/>
          </w:tcPr>
          <w:p w14:paraId="15807426"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International Journal of Scientific Research and Review</w:t>
            </w:r>
          </w:p>
        </w:tc>
        <w:tc>
          <w:tcPr>
            <w:tcW w:w="720" w:type="dxa"/>
            <w:tcBorders>
              <w:top w:val="nil"/>
              <w:left w:val="nil"/>
              <w:bottom w:val="single" w:sz="8" w:space="0" w:color="auto"/>
              <w:right w:val="single" w:sz="8" w:space="0" w:color="auto"/>
            </w:tcBorders>
            <w:shd w:val="clear" w:color="auto" w:fill="auto"/>
            <w:vAlign w:val="bottom"/>
            <w:hideMark/>
          </w:tcPr>
          <w:p w14:paraId="7BF4A11B"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Academia.edu</w:t>
            </w:r>
          </w:p>
        </w:tc>
        <w:tc>
          <w:tcPr>
            <w:tcW w:w="630" w:type="dxa"/>
            <w:tcBorders>
              <w:top w:val="nil"/>
              <w:left w:val="nil"/>
              <w:bottom w:val="single" w:sz="8" w:space="0" w:color="auto"/>
              <w:right w:val="single" w:sz="8" w:space="0" w:color="auto"/>
            </w:tcBorders>
            <w:shd w:val="clear" w:color="auto" w:fill="auto"/>
            <w:vAlign w:val="bottom"/>
            <w:hideMark/>
          </w:tcPr>
          <w:p w14:paraId="72D577B3"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India</w:t>
            </w:r>
          </w:p>
        </w:tc>
        <w:tc>
          <w:tcPr>
            <w:tcW w:w="808" w:type="dxa"/>
            <w:tcBorders>
              <w:top w:val="nil"/>
              <w:left w:val="nil"/>
              <w:bottom w:val="single" w:sz="8" w:space="0" w:color="auto"/>
              <w:right w:val="single" w:sz="8" w:space="0" w:color="auto"/>
            </w:tcBorders>
            <w:shd w:val="clear" w:color="auto" w:fill="auto"/>
            <w:vAlign w:val="bottom"/>
            <w:hideMark/>
          </w:tcPr>
          <w:p w14:paraId="025E07A4"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2015-2018</w:t>
            </w:r>
          </w:p>
        </w:tc>
        <w:tc>
          <w:tcPr>
            <w:tcW w:w="900" w:type="dxa"/>
            <w:tcBorders>
              <w:top w:val="nil"/>
              <w:left w:val="nil"/>
              <w:bottom w:val="single" w:sz="8" w:space="0" w:color="auto"/>
              <w:right w:val="single" w:sz="8" w:space="0" w:color="auto"/>
            </w:tcBorders>
            <w:shd w:val="clear" w:color="auto" w:fill="auto"/>
            <w:vAlign w:val="bottom"/>
            <w:hideMark/>
          </w:tcPr>
          <w:p w14:paraId="6C57CA8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Annual financial reports of -State bank of India, Punjab National Bank,HDFC bank,ICICI bank,SBI life insurance,HDFC life insurance,ICICI prudential life insurance, New India assurance, General Insurance Corporation</w:t>
            </w:r>
          </w:p>
        </w:tc>
        <w:tc>
          <w:tcPr>
            <w:tcW w:w="1080" w:type="dxa"/>
            <w:tcBorders>
              <w:top w:val="nil"/>
              <w:left w:val="nil"/>
              <w:bottom w:val="single" w:sz="8" w:space="0" w:color="auto"/>
              <w:right w:val="single" w:sz="8" w:space="0" w:color="auto"/>
            </w:tcBorders>
            <w:shd w:val="clear" w:color="auto" w:fill="auto"/>
            <w:vAlign w:val="bottom"/>
            <w:hideMark/>
          </w:tcPr>
          <w:p w14:paraId="7F02C1B0"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Debt. equity ratio(DER),ROA,ROE,EPS</w:t>
            </w:r>
          </w:p>
        </w:tc>
        <w:tc>
          <w:tcPr>
            <w:tcW w:w="1260" w:type="dxa"/>
            <w:tcBorders>
              <w:top w:val="nil"/>
              <w:left w:val="nil"/>
              <w:bottom w:val="single" w:sz="8" w:space="0" w:color="auto"/>
              <w:right w:val="single" w:sz="8" w:space="0" w:color="auto"/>
            </w:tcBorders>
            <w:shd w:val="clear" w:color="auto" w:fill="auto"/>
            <w:vAlign w:val="bottom"/>
            <w:hideMark/>
          </w:tcPr>
          <w:p w14:paraId="27CD89E1"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Ratio Analysis, Comparative analysis through descriptive statistics</w:t>
            </w:r>
          </w:p>
        </w:tc>
        <w:tc>
          <w:tcPr>
            <w:tcW w:w="990" w:type="dxa"/>
            <w:tcBorders>
              <w:top w:val="nil"/>
              <w:left w:val="nil"/>
              <w:bottom w:val="single" w:sz="8" w:space="0" w:color="auto"/>
              <w:right w:val="single" w:sz="8" w:space="0" w:color="auto"/>
            </w:tcBorders>
            <w:shd w:val="clear" w:color="auto" w:fill="auto"/>
            <w:vAlign w:val="bottom"/>
            <w:hideMark/>
          </w:tcPr>
          <w:p w14:paraId="132F49D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 no significant difference between Bank and insurance company’s EPS and ROE; significant difference between Bank and insurance company’s D/A ratio, D/E ratio and ROA</w:t>
            </w:r>
          </w:p>
        </w:tc>
        <w:tc>
          <w:tcPr>
            <w:tcW w:w="1496" w:type="dxa"/>
            <w:tcBorders>
              <w:top w:val="nil"/>
              <w:left w:val="nil"/>
              <w:bottom w:val="single" w:sz="8" w:space="0" w:color="auto"/>
              <w:right w:val="nil"/>
            </w:tcBorders>
            <w:shd w:val="clear" w:color="auto" w:fill="auto"/>
            <w:vAlign w:val="bottom"/>
            <w:hideMark/>
          </w:tcPr>
          <w:p w14:paraId="1830936D"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Therefore, banking sector uses more debt in comparison to insurance. To increase ROE, banks need to decrease dependency on debt.</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1A9479AB"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As capital structure is important in maximizing return and increasing profitability. That is why the facts and differences in capital structures of commercial banks and insurances are analyzed in this study; which includes the well efficiency of maintaining capital structure of Indian insurance industry.</w:t>
            </w:r>
          </w:p>
        </w:tc>
      </w:tr>
      <w:tr w:rsidR="002C178D" w:rsidRPr="002C178D" w14:paraId="45EFDC25" w14:textId="77777777" w:rsidTr="00FD52EB">
        <w:trPr>
          <w:trHeight w:val="1260"/>
        </w:trPr>
        <w:tc>
          <w:tcPr>
            <w:tcW w:w="265" w:type="dxa"/>
            <w:tcBorders>
              <w:top w:val="nil"/>
              <w:left w:val="single" w:sz="8" w:space="0" w:color="auto"/>
              <w:bottom w:val="single" w:sz="8" w:space="0" w:color="auto"/>
              <w:right w:val="single" w:sz="8" w:space="0" w:color="auto"/>
            </w:tcBorders>
            <w:shd w:val="clear" w:color="auto" w:fill="auto"/>
            <w:vAlign w:val="bottom"/>
            <w:hideMark/>
          </w:tcPr>
          <w:p w14:paraId="6B8084CB" w14:textId="77777777" w:rsidR="002C178D" w:rsidRPr="002C178D" w:rsidRDefault="002C178D" w:rsidP="005A705F">
            <w:pPr>
              <w:spacing w:after="0" w:line="240" w:lineRule="auto"/>
              <w:jc w:val="right"/>
              <w:rPr>
                <w:rFonts w:ascii="Arial" w:eastAsia="Times New Roman" w:hAnsi="Arial" w:cs="Arial"/>
                <w:sz w:val="16"/>
                <w:szCs w:val="16"/>
              </w:rPr>
            </w:pPr>
            <w:r w:rsidRPr="002C178D">
              <w:rPr>
                <w:rFonts w:ascii="Arial" w:eastAsia="Times New Roman" w:hAnsi="Arial" w:cs="Arial"/>
                <w:sz w:val="16"/>
                <w:szCs w:val="16"/>
              </w:rPr>
              <w:lastRenderedPageBreak/>
              <w:t>30</w:t>
            </w:r>
          </w:p>
        </w:tc>
        <w:tc>
          <w:tcPr>
            <w:tcW w:w="536" w:type="dxa"/>
            <w:tcBorders>
              <w:top w:val="nil"/>
              <w:left w:val="nil"/>
              <w:bottom w:val="single" w:sz="8" w:space="0" w:color="auto"/>
              <w:right w:val="single" w:sz="8" w:space="0" w:color="auto"/>
            </w:tcBorders>
            <w:shd w:val="clear" w:color="auto" w:fill="auto"/>
            <w:noWrap/>
            <w:vAlign w:val="center"/>
            <w:hideMark/>
          </w:tcPr>
          <w:p w14:paraId="3C735DED" w14:textId="77777777" w:rsidR="002C178D" w:rsidRPr="00FD52EB" w:rsidRDefault="002C178D" w:rsidP="005A705F">
            <w:pPr>
              <w:spacing w:after="0" w:line="240" w:lineRule="auto"/>
              <w:rPr>
                <w:rFonts w:ascii="Arial" w:eastAsia="Times New Roman" w:hAnsi="Arial" w:cs="Arial"/>
                <w:b/>
                <w:color w:val="000000"/>
                <w:sz w:val="12"/>
                <w:szCs w:val="12"/>
              </w:rPr>
            </w:pPr>
            <w:r w:rsidRPr="00FD52EB">
              <w:rPr>
                <w:rFonts w:ascii="Arial" w:eastAsia="Times New Roman" w:hAnsi="Arial" w:cs="Arial"/>
                <w:b/>
                <w:noProof/>
                <w:color w:val="000000"/>
                <w:sz w:val="12"/>
                <w:szCs w:val="12"/>
              </w:rPr>
              <w:t>(Hasan et al., 2018)</w:t>
            </w:r>
          </w:p>
        </w:tc>
        <w:tc>
          <w:tcPr>
            <w:tcW w:w="539" w:type="dxa"/>
            <w:tcBorders>
              <w:top w:val="nil"/>
              <w:left w:val="nil"/>
              <w:bottom w:val="single" w:sz="8" w:space="0" w:color="auto"/>
              <w:right w:val="single" w:sz="8" w:space="0" w:color="auto"/>
            </w:tcBorders>
            <w:shd w:val="clear" w:color="auto" w:fill="auto"/>
            <w:vAlign w:val="bottom"/>
            <w:hideMark/>
          </w:tcPr>
          <w:p w14:paraId="30E72271"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2E211E9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 xml:space="preserve">Application of forward contract and crop insurance as risk management tools of  agriculture: A case study in Bangladesh </w:t>
            </w:r>
            <w:r w:rsidRPr="002C178D">
              <w:rPr>
                <w:rFonts w:ascii="Arial" w:eastAsia="Times New Roman" w:hAnsi="Arial" w:cs="Arial"/>
                <w:b/>
                <w:sz w:val="16"/>
                <w:szCs w:val="16"/>
              </w:rPr>
              <w:br/>
              <w:t>Md.</w:t>
            </w:r>
          </w:p>
        </w:tc>
        <w:tc>
          <w:tcPr>
            <w:tcW w:w="720" w:type="dxa"/>
            <w:tcBorders>
              <w:top w:val="nil"/>
              <w:left w:val="nil"/>
              <w:bottom w:val="single" w:sz="8" w:space="0" w:color="auto"/>
              <w:right w:val="single" w:sz="8" w:space="0" w:color="auto"/>
            </w:tcBorders>
            <w:shd w:val="clear" w:color="auto" w:fill="auto"/>
            <w:vAlign w:val="bottom"/>
            <w:hideMark/>
          </w:tcPr>
          <w:p w14:paraId="47A07DDF"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Asian Economic and Financial Review</w:t>
            </w:r>
          </w:p>
        </w:tc>
        <w:tc>
          <w:tcPr>
            <w:tcW w:w="720" w:type="dxa"/>
            <w:tcBorders>
              <w:top w:val="nil"/>
              <w:left w:val="nil"/>
              <w:bottom w:val="single" w:sz="8" w:space="0" w:color="auto"/>
              <w:right w:val="single" w:sz="8" w:space="0" w:color="auto"/>
            </w:tcBorders>
            <w:shd w:val="clear" w:color="auto" w:fill="auto"/>
            <w:vAlign w:val="bottom"/>
            <w:hideMark/>
          </w:tcPr>
          <w:p w14:paraId="7309B21E" w14:textId="77777777" w:rsidR="002C178D" w:rsidRPr="00FD52EB" w:rsidRDefault="002C178D" w:rsidP="005A705F">
            <w:pPr>
              <w:spacing w:after="0" w:line="240" w:lineRule="auto"/>
              <w:rPr>
                <w:rFonts w:ascii="Arial" w:eastAsia="Times New Roman" w:hAnsi="Arial" w:cs="Arial"/>
                <w:b/>
                <w:sz w:val="12"/>
                <w:szCs w:val="12"/>
              </w:rPr>
            </w:pPr>
            <w:r w:rsidRPr="00FD52EB">
              <w:rPr>
                <w:rFonts w:ascii="Arial" w:eastAsia="Times New Roman" w:hAnsi="Arial" w:cs="Arial"/>
                <w:b/>
                <w:sz w:val="12"/>
                <w:szCs w:val="12"/>
              </w:rPr>
              <w:t>semantischolar</w:t>
            </w:r>
          </w:p>
        </w:tc>
        <w:tc>
          <w:tcPr>
            <w:tcW w:w="630" w:type="dxa"/>
            <w:tcBorders>
              <w:top w:val="nil"/>
              <w:left w:val="nil"/>
              <w:bottom w:val="single" w:sz="8" w:space="0" w:color="auto"/>
              <w:right w:val="single" w:sz="8" w:space="0" w:color="auto"/>
            </w:tcBorders>
            <w:shd w:val="clear" w:color="auto" w:fill="auto"/>
            <w:vAlign w:val="bottom"/>
            <w:hideMark/>
          </w:tcPr>
          <w:p w14:paraId="56032E7F"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Bangladesh</w:t>
            </w:r>
          </w:p>
        </w:tc>
        <w:tc>
          <w:tcPr>
            <w:tcW w:w="808" w:type="dxa"/>
            <w:tcBorders>
              <w:top w:val="nil"/>
              <w:left w:val="nil"/>
              <w:bottom w:val="single" w:sz="8" w:space="0" w:color="auto"/>
              <w:right w:val="single" w:sz="8" w:space="0" w:color="auto"/>
            </w:tcBorders>
            <w:shd w:val="clear" w:color="auto" w:fill="auto"/>
            <w:vAlign w:val="bottom"/>
            <w:hideMark/>
          </w:tcPr>
          <w:p w14:paraId="531B92E1" w14:textId="77777777" w:rsidR="002C178D" w:rsidRPr="002C178D" w:rsidRDefault="002C178D" w:rsidP="005A705F">
            <w:pPr>
              <w:spacing w:after="0" w:line="240" w:lineRule="auto"/>
              <w:jc w:val="right"/>
              <w:rPr>
                <w:rFonts w:ascii="Arial" w:eastAsia="Times New Roman" w:hAnsi="Arial" w:cs="Arial"/>
                <w:b/>
                <w:sz w:val="16"/>
                <w:szCs w:val="16"/>
              </w:rPr>
            </w:pPr>
            <w:r w:rsidRPr="002C178D">
              <w:rPr>
                <w:rFonts w:ascii="Arial" w:eastAsia="Times New Roman" w:hAnsi="Arial" w:cs="Arial"/>
                <w:b/>
                <w:sz w:val="16"/>
                <w:szCs w:val="16"/>
              </w:rPr>
              <w:t>2018</w:t>
            </w:r>
          </w:p>
        </w:tc>
        <w:tc>
          <w:tcPr>
            <w:tcW w:w="900" w:type="dxa"/>
            <w:tcBorders>
              <w:top w:val="nil"/>
              <w:left w:val="nil"/>
              <w:bottom w:val="single" w:sz="8" w:space="0" w:color="auto"/>
              <w:right w:val="single" w:sz="8" w:space="0" w:color="auto"/>
            </w:tcBorders>
            <w:shd w:val="clear" w:color="auto" w:fill="auto"/>
            <w:vAlign w:val="bottom"/>
            <w:hideMark/>
          </w:tcPr>
          <w:p w14:paraId="63DEAC49"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Survey interview from 200 people;(100 traders &amp; 100 farmers selected randomly from Khulna,Rajshahi,Rangpur)</w:t>
            </w:r>
          </w:p>
        </w:tc>
        <w:tc>
          <w:tcPr>
            <w:tcW w:w="1080" w:type="dxa"/>
            <w:tcBorders>
              <w:top w:val="nil"/>
              <w:left w:val="nil"/>
              <w:bottom w:val="single" w:sz="8" w:space="0" w:color="auto"/>
              <w:right w:val="single" w:sz="8" w:space="0" w:color="auto"/>
            </w:tcBorders>
            <w:shd w:val="clear" w:color="auto" w:fill="auto"/>
            <w:vAlign w:val="bottom"/>
            <w:hideMark/>
          </w:tcPr>
          <w:p w14:paraId="70845198"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price volatility, weather risks, and fund shortage</w:t>
            </w:r>
          </w:p>
        </w:tc>
        <w:tc>
          <w:tcPr>
            <w:tcW w:w="1260" w:type="dxa"/>
            <w:tcBorders>
              <w:top w:val="nil"/>
              <w:left w:val="nil"/>
              <w:bottom w:val="single" w:sz="8" w:space="0" w:color="auto"/>
              <w:right w:val="single" w:sz="8" w:space="0" w:color="auto"/>
            </w:tcBorders>
            <w:shd w:val="clear" w:color="auto" w:fill="auto"/>
            <w:vAlign w:val="bottom"/>
            <w:hideMark/>
          </w:tcPr>
          <w:p w14:paraId="1F3B35B2"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Survey Questionnaire, Proposed model</w:t>
            </w:r>
          </w:p>
        </w:tc>
        <w:tc>
          <w:tcPr>
            <w:tcW w:w="990" w:type="dxa"/>
            <w:tcBorders>
              <w:top w:val="nil"/>
              <w:left w:val="nil"/>
              <w:bottom w:val="single" w:sz="8" w:space="0" w:color="auto"/>
              <w:right w:val="single" w:sz="8" w:space="0" w:color="auto"/>
            </w:tcBorders>
            <w:shd w:val="clear" w:color="auto" w:fill="auto"/>
            <w:vAlign w:val="bottom"/>
            <w:hideMark/>
          </w:tcPr>
          <w:p w14:paraId="3D87C2B5" w14:textId="77777777" w:rsidR="002C178D" w:rsidRPr="002C178D" w:rsidRDefault="002C178D" w:rsidP="005A705F">
            <w:pPr>
              <w:spacing w:after="0" w:line="240" w:lineRule="auto"/>
              <w:rPr>
                <w:rFonts w:ascii="Arial" w:eastAsia="Times New Roman" w:hAnsi="Arial" w:cs="Arial"/>
                <w:b/>
                <w:sz w:val="16"/>
                <w:szCs w:val="16"/>
              </w:rPr>
            </w:pPr>
            <w:r w:rsidRPr="002C178D">
              <w:rPr>
                <w:rFonts w:ascii="Arial" w:eastAsia="Times New Roman" w:hAnsi="Arial" w:cs="Arial"/>
                <w:b/>
                <w:sz w:val="16"/>
                <w:szCs w:val="16"/>
              </w:rPr>
              <w:t>1. Price volatility, Weather risks &amp; weather change are negatively associated with agricultural improvement.2. Crop insurance contracts face difficulties because of lacking in legal framework.</w:t>
            </w:r>
          </w:p>
        </w:tc>
        <w:tc>
          <w:tcPr>
            <w:tcW w:w="1496" w:type="dxa"/>
            <w:tcBorders>
              <w:top w:val="nil"/>
              <w:left w:val="nil"/>
              <w:bottom w:val="single" w:sz="8" w:space="0" w:color="auto"/>
              <w:right w:val="nil"/>
            </w:tcBorders>
            <w:shd w:val="clear" w:color="auto" w:fill="auto"/>
            <w:vAlign w:val="bottom"/>
            <w:hideMark/>
          </w:tcPr>
          <w:p w14:paraId="1C4579D1" w14:textId="5B449F26" w:rsidR="002C178D" w:rsidRPr="006241A5" w:rsidRDefault="002C178D" w:rsidP="005A705F">
            <w:pPr>
              <w:spacing w:after="0" w:line="240" w:lineRule="auto"/>
              <w:rPr>
                <w:rFonts w:ascii="Arial" w:eastAsia="Times New Roman" w:hAnsi="Arial" w:cs="Arial"/>
                <w:b/>
                <w:sz w:val="16"/>
                <w:szCs w:val="16"/>
              </w:rPr>
            </w:pPr>
            <w:r w:rsidRPr="006241A5">
              <w:rPr>
                <w:rFonts w:ascii="Arial" w:eastAsia="Times New Roman" w:hAnsi="Arial" w:cs="Arial"/>
                <w:b/>
                <w:sz w:val="16"/>
                <w:szCs w:val="16"/>
              </w:rPr>
              <w:t xml:space="preserve">Proposed model ensures fair price &amp; resolves price volatility, advance payments are being insured &amp; Fund shortages are being </w:t>
            </w:r>
            <w:r w:rsidR="00D01412" w:rsidRPr="006241A5">
              <w:rPr>
                <w:rFonts w:ascii="Arial" w:eastAsia="Times New Roman" w:hAnsi="Arial" w:cs="Arial"/>
                <w:b/>
                <w:sz w:val="16"/>
                <w:szCs w:val="16"/>
              </w:rPr>
              <w:t>decreased</w:t>
            </w:r>
            <w:r w:rsidR="006241A5" w:rsidRPr="006241A5">
              <w:rPr>
                <w:rFonts w:ascii="Arial" w:eastAsia="Times New Roman" w:hAnsi="Arial" w:cs="Arial"/>
                <w:b/>
                <w:sz w:val="16"/>
                <w:szCs w:val="16"/>
              </w:rPr>
              <w:t>==</w:t>
            </w:r>
            <w:r w:rsidRPr="006241A5">
              <w:rPr>
                <w:rFonts w:ascii="Arial" w:eastAsia="Times New Roman" w:hAnsi="Arial" w:cs="Arial"/>
                <w:b/>
                <w:sz w:val="16"/>
                <w:szCs w:val="16"/>
              </w:rPr>
              <w:t>, weather risk &amp; legal framework are resolved.</w:t>
            </w:r>
          </w:p>
        </w:tc>
        <w:tc>
          <w:tcPr>
            <w:tcW w:w="1700" w:type="dxa"/>
            <w:tcBorders>
              <w:top w:val="nil"/>
              <w:left w:val="single" w:sz="8" w:space="0" w:color="auto"/>
              <w:bottom w:val="single" w:sz="8" w:space="0" w:color="auto"/>
              <w:right w:val="single" w:sz="8" w:space="0" w:color="auto"/>
            </w:tcBorders>
            <w:shd w:val="clear" w:color="auto" w:fill="auto"/>
            <w:vAlign w:val="bottom"/>
            <w:hideMark/>
          </w:tcPr>
          <w:p w14:paraId="305EF528" w14:textId="77777777" w:rsidR="002C178D" w:rsidRPr="002C178D" w:rsidRDefault="002C178D" w:rsidP="005A705F">
            <w:pPr>
              <w:spacing w:after="0" w:line="240" w:lineRule="auto"/>
              <w:rPr>
                <w:rFonts w:ascii="Arial" w:eastAsia="Times New Roman" w:hAnsi="Arial" w:cs="Arial"/>
                <w:b/>
                <w:bCs/>
                <w:i/>
                <w:iCs/>
                <w:sz w:val="16"/>
                <w:szCs w:val="16"/>
              </w:rPr>
            </w:pPr>
            <w:r w:rsidRPr="002C178D">
              <w:rPr>
                <w:rFonts w:ascii="Arial" w:eastAsia="Times New Roman" w:hAnsi="Arial" w:cs="Arial"/>
                <w:b/>
                <w:bCs/>
                <w:i/>
                <w:iCs/>
                <w:sz w:val="16"/>
                <w:szCs w:val="16"/>
              </w:rPr>
              <w:t>In this study, three risks associated to risks of agriculture which can be minimized by the application of proposed model.to mitigate all of these by this model is the objective of this study.</w:t>
            </w:r>
          </w:p>
        </w:tc>
      </w:tr>
    </w:tbl>
    <w:p w14:paraId="1DDD3E67" w14:textId="77777777" w:rsidR="002C178D" w:rsidRPr="005A705F" w:rsidRDefault="002C178D">
      <w:pPr>
        <w:rPr>
          <w:sz w:val="12"/>
          <w:szCs w:val="12"/>
        </w:rPr>
      </w:pPr>
    </w:p>
    <w:p w14:paraId="4BAFA96B" w14:textId="77777777" w:rsidR="00920725" w:rsidRDefault="004A7CA3"/>
    <w:sectPr w:rsidR="00920725" w:rsidSect="00B70BA4">
      <w:head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0" w:author="User" w:date="2020-10-04T16:10:00Z" w:initials="U">
    <w:p w14:paraId="39B773A2" w14:textId="77777777" w:rsidR="002C178D" w:rsidRDefault="002C178D">
      <w:pPr>
        <w:pStyle w:val="CommentText"/>
      </w:pPr>
      <w:r>
        <w:rPr>
          <w:rStyle w:val="CommentReference"/>
        </w:rPr>
        <w:annotationRef/>
      </w:r>
    </w:p>
  </w:comment>
  <w:comment w:id="31" w:author="User" w:date="2020-10-04T20:14:00Z" w:initials="U">
    <w:p w14:paraId="1CD2977D" w14:textId="560A6A54" w:rsidR="00FD52EB" w:rsidRDefault="00FD52EB">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B773A2" w15:done="1"/>
  <w15:commentEx w15:paraId="1CD2977D" w15:paraIdParent="39B773A2" w15:done="1"/>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52399" w14:textId="77777777" w:rsidR="004A7CA3" w:rsidRDefault="004A7CA3">
      <w:pPr>
        <w:spacing w:after="0" w:line="240" w:lineRule="auto"/>
      </w:pPr>
      <w:r>
        <w:separator/>
      </w:r>
    </w:p>
  </w:endnote>
  <w:endnote w:type="continuationSeparator" w:id="0">
    <w:p w14:paraId="13ED88B8" w14:textId="77777777" w:rsidR="004A7CA3" w:rsidRDefault="004A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706B7" w14:textId="77777777" w:rsidR="004A7CA3" w:rsidRDefault="004A7CA3">
      <w:pPr>
        <w:spacing w:after="0" w:line="240" w:lineRule="auto"/>
      </w:pPr>
      <w:r>
        <w:separator/>
      </w:r>
    </w:p>
  </w:footnote>
  <w:footnote w:type="continuationSeparator" w:id="0">
    <w:p w14:paraId="0518B391" w14:textId="77777777" w:rsidR="004A7CA3" w:rsidRDefault="004A7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8337124"/>
      <w:docPartObj>
        <w:docPartGallery w:val="Page Numbers (Top of Page)"/>
        <w:docPartUnique/>
      </w:docPartObj>
    </w:sdtPr>
    <w:sdtEndPr>
      <w:rPr>
        <w:color w:val="7F7F7F" w:themeColor="background1" w:themeShade="7F"/>
        <w:spacing w:val="60"/>
      </w:rPr>
    </w:sdtEndPr>
    <w:sdtContent>
      <w:p w14:paraId="06155CD7" w14:textId="77777777" w:rsidR="006B7030" w:rsidRDefault="0027586C">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5848D1" w:rsidRPr="005848D1">
          <w:rPr>
            <w:b/>
            <w:bCs/>
            <w:noProof/>
          </w:rPr>
          <w:t>29</w:t>
        </w:r>
        <w:r>
          <w:rPr>
            <w:b/>
            <w:bCs/>
            <w:noProof/>
          </w:rPr>
          <w:fldChar w:fldCharType="end"/>
        </w:r>
        <w:r>
          <w:rPr>
            <w:b/>
            <w:bCs/>
          </w:rPr>
          <w:t xml:space="preserve"> | </w:t>
        </w:r>
        <w:r>
          <w:rPr>
            <w:color w:val="7F7F7F" w:themeColor="background1" w:themeShade="7F"/>
            <w:spacing w:val="60"/>
          </w:rPr>
          <w:t>Page</w:t>
        </w:r>
      </w:p>
    </w:sdtContent>
  </w:sdt>
  <w:p w14:paraId="7C9769B6" w14:textId="77777777" w:rsidR="006B7030" w:rsidRDefault="004A7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F3474"/>
    <w:multiLevelType w:val="hybridMultilevel"/>
    <w:tmpl w:val="7E261A1C"/>
    <w:lvl w:ilvl="0" w:tplc="F432D4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950F8A"/>
    <w:multiLevelType w:val="hybridMultilevel"/>
    <w:tmpl w:val="B2D08C18"/>
    <w:lvl w:ilvl="0" w:tplc="000E66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5219F"/>
    <w:multiLevelType w:val="hybridMultilevel"/>
    <w:tmpl w:val="DF0A43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305E8E"/>
    <w:multiLevelType w:val="hybridMultilevel"/>
    <w:tmpl w:val="4A563842"/>
    <w:lvl w:ilvl="0" w:tplc="12DA7E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2E6AE5"/>
    <w:multiLevelType w:val="hybridMultilevel"/>
    <w:tmpl w:val="3D44E2A6"/>
    <w:lvl w:ilvl="0" w:tplc="12DA7E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626B46"/>
    <w:multiLevelType w:val="hybridMultilevel"/>
    <w:tmpl w:val="70EA196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025DE9"/>
    <w:multiLevelType w:val="hybridMultilevel"/>
    <w:tmpl w:val="0D70C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5D469B"/>
    <w:multiLevelType w:val="hybridMultilevel"/>
    <w:tmpl w:val="14D45BCC"/>
    <w:lvl w:ilvl="0" w:tplc="F926D74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EC2A9E"/>
    <w:multiLevelType w:val="multilevel"/>
    <w:tmpl w:val="2DD0FB9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sz w:val="32"/>
        <w:szCs w:val="3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7E5D1AEE"/>
    <w:multiLevelType w:val="hybridMultilevel"/>
    <w:tmpl w:val="68340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6"/>
  </w:num>
  <w:num w:numId="5">
    <w:abstractNumId w:val="1"/>
  </w:num>
  <w:num w:numId="6">
    <w:abstractNumId w:val="3"/>
  </w:num>
  <w:num w:numId="7">
    <w:abstractNumId w:val="7"/>
  </w:num>
  <w:num w:numId="8">
    <w:abstractNumId w:val="2"/>
  </w:num>
  <w:num w:numId="9">
    <w:abstractNumId w:val="8"/>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33C"/>
    <w:rsid w:val="0004205A"/>
    <w:rsid w:val="00077D03"/>
    <w:rsid w:val="000A104F"/>
    <w:rsid w:val="00133A26"/>
    <w:rsid w:val="001F6F2B"/>
    <w:rsid w:val="0027586C"/>
    <w:rsid w:val="002C178D"/>
    <w:rsid w:val="00385AE2"/>
    <w:rsid w:val="004A7CA3"/>
    <w:rsid w:val="005848D1"/>
    <w:rsid w:val="00622099"/>
    <w:rsid w:val="006241A5"/>
    <w:rsid w:val="006650BB"/>
    <w:rsid w:val="006E1E27"/>
    <w:rsid w:val="0071207D"/>
    <w:rsid w:val="00796EA7"/>
    <w:rsid w:val="009A133C"/>
    <w:rsid w:val="00B8620A"/>
    <w:rsid w:val="00B8706A"/>
    <w:rsid w:val="00C85C9E"/>
    <w:rsid w:val="00D01412"/>
    <w:rsid w:val="00D1154B"/>
    <w:rsid w:val="00D1761F"/>
    <w:rsid w:val="00DB7D8F"/>
    <w:rsid w:val="00F473F7"/>
    <w:rsid w:val="00FD52EB"/>
    <w:rsid w:val="00FE48B8"/>
    <w:rsid w:val="00FF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4391"/>
  <w15:chartTrackingRefBased/>
  <w15:docId w15:val="{80707AE5-F4B9-42CC-A306-D3C997A2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17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C17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C17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78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C178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C178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C178D"/>
    <w:pPr>
      <w:ind w:left="720"/>
      <w:contextualSpacing/>
    </w:pPr>
  </w:style>
  <w:style w:type="table" w:styleId="TableGrid">
    <w:name w:val="Table Grid"/>
    <w:basedOn w:val="TableNormal"/>
    <w:uiPriority w:val="39"/>
    <w:rsid w:val="002C17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scx55284703">
    <w:name w:val="paragraph scx55284703"/>
    <w:basedOn w:val="Normal"/>
    <w:rsid w:val="002C178D"/>
    <w:pPr>
      <w:spacing w:before="100" w:beforeAutospacing="1" w:after="100" w:afterAutospacing="1" w:line="240" w:lineRule="auto"/>
    </w:pPr>
    <w:rPr>
      <w:rFonts w:ascii="Times New Roman" w:eastAsia="MS Mincho" w:hAnsi="Times New Roman" w:cs="Times New Roman"/>
      <w:sz w:val="24"/>
      <w:szCs w:val="24"/>
      <w:lang w:val="ru-RU" w:eastAsia="ru-RU"/>
    </w:rPr>
  </w:style>
  <w:style w:type="character" w:customStyle="1" w:styleId="textrunscx55284703">
    <w:name w:val="textrun scx55284703"/>
    <w:basedOn w:val="DefaultParagraphFont"/>
    <w:rsid w:val="002C178D"/>
  </w:style>
  <w:style w:type="paragraph" w:styleId="Header">
    <w:name w:val="header"/>
    <w:basedOn w:val="Normal"/>
    <w:link w:val="HeaderChar"/>
    <w:uiPriority w:val="99"/>
    <w:unhideWhenUsed/>
    <w:rsid w:val="002C1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78D"/>
  </w:style>
  <w:style w:type="paragraph" w:styleId="Footer">
    <w:name w:val="footer"/>
    <w:basedOn w:val="Normal"/>
    <w:link w:val="FooterChar"/>
    <w:uiPriority w:val="99"/>
    <w:unhideWhenUsed/>
    <w:rsid w:val="002C1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78D"/>
  </w:style>
  <w:style w:type="paragraph" w:styleId="TOCHeading">
    <w:name w:val="TOC Heading"/>
    <w:basedOn w:val="Heading1"/>
    <w:next w:val="Normal"/>
    <w:uiPriority w:val="39"/>
    <w:unhideWhenUsed/>
    <w:qFormat/>
    <w:rsid w:val="002C178D"/>
    <w:pPr>
      <w:outlineLvl w:val="9"/>
    </w:pPr>
  </w:style>
  <w:style w:type="paragraph" w:styleId="TOC1">
    <w:name w:val="toc 1"/>
    <w:basedOn w:val="Normal"/>
    <w:next w:val="Normal"/>
    <w:autoRedefine/>
    <w:uiPriority w:val="39"/>
    <w:unhideWhenUsed/>
    <w:rsid w:val="002C178D"/>
    <w:pPr>
      <w:spacing w:after="100"/>
    </w:pPr>
  </w:style>
  <w:style w:type="paragraph" w:styleId="TOC2">
    <w:name w:val="toc 2"/>
    <w:basedOn w:val="Normal"/>
    <w:next w:val="Normal"/>
    <w:autoRedefine/>
    <w:uiPriority w:val="39"/>
    <w:unhideWhenUsed/>
    <w:rsid w:val="002C178D"/>
    <w:pPr>
      <w:spacing w:after="100"/>
      <w:ind w:left="220"/>
    </w:pPr>
  </w:style>
  <w:style w:type="paragraph" w:styleId="TOC3">
    <w:name w:val="toc 3"/>
    <w:basedOn w:val="Normal"/>
    <w:next w:val="Normal"/>
    <w:autoRedefine/>
    <w:uiPriority w:val="39"/>
    <w:unhideWhenUsed/>
    <w:rsid w:val="002C178D"/>
    <w:pPr>
      <w:spacing w:after="100"/>
      <w:ind w:left="440"/>
    </w:pPr>
  </w:style>
  <w:style w:type="character" w:styleId="Hyperlink">
    <w:name w:val="Hyperlink"/>
    <w:basedOn w:val="DefaultParagraphFont"/>
    <w:uiPriority w:val="99"/>
    <w:unhideWhenUsed/>
    <w:rsid w:val="002C178D"/>
    <w:rPr>
      <w:color w:val="0563C1" w:themeColor="hyperlink"/>
      <w:u w:val="single"/>
    </w:rPr>
  </w:style>
  <w:style w:type="paragraph" w:styleId="NoSpacing">
    <w:name w:val="No Spacing"/>
    <w:link w:val="NoSpacingChar"/>
    <w:uiPriority w:val="1"/>
    <w:qFormat/>
    <w:rsid w:val="002C178D"/>
    <w:pPr>
      <w:spacing w:after="0" w:line="240" w:lineRule="auto"/>
    </w:pPr>
    <w:rPr>
      <w:rFonts w:eastAsiaTheme="minorEastAsia"/>
    </w:rPr>
  </w:style>
  <w:style w:type="character" w:customStyle="1" w:styleId="NoSpacingChar">
    <w:name w:val="No Spacing Char"/>
    <w:basedOn w:val="DefaultParagraphFont"/>
    <w:link w:val="NoSpacing"/>
    <w:uiPriority w:val="1"/>
    <w:rsid w:val="002C178D"/>
    <w:rPr>
      <w:rFonts w:eastAsiaTheme="minorEastAsia"/>
    </w:rPr>
  </w:style>
  <w:style w:type="character" w:styleId="CommentReference">
    <w:name w:val="annotation reference"/>
    <w:basedOn w:val="DefaultParagraphFont"/>
    <w:uiPriority w:val="99"/>
    <w:semiHidden/>
    <w:unhideWhenUsed/>
    <w:rsid w:val="002C178D"/>
    <w:rPr>
      <w:sz w:val="16"/>
      <w:szCs w:val="16"/>
    </w:rPr>
  </w:style>
  <w:style w:type="paragraph" w:styleId="CommentText">
    <w:name w:val="annotation text"/>
    <w:basedOn w:val="Normal"/>
    <w:link w:val="CommentTextChar"/>
    <w:uiPriority w:val="99"/>
    <w:semiHidden/>
    <w:unhideWhenUsed/>
    <w:rsid w:val="002C178D"/>
    <w:pPr>
      <w:spacing w:line="240" w:lineRule="auto"/>
    </w:pPr>
    <w:rPr>
      <w:sz w:val="20"/>
      <w:szCs w:val="20"/>
    </w:rPr>
  </w:style>
  <w:style w:type="character" w:customStyle="1" w:styleId="CommentTextChar">
    <w:name w:val="Comment Text Char"/>
    <w:basedOn w:val="DefaultParagraphFont"/>
    <w:link w:val="CommentText"/>
    <w:uiPriority w:val="99"/>
    <w:semiHidden/>
    <w:rsid w:val="002C178D"/>
    <w:rPr>
      <w:sz w:val="20"/>
      <w:szCs w:val="20"/>
    </w:rPr>
  </w:style>
  <w:style w:type="paragraph" w:styleId="CommentSubject">
    <w:name w:val="annotation subject"/>
    <w:basedOn w:val="CommentText"/>
    <w:next w:val="CommentText"/>
    <w:link w:val="CommentSubjectChar"/>
    <w:uiPriority w:val="99"/>
    <w:semiHidden/>
    <w:unhideWhenUsed/>
    <w:rsid w:val="002C178D"/>
    <w:rPr>
      <w:b/>
      <w:bCs/>
    </w:rPr>
  </w:style>
  <w:style w:type="character" w:customStyle="1" w:styleId="CommentSubjectChar">
    <w:name w:val="Comment Subject Char"/>
    <w:basedOn w:val="CommentTextChar"/>
    <w:link w:val="CommentSubject"/>
    <w:uiPriority w:val="99"/>
    <w:semiHidden/>
    <w:rsid w:val="002C178D"/>
    <w:rPr>
      <w:b/>
      <w:bCs/>
      <w:sz w:val="20"/>
      <w:szCs w:val="20"/>
    </w:rPr>
  </w:style>
  <w:style w:type="paragraph" w:styleId="BalloonText">
    <w:name w:val="Balloon Text"/>
    <w:basedOn w:val="Normal"/>
    <w:link w:val="BalloonTextChar"/>
    <w:uiPriority w:val="99"/>
    <w:semiHidden/>
    <w:unhideWhenUsed/>
    <w:rsid w:val="002C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7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omments" Target="comments.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4.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microsoft.com/office/2011/relationships/commentsExtended" Target="commentsExtended.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400"/>
              <a:t>Most</a:t>
            </a:r>
            <a:r>
              <a:rPr lang="en-US" sz="1400" baseline="0"/>
              <a:t> common variables used in different types of insurance analysis</a:t>
            </a:r>
            <a:endParaRPr lang="en-US" sz="14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3">
                <a:lumMod val="50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Sheet1!$E$7:$E$15</c:f>
              <c:strCache>
                <c:ptCount val="9"/>
                <c:pt idx="0">
                  <c:v>Demographic</c:v>
                </c:pt>
                <c:pt idx="1">
                  <c:v>GDP</c:v>
                </c:pt>
                <c:pt idx="2">
                  <c:v>Expenditures</c:v>
                </c:pt>
                <c:pt idx="3">
                  <c:v>Income/Return</c:v>
                </c:pt>
                <c:pt idx="4">
                  <c:v>Capital</c:v>
                </c:pt>
                <c:pt idx="5">
                  <c:v>Investments</c:v>
                </c:pt>
                <c:pt idx="6">
                  <c:v>Globalization</c:v>
                </c:pt>
                <c:pt idx="7">
                  <c:v>Communication</c:v>
                </c:pt>
                <c:pt idx="8">
                  <c:v>Type &amp; size of Org.</c:v>
                </c:pt>
              </c:strCache>
            </c:strRef>
          </c:cat>
          <c:val>
            <c:numRef>
              <c:f>Sheet1!$F$7:$F$15</c:f>
              <c:numCache>
                <c:formatCode>General</c:formatCode>
                <c:ptCount val="9"/>
                <c:pt idx="0">
                  <c:v>5</c:v>
                </c:pt>
                <c:pt idx="1">
                  <c:v>3</c:v>
                </c:pt>
                <c:pt idx="2">
                  <c:v>3</c:v>
                </c:pt>
                <c:pt idx="3">
                  <c:v>6</c:v>
                </c:pt>
                <c:pt idx="4">
                  <c:v>3</c:v>
                </c:pt>
                <c:pt idx="5">
                  <c:v>1</c:v>
                </c:pt>
                <c:pt idx="6">
                  <c:v>2</c:v>
                </c:pt>
                <c:pt idx="7">
                  <c:v>2</c:v>
                </c:pt>
                <c:pt idx="8">
                  <c:v>2</c:v>
                </c:pt>
              </c:numCache>
            </c:numRef>
          </c:val>
        </c:ser>
        <c:dLbls>
          <c:dLblPos val="inEnd"/>
          <c:showLegendKey val="0"/>
          <c:showVal val="1"/>
          <c:showCatName val="0"/>
          <c:showSerName val="0"/>
          <c:showPercent val="0"/>
          <c:showBubbleSize val="0"/>
        </c:dLbls>
        <c:gapWidth val="65"/>
        <c:axId val="-1690087520"/>
        <c:axId val="-1690095680"/>
      </c:barChart>
      <c:catAx>
        <c:axId val="-169008752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90095680"/>
        <c:crosses val="autoZero"/>
        <c:auto val="1"/>
        <c:lblAlgn val="ctr"/>
        <c:lblOffset val="100"/>
        <c:noMultiLvlLbl val="0"/>
      </c:catAx>
      <c:valAx>
        <c:axId val="-169009568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69008752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Most common variables in the article analysis or Growth &amp; Efficiency</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Sheet1!$E$7:$E$17</c:f>
              <c:strCache>
                <c:ptCount val="11"/>
                <c:pt idx="0">
                  <c:v>Capital &amp; owner's equity</c:v>
                </c:pt>
                <c:pt idx="1">
                  <c:v>Operating &amp; other expenses</c:v>
                </c:pt>
                <c:pt idx="2">
                  <c:v>Investmens</c:v>
                </c:pt>
                <c:pt idx="3">
                  <c:v>Efficiency</c:v>
                </c:pt>
                <c:pt idx="4">
                  <c:v>TFP,EPS &amp; CSR</c:v>
                </c:pt>
                <c:pt idx="5">
                  <c:v>Labor &amp; Leverage</c:v>
                </c:pt>
                <c:pt idx="6">
                  <c:v>GDP &amp; Int. rate</c:v>
                </c:pt>
                <c:pt idx="7">
                  <c:v>ROA &amp; ROE</c:v>
                </c:pt>
                <c:pt idx="8">
                  <c:v>Demographic</c:v>
                </c:pt>
                <c:pt idx="9">
                  <c:v>Costs</c:v>
                </c:pt>
                <c:pt idx="10">
                  <c:v>Compensations</c:v>
                </c:pt>
              </c:strCache>
            </c:strRef>
          </c:cat>
          <c:val>
            <c:numRef>
              <c:f>Sheet1!$F$7:$F$17</c:f>
              <c:numCache>
                <c:formatCode>General</c:formatCode>
                <c:ptCount val="11"/>
                <c:pt idx="0">
                  <c:v>2</c:v>
                </c:pt>
                <c:pt idx="1">
                  <c:v>2</c:v>
                </c:pt>
                <c:pt idx="2">
                  <c:v>3</c:v>
                </c:pt>
                <c:pt idx="3">
                  <c:v>4</c:v>
                </c:pt>
                <c:pt idx="4">
                  <c:v>1</c:v>
                </c:pt>
                <c:pt idx="5">
                  <c:v>2</c:v>
                </c:pt>
                <c:pt idx="6">
                  <c:v>2</c:v>
                </c:pt>
                <c:pt idx="7">
                  <c:v>4</c:v>
                </c:pt>
                <c:pt idx="8">
                  <c:v>3</c:v>
                </c:pt>
                <c:pt idx="9">
                  <c:v>2</c:v>
                </c:pt>
                <c:pt idx="10">
                  <c:v>1</c:v>
                </c:pt>
              </c:numCache>
            </c:numRef>
          </c:val>
        </c:ser>
        <c:dLbls>
          <c:dLblPos val="inEnd"/>
          <c:showLegendKey val="0"/>
          <c:showVal val="1"/>
          <c:showCatName val="0"/>
          <c:showSerName val="0"/>
          <c:showPercent val="0"/>
          <c:showBubbleSize val="0"/>
        </c:dLbls>
        <c:gapWidth val="65"/>
        <c:axId val="-1690090784"/>
        <c:axId val="-1690097312"/>
      </c:barChart>
      <c:catAx>
        <c:axId val="-169009078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90097312"/>
        <c:crosses val="autoZero"/>
        <c:auto val="1"/>
        <c:lblAlgn val="ctr"/>
        <c:lblOffset val="100"/>
        <c:noMultiLvlLbl val="0"/>
      </c:catAx>
      <c:valAx>
        <c:axId val="-169009731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6900907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t>Variables used</a:t>
            </a:r>
            <a:r>
              <a:rPr lang="en-US" sz="1400" baseline="0"/>
              <a:t> in the articles of risk management chapter</a:t>
            </a:r>
            <a:endParaRPr lang="en-US" sz="1400"/>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187530961727465"/>
          <c:y val="0.16418250950570343"/>
          <c:w val="0.77323293082393674"/>
          <c:h val="0.74761114936678541"/>
        </c:manualLayout>
      </c:layout>
      <c:barChart>
        <c:barDir val="bar"/>
        <c:grouping val="clustered"/>
        <c:varyColors val="0"/>
        <c:ser>
          <c:idx val="0"/>
          <c:order val="0"/>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Sheet1!$D$3:$D$10</c:f>
              <c:strCache>
                <c:ptCount val="8"/>
                <c:pt idx="0">
                  <c:v>Risks</c:v>
                </c:pt>
                <c:pt idx="1">
                  <c:v>GDP</c:v>
                </c:pt>
                <c:pt idx="2">
                  <c:v>CPI</c:v>
                </c:pt>
                <c:pt idx="3">
                  <c:v>Assets</c:v>
                </c:pt>
                <c:pt idx="4">
                  <c:v>Type of Insurance</c:v>
                </c:pt>
                <c:pt idx="5">
                  <c:v>Solvency ratio</c:v>
                </c:pt>
                <c:pt idx="6">
                  <c:v>MPS</c:v>
                </c:pt>
                <c:pt idx="7">
                  <c:v>Exchange rate</c:v>
                </c:pt>
              </c:strCache>
            </c:strRef>
          </c:cat>
          <c:val>
            <c:numRef>
              <c:f>Sheet1!$E$3:$E$10</c:f>
              <c:numCache>
                <c:formatCode>General</c:formatCode>
                <c:ptCount val="8"/>
                <c:pt idx="0">
                  <c:v>2</c:v>
                </c:pt>
                <c:pt idx="1">
                  <c:v>2</c:v>
                </c:pt>
                <c:pt idx="2">
                  <c:v>1</c:v>
                </c:pt>
                <c:pt idx="3">
                  <c:v>2</c:v>
                </c:pt>
                <c:pt idx="4">
                  <c:v>1</c:v>
                </c:pt>
                <c:pt idx="5">
                  <c:v>1</c:v>
                </c:pt>
                <c:pt idx="6">
                  <c:v>1</c:v>
                </c:pt>
                <c:pt idx="7">
                  <c:v>1</c:v>
                </c:pt>
              </c:numCache>
            </c:numRef>
          </c:val>
        </c:ser>
        <c:dLbls>
          <c:dLblPos val="inEnd"/>
          <c:showLegendKey val="0"/>
          <c:showVal val="1"/>
          <c:showCatName val="0"/>
          <c:showSerName val="0"/>
          <c:showPercent val="0"/>
          <c:showBubbleSize val="0"/>
        </c:dLbls>
        <c:gapWidth val="227"/>
        <c:overlap val="-48"/>
        <c:axId val="-1564792624"/>
        <c:axId val="-1564798608"/>
      </c:barChart>
      <c:catAx>
        <c:axId val="-156479262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798608"/>
        <c:crosses val="autoZero"/>
        <c:auto val="1"/>
        <c:lblAlgn val="ctr"/>
        <c:lblOffset val="100"/>
        <c:noMultiLvlLbl val="0"/>
      </c:catAx>
      <c:valAx>
        <c:axId val="-1564798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792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t>Variables used</a:t>
            </a:r>
            <a:r>
              <a:rPr lang="en-US" sz="1400" baseline="0"/>
              <a:t> in the articles of Comparative analysis</a:t>
            </a:r>
            <a:endParaRPr lang="en-US" sz="1400"/>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0.187530961727465"/>
          <c:y val="0.16418250950570343"/>
          <c:w val="0.78656944540109874"/>
          <c:h val="0.74761114936678541"/>
        </c:manualLayout>
      </c:layout>
      <c:barChart>
        <c:barDir val="bar"/>
        <c:grouping val="clustered"/>
        <c:varyColors val="0"/>
        <c:ser>
          <c:idx val="0"/>
          <c:order val="0"/>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Sheet1!$D$3:$D$10</c:f>
              <c:strCache>
                <c:ptCount val="7"/>
                <c:pt idx="0">
                  <c:v>GDP ratios</c:v>
                </c:pt>
                <c:pt idx="1">
                  <c:v>Deposits ratios</c:v>
                </c:pt>
                <c:pt idx="2">
                  <c:v>ROE</c:v>
                </c:pt>
                <c:pt idx="3">
                  <c:v>ROA</c:v>
                </c:pt>
                <c:pt idx="5">
                  <c:v>Investment income</c:v>
                </c:pt>
                <c:pt idx="6">
                  <c:v>EPS</c:v>
                </c:pt>
              </c:strCache>
            </c:strRef>
          </c:cat>
          <c:val>
            <c:numRef>
              <c:f>Sheet1!$E$3:$E$10</c:f>
              <c:numCache>
                <c:formatCode>General</c:formatCode>
                <c:ptCount val="8"/>
                <c:pt idx="0">
                  <c:v>1</c:v>
                </c:pt>
                <c:pt idx="1">
                  <c:v>2</c:v>
                </c:pt>
                <c:pt idx="2">
                  <c:v>2</c:v>
                </c:pt>
                <c:pt idx="3">
                  <c:v>1</c:v>
                </c:pt>
                <c:pt idx="4">
                  <c:v>1</c:v>
                </c:pt>
                <c:pt idx="5">
                  <c:v>1</c:v>
                </c:pt>
                <c:pt idx="6">
                  <c:v>1</c:v>
                </c:pt>
              </c:numCache>
            </c:numRef>
          </c:val>
        </c:ser>
        <c:dLbls>
          <c:dLblPos val="inEnd"/>
          <c:showLegendKey val="0"/>
          <c:showVal val="1"/>
          <c:showCatName val="0"/>
          <c:showSerName val="0"/>
          <c:showPercent val="0"/>
          <c:showBubbleSize val="0"/>
        </c:dLbls>
        <c:gapWidth val="227"/>
        <c:overlap val="-48"/>
        <c:axId val="-1564798064"/>
        <c:axId val="-1564787728"/>
      </c:barChart>
      <c:catAx>
        <c:axId val="-156479806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787728"/>
        <c:crosses val="autoZero"/>
        <c:auto val="1"/>
        <c:lblAlgn val="ctr"/>
        <c:lblOffset val="100"/>
        <c:noMultiLvlLbl val="0"/>
      </c:catAx>
      <c:valAx>
        <c:axId val="-1564787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798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52</Pages>
  <Words>22928</Words>
  <Characters>130695</Characters>
  <Application>Microsoft Office Word</Application>
  <DocSecurity>0</DocSecurity>
  <Lines>1089</Lines>
  <Paragraphs>306</Paragraphs>
  <ScaleCrop>false</ScaleCrop>
  <Company/>
  <LinksUpToDate>false</LinksUpToDate>
  <CharactersWithSpaces>153317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2020-10-05T03:08:00Z</dcterms:created>
  <dcterms:modified xsi:type="dcterms:W3CDTF">2020-10-05T03:54:00Z</dcterms:modified>
  <cp:category>Project Work on Insurance(Qualitative analysis)</cp:category>
</cp:coreProperties>
</file>