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762" w:rsidRDefault="00222762" w:rsidP="00E1637C">
      <w:pPr>
        <w:spacing w:after="282" w:line="240" w:lineRule="auto"/>
        <w:ind w:left="0" w:firstLine="0"/>
        <w:jc w:val="left"/>
      </w:pPr>
    </w:p>
    <w:p w:rsidR="00222762" w:rsidRDefault="00222762">
      <w:pPr>
        <w:spacing w:after="286" w:line="240" w:lineRule="auto"/>
        <w:ind w:left="4513" w:firstLine="0"/>
        <w:jc w:val="left"/>
      </w:pPr>
    </w:p>
    <w:p w:rsidR="00222762" w:rsidRDefault="00222762">
      <w:pPr>
        <w:spacing w:line="240" w:lineRule="auto"/>
        <w:ind w:left="4513" w:firstLine="0"/>
        <w:jc w:val="left"/>
      </w:pPr>
    </w:p>
    <w:p w:rsidR="00222762" w:rsidRPr="00D05CCB" w:rsidRDefault="00F44942">
      <w:pPr>
        <w:spacing w:after="280" w:line="354" w:lineRule="auto"/>
        <w:ind w:left="4205" w:right="2064" w:hanging="1459"/>
        <w:jc w:val="left"/>
        <w:rPr>
          <w:color w:val="5B9BD5" w:themeColor="accent1"/>
        </w:rPr>
      </w:pPr>
      <w:r w:rsidRPr="00D05CCB">
        <w:rPr>
          <w:b/>
          <w:i/>
          <w:color w:val="5B9BD5" w:themeColor="accent1"/>
          <w:sz w:val="48"/>
        </w:rPr>
        <w:t xml:space="preserve">Internship Report On </w:t>
      </w:r>
    </w:p>
    <w:p w:rsidR="00222762" w:rsidRPr="00D05CCB" w:rsidRDefault="00D05CCB">
      <w:pPr>
        <w:spacing w:after="293" w:line="270" w:lineRule="auto"/>
        <w:ind w:left="3152" w:hanging="3140"/>
        <w:jc w:val="left"/>
        <w:rPr>
          <w:color w:val="2E74B5" w:themeColor="accent1" w:themeShade="BF"/>
        </w:rPr>
      </w:pPr>
      <w:r>
        <w:rPr>
          <w:noProof/>
        </w:rPr>
        <w:drawing>
          <wp:anchor distT="0" distB="0" distL="114300" distR="114300" simplePos="0" relativeHeight="251771904" behindDoc="0" locked="0" layoutInCell="1" allowOverlap="1">
            <wp:simplePos x="0" y="0"/>
            <wp:positionH relativeFrom="column">
              <wp:posOffset>1790700</wp:posOffset>
            </wp:positionH>
            <wp:positionV relativeFrom="paragraph">
              <wp:posOffset>925830</wp:posOffset>
            </wp:positionV>
            <wp:extent cx="2152650" cy="195453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2650" cy="1954530"/>
                    </a:xfrm>
                    <a:prstGeom prst="rect">
                      <a:avLst/>
                    </a:prstGeom>
                  </pic:spPr>
                </pic:pic>
              </a:graphicData>
            </a:graphic>
          </wp:anchor>
        </w:drawing>
      </w:r>
      <w:r w:rsidR="00F44942" w:rsidRPr="00D05CCB">
        <w:rPr>
          <w:b/>
          <w:i/>
          <w:color w:val="2E74B5" w:themeColor="accent1" w:themeShade="BF"/>
          <w:sz w:val="36"/>
        </w:rPr>
        <w:t xml:space="preserve">Role of Investment in Financial Assets: A Case Study of </w:t>
      </w:r>
      <w:proofErr w:type="gramStart"/>
      <w:r w:rsidR="00F44942" w:rsidRPr="00D05CCB">
        <w:rPr>
          <w:b/>
          <w:i/>
          <w:color w:val="2E74B5" w:themeColor="accent1" w:themeShade="BF"/>
          <w:sz w:val="36"/>
        </w:rPr>
        <w:t>The</w:t>
      </w:r>
      <w:proofErr w:type="gramEnd"/>
      <w:r w:rsidR="00F44942" w:rsidRPr="00D05CCB">
        <w:rPr>
          <w:b/>
          <w:i/>
          <w:color w:val="2E74B5" w:themeColor="accent1" w:themeShade="BF"/>
          <w:sz w:val="36"/>
        </w:rPr>
        <w:t xml:space="preserve"> City Bank Limited </w:t>
      </w:r>
    </w:p>
    <w:p w:rsidR="00222762" w:rsidRDefault="00222762">
      <w:pPr>
        <w:spacing w:after="229" w:line="240" w:lineRule="auto"/>
        <w:ind w:left="0" w:firstLine="0"/>
        <w:jc w:val="center"/>
      </w:pPr>
    </w:p>
    <w:p w:rsidR="00222762" w:rsidRDefault="00222762" w:rsidP="00D05CCB">
      <w:pPr>
        <w:spacing w:after="259" w:line="240" w:lineRule="auto"/>
        <w:ind w:left="0" w:firstLine="0"/>
      </w:pPr>
    </w:p>
    <w:p w:rsidR="00222762" w:rsidRPr="00D05CCB" w:rsidRDefault="00F44942">
      <w:pPr>
        <w:spacing w:after="253" w:line="240" w:lineRule="auto"/>
        <w:ind w:left="10" w:right="-15"/>
        <w:jc w:val="center"/>
        <w:rPr>
          <w:color w:val="2E74B5" w:themeColor="accent1" w:themeShade="BF"/>
        </w:rPr>
      </w:pPr>
      <w:r w:rsidRPr="00D05CCB">
        <w:rPr>
          <w:b/>
          <w:i/>
          <w:color w:val="2E74B5" w:themeColor="accent1" w:themeShade="BF"/>
          <w:sz w:val="32"/>
        </w:rPr>
        <w:t xml:space="preserve">Prepared For </w:t>
      </w:r>
    </w:p>
    <w:p w:rsidR="00222762" w:rsidRDefault="00F44942">
      <w:pPr>
        <w:spacing w:after="39" w:line="240" w:lineRule="auto"/>
        <w:ind w:left="0" w:firstLine="0"/>
        <w:jc w:val="center"/>
      </w:pPr>
      <w:r>
        <w:rPr>
          <w:b/>
          <w:i/>
          <w:color w:val="4A442A"/>
          <w:sz w:val="24"/>
        </w:rPr>
        <w:t xml:space="preserve">Muhammad </w:t>
      </w:r>
      <w:proofErr w:type="spellStart"/>
      <w:r>
        <w:rPr>
          <w:b/>
          <w:i/>
          <w:color w:val="4A442A"/>
          <w:sz w:val="24"/>
        </w:rPr>
        <w:t>Enamul</w:t>
      </w:r>
      <w:proofErr w:type="spellEnd"/>
      <w:r w:rsidR="003944DC">
        <w:rPr>
          <w:b/>
          <w:i/>
          <w:color w:val="4A442A"/>
          <w:sz w:val="24"/>
        </w:rPr>
        <w:t xml:space="preserve"> </w:t>
      </w:r>
      <w:proofErr w:type="spellStart"/>
      <w:r>
        <w:rPr>
          <w:b/>
          <w:i/>
          <w:color w:val="4A442A"/>
          <w:sz w:val="24"/>
        </w:rPr>
        <w:t>Haque</w:t>
      </w:r>
      <w:proofErr w:type="spellEnd"/>
    </w:p>
    <w:p w:rsidR="00222762" w:rsidRDefault="00F44942">
      <w:pPr>
        <w:spacing w:after="42" w:line="240" w:lineRule="auto"/>
        <w:ind w:left="10" w:right="-15"/>
        <w:jc w:val="center"/>
      </w:pPr>
      <w:r>
        <w:rPr>
          <w:b/>
          <w:i/>
          <w:sz w:val="24"/>
        </w:rPr>
        <w:t xml:space="preserve">Assistant Professor, Finance </w:t>
      </w:r>
    </w:p>
    <w:p w:rsidR="00222762" w:rsidRDefault="00F44942">
      <w:pPr>
        <w:spacing w:after="42" w:line="240" w:lineRule="auto"/>
        <w:ind w:left="10" w:right="-15"/>
        <w:jc w:val="center"/>
      </w:pPr>
      <w:r>
        <w:rPr>
          <w:b/>
          <w:i/>
          <w:sz w:val="24"/>
        </w:rPr>
        <w:t xml:space="preserve">School of Business &amp; Economics </w:t>
      </w:r>
    </w:p>
    <w:p w:rsidR="00222762" w:rsidRDefault="00F44942">
      <w:pPr>
        <w:spacing w:after="42" w:line="240" w:lineRule="auto"/>
        <w:ind w:left="10" w:right="-15"/>
        <w:jc w:val="center"/>
      </w:pPr>
      <w:r>
        <w:rPr>
          <w:b/>
          <w:i/>
          <w:sz w:val="24"/>
        </w:rPr>
        <w:t xml:space="preserve">United International University </w:t>
      </w:r>
    </w:p>
    <w:p w:rsidR="00222762" w:rsidRDefault="00222762">
      <w:pPr>
        <w:spacing w:after="2" w:line="240" w:lineRule="auto"/>
        <w:ind w:left="0" w:firstLine="0"/>
        <w:jc w:val="center"/>
      </w:pPr>
    </w:p>
    <w:p w:rsidR="00222762" w:rsidRDefault="00222762">
      <w:pPr>
        <w:spacing w:after="2" w:line="240" w:lineRule="auto"/>
        <w:ind w:left="0" w:firstLine="0"/>
        <w:jc w:val="center"/>
      </w:pPr>
    </w:p>
    <w:p w:rsidR="00222762" w:rsidRDefault="00222762">
      <w:pPr>
        <w:spacing w:after="4" w:line="240" w:lineRule="auto"/>
        <w:ind w:left="0" w:firstLine="0"/>
        <w:jc w:val="center"/>
      </w:pPr>
    </w:p>
    <w:p w:rsidR="00222762" w:rsidRPr="00D05CCB" w:rsidRDefault="00F44942">
      <w:pPr>
        <w:spacing w:after="2" w:line="240" w:lineRule="auto"/>
        <w:ind w:left="10" w:right="-15"/>
        <w:jc w:val="center"/>
        <w:rPr>
          <w:color w:val="2E74B5" w:themeColor="accent1" w:themeShade="BF"/>
        </w:rPr>
      </w:pPr>
      <w:r w:rsidRPr="00D05CCB">
        <w:rPr>
          <w:b/>
          <w:i/>
          <w:color w:val="2E74B5" w:themeColor="accent1" w:themeShade="BF"/>
          <w:sz w:val="32"/>
        </w:rPr>
        <w:t xml:space="preserve">Prepared By </w:t>
      </w:r>
    </w:p>
    <w:p w:rsidR="00222762" w:rsidRDefault="00222762">
      <w:pPr>
        <w:spacing w:line="240" w:lineRule="auto"/>
        <w:ind w:left="0" w:firstLine="0"/>
        <w:jc w:val="left"/>
      </w:pPr>
    </w:p>
    <w:p w:rsidR="00222762" w:rsidRDefault="00AD581D" w:rsidP="00E1637C">
      <w:pPr>
        <w:spacing w:line="240" w:lineRule="auto"/>
        <w:ind w:left="0" w:firstLine="0"/>
        <w:jc w:val="center"/>
      </w:pPr>
      <w:proofErr w:type="spellStart"/>
      <w:r>
        <w:rPr>
          <w:b/>
          <w:i/>
          <w:color w:val="4A442A"/>
          <w:sz w:val="24"/>
        </w:rPr>
        <w:t>Asma</w:t>
      </w:r>
      <w:proofErr w:type="spellEnd"/>
      <w:r>
        <w:rPr>
          <w:b/>
          <w:i/>
          <w:color w:val="4A442A"/>
          <w:sz w:val="24"/>
        </w:rPr>
        <w:t xml:space="preserve"> </w:t>
      </w:r>
      <w:proofErr w:type="spellStart"/>
      <w:r>
        <w:rPr>
          <w:b/>
          <w:i/>
          <w:color w:val="4A442A"/>
          <w:sz w:val="24"/>
        </w:rPr>
        <w:t>Sa</w:t>
      </w:r>
      <w:r w:rsidR="003944DC">
        <w:rPr>
          <w:b/>
          <w:i/>
          <w:color w:val="4A442A"/>
          <w:sz w:val="24"/>
        </w:rPr>
        <w:t>qi</w:t>
      </w:r>
      <w:proofErr w:type="spellEnd"/>
    </w:p>
    <w:p w:rsidR="00222762" w:rsidRDefault="00F44942">
      <w:pPr>
        <w:spacing w:after="42" w:line="240" w:lineRule="auto"/>
        <w:ind w:left="10" w:right="-15"/>
        <w:jc w:val="center"/>
      </w:pPr>
      <w:r>
        <w:rPr>
          <w:b/>
          <w:i/>
          <w:sz w:val="24"/>
        </w:rPr>
        <w:t>ID: 111133</w:t>
      </w:r>
      <w:r w:rsidR="00AD581D">
        <w:rPr>
          <w:b/>
          <w:i/>
          <w:sz w:val="24"/>
        </w:rPr>
        <w:t>16</w:t>
      </w:r>
      <w:r w:rsidR="003944DC">
        <w:rPr>
          <w:b/>
          <w:i/>
          <w:sz w:val="24"/>
        </w:rPr>
        <w:t>3</w:t>
      </w:r>
    </w:p>
    <w:p w:rsidR="00222762" w:rsidRDefault="00F44942">
      <w:pPr>
        <w:spacing w:after="42" w:line="240" w:lineRule="auto"/>
        <w:ind w:left="10" w:right="-15"/>
        <w:jc w:val="center"/>
      </w:pPr>
      <w:r>
        <w:rPr>
          <w:b/>
          <w:i/>
          <w:sz w:val="24"/>
        </w:rPr>
        <w:t xml:space="preserve">BBA Program </w:t>
      </w:r>
    </w:p>
    <w:p w:rsidR="00222762" w:rsidRDefault="00F44942">
      <w:pPr>
        <w:spacing w:line="240" w:lineRule="auto"/>
        <w:ind w:left="0" w:firstLine="0"/>
        <w:jc w:val="left"/>
      </w:pPr>
      <w:r>
        <w:rPr>
          <w:b/>
          <w:i/>
          <w:sz w:val="24"/>
        </w:rPr>
        <w:t xml:space="preserve">                                                             Major: Finance </w:t>
      </w:r>
    </w:p>
    <w:p w:rsidR="00222762" w:rsidRDefault="00222762">
      <w:pPr>
        <w:spacing w:line="240" w:lineRule="auto"/>
        <w:ind w:left="0" w:firstLine="0"/>
        <w:jc w:val="center"/>
      </w:pPr>
    </w:p>
    <w:p w:rsidR="00222762" w:rsidRDefault="00222762">
      <w:pPr>
        <w:spacing w:line="240" w:lineRule="auto"/>
        <w:ind w:left="0" w:firstLine="0"/>
        <w:jc w:val="center"/>
      </w:pPr>
    </w:p>
    <w:p w:rsidR="00222762" w:rsidRDefault="00222762">
      <w:pPr>
        <w:spacing w:line="240" w:lineRule="auto"/>
        <w:ind w:left="0" w:firstLine="0"/>
        <w:jc w:val="center"/>
      </w:pPr>
    </w:p>
    <w:p w:rsidR="00222762" w:rsidRDefault="00222762">
      <w:pPr>
        <w:spacing w:after="5" w:line="240" w:lineRule="auto"/>
        <w:ind w:left="0" w:firstLine="0"/>
        <w:jc w:val="center"/>
      </w:pPr>
    </w:p>
    <w:p w:rsidR="00222762" w:rsidRPr="00D05CCB" w:rsidRDefault="00F44942">
      <w:pPr>
        <w:spacing w:line="240" w:lineRule="auto"/>
        <w:ind w:left="0" w:firstLine="0"/>
        <w:jc w:val="center"/>
        <w:rPr>
          <w:color w:val="2E74B5" w:themeColor="accent1" w:themeShade="BF"/>
        </w:rPr>
      </w:pPr>
      <w:r w:rsidRPr="00D05CCB">
        <w:rPr>
          <w:b/>
          <w:i/>
          <w:color w:val="2E74B5" w:themeColor="accent1" w:themeShade="BF"/>
          <w:sz w:val="36"/>
        </w:rPr>
        <w:t xml:space="preserve">Date of Submission: </w:t>
      </w:r>
      <w:r w:rsidR="00AD581D" w:rsidRPr="00D05CCB">
        <w:rPr>
          <w:b/>
          <w:i/>
          <w:color w:val="2E74B5" w:themeColor="accent1" w:themeShade="BF"/>
          <w:sz w:val="36"/>
        </w:rPr>
        <w:t>23</w:t>
      </w:r>
      <w:r w:rsidR="00AD581D" w:rsidRPr="00D05CCB">
        <w:rPr>
          <w:b/>
          <w:i/>
          <w:color w:val="2E74B5" w:themeColor="accent1" w:themeShade="BF"/>
          <w:sz w:val="36"/>
          <w:vertAlign w:val="superscript"/>
        </w:rPr>
        <w:t>rd</w:t>
      </w:r>
      <w:r w:rsidR="00AD581D" w:rsidRPr="00D05CCB">
        <w:rPr>
          <w:b/>
          <w:i/>
          <w:color w:val="2E74B5" w:themeColor="accent1" w:themeShade="BF"/>
          <w:sz w:val="36"/>
        </w:rPr>
        <w:t xml:space="preserve"> </w:t>
      </w:r>
      <w:r w:rsidR="00611A16">
        <w:rPr>
          <w:b/>
          <w:i/>
          <w:color w:val="2E74B5" w:themeColor="accent1" w:themeShade="BF"/>
          <w:sz w:val="36"/>
        </w:rPr>
        <w:t>October</w:t>
      </w:r>
      <w:r w:rsidRPr="00D05CCB">
        <w:rPr>
          <w:b/>
          <w:i/>
          <w:color w:val="2E74B5" w:themeColor="accent1" w:themeShade="BF"/>
          <w:sz w:val="36"/>
        </w:rPr>
        <w:t xml:space="preserve">, 2018 </w:t>
      </w:r>
    </w:p>
    <w:p w:rsidR="00222762" w:rsidRPr="00D05CCB" w:rsidRDefault="00222762">
      <w:pPr>
        <w:rPr>
          <w:color w:val="2E74B5" w:themeColor="accent1" w:themeShade="BF"/>
        </w:rPr>
        <w:sectPr w:rsidR="00222762" w:rsidRPr="00D05CCB">
          <w:headerReference w:type="even" r:id="rId10"/>
          <w:headerReference w:type="default" r:id="rId11"/>
          <w:footerReference w:type="even" r:id="rId12"/>
          <w:footerReference w:type="default" r:id="rId13"/>
          <w:headerReference w:type="first" r:id="rId14"/>
          <w:footerReference w:type="first" r:id="rId15"/>
          <w:pgSz w:w="11906" w:h="16838"/>
          <w:pgMar w:top="331" w:right="1388" w:bottom="1553" w:left="1440" w:header="720" w:footer="720" w:gutter="0"/>
          <w:cols w:space="720"/>
        </w:sectPr>
      </w:pPr>
    </w:p>
    <w:p w:rsidR="00222762" w:rsidRPr="00D05CCB" w:rsidRDefault="00F44942">
      <w:pPr>
        <w:pStyle w:val="Heading1"/>
        <w:spacing w:after="258"/>
      </w:pPr>
      <w:bookmarkStart w:id="0" w:name="_Toc524820980"/>
      <w:r w:rsidRPr="00D05CCB">
        <w:lastRenderedPageBreak/>
        <w:t xml:space="preserve">Letter </w:t>
      </w:r>
      <w:proofErr w:type="gramStart"/>
      <w:r w:rsidRPr="00D05CCB">
        <w:t>Of</w:t>
      </w:r>
      <w:proofErr w:type="gramEnd"/>
      <w:r w:rsidRPr="00D05CCB">
        <w:t xml:space="preserve"> Endorsement</w:t>
      </w:r>
      <w:bookmarkEnd w:id="0"/>
    </w:p>
    <w:p w:rsidR="00222762" w:rsidRDefault="00222762" w:rsidP="00D05CCB">
      <w:pPr>
        <w:pStyle w:val="Heading1"/>
      </w:pPr>
    </w:p>
    <w:p w:rsidR="00222762" w:rsidRDefault="00F44942">
      <w:pPr>
        <w:ind w:left="197"/>
      </w:pPr>
      <w:r>
        <w:t xml:space="preserve">This is to certify that the Internship Report on </w:t>
      </w:r>
      <w:r>
        <w:rPr>
          <w:b/>
        </w:rPr>
        <w:t>“</w:t>
      </w:r>
      <w:r>
        <w:rPr>
          <w:b/>
          <w:i/>
        </w:rPr>
        <w:t xml:space="preserve">Role of Investment in Financial Assets: A Case </w:t>
      </w:r>
    </w:p>
    <w:p w:rsidR="00222762" w:rsidRDefault="00F44942">
      <w:pPr>
        <w:ind w:left="197"/>
      </w:pPr>
      <w:r>
        <w:rPr>
          <w:b/>
          <w:i/>
        </w:rPr>
        <w:t xml:space="preserve">Study of </w:t>
      </w:r>
      <w:proofErr w:type="gramStart"/>
      <w:r>
        <w:rPr>
          <w:b/>
          <w:i/>
        </w:rPr>
        <w:t>The</w:t>
      </w:r>
      <w:proofErr w:type="gramEnd"/>
      <w:r>
        <w:rPr>
          <w:b/>
          <w:i/>
        </w:rPr>
        <w:t xml:space="preserve"> City Bank Limited”</w:t>
      </w:r>
      <w:r>
        <w:t xml:space="preserve"> in the bona fide record at the report is done by </w:t>
      </w:r>
      <w:proofErr w:type="spellStart"/>
      <w:r w:rsidR="003944DC">
        <w:rPr>
          <w:color w:val="948A54"/>
        </w:rPr>
        <w:t>Asma</w:t>
      </w:r>
      <w:proofErr w:type="spellEnd"/>
      <w:r w:rsidR="003944DC">
        <w:rPr>
          <w:color w:val="948A54"/>
        </w:rPr>
        <w:t xml:space="preserve"> </w:t>
      </w:r>
      <w:proofErr w:type="spellStart"/>
      <w:r w:rsidR="003944DC">
        <w:rPr>
          <w:color w:val="948A54"/>
        </w:rPr>
        <w:t>Saqi</w:t>
      </w:r>
      <w:proofErr w:type="spellEnd"/>
      <w:r>
        <w:t xml:space="preserve">,      </w:t>
      </w:r>
    </w:p>
    <w:p w:rsidR="00222762" w:rsidRDefault="003944DC">
      <w:pPr>
        <w:ind w:left="197"/>
      </w:pPr>
      <w:r>
        <w:t>ID #111133163</w:t>
      </w:r>
      <w:r w:rsidR="00F44942">
        <w:t xml:space="preserve"> as a partial fulfillment of the requirement for the degree of Bachelor of Business Administration (BBA)</w:t>
      </w:r>
      <w:r>
        <w:t xml:space="preserve">, Major in Finance on September 23, </w:t>
      </w:r>
      <w:r w:rsidR="00F44942">
        <w:t xml:space="preserve">2018 from the United International University (School of Business &amp; Economics). </w:t>
      </w:r>
    </w:p>
    <w:p w:rsidR="00222762" w:rsidRDefault="00222762">
      <w:pPr>
        <w:spacing w:line="240" w:lineRule="auto"/>
        <w:ind w:left="187" w:firstLine="0"/>
        <w:jc w:val="left"/>
      </w:pPr>
    </w:p>
    <w:p w:rsidR="00222762" w:rsidRDefault="00F44942">
      <w:pPr>
        <w:ind w:left="197"/>
      </w:pPr>
      <w:r>
        <w:t xml:space="preserve">The Report has been prepared under my guidance and is a record of the bona fide work carried out successfully. </w:t>
      </w:r>
    </w:p>
    <w:p w:rsidR="00222762" w:rsidRDefault="00222762">
      <w:pPr>
        <w:spacing w:line="240" w:lineRule="auto"/>
        <w:ind w:left="187" w:firstLine="0"/>
        <w:jc w:val="left"/>
      </w:pPr>
    </w:p>
    <w:p w:rsidR="00222762" w:rsidRDefault="00222762">
      <w:pPr>
        <w:spacing w:line="240" w:lineRule="auto"/>
        <w:ind w:left="187" w:firstLine="0"/>
        <w:jc w:val="left"/>
      </w:pPr>
    </w:p>
    <w:p w:rsidR="00222762" w:rsidRDefault="00222762">
      <w:pPr>
        <w:spacing w:line="240" w:lineRule="auto"/>
        <w:ind w:left="187" w:firstLine="0"/>
        <w:jc w:val="left"/>
      </w:pPr>
    </w:p>
    <w:p w:rsidR="00222762" w:rsidRDefault="00222762">
      <w:pPr>
        <w:spacing w:line="240" w:lineRule="auto"/>
        <w:ind w:left="187" w:firstLine="0"/>
        <w:jc w:val="left"/>
      </w:pPr>
    </w:p>
    <w:p w:rsidR="00222762" w:rsidRDefault="00222762">
      <w:pPr>
        <w:spacing w:line="240" w:lineRule="auto"/>
        <w:ind w:left="187" w:firstLine="0"/>
        <w:jc w:val="left"/>
      </w:pPr>
    </w:p>
    <w:p w:rsidR="00222762" w:rsidRDefault="00222762">
      <w:pPr>
        <w:spacing w:line="240" w:lineRule="auto"/>
        <w:ind w:left="187" w:firstLine="0"/>
        <w:jc w:val="left"/>
      </w:pPr>
    </w:p>
    <w:p w:rsidR="00222762" w:rsidRDefault="00F44942">
      <w:pPr>
        <w:ind w:left="197"/>
      </w:pPr>
      <w:r>
        <w:t xml:space="preserve">......................................  </w:t>
      </w:r>
    </w:p>
    <w:p w:rsidR="00222762" w:rsidRDefault="00F44942">
      <w:pPr>
        <w:ind w:left="197"/>
      </w:pPr>
      <w:r>
        <w:t xml:space="preserve">Signature </w:t>
      </w:r>
    </w:p>
    <w:p w:rsidR="00222762" w:rsidRDefault="00222762">
      <w:pPr>
        <w:spacing w:line="240" w:lineRule="auto"/>
        <w:ind w:left="187" w:firstLine="0"/>
        <w:jc w:val="left"/>
      </w:pPr>
    </w:p>
    <w:p w:rsidR="00222762" w:rsidRDefault="00F44942">
      <w:pPr>
        <w:spacing w:after="34" w:line="240" w:lineRule="auto"/>
        <w:ind w:left="187" w:firstLine="0"/>
        <w:jc w:val="left"/>
      </w:pPr>
      <w:r>
        <w:rPr>
          <w:i/>
          <w:color w:val="4A442A"/>
        </w:rPr>
        <w:t xml:space="preserve">Muhammad </w:t>
      </w:r>
      <w:proofErr w:type="spellStart"/>
      <w:r>
        <w:rPr>
          <w:i/>
          <w:color w:val="4A442A"/>
        </w:rPr>
        <w:t>Enamul</w:t>
      </w:r>
      <w:proofErr w:type="spellEnd"/>
      <w:r w:rsidR="003944DC">
        <w:rPr>
          <w:i/>
          <w:color w:val="4A442A"/>
        </w:rPr>
        <w:t xml:space="preserve"> </w:t>
      </w:r>
      <w:proofErr w:type="spellStart"/>
      <w:r>
        <w:rPr>
          <w:i/>
          <w:color w:val="4A442A"/>
        </w:rPr>
        <w:t>Haque</w:t>
      </w:r>
      <w:proofErr w:type="spellEnd"/>
    </w:p>
    <w:p w:rsidR="00222762" w:rsidRDefault="00F44942">
      <w:pPr>
        <w:spacing w:after="36" w:line="246" w:lineRule="auto"/>
        <w:ind w:left="182" w:right="-15"/>
        <w:jc w:val="left"/>
      </w:pPr>
      <w:r>
        <w:rPr>
          <w:i/>
        </w:rPr>
        <w:t xml:space="preserve">Assistant Professor, Finance </w:t>
      </w:r>
    </w:p>
    <w:p w:rsidR="00222762" w:rsidRDefault="00F44942">
      <w:pPr>
        <w:spacing w:after="36" w:line="246" w:lineRule="auto"/>
        <w:ind w:left="182" w:right="-15"/>
        <w:jc w:val="left"/>
      </w:pPr>
      <w:r>
        <w:rPr>
          <w:i/>
        </w:rPr>
        <w:t xml:space="preserve">School of Business &amp; Economics </w:t>
      </w:r>
    </w:p>
    <w:p w:rsidR="00222762" w:rsidRDefault="00F44942">
      <w:pPr>
        <w:spacing w:after="36" w:line="246" w:lineRule="auto"/>
        <w:ind w:left="182" w:right="-15"/>
        <w:jc w:val="left"/>
      </w:pPr>
      <w:r>
        <w:rPr>
          <w:i/>
        </w:rPr>
        <w:t xml:space="preserve">United International University </w:t>
      </w:r>
    </w:p>
    <w:p w:rsidR="00222762" w:rsidRDefault="00222762">
      <w:pPr>
        <w:spacing w:line="240" w:lineRule="auto"/>
        <w:ind w:left="187" w:firstLine="0"/>
        <w:jc w:val="left"/>
      </w:pPr>
    </w:p>
    <w:p w:rsidR="00222762" w:rsidRDefault="00222762">
      <w:pPr>
        <w:spacing w:after="198" w:line="240" w:lineRule="auto"/>
        <w:ind w:left="187" w:firstLine="0"/>
        <w:jc w:val="left"/>
      </w:pPr>
    </w:p>
    <w:p w:rsidR="00222762" w:rsidRDefault="00222762">
      <w:pPr>
        <w:spacing w:after="197" w:line="240" w:lineRule="auto"/>
        <w:ind w:left="187" w:firstLine="0"/>
        <w:jc w:val="left"/>
      </w:pPr>
    </w:p>
    <w:p w:rsidR="00222762" w:rsidRDefault="00222762">
      <w:pPr>
        <w:spacing w:after="197" w:line="240" w:lineRule="auto"/>
        <w:ind w:left="187" w:firstLine="0"/>
        <w:jc w:val="left"/>
      </w:pPr>
    </w:p>
    <w:p w:rsidR="00222762" w:rsidRDefault="00222762">
      <w:pPr>
        <w:spacing w:after="195" w:line="240" w:lineRule="auto"/>
        <w:ind w:left="187" w:firstLine="0"/>
        <w:jc w:val="left"/>
      </w:pPr>
    </w:p>
    <w:p w:rsidR="00222762" w:rsidRDefault="00222762">
      <w:pPr>
        <w:spacing w:after="197" w:line="240" w:lineRule="auto"/>
        <w:ind w:left="187" w:firstLine="0"/>
        <w:jc w:val="left"/>
      </w:pPr>
    </w:p>
    <w:p w:rsidR="00222762" w:rsidRDefault="00222762">
      <w:pPr>
        <w:spacing w:after="197" w:line="240" w:lineRule="auto"/>
        <w:ind w:left="187" w:firstLine="0"/>
        <w:jc w:val="left"/>
      </w:pPr>
    </w:p>
    <w:p w:rsidR="00222762" w:rsidRDefault="00222762">
      <w:pPr>
        <w:spacing w:after="197" w:line="240" w:lineRule="auto"/>
        <w:ind w:left="187" w:firstLine="0"/>
        <w:jc w:val="left"/>
      </w:pPr>
    </w:p>
    <w:p w:rsidR="00222762" w:rsidRDefault="00222762">
      <w:pPr>
        <w:spacing w:after="189" w:line="416" w:lineRule="auto"/>
        <w:ind w:left="187" w:right="8977" w:firstLine="0"/>
        <w:jc w:val="left"/>
      </w:pPr>
    </w:p>
    <w:p w:rsidR="00222762" w:rsidRDefault="00222762">
      <w:pPr>
        <w:spacing w:after="197" w:line="240" w:lineRule="auto"/>
        <w:ind w:left="187" w:firstLine="0"/>
        <w:jc w:val="left"/>
      </w:pPr>
    </w:p>
    <w:p w:rsidR="00222762" w:rsidRDefault="00222762">
      <w:pPr>
        <w:spacing w:after="197" w:line="240" w:lineRule="auto"/>
        <w:ind w:left="187" w:firstLine="0"/>
        <w:jc w:val="left"/>
      </w:pPr>
    </w:p>
    <w:p w:rsidR="00222762" w:rsidRDefault="00222762">
      <w:pPr>
        <w:spacing w:after="195" w:line="240" w:lineRule="auto"/>
        <w:ind w:left="187" w:firstLine="0"/>
        <w:jc w:val="left"/>
      </w:pPr>
    </w:p>
    <w:p w:rsidR="00222762" w:rsidRDefault="00222762">
      <w:pPr>
        <w:spacing w:after="197" w:line="240" w:lineRule="auto"/>
        <w:ind w:left="187" w:firstLine="0"/>
        <w:jc w:val="left"/>
      </w:pPr>
    </w:p>
    <w:p w:rsidR="00222762" w:rsidRDefault="00222762">
      <w:pPr>
        <w:spacing w:line="418" w:lineRule="auto"/>
        <w:ind w:left="187" w:right="8977" w:firstLine="0"/>
        <w:jc w:val="left"/>
      </w:pPr>
    </w:p>
    <w:p w:rsidR="00AD581D" w:rsidRDefault="00AD581D">
      <w:pPr>
        <w:spacing w:line="418" w:lineRule="auto"/>
        <w:ind w:left="187" w:right="8977" w:firstLine="0"/>
        <w:jc w:val="left"/>
      </w:pPr>
    </w:p>
    <w:p w:rsidR="00AD581D" w:rsidRDefault="00AD581D">
      <w:pPr>
        <w:spacing w:line="418" w:lineRule="auto"/>
        <w:ind w:left="187" w:right="8977" w:firstLine="0"/>
        <w:jc w:val="left"/>
      </w:pPr>
    </w:p>
    <w:p w:rsidR="00AD581D" w:rsidRDefault="00AD581D">
      <w:pPr>
        <w:spacing w:line="418" w:lineRule="auto"/>
        <w:ind w:left="187" w:right="8977" w:firstLine="0"/>
        <w:jc w:val="left"/>
      </w:pPr>
    </w:p>
    <w:p w:rsidR="00AD581D" w:rsidRDefault="00AD581D">
      <w:pPr>
        <w:spacing w:line="418" w:lineRule="auto"/>
        <w:ind w:left="187" w:right="8977" w:firstLine="0"/>
        <w:jc w:val="left"/>
      </w:pPr>
    </w:p>
    <w:p w:rsidR="00222762" w:rsidRDefault="00AD581D" w:rsidP="00AD581D">
      <w:pPr>
        <w:spacing w:after="195"/>
        <w:ind w:left="197"/>
      </w:pPr>
      <w:r>
        <w:t>23 September</w:t>
      </w:r>
      <w:r w:rsidR="00F44942">
        <w:t xml:space="preserve">, 2018 </w:t>
      </w:r>
    </w:p>
    <w:p w:rsidR="00222762" w:rsidRDefault="00F44942">
      <w:pPr>
        <w:ind w:left="197"/>
      </w:pPr>
      <w:r>
        <w:t xml:space="preserve">Muhammad </w:t>
      </w:r>
      <w:proofErr w:type="spellStart"/>
      <w:r>
        <w:t>Enamul</w:t>
      </w:r>
      <w:proofErr w:type="spellEnd"/>
      <w:r w:rsidR="003944DC">
        <w:t xml:space="preserve"> </w:t>
      </w:r>
      <w:proofErr w:type="spellStart"/>
      <w:r>
        <w:t>Haque</w:t>
      </w:r>
      <w:proofErr w:type="spellEnd"/>
    </w:p>
    <w:p w:rsidR="00222762" w:rsidRDefault="00F44942">
      <w:pPr>
        <w:ind w:left="197"/>
      </w:pPr>
      <w:r>
        <w:t xml:space="preserve">Assistant Professor, Finance </w:t>
      </w:r>
    </w:p>
    <w:p w:rsidR="00222762" w:rsidRDefault="00F44942">
      <w:pPr>
        <w:ind w:left="197"/>
      </w:pPr>
      <w:r>
        <w:t xml:space="preserve">School of Business &amp; Economics  </w:t>
      </w:r>
    </w:p>
    <w:p w:rsidR="00222762" w:rsidRDefault="00F44942">
      <w:pPr>
        <w:ind w:left="197"/>
      </w:pPr>
      <w:r>
        <w:t xml:space="preserve">United International University </w:t>
      </w:r>
    </w:p>
    <w:p w:rsidR="00222762" w:rsidRDefault="00222762">
      <w:pPr>
        <w:spacing w:after="197" w:line="240" w:lineRule="auto"/>
        <w:ind w:left="187" w:firstLine="0"/>
        <w:jc w:val="left"/>
      </w:pPr>
    </w:p>
    <w:p w:rsidR="00222762" w:rsidRDefault="00F44942">
      <w:pPr>
        <w:spacing w:after="198" w:line="240" w:lineRule="auto"/>
        <w:ind w:left="187" w:firstLine="0"/>
        <w:jc w:val="left"/>
      </w:pPr>
      <w:r>
        <w:rPr>
          <w:b/>
          <w:sz w:val="24"/>
        </w:rPr>
        <w:t xml:space="preserve">Sub: Submission of Internship Report. </w:t>
      </w:r>
    </w:p>
    <w:p w:rsidR="00222762" w:rsidRDefault="00222762">
      <w:pPr>
        <w:spacing w:after="123" w:line="240" w:lineRule="auto"/>
        <w:ind w:left="187" w:firstLine="0"/>
        <w:jc w:val="left"/>
      </w:pPr>
    </w:p>
    <w:p w:rsidR="00222762" w:rsidRDefault="00F44942">
      <w:pPr>
        <w:spacing w:after="123"/>
        <w:ind w:left="197"/>
      </w:pPr>
      <w:r>
        <w:t xml:space="preserve">Dear Sir, </w:t>
      </w:r>
    </w:p>
    <w:p w:rsidR="00222762" w:rsidRDefault="00F44942">
      <w:pPr>
        <w:spacing w:after="234"/>
        <w:ind w:left="197"/>
      </w:pPr>
      <w:r>
        <w:t xml:space="preserve">I would like to submit my report titled </w:t>
      </w:r>
      <w:r>
        <w:rPr>
          <w:b/>
        </w:rPr>
        <w:t>“</w:t>
      </w:r>
      <w:r>
        <w:rPr>
          <w:b/>
          <w:i/>
        </w:rPr>
        <w:t xml:space="preserve">Role of Investment in Financial Assets: A Case Study of </w:t>
      </w:r>
      <w:proofErr w:type="gramStart"/>
      <w:r>
        <w:rPr>
          <w:b/>
          <w:i/>
        </w:rPr>
        <w:t>The</w:t>
      </w:r>
      <w:proofErr w:type="gramEnd"/>
      <w:r>
        <w:rPr>
          <w:b/>
          <w:i/>
        </w:rPr>
        <w:t xml:space="preserve"> City Bank Limited”</w:t>
      </w:r>
      <w:r>
        <w:t xml:space="preserve"> prepared as a part of the requirement for BBA program of School of Business &amp; Economics, United International University. I have successfully completed my internship program in The City Bank Limited and I worked there as an intern for three months. Working on this report was a great learning experience for me as I got to learn the differences between practical and theoretical  </w:t>
      </w:r>
    </w:p>
    <w:p w:rsidR="00222762" w:rsidRDefault="00222762">
      <w:pPr>
        <w:spacing w:after="233" w:line="240" w:lineRule="auto"/>
        <w:ind w:left="187" w:firstLine="0"/>
        <w:jc w:val="left"/>
      </w:pPr>
    </w:p>
    <w:p w:rsidR="00222762" w:rsidRDefault="00F44942">
      <w:pPr>
        <w:spacing w:after="234"/>
        <w:ind w:left="197"/>
      </w:pPr>
      <w:r>
        <w:t xml:space="preserve">I would like to take this opportunity to thank you for all the support and guidelines that you have provided, which I hope to continue getting in the future. </w:t>
      </w:r>
    </w:p>
    <w:p w:rsidR="00222762" w:rsidRDefault="00222762">
      <w:pPr>
        <w:spacing w:after="197" w:line="240" w:lineRule="auto"/>
        <w:ind w:left="187" w:firstLine="0"/>
        <w:jc w:val="left"/>
      </w:pPr>
    </w:p>
    <w:p w:rsidR="00222762" w:rsidRDefault="00F44942">
      <w:pPr>
        <w:spacing w:after="198"/>
        <w:ind w:left="197"/>
      </w:pPr>
      <w:r>
        <w:t xml:space="preserve">Sincerely yours, </w:t>
      </w:r>
    </w:p>
    <w:p w:rsidR="00222762" w:rsidRDefault="00222762">
      <w:pPr>
        <w:spacing w:after="195" w:line="240" w:lineRule="auto"/>
        <w:ind w:left="187" w:firstLine="0"/>
        <w:jc w:val="left"/>
      </w:pPr>
    </w:p>
    <w:p w:rsidR="00222762" w:rsidRDefault="00222762">
      <w:pPr>
        <w:spacing w:after="197" w:line="240" w:lineRule="auto"/>
        <w:ind w:left="187" w:firstLine="0"/>
        <w:jc w:val="left"/>
      </w:pPr>
    </w:p>
    <w:p w:rsidR="00222762" w:rsidRDefault="003944DC">
      <w:pPr>
        <w:spacing w:after="197"/>
        <w:ind w:left="197"/>
      </w:pPr>
      <w:proofErr w:type="spellStart"/>
      <w:r>
        <w:t>Asma</w:t>
      </w:r>
      <w:proofErr w:type="spellEnd"/>
      <w:r>
        <w:t xml:space="preserve"> </w:t>
      </w:r>
      <w:proofErr w:type="spellStart"/>
      <w:r>
        <w:t>Saq</w:t>
      </w:r>
      <w:r w:rsidR="00AD581D">
        <w:t>i</w:t>
      </w:r>
      <w:proofErr w:type="spellEnd"/>
    </w:p>
    <w:p w:rsidR="00222762" w:rsidRDefault="00F44942">
      <w:pPr>
        <w:spacing w:after="195"/>
        <w:ind w:left="197"/>
      </w:pPr>
      <w:r>
        <w:t>ID: 111133</w:t>
      </w:r>
      <w:r w:rsidR="003944DC">
        <w:t>163</w:t>
      </w:r>
    </w:p>
    <w:p w:rsidR="00222762" w:rsidRDefault="00F44942">
      <w:pPr>
        <w:spacing w:after="197"/>
        <w:ind w:left="197"/>
      </w:pPr>
      <w:r>
        <w:t xml:space="preserve">Major: Finance </w:t>
      </w:r>
    </w:p>
    <w:p w:rsidR="00222762" w:rsidRDefault="00F44942">
      <w:pPr>
        <w:spacing w:after="197"/>
        <w:ind w:left="197"/>
      </w:pPr>
      <w:r>
        <w:t xml:space="preserve">School of Business &amp; Economics </w:t>
      </w:r>
    </w:p>
    <w:p w:rsidR="00222762" w:rsidRDefault="00F44942">
      <w:pPr>
        <w:spacing w:after="197"/>
        <w:ind w:left="197"/>
      </w:pPr>
      <w:r>
        <w:t xml:space="preserve">United International University </w:t>
      </w:r>
    </w:p>
    <w:p w:rsidR="00222762" w:rsidRDefault="00222762">
      <w:pPr>
        <w:spacing w:after="195" w:line="240" w:lineRule="auto"/>
        <w:ind w:left="187" w:firstLine="0"/>
        <w:jc w:val="left"/>
      </w:pPr>
    </w:p>
    <w:p w:rsidR="00222762" w:rsidRDefault="00222762">
      <w:pPr>
        <w:spacing w:after="197" w:line="240" w:lineRule="auto"/>
        <w:ind w:left="187" w:firstLine="0"/>
        <w:jc w:val="left"/>
      </w:pPr>
    </w:p>
    <w:p w:rsidR="00222762" w:rsidRDefault="00F44942">
      <w:pPr>
        <w:spacing w:after="205" w:line="240" w:lineRule="auto"/>
        <w:ind w:left="187" w:firstLine="0"/>
        <w:jc w:val="left"/>
      </w:pPr>
      <w:r>
        <w:tab/>
      </w:r>
      <w:r>
        <w:tab/>
      </w:r>
    </w:p>
    <w:p w:rsidR="00222762" w:rsidRDefault="00222762">
      <w:pPr>
        <w:spacing w:after="204" w:line="240" w:lineRule="auto"/>
        <w:ind w:left="0" w:firstLine="0"/>
        <w:jc w:val="center"/>
      </w:pPr>
    </w:p>
    <w:p w:rsidR="00222762" w:rsidRDefault="00222762">
      <w:pPr>
        <w:spacing w:after="204" w:line="240" w:lineRule="auto"/>
        <w:ind w:left="0" w:firstLine="0"/>
        <w:jc w:val="center"/>
      </w:pPr>
    </w:p>
    <w:p w:rsidR="00222762" w:rsidRDefault="00222762">
      <w:pPr>
        <w:spacing w:line="240" w:lineRule="auto"/>
        <w:ind w:left="0" w:firstLine="0"/>
        <w:jc w:val="center"/>
      </w:pPr>
    </w:p>
    <w:p w:rsidR="00222762" w:rsidRDefault="00222762">
      <w:pPr>
        <w:spacing w:after="204" w:line="240" w:lineRule="auto"/>
        <w:ind w:left="0" w:firstLine="0"/>
        <w:jc w:val="center"/>
      </w:pPr>
    </w:p>
    <w:p w:rsidR="00540957" w:rsidRDefault="00540957">
      <w:pPr>
        <w:pStyle w:val="Heading1"/>
        <w:spacing w:after="196"/>
      </w:pPr>
    </w:p>
    <w:p w:rsidR="00540957" w:rsidRDefault="00540957">
      <w:pPr>
        <w:pStyle w:val="Heading1"/>
        <w:spacing w:after="196"/>
      </w:pPr>
    </w:p>
    <w:p w:rsidR="00222762" w:rsidRDefault="00F44942">
      <w:pPr>
        <w:pStyle w:val="Heading1"/>
        <w:spacing w:after="196"/>
        <w:rPr>
          <w:u w:val="none" w:color="000000"/>
        </w:rPr>
      </w:pPr>
      <w:bookmarkStart w:id="1" w:name="_Toc524820981"/>
      <w:r>
        <w:t>Acknowledgement</w:t>
      </w:r>
      <w:bookmarkEnd w:id="1"/>
    </w:p>
    <w:p w:rsidR="00540957" w:rsidRDefault="00540957" w:rsidP="00540957"/>
    <w:p w:rsidR="00540957" w:rsidRPr="00540957" w:rsidRDefault="00540957" w:rsidP="00540957"/>
    <w:p w:rsidR="00222762" w:rsidRDefault="00222762">
      <w:pPr>
        <w:spacing w:after="195" w:line="240" w:lineRule="auto"/>
        <w:ind w:left="187" w:firstLine="0"/>
        <w:jc w:val="left"/>
      </w:pPr>
    </w:p>
    <w:p w:rsidR="00222762" w:rsidRDefault="00F44942" w:rsidP="00AD581D">
      <w:pPr>
        <w:spacing w:after="234"/>
        <w:ind w:left="0" w:firstLine="0"/>
      </w:pPr>
      <w:r>
        <w:t xml:space="preserve">First I want to pay my gratitude to almighty Allah for enabling us to prepare the report successfully. Then I would like to express my sincere gratitude and cordial thanks to some specific persons who helped me to organize this report and for their kind opinion, suggestions, instructions and support and appropriate guidelines for this. </w:t>
      </w:r>
    </w:p>
    <w:p w:rsidR="00222762" w:rsidRDefault="00F44942">
      <w:pPr>
        <w:ind w:left="10"/>
      </w:pPr>
      <w:r>
        <w:t xml:space="preserve">First of all, I would like to thank my Internship Supervisor Muhammad </w:t>
      </w:r>
      <w:proofErr w:type="spellStart"/>
      <w:r>
        <w:t>Enamul</w:t>
      </w:r>
      <w:proofErr w:type="spellEnd"/>
      <w:r w:rsidR="00611A16">
        <w:t xml:space="preserve"> </w:t>
      </w:r>
      <w:proofErr w:type="spellStart"/>
      <w:r>
        <w:t>Haque</w:t>
      </w:r>
      <w:proofErr w:type="spellEnd"/>
      <w:r>
        <w:t xml:space="preserve"> for his continuous guidance and assistance in preparing</w:t>
      </w:r>
      <w:r>
        <w:rPr>
          <w:b/>
          <w:i/>
        </w:rPr>
        <w:t xml:space="preserve"> Role of Investment in Financial Assets: A Case Study of The City Bank Limited”.</w:t>
      </w:r>
      <w:r>
        <w:t xml:space="preserve">  His valuable advice has helped me a lot in writing this report. I am immensely thankful to him for the supports he has provided during my Internship period.  </w:t>
      </w:r>
    </w:p>
    <w:p w:rsidR="00222762" w:rsidRDefault="00222762">
      <w:pPr>
        <w:spacing w:line="240" w:lineRule="auto"/>
        <w:ind w:left="0" w:firstLine="0"/>
        <w:jc w:val="left"/>
      </w:pPr>
    </w:p>
    <w:p w:rsidR="00222762" w:rsidRDefault="00F44942">
      <w:pPr>
        <w:ind w:left="10"/>
      </w:pPr>
      <w:r>
        <w:t xml:space="preserve">Next, I would also like to express heartfelt gratitude to my organizational supervisor at The City Bank Limited, </w:t>
      </w:r>
      <w:r>
        <w:rPr>
          <w:b/>
        </w:rPr>
        <w:t>M</w:t>
      </w:r>
      <w:r w:rsidR="003944DC">
        <w:rPr>
          <w:b/>
        </w:rPr>
        <w:t xml:space="preserve">ohammad </w:t>
      </w:r>
      <w:proofErr w:type="spellStart"/>
      <w:r w:rsidR="003944DC">
        <w:rPr>
          <w:b/>
        </w:rPr>
        <w:t>Amzad</w:t>
      </w:r>
      <w:proofErr w:type="spellEnd"/>
      <w:r w:rsidR="003944DC">
        <w:rPr>
          <w:b/>
        </w:rPr>
        <w:t xml:space="preserve"> </w:t>
      </w:r>
      <w:proofErr w:type="spellStart"/>
      <w:r w:rsidR="003944DC">
        <w:rPr>
          <w:b/>
        </w:rPr>
        <w:t>Hossain</w:t>
      </w:r>
      <w:proofErr w:type="spellEnd"/>
      <w:r w:rsidR="003944DC">
        <w:t xml:space="preserve">, Branch Manager of Foreign </w:t>
      </w:r>
      <w:proofErr w:type="gramStart"/>
      <w:r w:rsidR="003944DC">
        <w:t xml:space="preserve">Exchange </w:t>
      </w:r>
      <w:r>
        <w:t xml:space="preserve"> Branch</w:t>
      </w:r>
      <w:proofErr w:type="gramEnd"/>
      <w:r>
        <w:t xml:space="preserve">. He directed me towards the right information and regularly reviewed my progress in preparation of this report. He has provided the information about the organization and the information about Branch Banking as well to help me with the report. My warmest thanks go to </w:t>
      </w:r>
      <w:proofErr w:type="spellStart"/>
      <w:r w:rsidR="003944DC">
        <w:rPr>
          <w:b/>
        </w:rPr>
        <w:t>saif</w:t>
      </w:r>
      <w:proofErr w:type="spellEnd"/>
      <w:r w:rsidR="003944DC">
        <w:rPr>
          <w:b/>
        </w:rPr>
        <w:t xml:space="preserve"> </w:t>
      </w:r>
      <w:proofErr w:type="spellStart"/>
      <w:r w:rsidR="003944DC">
        <w:rPr>
          <w:b/>
        </w:rPr>
        <w:t>Hossain</w:t>
      </w:r>
      <w:proofErr w:type="spellEnd"/>
      <w:r w:rsidR="003944DC">
        <w:t xml:space="preserve">, </w:t>
      </w:r>
      <w:proofErr w:type="gramStart"/>
      <w:r w:rsidR="003944DC">
        <w:t>CSM  of</w:t>
      </w:r>
      <w:proofErr w:type="gramEnd"/>
      <w:r w:rsidR="003944DC">
        <w:t xml:space="preserve"> foreign exchange</w:t>
      </w:r>
      <w:r>
        <w:t xml:space="preserve"> branch who helps to provide some essential data and information.  </w:t>
      </w:r>
    </w:p>
    <w:p w:rsidR="00222762" w:rsidRDefault="00222762">
      <w:pPr>
        <w:spacing w:line="240" w:lineRule="auto"/>
        <w:ind w:left="0" w:firstLine="0"/>
        <w:jc w:val="left"/>
      </w:pPr>
    </w:p>
    <w:p w:rsidR="00222762" w:rsidRDefault="00F44942">
      <w:pPr>
        <w:ind w:left="10"/>
      </w:pPr>
      <w:r>
        <w:t xml:space="preserve">Finally, this report would not have been possible without the dedication and contribution of all my colleagues who has helped me by teaching all the works. I express my sincere gratitude to all of them. Their valuable contribution is what made this Term Paper possible. </w:t>
      </w:r>
    </w:p>
    <w:p w:rsidR="00222762" w:rsidRDefault="00222762">
      <w:pPr>
        <w:spacing w:after="34" w:line="240" w:lineRule="auto"/>
        <w:ind w:left="7" w:firstLine="0"/>
        <w:jc w:val="left"/>
      </w:pPr>
    </w:p>
    <w:p w:rsidR="00222762" w:rsidRDefault="00222762">
      <w:pPr>
        <w:spacing w:after="36"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6"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6" w:line="240" w:lineRule="auto"/>
        <w:ind w:left="7" w:firstLine="0"/>
        <w:jc w:val="left"/>
      </w:pPr>
    </w:p>
    <w:p w:rsidR="00222762" w:rsidRDefault="00222762">
      <w:pPr>
        <w:spacing w:after="35"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6"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42" w:line="240" w:lineRule="auto"/>
        <w:ind w:left="7" w:firstLine="0"/>
        <w:jc w:val="left"/>
      </w:pPr>
    </w:p>
    <w:p w:rsidR="00222762" w:rsidRDefault="00222762">
      <w:pPr>
        <w:spacing w:line="240" w:lineRule="auto"/>
        <w:ind w:left="0" w:firstLine="0"/>
        <w:jc w:val="center"/>
      </w:pPr>
    </w:p>
    <w:p w:rsidR="00222762" w:rsidRDefault="00222762">
      <w:pPr>
        <w:spacing w:after="65" w:line="240" w:lineRule="auto"/>
        <w:ind w:left="0" w:firstLine="0"/>
        <w:jc w:val="center"/>
      </w:pPr>
    </w:p>
    <w:p w:rsidR="00222762" w:rsidRDefault="00222762">
      <w:pPr>
        <w:spacing w:after="67" w:line="240" w:lineRule="auto"/>
        <w:ind w:left="0" w:firstLine="0"/>
        <w:jc w:val="center"/>
      </w:pPr>
    </w:p>
    <w:p w:rsidR="00222762" w:rsidRDefault="00F44942">
      <w:pPr>
        <w:pStyle w:val="Heading1"/>
      </w:pPr>
      <w:bookmarkStart w:id="2" w:name="_Toc524820982"/>
      <w:r>
        <w:t>Executive Summary</w:t>
      </w:r>
      <w:bookmarkEnd w:id="2"/>
    </w:p>
    <w:p w:rsidR="00222762" w:rsidRDefault="00222762">
      <w:pPr>
        <w:spacing w:after="34" w:line="240" w:lineRule="auto"/>
        <w:ind w:left="7" w:firstLine="0"/>
        <w:jc w:val="left"/>
      </w:pPr>
    </w:p>
    <w:p w:rsidR="00222762" w:rsidRDefault="00222762">
      <w:pPr>
        <w:spacing w:after="36" w:line="240" w:lineRule="auto"/>
        <w:ind w:left="7" w:firstLine="0"/>
        <w:jc w:val="left"/>
      </w:pPr>
    </w:p>
    <w:p w:rsidR="00222762" w:rsidRDefault="00F44942">
      <w:pPr>
        <w:ind w:left="17"/>
      </w:pPr>
      <w:r>
        <w:t xml:space="preserve">Banking business is the latest dimension in the financial sector to boost up economic growth and sustainability. In the new competitive business era, private banking sector is getting more competitive in Bangladesh. In this sector the one of the significant income for a private commercial Bank is the investment income of the bank which is come from investment in financial assets. Financial assets are more liquid than tangible assets which can increase the banks’ liquidity also. </w:t>
      </w:r>
    </w:p>
    <w:p w:rsidR="00222762" w:rsidRDefault="00222762">
      <w:pPr>
        <w:spacing w:after="35" w:line="240" w:lineRule="auto"/>
        <w:ind w:left="7" w:firstLine="0"/>
        <w:jc w:val="left"/>
      </w:pPr>
    </w:p>
    <w:p w:rsidR="00222762" w:rsidRDefault="00F44942">
      <w:pPr>
        <w:ind w:left="17"/>
      </w:pPr>
      <w:r>
        <w:t xml:space="preserve">In banking sector the most used financial statements are the balance from which the investment in financial assets can be identified. By analyzing percentage of investment and yearly Growth rate of investment in financial assets it is possible to evaluate a bank’s performance over years on investments in financial assets. In my report I had to study CBL’s investment in financial assets for the last few years then had to analyze and give significant comments regarding the changes of investment in the financial assets. Analysis and interpretation of these investment in financial assets through percentage and growth rate analysis has now become an important technique for performance appraisal because the investors, financial experts, management executives and the bankers are always rely on these analysis to make important decisions. The management team of any bank, investor and the government agencies always concern about liquidity which can be understood by knowing about the percentage rate of investment in financial assets which are considered as more liquid assets than others. </w:t>
      </w:r>
    </w:p>
    <w:p w:rsidR="00222762" w:rsidRDefault="00222762">
      <w:pPr>
        <w:spacing w:after="34" w:line="240" w:lineRule="auto"/>
        <w:ind w:left="7" w:firstLine="0"/>
        <w:jc w:val="left"/>
      </w:pPr>
    </w:p>
    <w:p w:rsidR="00222762" w:rsidRDefault="00F44942">
      <w:pPr>
        <w:ind w:left="17"/>
      </w:pPr>
      <w:r>
        <w:t xml:space="preserve"> I have analyzed the investment in financial assets of CBL to find out its percentage of yearly growing rate of investment by using its past and current records. After preparing this report I came to know that the main principles of financial asset </w:t>
      </w:r>
      <w:r w:rsidR="00EB7BBC">
        <w:t>managements</w:t>
      </w:r>
      <w:r>
        <w:t xml:space="preserve"> are safety, liquidity and profitability. City Bank also invests its deposit and money in the financial assets which are more risk free and profitable. But year to year the decreasing rates of investment in financial assets are being observed and it is the indication of decreasing rate of liquid assets. It is not a good sign for any commercial bank. Because decreasing rate of liquidation of assets can be hindrance in payment in liabilities. From the decreasing rate in financial assets the investment income is also decreasing among the total interest income. For this reason CBL should make a little change at the investment decision for its betterment and profit earning. </w:t>
      </w:r>
    </w:p>
    <w:p w:rsidR="00222762" w:rsidRDefault="00222762">
      <w:pPr>
        <w:spacing w:after="35" w:line="240" w:lineRule="auto"/>
        <w:ind w:left="7" w:firstLine="0"/>
        <w:jc w:val="left"/>
      </w:pPr>
    </w:p>
    <w:p w:rsidR="00222762" w:rsidRDefault="00222762">
      <w:pPr>
        <w:spacing w:after="34" w:line="240" w:lineRule="auto"/>
        <w:ind w:left="7" w:firstLine="0"/>
        <w:jc w:val="left"/>
      </w:pPr>
      <w:bookmarkStart w:id="3" w:name="_GoBack"/>
      <w:bookmarkEnd w:id="3"/>
    </w:p>
    <w:p w:rsidR="00222762" w:rsidRDefault="00222762">
      <w:pPr>
        <w:spacing w:after="36"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4" w:line="240" w:lineRule="auto"/>
        <w:ind w:left="7" w:firstLine="0"/>
        <w:jc w:val="left"/>
      </w:pPr>
    </w:p>
    <w:p w:rsidR="00222762" w:rsidRDefault="00222762">
      <w:pPr>
        <w:spacing w:after="36" w:line="240" w:lineRule="auto"/>
        <w:ind w:left="7" w:firstLine="0"/>
        <w:jc w:val="left"/>
      </w:pPr>
    </w:p>
    <w:p w:rsidR="00222762" w:rsidRDefault="00222762">
      <w:pPr>
        <w:spacing w:after="34" w:line="240" w:lineRule="auto"/>
        <w:ind w:left="7" w:firstLine="0"/>
        <w:jc w:val="left"/>
      </w:pPr>
    </w:p>
    <w:p w:rsidR="00222762" w:rsidRDefault="00222762">
      <w:pPr>
        <w:spacing w:after="31" w:line="240" w:lineRule="auto"/>
        <w:ind w:left="7" w:firstLine="0"/>
        <w:jc w:val="left"/>
      </w:pPr>
    </w:p>
    <w:p w:rsidR="00222762" w:rsidRDefault="00222762">
      <w:pPr>
        <w:spacing w:line="240" w:lineRule="auto"/>
        <w:ind w:left="187" w:firstLine="0"/>
        <w:jc w:val="left"/>
      </w:pPr>
    </w:p>
    <w:p w:rsidR="00540957" w:rsidRDefault="00540957">
      <w:pPr>
        <w:spacing w:after="3" w:line="240" w:lineRule="auto"/>
        <w:ind w:left="3313" w:firstLine="0"/>
        <w:jc w:val="left"/>
        <w:rPr>
          <w:b/>
          <w:i/>
          <w:color w:val="984806"/>
          <w:sz w:val="40"/>
          <w:shd w:val="clear" w:color="auto" w:fill="C0C0C0"/>
        </w:rPr>
      </w:pPr>
    </w:p>
    <w:p w:rsidR="00540957" w:rsidRDefault="00540957">
      <w:pPr>
        <w:spacing w:after="3" w:line="240" w:lineRule="auto"/>
        <w:ind w:left="3313" w:firstLine="0"/>
        <w:jc w:val="left"/>
        <w:rPr>
          <w:b/>
          <w:i/>
          <w:color w:val="984806"/>
          <w:sz w:val="40"/>
          <w:shd w:val="clear" w:color="auto" w:fill="C0C0C0"/>
        </w:rPr>
      </w:pPr>
    </w:p>
    <w:p w:rsidR="00540957" w:rsidRDefault="00540957">
      <w:pPr>
        <w:spacing w:after="3" w:line="240" w:lineRule="auto"/>
        <w:ind w:left="3313" w:firstLine="0"/>
        <w:jc w:val="left"/>
        <w:rPr>
          <w:b/>
          <w:i/>
          <w:color w:val="984806"/>
          <w:sz w:val="40"/>
          <w:shd w:val="clear" w:color="auto" w:fill="C0C0C0"/>
        </w:rPr>
      </w:pPr>
    </w:p>
    <w:sdt>
      <w:sdtPr>
        <w:rPr>
          <w:rFonts w:ascii="Times New Roman" w:eastAsia="Times New Roman" w:hAnsi="Times New Roman" w:cs="Times New Roman"/>
          <w:color w:val="000000"/>
          <w:sz w:val="22"/>
          <w:szCs w:val="22"/>
        </w:rPr>
        <w:id w:val="1651409119"/>
        <w:docPartObj>
          <w:docPartGallery w:val="Table of Contents"/>
          <w:docPartUnique/>
        </w:docPartObj>
      </w:sdtPr>
      <w:sdtEndPr>
        <w:rPr>
          <w:b/>
          <w:bCs/>
          <w:noProof/>
        </w:rPr>
      </w:sdtEndPr>
      <w:sdtContent>
        <w:p w:rsidR="00F6772C" w:rsidRDefault="00F6772C" w:rsidP="00F6772C">
          <w:pPr>
            <w:pStyle w:val="TOCHeading"/>
            <w:jc w:val="center"/>
          </w:pPr>
          <w:r>
            <w:t>Table of Contents</w:t>
          </w:r>
        </w:p>
        <w:p w:rsidR="0050212E" w:rsidRDefault="00955315">
          <w:pPr>
            <w:pStyle w:val="TOC1"/>
            <w:tabs>
              <w:tab w:val="right" w:leader="dot" w:pos="9209"/>
            </w:tabs>
            <w:rPr>
              <w:rFonts w:asciiTheme="minorHAnsi" w:eastAsiaTheme="minorEastAsia" w:hAnsiTheme="minorHAnsi" w:cs="Vrinda"/>
              <w:noProof/>
              <w:color w:val="auto"/>
              <w:szCs w:val="28"/>
              <w:lang w:bidi="bn-BD"/>
            </w:rPr>
          </w:pPr>
          <w:r>
            <w:fldChar w:fldCharType="begin"/>
          </w:r>
          <w:r w:rsidR="0050212E">
            <w:instrText xml:space="preserve"> TOC \o "1-6" \h \z \u </w:instrText>
          </w:r>
          <w:r>
            <w:fldChar w:fldCharType="separate"/>
          </w:r>
          <w:hyperlink w:anchor="_Toc524820980" w:history="1">
            <w:r w:rsidR="0050212E" w:rsidRPr="00233D86">
              <w:rPr>
                <w:rStyle w:val="Hyperlink"/>
                <w:noProof/>
              </w:rPr>
              <w:t>Letter Of Endorsement</w:t>
            </w:r>
            <w:r w:rsidR="0050212E">
              <w:rPr>
                <w:noProof/>
                <w:webHidden/>
              </w:rPr>
              <w:tab/>
            </w:r>
            <w:r>
              <w:rPr>
                <w:noProof/>
                <w:webHidden/>
              </w:rPr>
              <w:fldChar w:fldCharType="begin"/>
            </w:r>
            <w:r w:rsidR="0050212E">
              <w:rPr>
                <w:noProof/>
                <w:webHidden/>
              </w:rPr>
              <w:instrText xml:space="preserve"> PAGEREF _Toc524820980 \h </w:instrText>
            </w:r>
            <w:r>
              <w:rPr>
                <w:noProof/>
                <w:webHidden/>
              </w:rPr>
            </w:r>
            <w:r>
              <w:rPr>
                <w:noProof/>
                <w:webHidden/>
              </w:rPr>
              <w:fldChar w:fldCharType="separate"/>
            </w:r>
            <w:r w:rsidR="0050212E">
              <w:rPr>
                <w:noProof/>
                <w:webHidden/>
              </w:rPr>
              <w:t>i</w:t>
            </w:r>
            <w:r>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0981" w:history="1">
            <w:r w:rsidR="0050212E" w:rsidRPr="00233D86">
              <w:rPr>
                <w:rStyle w:val="Hyperlink"/>
                <w:noProof/>
              </w:rPr>
              <w:t>Acknowledgement</w:t>
            </w:r>
            <w:r w:rsidR="0050212E">
              <w:rPr>
                <w:noProof/>
                <w:webHidden/>
              </w:rPr>
              <w:tab/>
            </w:r>
            <w:r w:rsidR="00955315">
              <w:rPr>
                <w:noProof/>
                <w:webHidden/>
              </w:rPr>
              <w:fldChar w:fldCharType="begin"/>
            </w:r>
            <w:r w:rsidR="0050212E">
              <w:rPr>
                <w:noProof/>
                <w:webHidden/>
              </w:rPr>
              <w:instrText xml:space="preserve"> PAGEREF _Toc524820981 \h </w:instrText>
            </w:r>
            <w:r w:rsidR="00955315">
              <w:rPr>
                <w:noProof/>
                <w:webHidden/>
              </w:rPr>
            </w:r>
            <w:r w:rsidR="00955315">
              <w:rPr>
                <w:noProof/>
                <w:webHidden/>
              </w:rPr>
              <w:fldChar w:fldCharType="separate"/>
            </w:r>
            <w:r w:rsidR="0050212E">
              <w:rPr>
                <w:noProof/>
                <w:webHidden/>
              </w:rPr>
              <w:t>iii</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0982" w:history="1">
            <w:r w:rsidR="0050212E" w:rsidRPr="00233D86">
              <w:rPr>
                <w:rStyle w:val="Hyperlink"/>
                <w:noProof/>
              </w:rPr>
              <w:t>Executive Summary</w:t>
            </w:r>
            <w:r w:rsidR="0050212E">
              <w:rPr>
                <w:noProof/>
                <w:webHidden/>
              </w:rPr>
              <w:tab/>
            </w:r>
            <w:r w:rsidR="00955315">
              <w:rPr>
                <w:noProof/>
                <w:webHidden/>
              </w:rPr>
              <w:fldChar w:fldCharType="begin"/>
            </w:r>
            <w:r w:rsidR="0050212E">
              <w:rPr>
                <w:noProof/>
                <w:webHidden/>
              </w:rPr>
              <w:instrText xml:space="preserve"> PAGEREF _Toc524820982 \h </w:instrText>
            </w:r>
            <w:r w:rsidR="00955315">
              <w:rPr>
                <w:noProof/>
                <w:webHidden/>
              </w:rPr>
            </w:r>
            <w:r w:rsidR="00955315">
              <w:rPr>
                <w:noProof/>
                <w:webHidden/>
              </w:rPr>
              <w:fldChar w:fldCharType="separate"/>
            </w:r>
            <w:r w:rsidR="0050212E">
              <w:rPr>
                <w:noProof/>
                <w:webHidden/>
              </w:rPr>
              <w:t>iv</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0983" w:history="1">
            <w:r w:rsidR="0050212E" w:rsidRPr="003C4CCB">
              <w:rPr>
                <w:rStyle w:val="Hyperlink"/>
                <w:rFonts w:eastAsia="Calibri"/>
                <w:noProof/>
              </w:rPr>
              <w:t>Chapter 1: Introduction</w:t>
            </w:r>
            <w:r w:rsidR="0050212E">
              <w:rPr>
                <w:noProof/>
                <w:webHidden/>
              </w:rPr>
              <w:tab/>
            </w:r>
            <w:r w:rsidR="00955315">
              <w:rPr>
                <w:noProof/>
                <w:webHidden/>
              </w:rPr>
              <w:fldChar w:fldCharType="begin"/>
            </w:r>
            <w:r w:rsidR="0050212E">
              <w:rPr>
                <w:noProof/>
                <w:webHidden/>
              </w:rPr>
              <w:instrText xml:space="preserve"> PAGEREF _Toc524820983 \h </w:instrText>
            </w:r>
            <w:r w:rsidR="00955315">
              <w:rPr>
                <w:noProof/>
                <w:webHidden/>
              </w:rPr>
            </w:r>
            <w:r w:rsidR="00955315">
              <w:rPr>
                <w:noProof/>
                <w:webHidden/>
              </w:rPr>
              <w:fldChar w:fldCharType="separate"/>
            </w:r>
            <w:r w:rsidR="0050212E">
              <w:rPr>
                <w:noProof/>
                <w:webHidden/>
              </w:rPr>
              <w:t>1</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84" w:history="1">
            <w:r w:rsidR="0050212E" w:rsidRPr="00233D86">
              <w:rPr>
                <w:rStyle w:val="Hyperlink"/>
                <w:noProof/>
              </w:rPr>
              <w:t>1.1 Introduction</w:t>
            </w:r>
            <w:r w:rsidR="0050212E">
              <w:rPr>
                <w:noProof/>
                <w:webHidden/>
              </w:rPr>
              <w:tab/>
            </w:r>
            <w:r w:rsidR="00955315">
              <w:rPr>
                <w:noProof/>
                <w:webHidden/>
              </w:rPr>
              <w:fldChar w:fldCharType="begin"/>
            </w:r>
            <w:r w:rsidR="0050212E">
              <w:rPr>
                <w:noProof/>
                <w:webHidden/>
              </w:rPr>
              <w:instrText xml:space="preserve"> PAGEREF _Toc524820984 \h </w:instrText>
            </w:r>
            <w:r w:rsidR="00955315">
              <w:rPr>
                <w:noProof/>
                <w:webHidden/>
              </w:rPr>
            </w:r>
            <w:r w:rsidR="00955315">
              <w:rPr>
                <w:noProof/>
                <w:webHidden/>
              </w:rPr>
              <w:fldChar w:fldCharType="separate"/>
            </w:r>
            <w:r w:rsidR="0050212E">
              <w:rPr>
                <w:noProof/>
                <w:webHidden/>
              </w:rPr>
              <w:t>2</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85" w:history="1">
            <w:r w:rsidR="0050212E" w:rsidRPr="00233D86">
              <w:rPr>
                <w:rStyle w:val="Hyperlink"/>
                <w:noProof/>
              </w:rPr>
              <w:t>1.2 Objective of the Study</w:t>
            </w:r>
            <w:r w:rsidR="0050212E">
              <w:rPr>
                <w:noProof/>
                <w:webHidden/>
              </w:rPr>
              <w:tab/>
            </w:r>
            <w:r w:rsidR="00955315">
              <w:rPr>
                <w:noProof/>
                <w:webHidden/>
              </w:rPr>
              <w:fldChar w:fldCharType="begin"/>
            </w:r>
            <w:r w:rsidR="0050212E">
              <w:rPr>
                <w:noProof/>
                <w:webHidden/>
              </w:rPr>
              <w:instrText xml:space="preserve"> PAGEREF _Toc524820985 \h </w:instrText>
            </w:r>
            <w:r w:rsidR="00955315">
              <w:rPr>
                <w:noProof/>
                <w:webHidden/>
              </w:rPr>
            </w:r>
            <w:r w:rsidR="00955315">
              <w:rPr>
                <w:noProof/>
                <w:webHidden/>
              </w:rPr>
              <w:fldChar w:fldCharType="separate"/>
            </w:r>
            <w:r w:rsidR="0050212E">
              <w:rPr>
                <w:noProof/>
                <w:webHidden/>
              </w:rPr>
              <w:t>2</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86" w:history="1">
            <w:r w:rsidR="0050212E" w:rsidRPr="00233D86">
              <w:rPr>
                <w:rStyle w:val="Hyperlink"/>
                <w:noProof/>
              </w:rPr>
              <w:t>1.3 Scope of the Study</w:t>
            </w:r>
            <w:r w:rsidR="0050212E">
              <w:rPr>
                <w:noProof/>
                <w:webHidden/>
              </w:rPr>
              <w:tab/>
            </w:r>
            <w:r w:rsidR="00955315">
              <w:rPr>
                <w:noProof/>
                <w:webHidden/>
              </w:rPr>
              <w:fldChar w:fldCharType="begin"/>
            </w:r>
            <w:r w:rsidR="0050212E">
              <w:rPr>
                <w:noProof/>
                <w:webHidden/>
              </w:rPr>
              <w:instrText xml:space="preserve"> PAGEREF _Toc524820986 \h </w:instrText>
            </w:r>
            <w:r w:rsidR="00955315">
              <w:rPr>
                <w:noProof/>
                <w:webHidden/>
              </w:rPr>
            </w:r>
            <w:r w:rsidR="00955315">
              <w:rPr>
                <w:noProof/>
                <w:webHidden/>
              </w:rPr>
              <w:fldChar w:fldCharType="separate"/>
            </w:r>
            <w:r w:rsidR="0050212E">
              <w:rPr>
                <w:noProof/>
                <w:webHidden/>
              </w:rPr>
              <w:t>2</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87" w:history="1">
            <w:r w:rsidR="0050212E" w:rsidRPr="00233D86">
              <w:rPr>
                <w:rStyle w:val="Hyperlink"/>
                <w:noProof/>
              </w:rPr>
              <w:t>1.4 Methodology of the Study</w:t>
            </w:r>
            <w:r w:rsidR="0050212E">
              <w:rPr>
                <w:noProof/>
                <w:webHidden/>
              </w:rPr>
              <w:tab/>
            </w:r>
            <w:r w:rsidR="00955315">
              <w:rPr>
                <w:noProof/>
                <w:webHidden/>
              </w:rPr>
              <w:fldChar w:fldCharType="begin"/>
            </w:r>
            <w:r w:rsidR="0050212E">
              <w:rPr>
                <w:noProof/>
                <w:webHidden/>
              </w:rPr>
              <w:instrText xml:space="preserve"> PAGEREF _Toc524820987 \h </w:instrText>
            </w:r>
            <w:r w:rsidR="00955315">
              <w:rPr>
                <w:noProof/>
                <w:webHidden/>
              </w:rPr>
            </w:r>
            <w:r w:rsidR="00955315">
              <w:rPr>
                <w:noProof/>
                <w:webHidden/>
              </w:rPr>
              <w:fldChar w:fldCharType="separate"/>
            </w:r>
            <w:r w:rsidR="0050212E">
              <w:rPr>
                <w:noProof/>
                <w:webHidden/>
              </w:rPr>
              <w:t>2</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88" w:history="1">
            <w:r w:rsidR="0050212E" w:rsidRPr="00233D86">
              <w:rPr>
                <w:rStyle w:val="Hyperlink"/>
                <w:noProof/>
              </w:rPr>
              <w:t>1.4.1 Secondary Source</w:t>
            </w:r>
            <w:r w:rsidR="0050212E">
              <w:rPr>
                <w:noProof/>
                <w:webHidden/>
              </w:rPr>
              <w:tab/>
            </w:r>
            <w:r w:rsidR="00955315">
              <w:rPr>
                <w:noProof/>
                <w:webHidden/>
              </w:rPr>
              <w:fldChar w:fldCharType="begin"/>
            </w:r>
            <w:r w:rsidR="0050212E">
              <w:rPr>
                <w:noProof/>
                <w:webHidden/>
              </w:rPr>
              <w:instrText xml:space="preserve"> PAGEREF _Toc524820988 \h </w:instrText>
            </w:r>
            <w:r w:rsidR="00955315">
              <w:rPr>
                <w:noProof/>
                <w:webHidden/>
              </w:rPr>
            </w:r>
            <w:r w:rsidR="00955315">
              <w:rPr>
                <w:noProof/>
                <w:webHidden/>
              </w:rPr>
              <w:fldChar w:fldCharType="separate"/>
            </w:r>
            <w:r w:rsidR="0050212E">
              <w:rPr>
                <w:noProof/>
                <w:webHidden/>
              </w:rPr>
              <w:t>3</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89" w:history="1">
            <w:r w:rsidR="0050212E" w:rsidRPr="00233D86">
              <w:rPr>
                <w:rStyle w:val="Hyperlink"/>
                <w:noProof/>
              </w:rPr>
              <w:t>1.5 Limitations of the Study</w:t>
            </w:r>
            <w:r w:rsidR="0050212E">
              <w:rPr>
                <w:noProof/>
                <w:webHidden/>
              </w:rPr>
              <w:tab/>
            </w:r>
            <w:r w:rsidR="00955315">
              <w:rPr>
                <w:noProof/>
                <w:webHidden/>
              </w:rPr>
              <w:fldChar w:fldCharType="begin"/>
            </w:r>
            <w:r w:rsidR="0050212E">
              <w:rPr>
                <w:noProof/>
                <w:webHidden/>
              </w:rPr>
              <w:instrText xml:space="preserve"> PAGEREF _Toc524820989 \h </w:instrText>
            </w:r>
            <w:r w:rsidR="00955315">
              <w:rPr>
                <w:noProof/>
                <w:webHidden/>
              </w:rPr>
            </w:r>
            <w:r w:rsidR="00955315">
              <w:rPr>
                <w:noProof/>
                <w:webHidden/>
              </w:rPr>
              <w:fldChar w:fldCharType="separate"/>
            </w:r>
            <w:r w:rsidR="0050212E">
              <w:rPr>
                <w:noProof/>
                <w:webHidden/>
              </w:rPr>
              <w:t>3</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0990" w:history="1">
            <w:r w:rsidR="0050212E" w:rsidRPr="003C4CCB">
              <w:rPr>
                <w:rStyle w:val="Hyperlink"/>
                <w:rFonts w:eastAsia="Calibri"/>
                <w:noProof/>
              </w:rPr>
              <w:t>Chapter 2: Organizational Overview</w:t>
            </w:r>
            <w:r w:rsidR="0050212E">
              <w:rPr>
                <w:noProof/>
                <w:webHidden/>
              </w:rPr>
              <w:tab/>
            </w:r>
            <w:r w:rsidR="00955315">
              <w:rPr>
                <w:noProof/>
                <w:webHidden/>
              </w:rPr>
              <w:fldChar w:fldCharType="begin"/>
            </w:r>
            <w:r w:rsidR="0050212E">
              <w:rPr>
                <w:noProof/>
                <w:webHidden/>
              </w:rPr>
              <w:instrText xml:space="preserve"> PAGEREF _Toc524820990 \h </w:instrText>
            </w:r>
            <w:r w:rsidR="00955315">
              <w:rPr>
                <w:noProof/>
                <w:webHidden/>
              </w:rPr>
            </w:r>
            <w:r w:rsidR="00955315">
              <w:rPr>
                <w:noProof/>
                <w:webHidden/>
              </w:rPr>
              <w:fldChar w:fldCharType="separate"/>
            </w:r>
            <w:r w:rsidR="0050212E">
              <w:rPr>
                <w:noProof/>
                <w:webHidden/>
              </w:rPr>
              <w:t>4</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1" w:history="1">
            <w:r w:rsidR="0050212E" w:rsidRPr="00233D86">
              <w:rPr>
                <w:rStyle w:val="Hyperlink"/>
                <w:noProof/>
              </w:rPr>
              <w:t>2.1 Introduction</w:t>
            </w:r>
            <w:r w:rsidR="0050212E">
              <w:rPr>
                <w:noProof/>
                <w:webHidden/>
              </w:rPr>
              <w:tab/>
            </w:r>
            <w:r w:rsidR="00955315">
              <w:rPr>
                <w:noProof/>
                <w:webHidden/>
              </w:rPr>
              <w:fldChar w:fldCharType="begin"/>
            </w:r>
            <w:r w:rsidR="0050212E">
              <w:rPr>
                <w:noProof/>
                <w:webHidden/>
              </w:rPr>
              <w:instrText xml:space="preserve"> PAGEREF _Toc524820991 \h </w:instrText>
            </w:r>
            <w:r w:rsidR="00955315">
              <w:rPr>
                <w:noProof/>
                <w:webHidden/>
              </w:rPr>
            </w:r>
            <w:r w:rsidR="00955315">
              <w:rPr>
                <w:noProof/>
                <w:webHidden/>
              </w:rPr>
              <w:fldChar w:fldCharType="separate"/>
            </w:r>
            <w:r w:rsidR="0050212E">
              <w:rPr>
                <w:noProof/>
                <w:webHidden/>
              </w:rPr>
              <w:t>5</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2" w:history="1">
            <w:r w:rsidR="0050212E" w:rsidRPr="00233D86">
              <w:rPr>
                <w:rStyle w:val="Hyperlink"/>
                <w:noProof/>
              </w:rPr>
              <w:t>2.2 History</w:t>
            </w:r>
            <w:r w:rsidR="0050212E">
              <w:rPr>
                <w:noProof/>
                <w:webHidden/>
              </w:rPr>
              <w:tab/>
            </w:r>
            <w:r w:rsidR="00955315">
              <w:rPr>
                <w:noProof/>
                <w:webHidden/>
              </w:rPr>
              <w:fldChar w:fldCharType="begin"/>
            </w:r>
            <w:r w:rsidR="0050212E">
              <w:rPr>
                <w:noProof/>
                <w:webHidden/>
              </w:rPr>
              <w:instrText xml:space="preserve"> PAGEREF _Toc524820992 \h </w:instrText>
            </w:r>
            <w:r w:rsidR="00955315">
              <w:rPr>
                <w:noProof/>
                <w:webHidden/>
              </w:rPr>
            </w:r>
            <w:r w:rsidR="00955315">
              <w:rPr>
                <w:noProof/>
                <w:webHidden/>
              </w:rPr>
              <w:fldChar w:fldCharType="separate"/>
            </w:r>
            <w:r w:rsidR="0050212E">
              <w:rPr>
                <w:noProof/>
                <w:webHidden/>
              </w:rPr>
              <w:t>5</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3" w:history="1">
            <w:r w:rsidR="0050212E" w:rsidRPr="00233D86">
              <w:rPr>
                <w:rStyle w:val="Hyperlink"/>
                <w:noProof/>
              </w:rPr>
              <w:t>2.3 Current Situation</w:t>
            </w:r>
            <w:r w:rsidR="0050212E">
              <w:rPr>
                <w:noProof/>
                <w:webHidden/>
              </w:rPr>
              <w:tab/>
            </w:r>
            <w:r w:rsidR="00955315">
              <w:rPr>
                <w:noProof/>
                <w:webHidden/>
              </w:rPr>
              <w:fldChar w:fldCharType="begin"/>
            </w:r>
            <w:r w:rsidR="0050212E">
              <w:rPr>
                <w:noProof/>
                <w:webHidden/>
              </w:rPr>
              <w:instrText xml:space="preserve"> PAGEREF _Toc524820993 \h </w:instrText>
            </w:r>
            <w:r w:rsidR="00955315">
              <w:rPr>
                <w:noProof/>
                <w:webHidden/>
              </w:rPr>
            </w:r>
            <w:r w:rsidR="00955315">
              <w:rPr>
                <w:noProof/>
                <w:webHidden/>
              </w:rPr>
              <w:fldChar w:fldCharType="separate"/>
            </w:r>
            <w:r w:rsidR="0050212E">
              <w:rPr>
                <w:noProof/>
                <w:webHidden/>
              </w:rPr>
              <w:t>6</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4" w:history="1">
            <w:r w:rsidR="0050212E" w:rsidRPr="00233D86">
              <w:rPr>
                <w:rStyle w:val="Hyperlink"/>
                <w:noProof/>
              </w:rPr>
              <w:t>2.4 CBL at a Glance</w:t>
            </w:r>
            <w:r w:rsidR="0050212E">
              <w:rPr>
                <w:noProof/>
                <w:webHidden/>
              </w:rPr>
              <w:tab/>
            </w:r>
            <w:r w:rsidR="00955315">
              <w:rPr>
                <w:noProof/>
                <w:webHidden/>
              </w:rPr>
              <w:fldChar w:fldCharType="begin"/>
            </w:r>
            <w:r w:rsidR="0050212E">
              <w:rPr>
                <w:noProof/>
                <w:webHidden/>
              </w:rPr>
              <w:instrText xml:space="preserve"> PAGEREF _Toc524820994 \h </w:instrText>
            </w:r>
            <w:r w:rsidR="00955315">
              <w:rPr>
                <w:noProof/>
                <w:webHidden/>
              </w:rPr>
            </w:r>
            <w:r w:rsidR="00955315">
              <w:rPr>
                <w:noProof/>
                <w:webHidden/>
              </w:rPr>
              <w:fldChar w:fldCharType="separate"/>
            </w:r>
            <w:r w:rsidR="0050212E">
              <w:rPr>
                <w:noProof/>
                <w:webHidden/>
              </w:rPr>
              <w:t>7</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5" w:history="1">
            <w:r w:rsidR="0050212E" w:rsidRPr="00233D86">
              <w:rPr>
                <w:rStyle w:val="Hyperlink"/>
                <w:noProof/>
              </w:rPr>
              <w:t>2.5 Objectives and Goals of CBL</w:t>
            </w:r>
            <w:r w:rsidR="0050212E">
              <w:rPr>
                <w:noProof/>
                <w:webHidden/>
              </w:rPr>
              <w:tab/>
            </w:r>
            <w:r w:rsidR="00955315">
              <w:rPr>
                <w:noProof/>
                <w:webHidden/>
              </w:rPr>
              <w:fldChar w:fldCharType="begin"/>
            </w:r>
            <w:r w:rsidR="0050212E">
              <w:rPr>
                <w:noProof/>
                <w:webHidden/>
              </w:rPr>
              <w:instrText xml:space="preserve"> PAGEREF _Toc524820995 \h </w:instrText>
            </w:r>
            <w:r w:rsidR="00955315">
              <w:rPr>
                <w:noProof/>
                <w:webHidden/>
              </w:rPr>
            </w:r>
            <w:r w:rsidR="00955315">
              <w:rPr>
                <w:noProof/>
                <w:webHidden/>
              </w:rPr>
              <w:fldChar w:fldCharType="separate"/>
            </w:r>
            <w:r w:rsidR="0050212E">
              <w:rPr>
                <w:noProof/>
                <w:webHidden/>
              </w:rPr>
              <w:t>7</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6" w:history="1">
            <w:r w:rsidR="0050212E" w:rsidRPr="00233D86">
              <w:rPr>
                <w:rStyle w:val="Hyperlink"/>
                <w:noProof/>
              </w:rPr>
              <w:t>2.6 Vision</w:t>
            </w:r>
            <w:r w:rsidR="0050212E">
              <w:rPr>
                <w:noProof/>
                <w:webHidden/>
              </w:rPr>
              <w:tab/>
            </w:r>
            <w:r w:rsidR="00955315">
              <w:rPr>
                <w:noProof/>
                <w:webHidden/>
              </w:rPr>
              <w:fldChar w:fldCharType="begin"/>
            </w:r>
            <w:r w:rsidR="0050212E">
              <w:rPr>
                <w:noProof/>
                <w:webHidden/>
              </w:rPr>
              <w:instrText xml:space="preserve"> PAGEREF _Toc524820996 \h </w:instrText>
            </w:r>
            <w:r w:rsidR="00955315">
              <w:rPr>
                <w:noProof/>
                <w:webHidden/>
              </w:rPr>
            </w:r>
            <w:r w:rsidR="00955315">
              <w:rPr>
                <w:noProof/>
                <w:webHidden/>
              </w:rPr>
              <w:fldChar w:fldCharType="separate"/>
            </w:r>
            <w:r w:rsidR="0050212E">
              <w:rPr>
                <w:noProof/>
                <w:webHidden/>
              </w:rPr>
              <w:t>8</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7" w:history="1">
            <w:r w:rsidR="0050212E" w:rsidRPr="00233D86">
              <w:rPr>
                <w:rStyle w:val="Hyperlink"/>
                <w:noProof/>
              </w:rPr>
              <w:t>2.7 Mission&amp; Values</w:t>
            </w:r>
            <w:r w:rsidR="0050212E">
              <w:rPr>
                <w:noProof/>
                <w:webHidden/>
              </w:rPr>
              <w:tab/>
            </w:r>
            <w:r w:rsidR="00955315">
              <w:rPr>
                <w:noProof/>
                <w:webHidden/>
              </w:rPr>
              <w:fldChar w:fldCharType="begin"/>
            </w:r>
            <w:r w:rsidR="0050212E">
              <w:rPr>
                <w:noProof/>
                <w:webHidden/>
              </w:rPr>
              <w:instrText xml:space="preserve"> PAGEREF _Toc524820997 \h </w:instrText>
            </w:r>
            <w:r w:rsidR="00955315">
              <w:rPr>
                <w:noProof/>
                <w:webHidden/>
              </w:rPr>
            </w:r>
            <w:r w:rsidR="00955315">
              <w:rPr>
                <w:noProof/>
                <w:webHidden/>
              </w:rPr>
              <w:fldChar w:fldCharType="separate"/>
            </w:r>
            <w:r w:rsidR="0050212E">
              <w:rPr>
                <w:noProof/>
                <w:webHidden/>
              </w:rPr>
              <w:t>8</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8" w:history="1">
            <w:r w:rsidR="0050212E" w:rsidRPr="00233D86">
              <w:rPr>
                <w:rStyle w:val="Hyperlink"/>
                <w:noProof/>
              </w:rPr>
              <w:t>2.8 Logo</w:t>
            </w:r>
            <w:r w:rsidR="0050212E">
              <w:rPr>
                <w:noProof/>
                <w:webHidden/>
              </w:rPr>
              <w:tab/>
            </w:r>
            <w:r w:rsidR="00955315">
              <w:rPr>
                <w:noProof/>
                <w:webHidden/>
              </w:rPr>
              <w:fldChar w:fldCharType="begin"/>
            </w:r>
            <w:r w:rsidR="0050212E">
              <w:rPr>
                <w:noProof/>
                <w:webHidden/>
              </w:rPr>
              <w:instrText xml:space="preserve"> PAGEREF _Toc524820998 \h </w:instrText>
            </w:r>
            <w:r w:rsidR="00955315">
              <w:rPr>
                <w:noProof/>
                <w:webHidden/>
              </w:rPr>
            </w:r>
            <w:r w:rsidR="00955315">
              <w:rPr>
                <w:noProof/>
                <w:webHidden/>
              </w:rPr>
              <w:fldChar w:fldCharType="separate"/>
            </w:r>
            <w:r w:rsidR="0050212E">
              <w:rPr>
                <w:noProof/>
                <w:webHidden/>
              </w:rPr>
              <w:t>9</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0999" w:history="1">
            <w:r w:rsidR="0050212E" w:rsidRPr="00233D86">
              <w:rPr>
                <w:rStyle w:val="Hyperlink"/>
                <w:noProof/>
              </w:rPr>
              <w:t>2.9 Services of CBL</w:t>
            </w:r>
            <w:r w:rsidR="0050212E">
              <w:rPr>
                <w:noProof/>
                <w:webHidden/>
              </w:rPr>
              <w:tab/>
            </w:r>
            <w:r w:rsidR="00955315">
              <w:rPr>
                <w:noProof/>
                <w:webHidden/>
              </w:rPr>
              <w:fldChar w:fldCharType="begin"/>
            </w:r>
            <w:r w:rsidR="0050212E">
              <w:rPr>
                <w:noProof/>
                <w:webHidden/>
              </w:rPr>
              <w:instrText xml:space="preserve"> PAGEREF _Toc524820999 \h </w:instrText>
            </w:r>
            <w:r w:rsidR="00955315">
              <w:rPr>
                <w:noProof/>
                <w:webHidden/>
              </w:rPr>
            </w:r>
            <w:r w:rsidR="00955315">
              <w:rPr>
                <w:noProof/>
                <w:webHidden/>
              </w:rPr>
              <w:fldChar w:fldCharType="separate"/>
            </w:r>
            <w:r w:rsidR="0050212E">
              <w:rPr>
                <w:noProof/>
                <w:webHidden/>
              </w:rPr>
              <w:t>9</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00" w:history="1">
            <w:r w:rsidR="0050212E" w:rsidRPr="00233D86">
              <w:rPr>
                <w:rStyle w:val="Hyperlink"/>
                <w:noProof/>
              </w:rPr>
              <w:t>2.10 Product of CBL</w:t>
            </w:r>
            <w:r w:rsidR="0050212E">
              <w:rPr>
                <w:noProof/>
                <w:webHidden/>
              </w:rPr>
              <w:tab/>
            </w:r>
            <w:r w:rsidR="00955315">
              <w:rPr>
                <w:noProof/>
                <w:webHidden/>
              </w:rPr>
              <w:fldChar w:fldCharType="begin"/>
            </w:r>
            <w:r w:rsidR="0050212E">
              <w:rPr>
                <w:noProof/>
                <w:webHidden/>
              </w:rPr>
              <w:instrText xml:space="preserve"> PAGEREF _Toc524821000 \h </w:instrText>
            </w:r>
            <w:r w:rsidR="00955315">
              <w:rPr>
                <w:noProof/>
                <w:webHidden/>
              </w:rPr>
            </w:r>
            <w:r w:rsidR="00955315">
              <w:rPr>
                <w:noProof/>
                <w:webHidden/>
              </w:rPr>
              <w:fldChar w:fldCharType="separate"/>
            </w:r>
            <w:r w:rsidR="0050212E">
              <w:rPr>
                <w:noProof/>
                <w:webHidden/>
              </w:rPr>
              <w:t>10</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1" w:history="1">
            <w:r w:rsidR="0050212E" w:rsidRPr="00233D86">
              <w:rPr>
                <w:rStyle w:val="Hyperlink"/>
                <w:noProof/>
              </w:rPr>
              <w:t>Credit Cards</w:t>
            </w:r>
            <w:r w:rsidR="0050212E">
              <w:rPr>
                <w:noProof/>
                <w:webHidden/>
              </w:rPr>
              <w:tab/>
            </w:r>
            <w:r w:rsidR="00955315">
              <w:rPr>
                <w:noProof/>
                <w:webHidden/>
              </w:rPr>
              <w:fldChar w:fldCharType="begin"/>
            </w:r>
            <w:r w:rsidR="0050212E">
              <w:rPr>
                <w:noProof/>
                <w:webHidden/>
              </w:rPr>
              <w:instrText xml:space="preserve"> PAGEREF _Toc524821001 \h </w:instrText>
            </w:r>
            <w:r w:rsidR="00955315">
              <w:rPr>
                <w:noProof/>
                <w:webHidden/>
              </w:rPr>
            </w:r>
            <w:r w:rsidR="00955315">
              <w:rPr>
                <w:noProof/>
                <w:webHidden/>
              </w:rPr>
              <w:fldChar w:fldCharType="separate"/>
            </w:r>
            <w:r w:rsidR="0050212E">
              <w:rPr>
                <w:noProof/>
                <w:webHidden/>
              </w:rPr>
              <w:t>10</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2" w:history="1">
            <w:r w:rsidR="0050212E" w:rsidRPr="00233D86">
              <w:rPr>
                <w:rStyle w:val="Hyperlink"/>
                <w:noProof/>
              </w:rPr>
              <w:t>Debit Cards or ATM Cards</w:t>
            </w:r>
            <w:r w:rsidR="0050212E">
              <w:rPr>
                <w:noProof/>
                <w:webHidden/>
              </w:rPr>
              <w:tab/>
            </w:r>
            <w:r w:rsidR="00955315">
              <w:rPr>
                <w:noProof/>
                <w:webHidden/>
              </w:rPr>
              <w:fldChar w:fldCharType="begin"/>
            </w:r>
            <w:r w:rsidR="0050212E">
              <w:rPr>
                <w:noProof/>
                <w:webHidden/>
              </w:rPr>
              <w:instrText xml:space="preserve"> PAGEREF _Toc524821002 \h </w:instrText>
            </w:r>
            <w:r w:rsidR="00955315">
              <w:rPr>
                <w:noProof/>
                <w:webHidden/>
              </w:rPr>
            </w:r>
            <w:r w:rsidR="00955315">
              <w:rPr>
                <w:noProof/>
                <w:webHidden/>
              </w:rPr>
              <w:fldChar w:fldCharType="separate"/>
            </w:r>
            <w:r w:rsidR="0050212E">
              <w:rPr>
                <w:noProof/>
                <w:webHidden/>
              </w:rPr>
              <w:t>10</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3" w:history="1">
            <w:r w:rsidR="0050212E" w:rsidRPr="00233D86">
              <w:rPr>
                <w:rStyle w:val="Hyperlink"/>
                <w:noProof/>
              </w:rPr>
              <w:t>Special Cards</w:t>
            </w:r>
            <w:r w:rsidR="0050212E">
              <w:rPr>
                <w:noProof/>
                <w:webHidden/>
              </w:rPr>
              <w:tab/>
            </w:r>
            <w:r w:rsidR="00955315">
              <w:rPr>
                <w:noProof/>
                <w:webHidden/>
              </w:rPr>
              <w:fldChar w:fldCharType="begin"/>
            </w:r>
            <w:r w:rsidR="0050212E">
              <w:rPr>
                <w:noProof/>
                <w:webHidden/>
              </w:rPr>
              <w:instrText xml:space="preserve"> PAGEREF _Toc524821003 \h </w:instrText>
            </w:r>
            <w:r w:rsidR="00955315">
              <w:rPr>
                <w:noProof/>
                <w:webHidden/>
              </w:rPr>
            </w:r>
            <w:r w:rsidR="00955315">
              <w:rPr>
                <w:noProof/>
                <w:webHidden/>
              </w:rPr>
              <w:fldChar w:fldCharType="separate"/>
            </w:r>
            <w:r w:rsidR="0050212E">
              <w:rPr>
                <w:noProof/>
                <w:webHidden/>
              </w:rPr>
              <w:t>11</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4" w:history="1">
            <w:r w:rsidR="0050212E" w:rsidRPr="00233D86">
              <w:rPr>
                <w:rStyle w:val="Hyperlink"/>
                <w:noProof/>
              </w:rPr>
              <w:t>Retail Banking Service</w:t>
            </w:r>
            <w:r w:rsidR="0050212E">
              <w:rPr>
                <w:noProof/>
                <w:webHidden/>
              </w:rPr>
              <w:tab/>
            </w:r>
            <w:r w:rsidR="00955315">
              <w:rPr>
                <w:noProof/>
                <w:webHidden/>
              </w:rPr>
              <w:fldChar w:fldCharType="begin"/>
            </w:r>
            <w:r w:rsidR="0050212E">
              <w:rPr>
                <w:noProof/>
                <w:webHidden/>
              </w:rPr>
              <w:instrText xml:space="preserve"> PAGEREF _Toc524821004 \h </w:instrText>
            </w:r>
            <w:r w:rsidR="00955315">
              <w:rPr>
                <w:noProof/>
                <w:webHidden/>
              </w:rPr>
            </w:r>
            <w:r w:rsidR="00955315">
              <w:rPr>
                <w:noProof/>
                <w:webHidden/>
              </w:rPr>
              <w:fldChar w:fldCharType="separate"/>
            </w:r>
            <w:r w:rsidR="0050212E">
              <w:rPr>
                <w:noProof/>
                <w:webHidden/>
              </w:rPr>
              <w:t>11</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5" w:history="1">
            <w:r w:rsidR="0050212E" w:rsidRPr="00233D86">
              <w:rPr>
                <w:rStyle w:val="Hyperlink"/>
                <w:noProof/>
              </w:rPr>
              <w:t>SME Banking Service</w:t>
            </w:r>
            <w:r w:rsidR="0050212E">
              <w:rPr>
                <w:noProof/>
                <w:webHidden/>
              </w:rPr>
              <w:tab/>
            </w:r>
            <w:r w:rsidR="00955315">
              <w:rPr>
                <w:noProof/>
                <w:webHidden/>
              </w:rPr>
              <w:fldChar w:fldCharType="begin"/>
            </w:r>
            <w:r w:rsidR="0050212E">
              <w:rPr>
                <w:noProof/>
                <w:webHidden/>
              </w:rPr>
              <w:instrText xml:space="preserve"> PAGEREF _Toc524821005 \h </w:instrText>
            </w:r>
            <w:r w:rsidR="00955315">
              <w:rPr>
                <w:noProof/>
                <w:webHidden/>
              </w:rPr>
            </w:r>
            <w:r w:rsidR="00955315">
              <w:rPr>
                <w:noProof/>
                <w:webHidden/>
              </w:rPr>
              <w:fldChar w:fldCharType="separate"/>
            </w:r>
            <w:r w:rsidR="0050212E">
              <w:rPr>
                <w:noProof/>
                <w:webHidden/>
              </w:rPr>
              <w:t>11</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6" w:history="1">
            <w:r w:rsidR="0050212E" w:rsidRPr="00233D86">
              <w:rPr>
                <w:rStyle w:val="Hyperlink"/>
                <w:noProof/>
              </w:rPr>
              <w:t>Wholesale Banking Service</w:t>
            </w:r>
            <w:r w:rsidR="0050212E">
              <w:rPr>
                <w:noProof/>
                <w:webHidden/>
              </w:rPr>
              <w:tab/>
            </w:r>
            <w:r w:rsidR="00955315">
              <w:rPr>
                <w:noProof/>
                <w:webHidden/>
              </w:rPr>
              <w:fldChar w:fldCharType="begin"/>
            </w:r>
            <w:r w:rsidR="0050212E">
              <w:rPr>
                <w:noProof/>
                <w:webHidden/>
              </w:rPr>
              <w:instrText xml:space="preserve"> PAGEREF _Toc524821006 \h </w:instrText>
            </w:r>
            <w:r w:rsidR="00955315">
              <w:rPr>
                <w:noProof/>
                <w:webHidden/>
              </w:rPr>
            </w:r>
            <w:r w:rsidR="00955315">
              <w:rPr>
                <w:noProof/>
                <w:webHidden/>
              </w:rPr>
              <w:fldChar w:fldCharType="separate"/>
            </w:r>
            <w:r w:rsidR="0050212E">
              <w:rPr>
                <w:noProof/>
                <w:webHidden/>
              </w:rPr>
              <w:t>11</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07" w:history="1">
            <w:r w:rsidR="0050212E" w:rsidRPr="00233D86">
              <w:rPr>
                <w:rStyle w:val="Hyperlink"/>
                <w:noProof/>
              </w:rPr>
              <w:t>CBL Subsidiaries</w:t>
            </w:r>
            <w:r w:rsidR="0050212E">
              <w:rPr>
                <w:noProof/>
                <w:webHidden/>
              </w:rPr>
              <w:tab/>
            </w:r>
            <w:r w:rsidR="00955315">
              <w:rPr>
                <w:noProof/>
                <w:webHidden/>
              </w:rPr>
              <w:fldChar w:fldCharType="begin"/>
            </w:r>
            <w:r w:rsidR="0050212E">
              <w:rPr>
                <w:noProof/>
                <w:webHidden/>
              </w:rPr>
              <w:instrText xml:space="preserve"> PAGEREF _Toc524821007 \h </w:instrText>
            </w:r>
            <w:r w:rsidR="00955315">
              <w:rPr>
                <w:noProof/>
                <w:webHidden/>
              </w:rPr>
            </w:r>
            <w:r w:rsidR="00955315">
              <w:rPr>
                <w:noProof/>
                <w:webHidden/>
              </w:rPr>
              <w:fldChar w:fldCharType="separate"/>
            </w:r>
            <w:r w:rsidR="0050212E">
              <w:rPr>
                <w:noProof/>
                <w:webHidden/>
              </w:rPr>
              <w:t>11</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1008" w:history="1">
            <w:r w:rsidR="0050212E" w:rsidRPr="003C4CCB">
              <w:rPr>
                <w:rStyle w:val="Hyperlink"/>
                <w:rFonts w:eastAsia="Calibri"/>
                <w:noProof/>
              </w:rPr>
              <w:t>Chapter 3: Internship Experience</w:t>
            </w:r>
            <w:r w:rsidR="0050212E">
              <w:rPr>
                <w:noProof/>
                <w:webHidden/>
              </w:rPr>
              <w:tab/>
            </w:r>
            <w:r w:rsidR="00955315">
              <w:rPr>
                <w:noProof/>
                <w:webHidden/>
              </w:rPr>
              <w:fldChar w:fldCharType="begin"/>
            </w:r>
            <w:r w:rsidR="0050212E">
              <w:rPr>
                <w:noProof/>
                <w:webHidden/>
              </w:rPr>
              <w:instrText xml:space="preserve"> PAGEREF _Toc524821008 \h </w:instrText>
            </w:r>
            <w:r w:rsidR="00955315">
              <w:rPr>
                <w:noProof/>
                <w:webHidden/>
              </w:rPr>
            </w:r>
            <w:r w:rsidR="00955315">
              <w:rPr>
                <w:noProof/>
                <w:webHidden/>
              </w:rPr>
              <w:fldChar w:fldCharType="separate"/>
            </w:r>
            <w:r w:rsidR="0050212E">
              <w:rPr>
                <w:noProof/>
                <w:webHidden/>
              </w:rPr>
              <w:t>12</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09" w:history="1">
            <w:r w:rsidR="0050212E" w:rsidRPr="00233D86">
              <w:rPr>
                <w:rStyle w:val="Hyperlink"/>
                <w:noProof/>
              </w:rPr>
              <w:t>3.1 Introduction</w:t>
            </w:r>
            <w:r w:rsidR="0050212E">
              <w:rPr>
                <w:noProof/>
                <w:webHidden/>
              </w:rPr>
              <w:tab/>
            </w:r>
            <w:r w:rsidR="00955315">
              <w:rPr>
                <w:noProof/>
                <w:webHidden/>
              </w:rPr>
              <w:fldChar w:fldCharType="begin"/>
            </w:r>
            <w:r w:rsidR="0050212E">
              <w:rPr>
                <w:noProof/>
                <w:webHidden/>
              </w:rPr>
              <w:instrText xml:space="preserve"> PAGEREF _Toc524821009 \h </w:instrText>
            </w:r>
            <w:r w:rsidR="00955315">
              <w:rPr>
                <w:noProof/>
                <w:webHidden/>
              </w:rPr>
            </w:r>
            <w:r w:rsidR="00955315">
              <w:rPr>
                <w:noProof/>
                <w:webHidden/>
              </w:rPr>
              <w:fldChar w:fldCharType="separate"/>
            </w:r>
            <w:r w:rsidR="0050212E">
              <w:rPr>
                <w:noProof/>
                <w:webHidden/>
              </w:rPr>
              <w:t>13</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10" w:history="1">
            <w:r w:rsidR="0050212E" w:rsidRPr="00233D86">
              <w:rPr>
                <w:rStyle w:val="Hyperlink"/>
                <w:noProof/>
              </w:rPr>
              <w:t>3.2 Job Description</w:t>
            </w:r>
            <w:r w:rsidR="0050212E">
              <w:rPr>
                <w:noProof/>
                <w:webHidden/>
              </w:rPr>
              <w:tab/>
            </w:r>
            <w:r w:rsidR="00955315">
              <w:rPr>
                <w:noProof/>
                <w:webHidden/>
              </w:rPr>
              <w:fldChar w:fldCharType="begin"/>
            </w:r>
            <w:r w:rsidR="0050212E">
              <w:rPr>
                <w:noProof/>
                <w:webHidden/>
              </w:rPr>
              <w:instrText xml:space="preserve"> PAGEREF _Toc524821010 \h </w:instrText>
            </w:r>
            <w:r w:rsidR="00955315">
              <w:rPr>
                <w:noProof/>
                <w:webHidden/>
              </w:rPr>
            </w:r>
            <w:r w:rsidR="00955315">
              <w:rPr>
                <w:noProof/>
                <w:webHidden/>
              </w:rPr>
              <w:fldChar w:fldCharType="separate"/>
            </w:r>
            <w:r w:rsidR="0050212E">
              <w:rPr>
                <w:noProof/>
                <w:webHidden/>
              </w:rPr>
              <w:t>13</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11" w:history="1">
            <w:r w:rsidR="0050212E" w:rsidRPr="00233D86">
              <w:rPr>
                <w:rStyle w:val="Hyperlink"/>
                <w:noProof/>
              </w:rPr>
              <w:t>Account Opening Form Fill Up</w:t>
            </w:r>
            <w:r w:rsidR="0050212E">
              <w:rPr>
                <w:noProof/>
                <w:webHidden/>
              </w:rPr>
              <w:tab/>
            </w:r>
            <w:r w:rsidR="00955315">
              <w:rPr>
                <w:noProof/>
                <w:webHidden/>
              </w:rPr>
              <w:fldChar w:fldCharType="begin"/>
            </w:r>
            <w:r w:rsidR="0050212E">
              <w:rPr>
                <w:noProof/>
                <w:webHidden/>
              </w:rPr>
              <w:instrText xml:space="preserve"> PAGEREF _Toc524821011 \h </w:instrText>
            </w:r>
            <w:r w:rsidR="00955315">
              <w:rPr>
                <w:noProof/>
                <w:webHidden/>
              </w:rPr>
            </w:r>
            <w:r w:rsidR="00955315">
              <w:rPr>
                <w:noProof/>
                <w:webHidden/>
              </w:rPr>
              <w:fldChar w:fldCharType="separate"/>
            </w:r>
            <w:r w:rsidR="0050212E">
              <w:rPr>
                <w:noProof/>
                <w:webHidden/>
              </w:rPr>
              <w:t>13</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12" w:history="1">
            <w:r w:rsidR="0050212E" w:rsidRPr="00233D86">
              <w:rPr>
                <w:rStyle w:val="Hyperlink"/>
                <w:noProof/>
              </w:rPr>
              <w:t>Destruction</w:t>
            </w:r>
            <w:r w:rsidR="0050212E">
              <w:rPr>
                <w:noProof/>
                <w:webHidden/>
              </w:rPr>
              <w:tab/>
            </w:r>
            <w:r w:rsidR="00955315">
              <w:rPr>
                <w:noProof/>
                <w:webHidden/>
              </w:rPr>
              <w:fldChar w:fldCharType="begin"/>
            </w:r>
            <w:r w:rsidR="0050212E">
              <w:rPr>
                <w:noProof/>
                <w:webHidden/>
              </w:rPr>
              <w:instrText xml:space="preserve"> PAGEREF _Toc524821012 \h </w:instrText>
            </w:r>
            <w:r w:rsidR="00955315">
              <w:rPr>
                <w:noProof/>
                <w:webHidden/>
              </w:rPr>
            </w:r>
            <w:r w:rsidR="00955315">
              <w:rPr>
                <w:noProof/>
                <w:webHidden/>
              </w:rPr>
              <w:fldChar w:fldCharType="separate"/>
            </w:r>
            <w:r w:rsidR="0050212E">
              <w:rPr>
                <w:noProof/>
                <w:webHidden/>
              </w:rPr>
              <w:t>13</w:t>
            </w:r>
            <w:r w:rsidR="00955315">
              <w:rPr>
                <w:noProof/>
                <w:webHidden/>
              </w:rPr>
              <w:fldChar w:fldCharType="end"/>
            </w:r>
          </w:hyperlink>
        </w:p>
        <w:p w:rsidR="0050212E" w:rsidRDefault="00A765F7">
          <w:pPr>
            <w:pStyle w:val="TOC6"/>
            <w:tabs>
              <w:tab w:val="right" w:leader="dot" w:pos="9209"/>
            </w:tabs>
            <w:rPr>
              <w:noProof/>
            </w:rPr>
          </w:pPr>
          <w:hyperlink w:anchor="_Toc524821013" w:history="1">
            <w:r w:rsidR="0050212E" w:rsidRPr="00233D86">
              <w:rPr>
                <w:rStyle w:val="Hyperlink"/>
                <w:noProof/>
              </w:rPr>
              <w:t>Dormant Account and Activation Process of Dormant Account</w:t>
            </w:r>
            <w:r w:rsidR="0050212E">
              <w:rPr>
                <w:noProof/>
                <w:webHidden/>
              </w:rPr>
              <w:tab/>
            </w:r>
            <w:r w:rsidR="00955315">
              <w:rPr>
                <w:noProof/>
                <w:webHidden/>
              </w:rPr>
              <w:fldChar w:fldCharType="begin"/>
            </w:r>
            <w:r w:rsidR="0050212E">
              <w:rPr>
                <w:noProof/>
                <w:webHidden/>
              </w:rPr>
              <w:instrText xml:space="preserve"> PAGEREF _Toc524821013 \h </w:instrText>
            </w:r>
            <w:r w:rsidR="00955315">
              <w:rPr>
                <w:noProof/>
                <w:webHidden/>
              </w:rPr>
            </w:r>
            <w:r w:rsidR="00955315">
              <w:rPr>
                <w:noProof/>
                <w:webHidden/>
              </w:rPr>
              <w:fldChar w:fldCharType="separate"/>
            </w:r>
            <w:r w:rsidR="0050212E">
              <w:rPr>
                <w:noProof/>
                <w:webHidden/>
              </w:rPr>
              <w:t>13</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14" w:history="1">
            <w:r w:rsidR="0050212E" w:rsidRPr="00233D86">
              <w:rPr>
                <w:rStyle w:val="Hyperlink"/>
                <w:noProof/>
              </w:rPr>
              <w:t>Nominee, Signature or Address Change of Existing Account</w:t>
            </w:r>
            <w:r w:rsidR="0050212E">
              <w:rPr>
                <w:noProof/>
                <w:webHidden/>
              </w:rPr>
              <w:tab/>
            </w:r>
            <w:r w:rsidR="00955315">
              <w:rPr>
                <w:noProof/>
                <w:webHidden/>
              </w:rPr>
              <w:fldChar w:fldCharType="begin"/>
            </w:r>
            <w:r w:rsidR="0050212E">
              <w:rPr>
                <w:noProof/>
                <w:webHidden/>
              </w:rPr>
              <w:instrText xml:space="preserve"> PAGEREF _Toc524821014 \h </w:instrText>
            </w:r>
            <w:r w:rsidR="00955315">
              <w:rPr>
                <w:noProof/>
                <w:webHidden/>
              </w:rPr>
            </w:r>
            <w:r w:rsidR="00955315">
              <w:rPr>
                <w:noProof/>
                <w:webHidden/>
              </w:rPr>
              <w:fldChar w:fldCharType="separate"/>
            </w:r>
            <w:r w:rsidR="0050212E">
              <w:rPr>
                <w:noProof/>
                <w:webHidden/>
              </w:rPr>
              <w:t>14</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15" w:history="1">
            <w:r w:rsidR="0050212E" w:rsidRPr="00233D86">
              <w:rPr>
                <w:rStyle w:val="Hyperlink"/>
                <w:noProof/>
              </w:rPr>
              <w:t>Account Closure</w:t>
            </w:r>
            <w:r w:rsidR="0050212E">
              <w:rPr>
                <w:noProof/>
                <w:webHidden/>
              </w:rPr>
              <w:tab/>
            </w:r>
            <w:r w:rsidR="00955315">
              <w:rPr>
                <w:noProof/>
                <w:webHidden/>
              </w:rPr>
              <w:fldChar w:fldCharType="begin"/>
            </w:r>
            <w:r w:rsidR="0050212E">
              <w:rPr>
                <w:noProof/>
                <w:webHidden/>
              </w:rPr>
              <w:instrText xml:space="preserve"> PAGEREF _Toc524821015 \h </w:instrText>
            </w:r>
            <w:r w:rsidR="00955315">
              <w:rPr>
                <w:noProof/>
                <w:webHidden/>
              </w:rPr>
            </w:r>
            <w:r w:rsidR="00955315">
              <w:rPr>
                <w:noProof/>
                <w:webHidden/>
              </w:rPr>
              <w:fldChar w:fldCharType="separate"/>
            </w:r>
            <w:r w:rsidR="0050212E">
              <w:rPr>
                <w:noProof/>
                <w:webHidden/>
              </w:rPr>
              <w:t>14</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16" w:history="1">
            <w:r w:rsidR="0050212E" w:rsidRPr="00233D86">
              <w:rPr>
                <w:rStyle w:val="Hyperlink"/>
                <w:noProof/>
              </w:rPr>
              <w:t>3.3 Learning Outcome from this Internship Experience</w:t>
            </w:r>
            <w:r w:rsidR="0050212E">
              <w:rPr>
                <w:noProof/>
                <w:webHidden/>
              </w:rPr>
              <w:tab/>
            </w:r>
            <w:r w:rsidR="00955315">
              <w:rPr>
                <w:noProof/>
                <w:webHidden/>
              </w:rPr>
              <w:fldChar w:fldCharType="begin"/>
            </w:r>
            <w:r w:rsidR="0050212E">
              <w:rPr>
                <w:noProof/>
                <w:webHidden/>
              </w:rPr>
              <w:instrText xml:space="preserve"> PAGEREF _Toc524821016 \h </w:instrText>
            </w:r>
            <w:r w:rsidR="00955315">
              <w:rPr>
                <w:noProof/>
                <w:webHidden/>
              </w:rPr>
            </w:r>
            <w:r w:rsidR="00955315">
              <w:rPr>
                <w:noProof/>
                <w:webHidden/>
              </w:rPr>
              <w:fldChar w:fldCharType="separate"/>
            </w:r>
            <w:r w:rsidR="0050212E">
              <w:rPr>
                <w:noProof/>
                <w:webHidden/>
              </w:rPr>
              <w:t>14</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1017" w:history="1">
            <w:r w:rsidR="0050212E" w:rsidRPr="003C4CCB">
              <w:rPr>
                <w:rStyle w:val="Hyperlink"/>
                <w:rFonts w:eastAsia="Calibri"/>
                <w:noProof/>
              </w:rPr>
              <w:t>Chapter 4: Analysis and Compliance</w:t>
            </w:r>
            <w:r w:rsidR="0050212E">
              <w:rPr>
                <w:noProof/>
                <w:webHidden/>
              </w:rPr>
              <w:tab/>
            </w:r>
            <w:r w:rsidR="00955315">
              <w:rPr>
                <w:noProof/>
                <w:webHidden/>
              </w:rPr>
              <w:fldChar w:fldCharType="begin"/>
            </w:r>
            <w:r w:rsidR="0050212E">
              <w:rPr>
                <w:noProof/>
                <w:webHidden/>
              </w:rPr>
              <w:instrText xml:space="preserve"> PAGEREF _Toc524821017 \h </w:instrText>
            </w:r>
            <w:r w:rsidR="00955315">
              <w:rPr>
                <w:noProof/>
                <w:webHidden/>
              </w:rPr>
            </w:r>
            <w:r w:rsidR="00955315">
              <w:rPr>
                <w:noProof/>
                <w:webHidden/>
              </w:rPr>
              <w:fldChar w:fldCharType="separate"/>
            </w:r>
            <w:r w:rsidR="0050212E">
              <w:rPr>
                <w:noProof/>
                <w:webHidden/>
              </w:rPr>
              <w:t>15</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18" w:history="1">
            <w:r w:rsidR="0050212E" w:rsidRPr="00233D86">
              <w:rPr>
                <w:rStyle w:val="Hyperlink"/>
                <w:noProof/>
              </w:rPr>
              <w:t>4.1 Analysis as per Classification</w:t>
            </w:r>
            <w:r w:rsidR="0050212E">
              <w:rPr>
                <w:noProof/>
                <w:webHidden/>
              </w:rPr>
              <w:tab/>
            </w:r>
            <w:r w:rsidR="00955315">
              <w:rPr>
                <w:noProof/>
                <w:webHidden/>
              </w:rPr>
              <w:fldChar w:fldCharType="begin"/>
            </w:r>
            <w:r w:rsidR="0050212E">
              <w:rPr>
                <w:noProof/>
                <w:webHidden/>
              </w:rPr>
              <w:instrText xml:space="preserve"> PAGEREF _Toc524821018 \h </w:instrText>
            </w:r>
            <w:r w:rsidR="00955315">
              <w:rPr>
                <w:noProof/>
                <w:webHidden/>
              </w:rPr>
            </w:r>
            <w:r w:rsidR="00955315">
              <w:rPr>
                <w:noProof/>
                <w:webHidden/>
              </w:rPr>
              <w:fldChar w:fldCharType="separate"/>
            </w:r>
            <w:r w:rsidR="0050212E">
              <w:rPr>
                <w:noProof/>
                <w:webHidden/>
              </w:rPr>
              <w:t>16</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19" w:history="1">
            <w:r w:rsidR="0050212E" w:rsidRPr="00233D86">
              <w:rPr>
                <w:rStyle w:val="Hyperlink"/>
                <w:noProof/>
              </w:rPr>
              <w:t>4.1.1 Investment Classified as per Bangladesh Bank Circular</w:t>
            </w:r>
            <w:r w:rsidR="0050212E">
              <w:rPr>
                <w:noProof/>
                <w:webHidden/>
              </w:rPr>
              <w:tab/>
            </w:r>
            <w:r w:rsidR="00955315">
              <w:rPr>
                <w:noProof/>
                <w:webHidden/>
              </w:rPr>
              <w:fldChar w:fldCharType="begin"/>
            </w:r>
            <w:r w:rsidR="0050212E">
              <w:rPr>
                <w:noProof/>
                <w:webHidden/>
              </w:rPr>
              <w:instrText xml:space="preserve"> PAGEREF _Toc524821019 \h </w:instrText>
            </w:r>
            <w:r w:rsidR="00955315">
              <w:rPr>
                <w:noProof/>
                <w:webHidden/>
              </w:rPr>
            </w:r>
            <w:r w:rsidR="00955315">
              <w:rPr>
                <w:noProof/>
                <w:webHidden/>
              </w:rPr>
              <w:fldChar w:fldCharType="separate"/>
            </w:r>
            <w:r w:rsidR="0050212E">
              <w:rPr>
                <w:noProof/>
                <w:webHidden/>
              </w:rPr>
              <w:t>16</w:t>
            </w:r>
            <w:r w:rsidR="00955315">
              <w:rPr>
                <w:noProof/>
                <w:webHidden/>
              </w:rPr>
              <w:fldChar w:fldCharType="end"/>
            </w:r>
          </w:hyperlink>
        </w:p>
        <w:p w:rsidR="0050212E" w:rsidRDefault="00A765F7">
          <w:pPr>
            <w:pStyle w:val="TOC4"/>
            <w:tabs>
              <w:tab w:val="right" w:leader="dot" w:pos="9209"/>
            </w:tabs>
            <w:rPr>
              <w:noProof/>
            </w:rPr>
          </w:pPr>
          <w:hyperlink w:anchor="_Toc524821020" w:history="1">
            <w:r w:rsidR="0050212E" w:rsidRPr="00233D86">
              <w:rPr>
                <w:rStyle w:val="Hyperlink"/>
                <w:noProof/>
              </w:rPr>
              <w:t>4.1.1.1 Investment in Held for Trading (HFT)</w:t>
            </w:r>
            <w:r w:rsidR="0050212E">
              <w:rPr>
                <w:noProof/>
                <w:webHidden/>
              </w:rPr>
              <w:tab/>
            </w:r>
            <w:r w:rsidR="00955315">
              <w:rPr>
                <w:noProof/>
                <w:webHidden/>
              </w:rPr>
              <w:fldChar w:fldCharType="begin"/>
            </w:r>
            <w:r w:rsidR="0050212E">
              <w:rPr>
                <w:noProof/>
                <w:webHidden/>
              </w:rPr>
              <w:instrText xml:space="preserve"> PAGEREF _Toc524821020 \h </w:instrText>
            </w:r>
            <w:r w:rsidR="00955315">
              <w:rPr>
                <w:noProof/>
                <w:webHidden/>
              </w:rPr>
            </w:r>
            <w:r w:rsidR="00955315">
              <w:rPr>
                <w:noProof/>
                <w:webHidden/>
              </w:rPr>
              <w:fldChar w:fldCharType="separate"/>
            </w:r>
            <w:r w:rsidR="0050212E">
              <w:rPr>
                <w:noProof/>
                <w:webHidden/>
              </w:rPr>
              <w:t>16</w:t>
            </w:r>
            <w:r w:rsidR="00955315">
              <w:rPr>
                <w:noProof/>
                <w:webHidden/>
              </w:rPr>
              <w:fldChar w:fldCharType="end"/>
            </w:r>
          </w:hyperlink>
        </w:p>
        <w:p w:rsidR="0050212E" w:rsidRDefault="00A765F7">
          <w:pPr>
            <w:pStyle w:val="TOC4"/>
            <w:tabs>
              <w:tab w:val="right" w:leader="dot" w:pos="9209"/>
            </w:tabs>
            <w:rPr>
              <w:noProof/>
            </w:rPr>
          </w:pPr>
          <w:hyperlink w:anchor="_Toc524821021" w:history="1">
            <w:r w:rsidR="0050212E" w:rsidRPr="00233D86">
              <w:rPr>
                <w:rStyle w:val="Hyperlink"/>
                <w:noProof/>
              </w:rPr>
              <w:t>4.1.1.2 Investment in Held to Maturity (HTM)</w:t>
            </w:r>
            <w:r w:rsidR="0050212E">
              <w:rPr>
                <w:noProof/>
                <w:webHidden/>
              </w:rPr>
              <w:tab/>
            </w:r>
            <w:r w:rsidR="00955315">
              <w:rPr>
                <w:noProof/>
                <w:webHidden/>
              </w:rPr>
              <w:fldChar w:fldCharType="begin"/>
            </w:r>
            <w:r w:rsidR="0050212E">
              <w:rPr>
                <w:noProof/>
                <w:webHidden/>
              </w:rPr>
              <w:instrText xml:space="preserve"> PAGEREF _Toc524821021 \h </w:instrText>
            </w:r>
            <w:r w:rsidR="00955315">
              <w:rPr>
                <w:noProof/>
                <w:webHidden/>
              </w:rPr>
            </w:r>
            <w:r w:rsidR="00955315">
              <w:rPr>
                <w:noProof/>
                <w:webHidden/>
              </w:rPr>
              <w:fldChar w:fldCharType="separate"/>
            </w:r>
            <w:r w:rsidR="0050212E">
              <w:rPr>
                <w:noProof/>
                <w:webHidden/>
              </w:rPr>
              <w:t>16</w:t>
            </w:r>
            <w:r w:rsidR="00955315">
              <w:rPr>
                <w:noProof/>
                <w:webHidden/>
              </w:rPr>
              <w:fldChar w:fldCharType="end"/>
            </w:r>
          </w:hyperlink>
        </w:p>
        <w:p w:rsidR="0050212E" w:rsidRDefault="00A765F7">
          <w:pPr>
            <w:pStyle w:val="TOC4"/>
            <w:tabs>
              <w:tab w:val="right" w:leader="dot" w:pos="9209"/>
            </w:tabs>
            <w:rPr>
              <w:noProof/>
            </w:rPr>
          </w:pPr>
          <w:hyperlink w:anchor="_Toc524821022" w:history="1">
            <w:r w:rsidR="0050212E" w:rsidRPr="00233D86">
              <w:rPr>
                <w:rStyle w:val="Hyperlink"/>
                <w:noProof/>
              </w:rPr>
              <w:t>4.1.1.3 Investment in Reverse Repo</w:t>
            </w:r>
            <w:r w:rsidR="0050212E">
              <w:rPr>
                <w:noProof/>
                <w:webHidden/>
              </w:rPr>
              <w:tab/>
            </w:r>
            <w:r w:rsidR="00955315">
              <w:rPr>
                <w:noProof/>
                <w:webHidden/>
              </w:rPr>
              <w:fldChar w:fldCharType="begin"/>
            </w:r>
            <w:r w:rsidR="0050212E">
              <w:rPr>
                <w:noProof/>
                <w:webHidden/>
              </w:rPr>
              <w:instrText xml:space="preserve"> PAGEREF _Toc524821022 \h </w:instrText>
            </w:r>
            <w:r w:rsidR="00955315">
              <w:rPr>
                <w:noProof/>
                <w:webHidden/>
              </w:rPr>
            </w:r>
            <w:r w:rsidR="00955315">
              <w:rPr>
                <w:noProof/>
                <w:webHidden/>
              </w:rPr>
              <w:fldChar w:fldCharType="separate"/>
            </w:r>
            <w:r w:rsidR="0050212E">
              <w:rPr>
                <w:noProof/>
                <w:webHidden/>
              </w:rPr>
              <w:t>17</w:t>
            </w:r>
            <w:r w:rsidR="00955315">
              <w:rPr>
                <w:noProof/>
                <w:webHidden/>
              </w:rPr>
              <w:fldChar w:fldCharType="end"/>
            </w:r>
          </w:hyperlink>
        </w:p>
        <w:p w:rsidR="0050212E" w:rsidRDefault="00A765F7">
          <w:pPr>
            <w:pStyle w:val="TOC4"/>
            <w:tabs>
              <w:tab w:val="right" w:leader="dot" w:pos="9209"/>
            </w:tabs>
            <w:rPr>
              <w:noProof/>
            </w:rPr>
          </w:pPr>
          <w:hyperlink w:anchor="_Toc524821023" w:history="1">
            <w:r w:rsidR="0050212E" w:rsidRPr="00233D86">
              <w:rPr>
                <w:rStyle w:val="Hyperlink"/>
                <w:noProof/>
              </w:rPr>
              <w:t>4.1.1.4 Investment in Other Securities</w:t>
            </w:r>
            <w:r w:rsidR="0050212E">
              <w:rPr>
                <w:noProof/>
                <w:webHidden/>
              </w:rPr>
              <w:tab/>
            </w:r>
            <w:r w:rsidR="00955315">
              <w:rPr>
                <w:noProof/>
                <w:webHidden/>
              </w:rPr>
              <w:fldChar w:fldCharType="begin"/>
            </w:r>
            <w:r w:rsidR="0050212E">
              <w:rPr>
                <w:noProof/>
                <w:webHidden/>
              </w:rPr>
              <w:instrText xml:space="preserve"> PAGEREF _Toc524821023 \h </w:instrText>
            </w:r>
            <w:r w:rsidR="00955315">
              <w:rPr>
                <w:noProof/>
                <w:webHidden/>
              </w:rPr>
            </w:r>
            <w:r w:rsidR="00955315">
              <w:rPr>
                <w:noProof/>
                <w:webHidden/>
              </w:rPr>
              <w:fldChar w:fldCharType="separate"/>
            </w:r>
            <w:r w:rsidR="0050212E">
              <w:rPr>
                <w:noProof/>
                <w:webHidden/>
              </w:rPr>
              <w:t>18</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24" w:history="1">
            <w:r w:rsidR="0050212E" w:rsidRPr="00233D86">
              <w:rPr>
                <w:rStyle w:val="Hyperlink"/>
                <w:noProof/>
              </w:rPr>
              <w:t>4.1.2 Investments Classified Generally</w:t>
            </w:r>
            <w:r w:rsidR="0050212E">
              <w:rPr>
                <w:noProof/>
                <w:webHidden/>
              </w:rPr>
              <w:tab/>
            </w:r>
            <w:r w:rsidR="00955315">
              <w:rPr>
                <w:noProof/>
                <w:webHidden/>
              </w:rPr>
              <w:fldChar w:fldCharType="begin"/>
            </w:r>
            <w:r w:rsidR="0050212E">
              <w:rPr>
                <w:noProof/>
                <w:webHidden/>
              </w:rPr>
              <w:instrText xml:space="preserve"> PAGEREF _Toc524821024 \h </w:instrText>
            </w:r>
            <w:r w:rsidR="00955315">
              <w:rPr>
                <w:noProof/>
                <w:webHidden/>
              </w:rPr>
            </w:r>
            <w:r w:rsidR="00955315">
              <w:rPr>
                <w:noProof/>
                <w:webHidden/>
              </w:rPr>
              <w:fldChar w:fldCharType="separate"/>
            </w:r>
            <w:r w:rsidR="0050212E">
              <w:rPr>
                <w:noProof/>
                <w:webHidden/>
              </w:rPr>
              <w:t>19</w:t>
            </w:r>
            <w:r w:rsidR="00955315">
              <w:rPr>
                <w:noProof/>
                <w:webHidden/>
              </w:rPr>
              <w:fldChar w:fldCharType="end"/>
            </w:r>
          </w:hyperlink>
        </w:p>
        <w:p w:rsidR="0050212E" w:rsidRDefault="00A765F7">
          <w:pPr>
            <w:pStyle w:val="TOC4"/>
            <w:tabs>
              <w:tab w:val="right" w:leader="dot" w:pos="9209"/>
            </w:tabs>
            <w:rPr>
              <w:noProof/>
            </w:rPr>
          </w:pPr>
          <w:hyperlink w:anchor="_Toc524821025" w:history="1">
            <w:r w:rsidR="0050212E" w:rsidRPr="00233D86">
              <w:rPr>
                <w:rStyle w:val="Hyperlink"/>
                <w:noProof/>
              </w:rPr>
              <w:t>4.1.2.1 Investment in Government Securities</w:t>
            </w:r>
            <w:r w:rsidR="0050212E">
              <w:rPr>
                <w:noProof/>
                <w:webHidden/>
              </w:rPr>
              <w:tab/>
            </w:r>
            <w:r w:rsidR="00955315">
              <w:rPr>
                <w:noProof/>
                <w:webHidden/>
              </w:rPr>
              <w:fldChar w:fldCharType="begin"/>
            </w:r>
            <w:r w:rsidR="0050212E">
              <w:rPr>
                <w:noProof/>
                <w:webHidden/>
              </w:rPr>
              <w:instrText xml:space="preserve"> PAGEREF _Toc524821025 \h </w:instrText>
            </w:r>
            <w:r w:rsidR="00955315">
              <w:rPr>
                <w:noProof/>
                <w:webHidden/>
              </w:rPr>
            </w:r>
            <w:r w:rsidR="00955315">
              <w:rPr>
                <w:noProof/>
                <w:webHidden/>
              </w:rPr>
              <w:fldChar w:fldCharType="separate"/>
            </w:r>
            <w:r w:rsidR="0050212E">
              <w:rPr>
                <w:noProof/>
                <w:webHidden/>
              </w:rPr>
              <w:t>19</w:t>
            </w:r>
            <w:r w:rsidR="00955315">
              <w:rPr>
                <w:noProof/>
                <w:webHidden/>
              </w:rPr>
              <w:fldChar w:fldCharType="end"/>
            </w:r>
          </w:hyperlink>
        </w:p>
        <w:p w:rsidR="0050212E" w:rsidRDefault="00A765F7">
          <w:pPr>
            <w:pStyle w:val="TOC5"/>
            <w:tabs>
              <w:tab w:val="right" w:leader="dot" w:pos="9209"/>
            </w:tabs>
            <w:rPr>
              <w:noProof/>
            </w:rPr>
          </w:pPr>
          <w:hyperlink w:anchor="_Toc524821026" w:history="1">
            <w:r w:rsidR="0050212E" w:rsidRPr="00233D86">
              <w:rPr>
                <w:rStyle w:val="Hyperlink"/>
                <w:noProof/>
              </w:rPr>
              <w:t>Investment in Prize Bond</w:t>
            </w:r>
            <w:r w:rsidR="0050212E">
              <w:rPr>
                <w:noProof/>
                <w:webHidden/>
              </w:rPr>
              <w:tab/>
            </w:r>
            <w:r w:rsidR="00955315">
              <w:rPr>
                <w:noProof/>
                <w:webHidden/>
              </w:rPr>
              <w:fldChar w:fldCharType="begin"/>
            </w:r>
            <w:r w:rsidR="0050212E">
              <w:rPr>
                <w:noProof/>
                <w:webHidden/>
              </w:rPr>
              <w:instrText xml:space="preserve"> PAGEREF _Toc524821026 \h </w:instrText>
            </w:r>
            <w:r w:rsidR="00955315">
              <w:rPr>
                <w:noProof/>
                <w:webHidden/>
              </w:rPr>
            </w:r>
            <w:r w:rsidR="00955315">
              <w:rPr>
                <w:noProof/>
                <w:webHidden/>
              </w:rPr>
              <w:fldChar w:fldCharType="separate"/>
            </w:r>
            <w:r w:rsidR="0050212E">
              <w:rPr>
                <w:noProof/>
                <w:webHidden/>
              </w:rPr>
              <w:t>20</w:t>
            </w:r>
            <w:r w:rsidR="00955315">
              <w:rPr>
                <w:noProof/>
                <w:webHidden/>
              </w:rPr>
              <w:fldChar w:fldCharType="end"/>
            </w:r>
          </w:hyperlink>
        </w:p>
        <w:p w:rsidR="0050212E" w:rsidRDefault="00A765F7">
          <w:pPr>
            <w:pStyle w:val="TOC5"/>
            <w:tabs>
              <w:tab w:val="right" w:leader="dot" w:pos="9209"/>
            </w:tabs>
            <w:rPr>
              <w:noProof/>
            </w:rPr>
          </w:pPr>
          <w:hyperlink w:anchor="_Toc524821027" w:history="1">
            <w:r w:rsidR="0050212E" w:rsidRPr="00233D86">
              <w:rPr>
                <w:rStyle w:val="Hyperlink"/>
                <w:noProof/>
              </w:rPr>
              <w:t>Investment in Government Bond</w:t>
            </w:r>
            <w:r w:rsidR="0050212E">
              <w:rPr>
                <w:noProof/>
                <w:webHidden/>
              </w:rPr>
              <w:tab/>
            </w:r>
            <w:r w:rsidR="00955315">
              <w:rPr>
                <w:noProof/>
                <w:webHidden/>
              </w:rPr>
              <w:fldChar w:fldCharType="begin"/>
            </w:r>
            <w:r w:rsidR="0050212E">
              <w:rPr>
                <w:noProof/>
                <w:webHidden/>
              </w:rPr>
              <w:instrText xml:space="preserve"> PAGEREF _Toc524821027 \h </w:instrText>
            </w:r>
            <w:r w:rsidR="00955315">
              <w:rPr>
                <w:noProof/>
                <w:webHidden/>
              </w:rPr>
            </w:r>
            <w:r w:rsidR="00955315">
              <w:rPr>
                <w:noProof/>
                <w:webHidden/>
              </w:rPr>
              <w:fldChar w:fldCharType="separate"/>
            </w:r>
            <w:r w:rsidR="0050212E">
              <w:rPr>
                <w:noProof/>
                <w:webHidden/>
              </w:rPr>
              <w:t>21</w:t>
            </w:r>
            <w:r w:rsidR="00955315">
              <w:rPr>
                <w:noProof/>
                <w:webHidden/>
              </w:rPr>
              <w:fldChar w:fldCharType="end"/>
            </w:r>
          </w:hyperlink>
        </w:p>
        <w:p w:rsidR="0050212E" w:rsidRDefault="00A765F7">
          <w:pPr>
            <w:pStyle w:val="TOC6"/>
            <w:tabs>
              <w:tab w:val="right" w:leader="dot" w:pos="9209"/>
            </w:tabs>
            <w:rPr>
              <w:noProof/>
            </w:rPr>
          </w:pPr>
          <w:hyperlink w:anchor="_Toc524821028" w:history="1">
            <w:r w:rsidR="0050212E" w:rsidRPr="00233D86">
              <w:rPr>
                <w:rStyle w:val="Hyperlink"/>
                <w:noProof/>
              </w:rPr>
              <w:t>91 Days Treasury Bills</w:t>
            </w:r>
            <w:r w:rsidR="0050212E">
              <w:rPr>
                <w:noProof/>
                <w:webHidden/>
              </w:rPr>
              <w:tab/>
            </w:r>
            <w:r w:rsidR="00955315">
              <w:rPr>
                <w:noProof/>
                <w:webHidden/>
              </w:rPr>
              <w:fldChar w:fldCharType="begin"/>
            </w:r>
            <w:r w:rsidR="0050212E">
              <w:rPr>
                <w:noProof/>
                <w:webHidden/>
              </w:rPr>
              <w:instrText xml:space="preserve"> PAGEREF _Toc524821028 \h </w:instrText>
            </w:r>
            <w:r w:rsidR="00955315">
              <w:rPr>
                <w:noProof/>
                <w:webHidden/>
              </w:rPr>
            </w:r>
            <w:r w:rsidR="00955315">
              <w:rPr>
                <w:noProof/>
                <w:webHidden/>
              </w:rPr>
              <w:fldChar w:fldCharType="separate"/>
            </w:r>
            <w:r w:rsidR="0050212E">
              <w:rPr>
                <w:noProof/>
                <w:webHidden/>
              </w:rPr>
              <w:t>22</w:t>
            </w:r>
            <w:r w:rsidR="00955315">
              <w:rPr>
                <w:noProof/>
                <w:webHidden/>
              </w:rPr>
              <w:fldChar w:fldCharType="end"/>
            </w:r>
          </w:hyperlink>
        </w:p>
        <w:p w:rsidR="0050212E" w:rsidRDefault="00A765F7">
          <w:pPr>
            <w:pStyle w:val="TOC6"/>
            <w:tabs>
              <w:tab w:val="right" w:leader="dot" w:pos="9209"/>
            </w:tabs>
            <w:rPr>
              <w:noProof/>
            </w:rPr>
          </w:pPr>
          <w:hyperlink w:anchor="_Toc524821029" w:history="1">
            <w:r w:rsidR="0050212E" w:rsidRPr="00233D86">
              <w:rPr>
                <w:rStyle w:val="Hyperlink"/>
                <w:noProof/>
              </w:rPr>
              <w:t>182 Days Treasury Bills</w:t>
            </w:r>
            <w:r w:rsidR="0050212E">
              <w:rPr>
                <w:noProof/>
                <w:webHidden/>
              </w:rPr>
              <w:tab/>
            </w:r>
            <w:r w:rsidR="00955315">
              <w:rPr>
                <w:noProof/>
                <w:webHidden/>
              </w:rPr>
              <w:fldChar w:fldCharType="begin"/>
            </w:r>
            <w:r w:rsidR="0050212E">
              <w:rPr>
                <w:noProof/>
                <w:webHidden/>
              </w:rPr>
              <w:instrText xml:space="preserve"> PAGEREF _Toc524821029 \h </w:instrText>
            </w:r>
            <w:r w:rsidR="00955315">
              <w:rPr>
                <w:noProof/>
                <w:webHidden/>
              </w:rPr>
            </w:r>
            <w:r w:rsidR="00955315">
              <w:rPr>
                <w:noProof/>
                <w:webHidden/>
              </w:rPr>
              <w:fldChar w:fldCharType="separate"/>
            </w:r>
            <w:r w:rsidR="0050212E">
              <w:rPr>
                <w:noProof/>
                <w:webHidden/>
              </w:rPr>
              <w:t>23</w:t>
            </w:r>
            <w:r w:rsidR="00955315">
              <w:rPr>
                <w:noProof/>
                <w:webHidden/>
              </w:rPr>
              <w:fldChar w:fldCharType="end"/>
            </w:r>
          </w:hyperlink>
        </w:p>
        <w:p w:rsidR="0050212E" w:rsidRDefault="00A765F7">
          <w:pPr>
            <w:pStyle w:val="TOC6"/>
            <w:tabs>
              <w:tab w:val="right" w:leader="dot" w:pos="9209"/>
            </w:tabs>
            <w:rPr>
              <w:noProof/>
            </w:rPr>
          </w:pPr>
          <w:hyperlink w:anchor="_Toc524821030" w:history="1">
            <w:r w:rsidR="0050212E" w:rsidRPr="00233D86">
              <w:rPr>
                <w:rStyle w:val="Hyperlink"/>
                <w:noProof/>
              </w:rPr>
              <w:t>2 Years Islamic Bonds</w:t>
            </w:r>
            <w:r w:rsidR="0050212E">
              <w:rPr>
                <w:noProof/>
                <w:webHidden/>
              </w:rPr>
              <w:tab/>
            </w:r>
            <w:r w:rsidR="00955315">
              <w:rPr>
                <w:noProof/>
                <w:webHidden/>
              </w:rPr>
              <w:fldChar w:fldCharType="begin"/>
            </w:r>
            <w:r w:rsidR="0050212E">
              <w:rPr>
                <w:noProof/>
                <w:webHidden/>
              </w:rPr>
              <w:instrText xml:space="preserve"> PAGEREF _Toc524821030 \h </w:instrText>
            </w:r>
            <w:r w:rsidR="00955315">
              <w:rPr>
                <w:noProof/>
                <w:webHidden/>
              </w:rPr>
            </w:r>
            <w:r w:rsidR="00955315">
              <w:rPr>
                <w:noProof/>
                <w:webHidden/>
              </w:rPr>
              <w:fldChar w:fldCharType="separate"/>
            </w:r>
            <w:r w:rsidR="0050212E">
              <w:rPr>
                <w:noProof/>
                <w:webHidden/>
              </w:rPr>
              <w:t>24</w:t>
            </w:r>
            <w:r w:rsidR="00955315">
              <w:rPr>
                <w:noProof/>
                <w:webHidden/>
              </w:rPr>
              <w:fldChar w:fldCharType="end"/>
            </w:r>
          </w:hyperlink>
        </w:p>
        <w:p w:rsidR="0050212E" w:rsidRDefault="00A765F7">
          <w:pPr>
            <w:pStyle w:val="TOC6"/>
            <w:tabs>
              <w:tab w:val="right" w:leader="dot" w:pos="9209"/>
            </w:tabs>
            <w:rPr>
              <w:noProof/>
            </w:rPr>
          </w:pPr>
          <w:hyperlink w:anchor="_Toc524821031" w:history="1">
            <w:r w:rsidR="0050212E" w:rsidRPr="00233D86">
              <w:rPr>
                <w:rStyle w:val="Hyperlink"/>
                <w:noProof/>
              </w:rPr>
              <w:t>2 Years Treasury Bonds</w:t>
            </w:r>
            <w:r w:rsidR="0050212E">
              <w:rPr>
                <w:noProof/>
                <w:webHidden/>
              </w:rPr>
              <w:tab/>
            </w:r>
            <w:r w:rsidR="00955315">
              <w:rPr>
                <w:noProof/>
                <w:webHidden/>
              </w:rPr>
              <w:fldChar w:fldCharType="begin"/>
            </w:r>
            <w:r w:rsidR="0050212E">
              <w:rPr>
                <w:noProof/>
                <w:webHidden/>
              </w:rPr>
              <w:instrText xml:space="preserve"> PAGEREF _Toc524821031 \h </w:instrText>
            </w:r>
            <w:r w:rsidR="00955315">
              <w:rPr>
                <w:noProof/>
                <w:webHidden/>
              </w:rPr>
            </w:r>
            <w:r w:rsidR="00955315">
              <w:rPr>
                <w:noProof/>
                <w:webHidden/>
              </w:rPr>
              <w:fldChar w:fldCharType="separate"/>
            </w:r>
            <w:r w:rsidR="0050212E">
              <w:rPr>
                <w:noProof/>
                <w:webHidden/>
              </w:rPr>
              <w:t>25</w:t>
            </w:r>
            <w:r w:rsidR="00955315">
              <w:rPr>
                <w:noProof/>
                <w:webHidden/>
              </w:rPr>
              <w:fldChar w:fldCharType="end"/>
            </w:r>
          </w:hyperlink>
        </w:p>
        <w:p w:rsidR="0050212E" w:rsidRDefault="00A765F7">
          <w:pPr>
            <w:pStyle w:val="TOC6"/>
            <w:tabs>
              <w:tab w:val="right" w:leader="dot" w:pos="9209"/>
            </w:tabs>
            <w:rPr>
              <w:noProof/>
            </w:rPr>
          </w:pPr>
          <w:hyperlink w:anchor="_Toc524821032" w:history="1">
            <w:r w:rsidR="0050212E" w:rsidRPr="00233D86">
              <w:rPr>
                <w:rStyle w:val="Hyperlink"/>
                <w:noProof/>
              </w:rPr>
              <w:t>5 Years Treasury Bonds</w:t>
            </w:r>
            <w:r w:rsidR="0050212E">
              <w:rPr>
                <w:noProof/>
                <w:webHidden/>
              </w:rPr>
              <w:tab/>
            </w:r>
            <w:r w:rsidR="00955315">
              <w:rPr>
                <w:noProof/>
                <w:webHidden/>
              </w:rPr>
              <w:fldChar w:fldCharType="begin"/>
            </w:r>
            <w:r w:rsidR="0050212E">
              <w:rPr>
                <w:noProof/>
                <w:webHidden/>
              </w:rPr>
              <w:instrText xml:space="preserve"> PAGEREF _Toc524821032 \h </w:instrText>
            </w:r>
            <w:r w:rsidR="00955315">
              <w:rPr>
                <w:noProof/>
                <w:webHidden/>
              </w:rPr>
            </w:r>
            <w:r w:rsidR="00955315">
              <w:rPr>
                <w:noProof/>
                <w:webHidden/>
              </w:rPr>
              <w:fldChar w:fldCharType="separate"/>
            </w:r>
            <w:r w:rsidR="0050212E">
              <w:rPr>
                <w:noProof/>
                <w:webHidden/>
              </w:rPr>
              <w:t>26</w:t>
            </w:r>
            <w:r w:rsidR="00955315">
              <w:rPr>
                <w:noProof/>
                <w:webHidden/>
              </w:rPr>
              <w:fldChar w:fldCharType="end"/>
            </w:r>
          </w:hyperlink>
        </w:p>
        <w:p w:rsidR="0050212E" w:rsidRDefault="00A765F7">
          <w:pPr>
            <w:pStyle w:val="TOC6"/>
            <w:tabs>
              <w:tab w:val="right" w:leader="dot" w:pos="9209"/>
            </w:tabs>
            <w:rPr>
              <w:noProof/>
            </w:rPr>
          </w:pPr>
          <w:hyperlink w:anchor="_Toc524821033" w:history="1">
            <w:r w:rsidR="0050212E" w:rsidRPr="00233D86">
              <w:rPr>
                <w:rStyle w:val="Hyperlink"/>
                <w:noProof/>
              </w:rPr>
              <w:t>10 Years Treasury Bonds</w:t>
            </w:r>
            <w:r w:rsidR="0050212E">
              <w:rPr>
                <w:noProof/>
                <w:webHidden/>
              </w:rPr>
              <w:tab/>
            </w:r>
            <w:r w:rsidR="00955315">
              <w:rPr>
                <w:noProof/>
                <w:webHidden/>
              </w:rPr>
              <w:fldChar w:fldCharType="begin"/>
            </w:r>
            <w:r w:rsidR="0050212E">
              <w:rPr>
                <w:noProof/>
                <w:webHidden/>
              </w:rPr>
              <w:instrText xml:space="preserve"> PAGEREF _Toc524821033 \h </w:instrText>
            </w:r>
            <w:r w:rsidR="00955315">
              <w:rPr>
                <w:noProof/>
                <w:webHidden/>
              </w:rPr>
            </w:r>
            <w:r w:rsidR="00955315">
              <w:rPr>
                <w:noProof/>
                <w:webHidden/>
              </w:rPr>
              <w:fldChar w:fldCharType="separate"/>
            </w:r>
            <w:r w:rsidR="0050212E">
              <w:rPr>
                <w:noProof/>
                <w:webHidden/>
              </w:rPr>
              <w:t>27</w:t>
            </w:r>
            <w:r w:rsidR="00955315">
              <w:rPr>
                <w:noProof/>
                <w:webHidden/>
              </w:rPr>
              <w:fldChar w:fldCharType="end"/>
            </w:r>
          </w:hyperlink>
        </w:p>
        <w:p w:rsidR="0050212E" w:rsidRDefault="00A765F7">
          <w:pPr>
            <w:pStyle w:val="TOC6"/>
            <w:tabs>
              <w:tab w:val="right" w:leader="dot" w:pos="9209"/>
            </w:tabs>
            <w:rPr>
              <w:noProof/>
            </w:rPr>
          </w:pPr>
          <w:hyperlink w:anchor="_Toc524821034" w:history="1">
            <w:r w:rsidR="0050212E" w:rsidRPr="00233D86">
              <w:rPr>
                <w:rStyle w:val="Hyperlink"/>
                <w:noProof/>
              </w:rPr>
              <w:t>15 Years Treasury Bonds</w:t>
            </w:r>
            <w:r w:rsidR="0050212E">
              <w:rPr>
                <w:noProof/>
                <w:webHidden/>
              </w:rPr>
              <w:tab/>
            </w:r>
            <w:r w:rsidR="00955315">
              <w:rPr>
                <w:noProof/>
                <w:webHidden/>
              </w:rPr>
              <w:fldChar w:fldCharType="begin"/>
            </w:r>
            <w:r w:rsidR="0050212E">
              <w:rPr>
                <w:noProof/>
                <w:webHidden/>
              </w:rPr>
              <w:instrText xml:space="preserve"> PAGEREF _Toc524821034 \h </w:instrText>
            </w:r>
            <w:r w:rsidR="00955315">
              <w:rPr>
                <w:noProof/>
                <w:webHidden/>
              </w:rPr>
            </w:r>
            <w:r w:rsidR="00955315">
              <w:rPr>
                <w:noProof/>
                <w:webHidden/>
              </w:rPr>
              <w:fldChar w:fldCharType="separate"/>
            </w:r>
            <w:r w:rsidR="0050212E">
              <w:rPr>
                <w:noProof/>
                <w:webHidden/>
              </w:rPr>
              <w:t>28</w:t>
            </w:r>
            <w:r w:rsidR="00955315">
              <w:rPr>
                <w:noProof/>
                <w:webHidden/>
              </w:rPr>
              <w:fldChar w:fldCharType="end"/>
            </w:r>
          </w:hyperlink>
        </w:p>
        <w:p w:rsidR="0050212E" w:rsidRDefault="00A765F7">
          <w:pPr>
            <w:pStyle w:val="TOC6"/>
            <w:tabs>
              <w:tab w:val="right" w:leader="dot" w:pos="9209"/>
            </w:tabs>
            <w:rPr>
              <w:noProof/>
            </w:rPr>
          </w:pPr>
          <w:hyperlink w:anchor="_Toc524821035" w:history="1">
            <w:r w:rsidR="0050212E" w:rsidRPr="00233D86">
              <w:rPr>
                <w:rStyle w:val="Hyperlink"/>
                <w:noProof/>
              </w:rPr>
              <w:t>20 Years Treasury Bonds</w:t>
            </w:r>
            <w:r w:rsidR="0050212E">
              <w:rPr>
                <w:noProof/>
                <w:webHidden/>
              </w:rPr>
              <w:tab/>
            </w:r>
            <w:r w:rsidR="00955315">
              <w:rPr>
                <w:noProof/>
                <w:webHidden/>
              </w:rPr>
              <w:fldChar w:fldCharType="begin"/>
            </w:r>
            <w:r w:rsidR="0050212E">
              <w:rPr>
                <w:noProof/>
                <w:webHidden/>
              </w:rPr>
              <w:instrText xml:space="preserve"> PAGEREF _Toc524821035 \h </w:instrText>
            </w:r>
            <w:r w:rsidR="00955315">
              <w:rPr>
                <w:noProof/>
                <w:webHidden/>
              </w:rPr>
            </w:r>
            <w:r w:rsidR="00955315">
              <w:rPr>
                <w:noProof/>
                <w:webHidden/>
              </w:rPr>
              <w:fldChar w:fldCharType="separate"/>
            </w:r>
            <w:r w:rsidR="0050212E">
              <w:rPr>
                <w:noProof/>
                <w:webHidden/>
              </w:rPr>
              <w:t>29</w:t>
            </w:r>
            <w:r w:rsidR="00955315">
              <w:rPr>
                <w:noProof/>
                <w:webHidden/>
              </w:rPr>
              <w:fldChar w:fldCharType="end"/>
            </w:r>
          </w:hyperlink>
        </w:p>
        <w:p w:rsidR="0050212E" w:rsidRDefault="00A765F7">
          <w:pPr>
            <w:pStyle w:val="TOC4"/>
            <w:tabs>
              <w:tab w:val="right" w:leader="dot" w:pos="9209"/>
            </w:tabs>
            <w:rPr>
              <w:noProof/>
            </w:rPr>
          </w:pPr>
          <w:hyperlink w:anchor="_Toc524821036" w:history="1">
            <w:r w:rsidR="0050212E" w:rsidRPr="00233D86">
              <w:rPr>
                <w:rStyle w:val="Hyperlink"/>
                <w:noProof/>
              </w:rPr>
              <w:t>4.1.2.2 Investment in Other</w:t>
            </w:r>
            <w:r w:rsidR="0050212E">
              <w:rPr>
                <w:noProof/>
                <w:webHidden/>
              </w:rPr>
              <w:tab/>
            </w:r>
            <w:r w:rsidR="00955315">
              <w:rPr>
                <w:noProof/>
                <w:webHidden/>
              </w:rPr>
              <w:fldChar w:fldCharType="begin"/>
            </w:r>
            <w:r w:rsidR="0050212E">
              <w:rPr>
                <w:noProof/>
                <w:webHidden/>
              </w:rPr>
              <w:instrText xml:space="preserve"> PAGEREF _Toc524821036 \h </w:instrText>
            </w:r>
            <w:r w:rsidR="00955315">
              <w:rPr>
                <w:noProof/>
                <w:webHidden/>
              </w:rPr>
            </w:r>
            <w:r w:rsidR="00955315">
              <w:rPr>
                <w:noProof/>
                <w:webHidden/>
              </w:rPr>
              <w:fldChar w:fldCharType="separate"/>
            </w:r>
            <w:r w:rsidR="0050212E">
              <w:rPr>
                <w:noProof/>
                <w:webHidden/>
              </w:rPr>
              <w:t>31</w:t>
            </w:r>
            <w:r w:rsidR="00955315">
              <w:rPr>
                <w:noProof/>
                <w:webHidden/>
              </w:rPr>
              <w:fldChar w:fldCharType="end"/>
            </w:r>
          </w:hyperlink>
        </w:p>
        <w:p w:rsidR="0050212E" w:rsidRDefault="00A765F7">
          <w:pPr>
            <w:pStyle w:val="TOC5"/>
            <w:tabs>
              <w:tab w:val="right" w:leader="dot" w:pos="9209"/>
            </w:tabs>
            <w:rPr>
              <w:noProof/>
            </w:rPr>
          </w:pPr>
          <w:hyperlink w:anchor="_Toc524821037" w:history="1">
            <w:r w:rsidR="0050212E" w:rsidRPr="00233D86">
              <w:rPr>
                <w:rStyle w:val="Hyperlink"/>
                <w:noProof/>
              </w:rPr>
              <w:t>Debenture of Bangladesh Welding Electrodes Limited (DBWEL)</w:t>
            </w:r>
            <w:r w:rsidR="0050212E">
              <w:rPr>
                <w:noProof/>
                <w:webHidden/>
              </w:rPr>
              <w:tab/>
            </w:r>
            <w:r w:rsidR="00955315">
              <w:rPr>
                <w:noProof/>
                <w:webHidden/>
              </w:rPr>
              <w:fldChar w:fldCharType="begin"/>
            </w:r>
            <w:r w:rsidR="0050212E">
              <w:rPr>
                <w:noProof/>
                <w:webHidden/>
              </w:rPr>
              <w:instrText xml:space="preserve"> PAGEREF _Toc524821037 \h </w:instrText>
            </w:r>
            <w:r w:rsidR="00955315">
              <w:rPr>
                <w:noProof/>
                <w:webHidden/>
              </w:rPr>
            </w:r>
            <w:r w:rsidR="00955315">
              <w:rPr>
                <w:noProof/>
                <w:webHidden/>
              </w:rPr>
              <w:fldChar w:fldCharType="separate"/>
            </w:r>
            <w:r w:rsidR="0050212E">
              <w:rPr>
                <w:noProof/>
                <w:webHidden/>
              </w:rPr>
              <w:t>32</w:t>
            </w:r>
            <w:r w:rsidR="00955315">
              <w:rPr>
                <w:noProof/>
                <w:webHidden/>
              </w:rPr>
              <w:fldChar w:fldCharType="end"/>
            </w:r>
          </w:hyperlink>
        </w:p>
        <w:p w:rsidR="0050212E" w:rsidRDefault="00A765F7">
          <w:pPr>
            <w:pStyle w:val="TOC5"/>
            <w:tabs>
              <w:tab w:val="right" w:leader="dot" w:pos="9209"/>
            </w:tabs>
            <w:rPr>
              <w:noProof/>
            </w:rPr>
          </w:pPr>
          <w:hyperlink w:anchor="_Toc524821038" w:history="1">
            <w:r w:rsidR="0050212E" w:rsidRPr="00233D86">
              <w:rPr>
                <w:rStyle w:val="Hyperlink"/>
                <w:noProof/>
              </w:rPr>
              <w:t>Mutual Fund</w:t>
            </w:r>
            <w:r w:rsidR="0050212E">
              <w:rPr>
                <w:noProof/>
                <w:webHidden/>
              </w:rPr>
              <w:tab/>
            </w:r>
            <w:r w:rsidR="00955315">
              <w:rPr>
                <w:noProof/>
                <w:webHidden/>
              </w:rPr>
              <w:fldChar w:fldCharType="begin"/>
            </w:r>
            <w:r w:rsidR="0050212E">
              <w:rPr>
                <w:noProof/>
                <w:webHidden/>
              </w:rPr>
              <w:instrText xml:space="preserve"> PAGEREF _Toc524821038 \h </w:instrText>
            </w:r>
            <w:r w:rsidR="00955315">
              <w:rPr>
                <w:noProof/>
                <w:webHidden/>
              </w:rPr>
            </w:r>
            <w:r w:rsidR="00955315">
              <w:rPr>
                <w:noProof/>
                <w:webHidden/>
              </w:rPr>
              <w:fldChar w:fldCharType="separate"/>
            </w:r>
            <w:r w:rsidR="0050212E">
              <w:rPr>
                <w:noProof/>
                <w:webHidden/>
              </w:rPr>
              <w:t>33</w:t>
            </w:r>
            <w:r w:rsidR="00955315">
              <w:rPr>
                <w:noProof/>
                <w:webHidden/>
              </w:rPr>
              <w:fldChar w:fldCharType="end"/>
            </w:r>
          </w:hyperlink>
        </w:p>
        <w:p w:rsidR="0050212E" w:rsidRDefault="00A765F7">
          <w:pPr>
            <w:pStyle w:val="TOC5"/>
            <w:tabs>
              <w:tab w:val="right" w:leader="dot" w:pos="9209"/>
            </w:tabs>
            <w:rPr>
              <w:noProof/>
            </w:rPr>
          </w:pPr>
          <w:hyperlink w:anchor="_Toc524821039" w:history="1">
            <w:r w:rsidR="0050212E" w:rsidRPr="00233D86">
              <w:rPr>
                <w:rStyle w:val="Hyperlink"/>
                <w:noProof/>
              </w:rPr>
              <w:t>Shares</w:t>
            </w:r>
            <w:r w:rsidR="0050212E">
              <w:rPr>
                <w:noProof/>
                <w:webHidden/>
              </w:rPr>
              <w:tab/>
            </w:r>
            <w:r w:rsidR="00955315">
              <w:rPr>
                <w:noProof/>
                <w:webHidden/>
              </w:rPr>
              <w:fldChar w:fldCharType="begin"/>
            </w:r>
            <w:r w:rsidR="0050212E">
              <w:rPr>
                <w:noProof/>
                <w:webHidden/>
              </w:rPr>
              <w:instrText xml:space="preserve"> PAGEREF _Toc524821039 \h </w:instrText>
            </w:r>
            <w:r w:rsidR="00955315">
              <w:rPr>
                <w:noProof/>
                <w:webHidden/>
              </w:rPr>
            </w:r>
            <w:r w:rsidR="00955315">
              <w:rPr>
                <w:noProof/>
                <w:webHidden/>
              </w:rPr>
              <w:fldChar w:fldCharType="separate"/>
            </w:r>
            <w:r w:rsidR="0050212E">
              <w:rPr>
                <w:noProof/>
                <w:webHidden/>
              </w:rPr>
              <w:t>34</w:t>
            </w:r>
            <w:r w:rsidR="00955315">
              <w:rPr>
                <w:noProof/>
                <w:webHidden/>
              </w:rPr>
              <w:fldChar w:fldCharType="end"/>
            </w:r>
          </w:hyperlink>
        </w:p>
        <w:p w:rsidR="0050212E" w:rsidRDefault="00A765F7">
          <w:pPr>
            <w:pStyle w:val="TOC6"/>
            <w:tabs>
              <w:tab w:val="right" w:leader="dot" w:pos="9209"/>
            </w:tabs>
            <w:rPr>
              <w:noProof/>
            </w:rPr>
          </w:pPr>
          <w:hyperlink w:anchor="_Toc524821040" w:history="1">
            <w:r w:rsidR="0050212E" w:rsidRPr="00233D86">
              <w:rPr>
                <w:rStyle w:val="Hyperlink"/>
                <w:noProof/>
              </w:rPr>
              <w:t>Investment in Quoted Share</w:t>
            </w:r>
            <w:r w:rsidR="0050212E">
              <w:rPr>
                <w:noProof/>
                <w:webHidden/>
              </w:rPr>
              <w:tab/>
            </w:r>
            <w:r w:rsidR="00955315">
              <w:rPr>
                <w:noProof/>
                <w:webHidden/>
              </w:rPr>
              <w:fldChar w:fldCharType="begin"/>
            </w:r>
            <w:r w:rsidR="0050212E">
              <w:rPr>
                <w:noProof/>
                <w:webHidden/>
              </w:rPr>
              <w:instrText xml:space="preserve"> PAGEREF _Toc524821040 \h </w:instrText>
            </w:r>
            <w:r w:rsidR="00955315">
              <w:rPr>
                <w:noProof/>
                <w:webHidden/>
              </w:rPr>
            </w:r>
            <w:r w:rsidR="00955315">
              <w:rPr>
                <w:noProof/>
                <w:webHidden/>
              </w:rPr>
              <w:fldChar w:fldCharType="separate"/>
            </w:r>
            <w:r w:rsidR="0050212E">
              <w:rPr>
                <w:noProof/>
                <w:webHidden/>
              </w:rPr>
              <w:t>35</w:t>
            </w:r>
            <w:r w:rsidR="00955315">
              <w:rPr>
                <w:noProof/>
                <w:webHidden/>
              </w:rPr>
              <w:fldChar w:fldCharType="end"/>
            </w:r>
          </w:hyperlink>
        </w:p>
        <w:p w:rsidR="0050212E" w:rsidRDefault="00A765F7">
          <w:pPr>
            <w:pStyle w:val="TOC6"/>
            <w:tabs>
              <w:tab w:val="right" w:leader="dot" w:pos="9209"/>
            </w:tabs>
            <w:rPr>
              <w:noProof/>
            </w:rPr>
          </w:pPr>
          <w:hyperlink w:anchor="_Toc524821041" w:history="1">
            <w:r w:rsidR="0050212E" w:rsidRPr="00233D86">
              <w:rPr>
                <w:rStyle w:val="Hyperlink"/>
                <w:noProof/>
              </w:rPr>
              <w:t>Investment in Unquoted Ordinary Share</w:t>
            </w:r>
            <w:r w:rsidR="0050212E">
              <w:rPr>
                <w:noProof/>
                <w:webHidden/>
              </w:rPr>
              <w:tab/>
            </w:r>
            <w:r w:rsidR="00955315">
              <w:rPr>
                <w:noProof/>
                <w:webHidden/>
              </w:rPr>
              <w:fldChar w:fldCharType="begin"/>
            </w:r>
            <w:r w:rsidR="0050212E">
              <w:rPr>
                <w:noProof/>
                <w:webHidden/>
              </w:rPr>
              <w:instrText xml:space="preserve"> PAGEREF _Toc524821041 \h </w:instrText>
            </w:r>
            <w:r w:rsidR="00955315">
              <w:rPr>
                <w:noProof/>
                <w:webHidden/>
              </w:rPr>
            </w:r>
            <w:r w:rsidR="00955315">
              <w:rPr>
                <w:noProof/>
                <w:webHidden/>
              </w:rPr>
              <w:fldChar w:fldCharType="separate"/>
            </w:r>
            <w:r w:rsidR="0050212E">
              <w:rPr>
                <w:noProof/>
                <w:webHidden/>
              </w:rPr>
              <w:t>36</w:t>
            </w:r>
            <w:r w:rsidR="00955315">
              <w:rPr>
                <w:noProof/>
                <w:webHidden/>
              </w:rPr>
              <w:fldChar w:fldCharType="end"/>
            </w:r>
          </w:hyperlink>
        </w:p>
        <w:p w:rsidR="0050212E" w:rsidRDefault="00A765F7">
          <w:pPr>
            <w:pStyle w:val="TOC6"/>
            <w:tabs>
              <w:tab w:val="right" w:leader="dot" w:pos="9209"/>
            </w:tabs>
            <w:rPr>
              <w:noProof/>
            </w:rPr>
          </w:pPr>
          <w:hyperlink w:anchor="_Toc524821042" w:history="1">
            <w:r w:rsidR="0050212E" w:rsidRPr="00233D86">
              <w:rPr>
                <w:rStyle w:val="Hyperlink"/>
                <w:noProof/>
              </w:rPr>
              <w:t>Unquoted redeemable preference</w:t>
            </w:r>
            <w:r w:rsidR="0050212E">
              <w:rPr>
                <w:noProof/>
                <w:webHidden/>
              </w:rPr>
              <w:tab/>
            </w:r>
            <w:r w:rsidR="00955315">
              <w:rPr>
                <w:noProof/>
                <w:webHidden/>
              </w:rPr>
              <w:fldChar w:fldCharType="begin"/>
            </w:r>
            <w:r w:rsidR="0050212E">
              <w:rPr>
                <w:noProof/>
                <w:webHidden/>
              </w:rPr>
              <w:instrText xml:space="preserve"> PAGEREF _Toc524821042 \h </w:instrText>
            </w:r>
            <w:r w:rsidR="00955315">
              <w:rPr>
                <w:noProof/>
                <w:webHidden/>
              </w:rPr>
            </w:r>
            <w:r w:rsidR="00955315">
              <w:rPr>
                <w:noProof/>
                <w:webHidden/>
              </w:rPr>
              <w:fldChar w:fldCharType="separate"/>
            </w:r>
            <w:r w:rsidR="0050212E">
              <w:rPr>
                <w:noProof/>
                <w:webHidden/>
              </w:rPr>
              <w:t>36</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43" w:history="1">
            <w:r w:rsidR="0050212E" w:rsidRPr="00233D86">
              <w:rPr>
                <w:rStyle w:val="Hyperlink"/>
                <w:noProof/>
              </w:rPr>
              <w:t>4.1.3 Maturity grouping of Investments</w:t>
            </w:r>
            <w:r w:rsidR="0050212E">
              <w:rPr>
                <w:noProof/>
                <w:webHidden/>
              </w:rPr>
              <w:tab/>
            </w:r>
            <w:r w:rsidR="00955315">
              <w:rPr>
                <w:noProof/>
                <w:webHidden/>
              </w:rPr>
              <w:fldChar w:fldCharType="begin"/>
            </w:r>
            <w:r w:rsidR="0050212E">
              <w:rPr>
                <w:noProof/>
                <w:webHidden/>
              </w:rPr>
              <w:instrText xml:space="preserve"> PAGEREF _Toc524821043 \h </w:instrText>
            </w:r>
            <w:r w:rsidR="00955315">
              <w:rPr>
                <w:noProof/>
                <w:webHidden/>
              </w:rPr>
            </w:r>
            <w:r w:rsidR="00955315">
              <w:rPr>
                <w:noProof/>
                <w:webHidden/>
              </w:rPr>
              <w:fldChar w:fldCharType="separate"/>
            </w:r>
            <w:r w:rsidR="0050212E">
              <w:rPr>
                <w:noProof/>
                <w:webHidden/>
              </w:rPr>
              <w:t>37</w:t>
            </w:r>
            <w:r w:rsidR="00955315">
              <w:rPr>
                <w:noProof/>
                <w:webHidden/>
              </w:rPr>
              <w:fldChar w:fldCharType="end"/>
            </w:r>
          </w:hyperlink>
        </w:p>
        <w:p w:rsidR="0050212E" w:rsidRDefault="00A765F7">
          <w:pPr>
            <w:pStyle w:val="TOC4"/>
            <w:tabs>
              <w:tab w:val="right" w:leader="dot" w:pos="9209"/>
            </w:tabs>
            <w:rPr>
              <w:noProof/>
            </w:rPr>
          </w:pPr>
          <w:hyperlink w:anchor="_Toc524821044" w:history="1">
            <w:r w:rsidR="0050212E" w:rsidRPr="00233D86">
              <w:rPr>
                <w:rStyle w:val="Hyperlink"/>
                <w:noProof/>
              </w:rPr>
              <w:t>4.1.3.1 On Demand</w:t>
            </w:r>
            <w:r w:rsidR="0050212E">
              <w:rPr>
                <w:noProof/>
                <w:webHidden/>
              </w:rPr>
              <w:tab/>
            </w:r>
            <w:r w:rsidR="00955315">
              <w:rPr>
                <w:noProof/>
                <w:webHidden/>
              </w:rPr>
              <w:fldChar w:fldCharType="begin"/>
            </w:r>
            <w:r w:rsidR="0050212E">
              <w:rPr>
                <w:noProof/>
                <w:webHidden/>
              </w:rPr>
              <w:instrText xml:space="preserve"> PAGEREF _Toc524821044 \h </w:instrText>
            </w:r>
            <w:r w:rsidR="00955315">
              <w:rPr>
                <w:noProof/>
                <w:webHidden/>
              </w:rPr>
            </w:r>
            <w:r w:rsidR="00955315">
              <w:rPr>
                <w:noProof/>
                <w:webHidden/>
              </w:rPr>
              <w:fldChar w:fldCharType="separate"/>
            </w:r>
            <w:r w:rsidR="0050212E">
              <w:rPr>
                <w:noProof/>
                <w:webHidden/>
              </w:rPr>
              <w:t>38</w:t>
            </w:r>
            <w:r w:rsidR="00955315">
              <w:rPr>
                <w:noProof/>
                <w:webHidden/>
              </w:rPr>
              <w:fldChar w:fldCharType="end"/>
            </w:r>
          </w:hyperlink>
        </w:p>
        <w:p w:rsidR="0050212E" w:rsidRDefault="00A765F7">
          <w:pPr>
            <w:pStyle w:val="TOC4"/>
            <w:tabs>
              <w:tab w:val="right" w:leader="dot" w:pos="9209"/>
            </w:tabs>
            <w:rPr>
              <w:noProof/>
            </w:rPr>
          </w:pPr>
          <w:hyperlink w:anchor="_Toc524821045" w:history="1">
            <w:r w:rsidR="0050212E" w:rsidRPr="00233D86">
              <w:rPr>
                <w:rStyle w:val="Hyperlink"/>
                <w:noProof/>
              </w:rPr>
              <w:t>4.1.3.2 Over 1 Month but Not More Than 3 Months</w:t>
            </w:r>
            <w:r w:rsidR="0050212E">
              <w:rPr>
                <w:noProof/>
                <w:webHidden/>
              </w:rPr>
              <w:tab/>
            </w:r>
            <w:r w:rsidR="00955315">
              <w:rPr>
                <w:noProof/>
                <w:webHidden/>
              </w:rPr>
              <w:fldChar w:fldCharType="begin"/>
            </w:r>
            <w:r w:rsidR="0050212E">
              <w:rPr>
                <w:noProof/>
                <w:webHidden/>
              </w:rPr>
              <w:instrText xml:space="preserve"> PAGEREF _Toc524821045 \h </w:instrText>
            </w:r>
            <w:r w:rsidR="00955315">
              <w:rPr>
                <w:noProof/>
                <w:webHidden/>
              </w:rPr>
            </w:r>
            <w:r w:rsidR="00955315">
              <w:rPr>
                <w:noProof/>
                <w:webHidden/>
              </w:rPr>
              <w:fldChar w:fldCharType="separate"/>
            </w:r>
            <w:r w:rsidR="0050212E">
              <w:rPr>
                <w:noProof/>
                <w:webHidden/>
              </w:rPr>
              <w:t>39</w:t>
            </w:r>
            <w:r w:rsidR="00955315">
              <w:rPr>
                <w:noProof/>
                <w:webHidden/>
              </w:rPr>
              <w:fldChar w:fldCharType="end"/>
            </w:r>
          </w:hyperlink>
        </w:p>
        <w:p w:rsidR="0050212E" w:rsidRDefault="00A765F7">
          <w:pPr>
            <w:pStyle w:val="TOC4"/>
            <w:tabs>
              <w:tab w:val="right" w:leader="dot" w:pos="9209"/>
            </w:tabs>
            <w:rPr>
              <w:noProof/>
            </w:rPr>
          </w:pPr>
          <w:hyperlink w:anchor="_Toc524821046" w:history="1">
            <w:r w:rsidR="0050212E" w:rsidRPr="00233D86">
              <w:rPr>
                <w:rStyle w:val="Hyperlink"/>
                <w:noProof/>
              </w:rPr>
              <w:t>4.1.3.3 Over 3 Months but Not More Than 1 Year</w:t>
            </w:r>
            <w:r w:rsidR="0050212E">
              <w:rPr>
                <w:noProof/>
                <w:webHidden/>
              </w:rPr>
              <w:tab/>
            </w:r>
            <w:r w:rsidR="00955315">
              <w:rPr>
                <w:noProof/>
                <w:webHidden/>
              </w:rPr>
              <w:fldChar w:fldCharType="begin"/>
            </w:r>
            <w:r w:rsidR="0050212E">
              <w:rPr>
                <w:noProof/>
                <w:webHidden/>
              </w:rPr>
              <w:instrText xml:space="preserve"> PAGEREF _Toc524821046 \h </w:instrText>
            </w:r>
            <w:r w:rsidR="00955315">
              <w:rPr>
                <w:noProof/>
                <w:webHidden/>
              </w:rPr>
            </w:r>
            <w:r w:rsidR="00955315">
              <w:rPr>
                <w:noProof/>
                <w:webHidden/>
              </w:rPr>
              <w:fldChar w:fldCharType="separate"/>
            </w:r>
            <w:r w:rsidR="0050212E">
              <w:rPr>
                <w:noProof/>
                <w:webHidden/>
              </w:rPr>
              <w:t>39</w:t>
            </w:r>
            <w:r w:rsidR="00955315">
              <w:rPr>
                <w:noProof/>
                <w:webHidden/>
              </w:rPr>
              <w:fldChar w:fldCharType="end"/>
            </w:r>
          </w:hyperlink>
        </w:p>
        <w:p w:rsidR="0050212E" w:rsidRDefault="00A765F7">
          <w:pPr>
            <w:pStyle w:val="TOC4"/>
            <w:tabs>
              <w:tab w:val="right" w:leader="dot" w:pos="9209"/>
            </w:tabs>
            <w:rPr>
              <w:noProof/>
            </w:rPr>
          </w:pPr>
          <w:hyperlink w:anchor="_Toc524821047" w:history="1">
            <w:r w:rsidR="0050212E" w:rsidRPr="00233D86">
              <w:rPr>
                <w:rStyle w:val="Hyperlink"/>
                <w:noProof/>
              </w:rPr>
              <w:t>4.1.3.4 Over 1 Year but Not More Than 5 Years</w:t>
            </w:r>
            <w:r w:rsidR="0050212E">
              <w:rPr>
                <w:noProof/>
                <w:webHidden/>
              </w:rPr>
              <w:tab/>
            </w:r>
            <w:r w:rsidR="00955315">
              <w:rPr>
                <w:noProof/>
                <w:webHidden/>
              </w:rPr>
              <w:fldChar w:fldCharType="begin"/>
            </w:r>
            <w:r w:rsidR="0050212E">
              <w:rPr>
                <w:noProof/>
                <w:webHidden/>
              </w:rPr>
              <w:instrText xml:space="preserve"> PAGEREF _Toc524821047 \h </w:instrText>
            </w:r>
            <w:r w:rsidR="00955315">
              <w:rPr>
                <w:noProof/>
                <w:webHidden/>
              </w:rPr>
            </w:r>
            <w:r w:rsidR="00955315">
              <w:rPr>
                <w:noProof/>
                <w:webHidden/>
              </w:rPr>
              <w:fldChar w:fldCharType="separate"/>
            </w:r>
            <w:r w:rsidR="0050212E">
              <w:rPr>
                <w:noProof/>
                <w:webHidden/>
              </w:rPr>
              <w:t>40</w:t>
            </w:r>
            <w:r w:rsidR="00955315">
              <w:rPr>
                <w:noProof/>
                <w:webHidden/>
              </w:rPr>
              <w:fldChar w:fldCharType="end"/>
            </w:r>
          </w:hyperlink>
        </w:p>
        <w:p w:rsidR="0050212E" w:rsidRDefault="00A765F7">
          <w:pPr>
            <w:pStyle w:val="TOC4"/>
            <w:tabs>
              <w:tab w:val="right" w:leader="dot" w:pos="9209"/>
            </w:tabs>
            <w:rPr>
              <w:noProof/>
            </w:rPr>
          </w:pPr>
          <w:hyperlink w:anchor="_Toc524821048" w:history="1">
            <w:r w:rsidR="0050212E" w:rsidRPr="00233D86">
              <w:rPr>
                <w:rStyle w:val="Hyperlink"/>
                <w:noProof/>
              </w:rPr>
              <w:t>4.1.3.5 Over 5 Years</w:t>
            </w:r>
            <w:r w:rsidR="0050212E">
              <w:rPr>
                <w:noProof/>
                <w:webHidden/>
              </w:rPr>
              <w:tab/>
            </w:r>
            <w:r w:rsidR="00955315">
              <w:rPr>
                <w:noProof/>
                <w:webHidden/>
              </w:rPr>
              <w:fldChar w:fldCharType="begin"/>
            </w:r>
            <w:r w:rsidR="0050212E">
              <w:rPr>
                <w:noProof/>
                <w:webHidden/>
              </w:rPr>
              <w:instrText xml:space="preserve"> PAGEREF _Toc524821048 \h </w:instrText>
            </w:r>
            <w:r w:rsidR="00955315">
              <w:rPr>
                <w:noProof/>
                <w:webHidden/>
              </w:rPr>
            </w:r>
            <w:r w:rsidR="00955315">
              <w:rPr>
                <w:noProof/>
                <w:webHidden/>
              </w:rPr>
              <w:fldChar w:fldCharType="separate"/>
            </w:r>
            <w:r w:rsidR="0050212E">
              <w:rPr>
                <w:noProof/>
                <w:webHidden/>
              </w:rPr>
              <w:t>41</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49" w:history="1">
            <w:r w:rsidR="0050212E" w:rsidRPr="00233D86">
              <w:rPr>
                <w:rStyle w:val="Hyperlink"/>
                <w:noProof/>
              </w:rPr>
              <w:t>4.1.4 Investment in Subsidiary</w:t>
            </w:r>
            <w:r w:rsidR="0050212E">
              <w:rPr>
                <w:noProof/>
                <w:webHidden/>
              </w:rPr>
              <w:tab/>
            </w:r>
            <w:r w:rsidR="00955315">
              <w:rPr>
                <w:noProof/>
                <w:webHidden/>
              </w:rPr>
              <w:fldChar w:fldCharType="begin"/>
            </w:r>
            <w:r w:rsidR="0050212E">
              <w:rPr>
                <w:noProof/>
                <w:webHidden/>
              </w:rPr>
              <w:instrText xml:space="preserve"> PAGEREF _Toc524821049 \h </w:instrText>
            </w:r>
            <w:r w:rsidR="00955315">
              <w:rPr>
                <w:noProof/>
                <w:webHidden/>
              </w:rPr>
            </w:r>
            <w:r w:rsidR="00955315">
              <w:rPr>
                <w:noProof/>
                <w:webHidden/>
              </w:rPr>
              <w:fldChar w:fldCharType="separate"/>
            </w:r>
            <w:r w:rsidR="0050212E">
              <w:rPr>
                <w:noProof/>
                <w:webHidden/>
              </w:rPr>
              <w:t>42</w:t>
            </w:r>
            <w:r w:rsidR="00955315">
              <w:rPr>
                <w:noProof/>
                <w:webHidden/>
              </w:rPr>
              <w:fldChar w:fldCharType="end"/>
            </w:r>
          </w:hyperlink>
        </w:p>
        <w:p w:rsidR="0050212E" w:rsidRDefault="00A765F7">
          <w:pPr>
            <w:pStyle w:val="TOC4"/>
            <w:tabs>
              <w:tab w:val="right" w:leader="dot" w:pos="9209"/>
            </w:tabs>
            <w:rPr>
              <w:noProof/>
            </w:rPr>
          </w:pPr>
          <w:hyperlink w:anchor="_Toc524821050" w:history="1">
            <w:r w:rsidR="0050212E" w:rsidRPr="00233D86">
              <w:rPr>
                <w:rStyle w:val="Hyperlink"/>
                <w:noProof/>
              </w:rPr>
              <w:t>4.1.4.1 City Brokerage Limited</w:t>
            </w:r>
            <w:r w:rsidR="0050212E">
              <w:rPr>
                <w:noProof/>
                <w:webHidden/>
              </w:rPr>
              <w:tab/>
            </w:r>
            <w:r w:rsidR="00955315">
              <w:rPr>
                <w:noProof/>
                <w:webHidden/>
              </w:rPr>
              <w:fldChar w:fldCharType="begin"/>
            </w:r>
            <w:r w:rsidR="0050212E">
              <w:rPr>
                <w:noProof/>
                <w:webHidden/>
              </w:rPr>
              <w:instrText xml:space="preserve"> PAGEREF _Toc524821050 \h </w:instrText>
            </w:r>
            <w:r w:rsidR="00955315">
              <w:rPr>
                <w:noProof/>
                <w:webHidden/>
              </w:rPr>
            </w:r>
            <w:r w:rsidR="00955315">
              <w:rPr>
                <w:noProof/>
                <w:webHidden/>
              </w:rPr>
              <w:fldChar w:fldCharType="separate"/>
            </w:r>
            <w:r w:rsidR="0050212E">
              <w:rPr>
                <w:noProof/>
                <w:webHidden/>
              </w:rPr>
              <w:t>42</w:t>
            </w:r>
            <w:r w:rsidR="00955315">
              <w:rPr>
                <w:noProof/>
                <w:webHidden/>
              </w:rPr>
              <w:fldChar w:fldCharType="end"/>
            </w:r>
          </w:hyperlink>
        </w:p>
        <w:p w:rsidR="0050212E" w:rsidRDefault="00A765F7">
          <w:pPr>
            <w:pStyle w:val="TOC4"/>
            <w:tabs>
              <w:tab w:val="right" w:leader="dot" w:pos="9209"/>
            </w:tabs>
            <w:rPr>
              <w:noProof/>
            </w:rPr>
          </w:pPr>
          <w:hyperlink w:anchor="_Toc524821051" w:history="1">
            <w:r w:rsidR="0050212E" w:rsidRPr="00233D86">
              <w:rPr>
                <w:rStyle w:val="Hyperlink"/>
                <w:noProof/>
              </w:rPr>
              <w:t>4.1.4.2 City Bank Capital Resources Limited</w:t>
            </w:r>
            <w:r w:rsidR="0050212E">
              <w:rPr>
                <w:noProof/>
                <w:webHidden/>
              </w:rPr>
              <w:tab/>
            </w:r>
            <w:r w:rsidR="00955315">
              <w:rPr>
                <w:noProof/>
                <w:webHidden/>
              </w:rPr>
              <w:fldChar w:fldCharType="begin"/>
            </w:r>
            <w:r w:rsidR="0050212E">
              <w:rPr>
                <w:noProof/>
                <w:webHidden/>
              </w:rPr>
              <w:instrText xml:space="preserve"> PAGEREF _Toc524821051 \h </w:instrText>
            </w:r>
            <w:r w:rsidR="00955315">
              <w:rPr>
                <w:noProof/>
                <w:webHidden/>
              </w:rPr>
            </w:r>
            <w:r w:rsidR="00955315">
              <w:rPr>
                <w:noProof/>
                <w:webHidden/>
              </w:rPr>
              <w:fldChar w:fldCharType="separate"/>
            </w:r>
            <w:r w:rsidR="0050212E">
              <w:rPr>
                <w:noProof/>
                <w:webHidden/>
              </w:rPr>
              <w:t>43</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52" w:history="1">
            <w:r w:rsidR="0050212E" w:rsidRPr="00233D86">
              <w:rPr>
                <w:rStyle w:val="Hyperlink"/>
                <w:noProof/>
              </w:rPr>
              <w:t>4.2 Comparisons among Investments as per Classification</w:t>
            </w:r>
            <w:r w:rsidR="0050212E">
              <w:rPr>
                <w:noProof/>
                <w:webHidden/>
              </w:rPr>
              <w:tab/>
            </w:r>
            <w:r w:rsidR="00955315">
              <w:rPr>
                <w:noProof/>
                <w:webHidden/>
              </w:rPr>
              <w:fldChar w:fldCharType="begin"/>
            </w:r>
            <w:r w:rsidR="0050212E">
              <w:rPr>
                <w:noProof/>
                <w:webHidden/>
              </w:rPr>
              <w:instrText xml:space="preserve"> PAGEREF _Toc524821052 \h </w:instrText>
            </w:r>
            <w:r w:rsidR="00955315">
              <w:rPr>
                <w:noProof/>
                <w:webHidden/>
              </w:rPr>
            </w:r>
            <w:r w:rsidR="00955315">
              <w:rPr>
                <w:noProof/>
                <w:webHidden/>
              </w:rPr>
              <w:fldChar w:fldCharType="separate"/>
            </w:r>
            <w:r w:rsidR="0050212E">
              <w:rPr>
                <w:noProof/>
                <w:webHidden/>
              </w:rPr>
              <w:t>44</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53" w:history="1">
            <w:r w:rsidR="0050212E" w:rsidRPr="00233D86">
              <w:rPr>
                <w:rStyle w:val="Hyperlink"/>
                <w:noProof/>
              </w:rPr>
              <w:t>4.2.1 Investment Classified as per Bangladesh Bank Circular</w:t>
            </w:r>
            <w:r w:rsidR="0050212E">
              <w:rPr>
                <w:noProof/>
                <w:webHidden/>
              </w:rPr>
              <w:tab/>
            </w:r>
            <w:r w:rsidR="00955315">
              <w:rPr>
                <w:noProof/>
                <w:webHidden/>
              </w:rPr>
              <w:fldChar w:fldCharType="begin"/>
            </w:r>
            <w:r w:rsidR="0050212E">
              <w:rPr>
                <w:noProof/>
                <w:webHidden/>
              </w:rPr>
              <w:instrText xml:space="preserve"> PAGEREF _Toc524821053 \h </w:instrText>
            </w:r>
            <w:r w:rsidR="00955315">
              <w:rPr>
                <w:noProof/>
                <w:webHidden/>
              </w:rPr>
            </w:r>
            <w:r w:rsidR="00955315">
              <w:rPr>
                <w:noProof/>
                <w:webHidden/>
              </w:rPr>
              <w:fldChar w:fldCharType="separate"/>
            </w:r>
            <w:r w:rsidR="0050212E">
              <w:rPr>
                <w:noProof/>
                <w:webHidden/>
              </w:rPr>
              <w:t>44</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54" w:history="1">
            <w:r w:rsidR="0050212E" w:rsidRPr="00233D86">
              <w:rPr>
                <w:rStyle w:val="Hyperlink"/>
                <w:noProof/>
              </w:rPr>
              <w:t>4.2.2. General Investment Classification</w:t>
            </w:r>
            <w:r w:rsidR="0050212E">
              <w:rPr>
                <w:noProof/>
                <w:webHidden/>
              </w:rPr>
              <w:tab/>
            </w:r>
            <w:r w:rsidR="00955315">
              <w:rPr>
                <w:noProof/>
                <w:webHidden/>
              </w:rPr>
              <w:fldChar w:fldCharType="begin"/>
            </w:r>
            <w:r w:rsidR="0050212E">
              <w:rPr>
                <w:noProof/>
                <w:webHidden/>
              </w:rPr>
              <w:instrText xml:space="preserve"> PAGEREF _Toc524821054 \h </w:instrText>
            </w:r>
            <w:r w:rsidR="00955315">
              <w:rPr>
                <w:noProof/>
                <w:webHidden/>
              </w:rPr>
            </w:r>
            <w:r w:rsidR="00955315">
              <w:rPr>
                <w:noProof/>
                <w:webHidden/>
              </w:rPr>
              <w:fldChar w:fldCharType="separate"/>
            </w:r>
            <w:r w:rsidR="0050212E">
              <w:rPr>
                <w:noProof/>
                <w:webHidden/>
              </w:rPr>
              <w:t>45</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55" w:history="1">
            <w:r w:rsidR="0050212E" w:rsidRPr="00233D86">
              <w:rPr>
                <w:rStyle w:val="Hyperlink"/>
                <w:noProof/>
              </w:rPr>
              <w:t>4.2.3. Classification as Maturity Grouping Investment</w:t>
            </w:r>
            <w:r w:rsidR="0050212E">
              <w:rPr>
                <w:noProof/>
                <w:webHidden/>
              </w:rPr>
              <w:tab/>
            </w:r>
            <w:r w:rsidR="00955315">
              <w:rPr>
                <w:noProof/>
                <w:webHidden/>
              </w:rPr>
              <w:fldChar w:fldCharType="begin"/>
            </w:r>
            <w:r w:rsidR="0050212E">
              <w:rPr>
                <w:noProof/>
                <w:webHidden/>
              </w:rPr>
              <w:instrText xml:space="preserve"> PAGEREF _Toc524821055 \h </w:instrText>
            </w:r>
            <w:r w:rsidR="00955315">
              <w:rPr>
                <w:noProof/>
                <w:webHidden/>
              </w:rPr>
            </w:r>
            <w:r w:rsidR="00955315">
              <w:rPr>
                <w:noProof/>
                <w:webHidden/>
              </w:rPr>
              <w:fldChar w:fldCharType="separate"/>
            </w:r>
            <w:r w:rsidR="0050212E">
              <w:rPr>
                <w:noProof/>
                <w:webHidden/>
              </w:rPr>
              <w:t>45</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56" w:history="1">
            <w:r w:rsidR="0050212E" w:rsidRPr="00233D86">
              <w:rPr>
                <w:rStyle w:val="Hyperlink"/>
                <w:noProof/>
              </w:rPr>
              <w:t>4.3 Proportion of Investment and Investment Income</w:t>
            </w:r>
            <w:r w:rsidR="0050212E">
              <w:rPr>
                <w:noProof/>
                <w:webHidden/>
              </w:rPr>
              <w:tab/>
            </w:r>
            <w:r w:rsidR="00955315">
              <w:rPr>
                <w:noProof/>
                <w:webHidden/>
              </w:rPr>
              <w:fldChar w:fldCharType="begin"/>
            </w:r>
            <w:r w:rsidR="0050212E">
              <w:rPr>
                <w:noProof/>
                <w:webHidden/>
              </w:rPr>
              <w:instrText xml:space="preserve"> PAGEREF _Toc524821056 \h </w:instrText>
            </w:r>
            <w:r w:rsidR="00955315">
              <w:rPr>
                <w:noProof/>
                <w:webHidden/>
              </w:rPr>
            </w:r>
            <w:r w:rsidR="00955315">
              <w:rPr>
                <w:noProof/>
                <w:webHidden/>
              </w:rPr>
              <w:fldChar w:fldCharType="separate"/>
            </w:r>
            <w:r w:rsidR="0050212E">
              <w:rPr>
                <w:noProof/>
                <w:webHidden/>
              </w:rPr>
              <w:t>46</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57" w:history="1">
            <w:r w:rsidR="0050212E" w:rsidRPr="00233D86">
              <w:rPr>
                <w:rStyle w:val="Hyperlink"/>
                <w:noProof/>
              </w:rPr>
              <w:t>4.3.1 Proportion of Financial Assets in Terms of Total Assets</w:t>
            </w:r>
            <w:r w:rsidR="0050212E">
              <w:rPr>
                <w:noProof/>
                <w:webHidden/>
              </w:rPr>
              <w:tab/>
            </w:r>
            <w:r w:rsidR="00955315">
              <w:rPr>
                <w:noProof/>
                <w:webHidden/>
              </w:rPr>
              <w:fldChar w:fldCharType="begin"/>
            </w:r>
            <w:r w:rsidR="0050212E">
              <w:rPr>
                <w:noProof/>
                <w:webHidden/>
              </w:rPr>
              <w:instrText xml:space="preserve"> PAGEREF _Toc524821057 \h </w:instrText>
            </w:r>
            <w:r w:rsidR="00955315">
              <w:rPr>
                <w:noProof/>
                <w:webHidden/>
              </w:rPr>
            </w:r>
            <w:r w:rsidR="00955315">
              <w:rPr>
                <w:noProof/>
                <w:webHidden/>
              </w:rPr>
              <w:fldChar w:fldCharType="separate"/>
            </w:r>
            <w:r w:rsidR="0050212E">
              <w:rPr>
                <w:noProof/>
                <w:webHidden/>
              </w:rPr>
              <w:t>46</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58" w:history="1">
            <w:r w:rsidR="0050212E" w:rsidRPr="00233D86">
              <w:rPr>
                <w:rStyle w:val="Hyperlink"/>
                <w:noProof/>
              </w:rPr>
              <w:t>4.3.2. Proportion of Financial Assets In Terms Of Total Liabilities</w:t>
            </w:r>
            <w:r w:rsidR="0050212E">
              <w:rPr>
                <w:noProof/>
                <w:webHidden/>
              </w:rPr>
              <w:tab/>
            </w:r>
            <w:r w:rsidR="00955315">
              <w:rPr>
                <w:noProof/>
                <w:webHidden/>
              </w:rPr>
              <w:fldChar w:fldCharType="begin"/>
            </w:r>
            <w:r w:rsidR="0050212E">
              <w:rPr>
                <w:noProof/>
                <w:webHidden/>
              </w:rPr>
              <w:instrText xml:space="preserve"> PAGEREF _Toc524821058 \h </w:instrText>
            </w:r>
            <w:r w:rsidR="00955315">
              <w:rPr>
                <w:noProof/>
                <w:webHidden/>
              </w:rPr>
            </w:r>
            <w:r w:rsidR="00955315">
              <w:rPr>
                <w:noProof/>
                <w:webHidden/>
              </w:rPr>
              <w:fldChar w:fldCharType="separate"/>
            </w:r>
            <w:r w:rsidR="0050212E">
              <w:rPr>
                <w:noProof/>
                <w:webHidden/>
              </w:rPr>
              <w:t>47</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59" w:history="1">
            <w:r w:rsidR="0050212E" w:rsidRPr="00233D86">
              <w:rPr>
                <w:rStyle w:val="Hyperlink"/>
                <w:noProof/>
              </w:rPr>
              <w:t>4.3.3 Investment Income on Treasury Bills/Reverse Repo/Bonds</w:t>
            </w:r>
            <w:r w:rsidR="0050212E">
              <w:rPr>
                <w:noProof/>
                <w:webHidden/>
              </w:rPr>
              <w:tab/>
            </w:r>
            <w:r w:rsidR="00955315">
              <w:rPr>
                <w:noProof/>
                <w:webHidden/>
              </w:rPr>
              <w:fldChar w:fldCharType="begin"/>
            </w:r>
            <w:r w:rsidR="0050212E">
              <w:rPr>
                <w:noProof/>
                <w:webHidden/>
              </w:rPr>
              <w:instrText xml:space="preserve"> PAGEREF _Toc524821059 \h </w:instrText>
            </w:r>
            <w:r w:rsidR="00955315">
              <w:rPr>
                <w:noProof/>
                <w:webHidden/>
              </w:rPr>
            </w:r>
            <w:r w:rsidR="00955315">
              <w:rPr>
                <w:noProof/>
                <w:webHidden/>
              </w:rPr>
              <w:fldChar w:fldCharType="separate"/>
            </w:r>
            <w:r w:rsidR="0050212E">
              <w:rPr>
                <w:noProof/>
                <w:webHidden/>
              </w:rPr>
              <w:t>48</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60" w:history="1">
            <w:r w:rsidR="0050212E" w:rsidRPr="00233D86">
              <w:rPr>
                <w:rStyle w:val="Hyperlink"/>
                <w:noProof/>
              </w:rPr>
              <w:t>4.3.4 Interest on Debentures</w:t>
            </w:r>
            <w:r w:rsidR="0050212E">
              <w:rPr>
                <w:noProof/>
                <w:webHidden/>
              </w:rPr>
              <w:tab/>
            </w:r>
            <w:r w:rsidR="00955315">
              <w:rPr>
                <w:noProof/>
                <w:webHidden/>
              </w:rPr>
              <w:fldChar w:fldCharType="begin"/>
            </w:r>
            <w:r w:rsidR="0050212E">
              <w:rPr>
                <w:noProof/>
                <w:webHidden/>
              </w:rPr>
              <w:instrText xml:space="preserve"> PAGEREF _Toc524821060 \h </w:instrText>
            </w:r>
            <w:r w:rsidR="00955315">
              <w:rPr>
                <w:noProof/>
                <w:webHidden/>
              </w:rPr>
            </w:r>
            <w:r w:rsidR="00955315">
              <w:rPr>
                <w:noProof/>
                <w:webHidden/>
              </w:rPr>
              <w:fldChar w:fldCharType="separate"/>
            </w:r>
            <w:r w:rsidR="0050212E">
              <w:rPr>
                <w:noProof/>
                <w:webHidden/>
              </w:rPr>
              <w:t>48</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61" w:history="1">
            <w:r w:rsidR="0050212E" w:rsidRPr="00233D86">
              <w:rPr>
                <w:rStyle w:val="Hyperlink"/>
                <w:noProof/>
              </w:rPr>
              <w:t>4.3.5 Dividend Income on Shares</w:t>
            </w:r>
            <w:r w:rsidR="0050212E">
              <w:rPr>
                <w:noProof/>
                <w:webHidden/>
              </w:rPr>
              <w:tab/>
            </w:r>
            <w:r w:rsidR="00955315">
              <w:rPr>
                <w:noProof/>
                <w:webHidden/>
              </w:rPr>
              <w:fldChar w:fldCharType="begin"/>
            </w:r>
            <w:r w:rsidR="0050212E">
              <w:rPr>
                <w:noProof/>
                <w:webHidden/>
              </w:rPr>
              <w:instrText xml:space="preserve"> PAGEREF _Toc524821061 \h </w:instrText>
            </w:r>
            <w:r w:rsidR="00955315">
              <w:rPr>
                <w:noProof/>
                <w:webHidden/>
              </w:rPr>
            </w:r>
            <w:r w:rsidR="00955315">
              <w:rPr>
                <w:noProof/>
                <w:webHidden/>
              </w:rPr>
              <w:fldChar w:fldCharType="separate"/>
            </w:r>
            <w:r w:rsidR="0050212E">
              <w:rPr>
                <w:noProof/>
                <w:webHidden/>
              </w:rPr>
              <w:t>49</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62" w:history="1">
            <w:r w:rsidR="0050212E" w:rsidRPr="00233D86">
              <w:rPr>
                <w:rStyle w:val="Hyperlink"/>
                <w:noProof/>
              </w:rPr>
              <w:t>4.3.6 Gain on Government Securities</w:t>
            </w:r>
            <w:r w:rsidR="0050212E">
              <w:rPr>
                <w:noProof/>
                <w:webHidden/>
              </w:rPr>
              <w:tab/>
            </w:r>
            <w:r w:rsidR="00955315">
              <w:rPr>
                <w:noProof/>
                <w:webHidden/>
              </w:rPr>
              <w:fldChar w:fldCharType="begin"/>
            </w:r>
            <w:r w:rsidR="0050212E">
              <w:rPr>
                <w:noProof/>
                <w:webHidden/>
              </w:rPr>
              <w:instrText xml:space="preserve"> PAGEREF _Toc524821062 \h </w:instrText>
            </w:r>
            <w:r w:rsidR="00955315">
              <w:rPr>
                <w:noProof/>
                <w:webHidden/>
              </w:rPr>
            </w:r>
            <w:r w:rsidR="00955315">
              <w:rPr>
                <w:noProof/>
                <w:webHidden/>
              </w:rPr>
              <w:fldChar w:fldCharType="separate"/>
            </w:r>
            <w:r w:rsidR="0050212E">
              <w:rPr>
                <w:noProof/>
                <w:webHidden/>
              </w:rPr>
              <w:t>50</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63" w:history="1">
            <w:r w:rsidR="0050212E" w:rsidRPr="00233D86">
              <w:rPr>
                <w:rStyle w:val="Hyperlink"/>
                <w:noProof/>
              </w:rPr>
              <w:t>4.3.7 Gain on Sales of Shares and Debentures</w:t>
            </w:r>
            <w:r w:rsidR="0050212E">
              <w:rPr>
                <w:noProof/>
                <w:webHidden/>
              </w:rPr>
              <w:tab/>
            </w:r>
            <w:r w:rsidR="00955315">
              <w:rPr>
                <w:noProof/>
                <w:webHidden/>
              </w:rPr>
              <w:fldChar w:fldCharType="begin"/>
            </w:r>
            <w:r w:rsidR="0050212E">
              <w:rPr>
                <w:noProof/>
                <w:webHidden/>
              </w:rPr>
              <w:instrText xml:space="preserve"> PAGEREF _Toc524821063 \h </w:instrText>
            </w:r>
            <w:r w:rsidR="00955315">
              <w:rPr>
                <w:noProof/>
                <w:webHidden/>
              </w:rPr>
            </w:r>
            <w:r w:rsidR="00955315">
              <w:rPr>
                <w:noProof/>
                <w:webHidden/>
              </w:rPr>
              <w:fldChar w:fldCharType="separate"/>
            </w:r>
            <w:r w:rsidR="0050212E">
              <w:rPr>
                <w:noProof/>
                <w:webHidden/>
              </w:rPr>
              <w:t>50</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64" w:history="1">
            <w:r w:rsidR="0050212E" w:rsidRPr="00233D86">
              <w:rPr>
                <w:rStyle w:val="Hyperlink"/>
                <w:noProof/>
              </w:rPr>
              <w:t>4.3.8 Gain on Repo</w:t>
            </w:r>
            <w:r w:rsidR="0050212E">
              <w:rPr>
                <w:noProof/>
                <w:webHidden/>
              </w:rPr>
              <w:tab/>
            </w:r>
            <w:r w:rsidR="00955315">
              <w:rPr>
                <w:noProof/>
                <w:webHidden/>
              </w:rPr>
              <w:fldChar w:fldCharType="begin"/>
            </w:r>
            <w:r w:rsidR="0050212E">
              <w:rPr>
                <w:noProof/>
                <w:webHidden/>
              </w:rPr>
              <w:instrText xml:space="preserve"> PAGEREF _Toc524821064 \h </w:instrText>
            </w:r>
            <w:r w:rsidR="00955315">
              <w:rPr>
                <w:noProof/>
                <w:webHidden/>
              </w:rPr>
            </w:r>
            <w:r w:rsidR="00955315">
              <w:rPr>
                <w:noProof/>
                <w:webHidden/>
              </w:rPr>
              <w:fldChar w:fldCharType="separate"/>
            </w:r>
            <w:r w:rsidR="0050212E">
              <w:rPr>
                <w:noProof/>
                <w:webHidden/>
              </w:rPr>
              <w:t>51</w:t>
            </w:r>
            <w:r w:rsidR="00955315">
              <w:rPr>
                <w:noProof/>
                <w:webHidden/>
              </w:rPr>
              <w:fldChar w:fldCharType="end"/>
            </w:r>
          </w:hyperlink>
        </w:p>
        <w:p w:rsidR="0050212E" w:rsidRDefault="00A765F7">
          <w:pPr>
            <w:pStyle w:val="TOC3"/>
            <w:tabs>
              <w:tab w:val="right" w:leader="dot" w:pos="9209"/>
            </w:tabs>
            <w:rPr>
              <w:rFonts w:asciiTheme="minorHAnsi" w:eastAsiaTheme="minorEastAsia" w:hAnsiTheme="minorHAnsi" w:cs="Vrinda"/>
              <w:noProof/>
              <w:color w:val="auto"/>
              <w:szCs w:val="28"/>
              <w:lang w:bidi="bn-BD"/>
            </w:rPr>
          </w:pPr>
          <w:hyperlink w:anchor="_Toc524821065" w:history="1">
            <w:r w:rsidR="0050212E" w:rsidRPr="00233D86">
              <w:rPr>
                <w:rStyle w:val="Hyperlink"/>
                <w:noProof/>
              </w:rPr>
              <w:t>4.3.9 Proportion of Investment Income among total Interest Income</w:t>
            </w:r>
            <w:r w:rsidR="0050212E">
              <w:rPr>
                <w:noProof/>
                <w:webHidden/>
              </w:rPr>
              <w:tab/>
            </w:r>
            <w:r w:rsidR="00955315">
              <w:rPr>
                <w:noProof/>
                <w:webHidden/>
              </w:rPr>
              <w:fldChar w:fldCharType="begin"/>
            </w:r>
            <w:r w:rsidR="0050212E">
              <w:rPr>
                <w:noProof/>
                <w:webHidden/>
              </w:rPr>
              <w:instrText xml:space="preserve"> PAGEREF _Toc524821065 \h </w:instrText>
            </w:r>
            <w:r w:rsidR="00955315">
              <w:rPr>
                <w:noProof/>
                <w:webHidden/>
              </w:rPr>
            </w:r>
            <w:r w:rsidR="00955315">
              <w:rPr>
                <w:noProof/>
                <w:webHidden/>
              </w:rPr>
              <w:fldChar w:fldCharType="separate"/>
            </w:r>
            <w:r w:rsidR="0050212E">
              <w:rPr>
                <w:noProof/>
                <w:webHidden/>
              </w:rPr>
              <w:t>52</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1066" w:history="1">
            <w:r w:rsidR="0050212E" w:rsidRPr="003C4CCB">
              <w:rPr>
                <w:rStyle w:val="Hyperlink"/>
                <w:rFonts w:eastAsia="Calibri"/>
                <w:noProof/>
              </w:rPr>
              <w:t>Chapter 5: Findings &amp; Conclusion</w:t>
            </w:r>
            <w:r w:rsidR="0050212E">
              <w:rPr>
                <w:noProof/>
                <w:webHidden/>
              </w:rPr>
              <w:tab/>
            </w:r>
            <w:r w:rsidR="00955315">
              <w:rPr>
                <w:noProof/>
                <w:webHidden/>
              </w:rPr>
              <w:fldChar w:fldCharType="begin"/>
            </w:r>
            <w:r w:rsidR="0050212E">
              <w:rPr>
                <w:noProof/>
                <w:webHidden/>
              </w:rPr>
              <w:instrText xml:space="preserve"> PAGEREF _Toc524821066 \h </w:instrText>
            </w:r>
            <w:r w:rsidR="00955315">
              <w:rPr>
                <w:noProof/>
                <w:webHidden/>
              </w:rPr>
            </w:r>
            <w:r w:rsidR="00955315">
              <w:rPr>
                <w:noProof/>
                <w:webHidden/>
              </w:rPr>
              <w:fldChar w:fldCharType="separate"/>
            </w:r>
            <w:r w:rsidR="0050212E">
              <w:rPr>
                <w:noProof/>
                <w:webHidden/>
              </w:rPr>
              <w:t>53</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67" w:history="1">
            <w:r w:rsidR="0050212E" w:rsidRPr="00233D86">
              <w:rPr>
                <w:rStyle w:val="Hyperlink"/>
                <w:noProof/>
              </w:rPr>
              <w:t>5.1 Findings &amp; Recommendation</w:t>
            </w:r>
            <w:r w:rsidR="0050212E">
              <w:rPr>
                <w:noProof/>
                <w:webHidden/>
              </w:rPr>
              <w:tab/>
            </w:r>
            <w:r w:rsidR="00955315">
              <w:rPr>
                <w:noProof/>
                <w:webHidden/>
              </w:rPr>
              <w:fldChar w:fldCharType="begin"/>
            </w:r>
            <w:r w:rsidR="0050212E">
              <w:rPr>
                <w:noProof/>
                <w:webHidden/>
              </w:rPr>
              <w:instrText xml:space="preserve"> PAGEREF _Toc524821067 \h </w:instrText>
            </w:r>
            <w:r w:rsidR="00955315">
              <w:rPr>
                <w:noProof/>
                <w:webHidden/>
              </w:rPr>
            </w:r>
            <w:r w:rsidR="00955315">
              <w:rPr>
                <w:noProof/>
                <w:webHidden/>
              </w:rPr>
              <w:fldChar w:fldCharType="separate"/>
            </w:r>
            <w:r w:rsidR="0050212E">
              <w:rPr>
                <w:noProof/>
                <w:webHidden/>
              </w:rPr>
              <w:t>54</w:t>
            </w:r>
            <w:r w:rsidR="00955315">
              <w:rPr>
                <w:noProof/>
                <w:webHidden/>
              </w:rPr>
              <w:fldChar w:fldCharType="end"/>
            </w:r>
          </w:hyperlink>
        </w:p>
        <w:p w:rsidR="0050212E" w:rsidRDefault="00A765F7">
          <w:pPr>
            <w:pStyle w:val="TOC2"/>
            <w:tabs>
              <w:tab w:val="right" w:leader="dot" w:pos="9209"/>
            </w:tabs>
            <w:rPr>
              <w:rFonts w:asciiTheme="minorHAnsi" w:eastAsiaTheme="minorEastAsia" w:hAnsiTheme="minorHAnsi" w:cs="Vrinda"/>
              <w:noProof/>
              <w:color w:val="auto"/>
              <w:szCs w:val="28"/>
              <w:lang w:bidi="bn-BD"/>
            </w:rPr>
          </w:pPr>
          <w:hyperlink w:anchor="_Toc524821068" w:history="1">
            <w:r w:rsidR="0050212E" w:rsidRPr="00233D86">
              <w:rPr>
                <w:rStyle w:val="Hyperlink"/>
                <w:noProof/>
              </w:rPr>
              <w:t>5.2 Conclusion</w:t>
            </w:r>
            <w:r w:rsidR="0050212E">
              <w:rPr>
                <w:noProof/>
                <w:webHidden/>
              </w:rPr>
              <w:tab/>
            </w:r>
            <w:r w:rsidR="00955315">
              <w:rPr>
                <w:noProof/>
                <w:webHidden/>
              </w:rPr>
              <w:fldChar w:fldCharType="begin"/>
            </w:r>
            <w:r w:rsidR="0050212E">
              <w:rPr>
                <w:noProof/>
                <w:webHidden/>
              </w:rPr>
              <w:instrText xml:space="preserve"> PAGEREF _Toc524821068 \h </w:instrText>
            </w:r>
            <w:r w:rsidR="00955315">
              <w:rPr>
                <w:noProof/>
                <w:webHidden/>
              </w:rPr>
            </w:r>
            <w:r w:rsidR="00955315">
              <w:rPr>
                <w:noProof/>
                <w:webHidden/>
              </w:rPr>
              <w:fldChar w:fldCharType="separate"/>
            </w:r>
            <w:r w:rsidR="0050212E">
              <w:rPr>
                <w:noProof/>
                <w:webHidden/>
              </w:rPr>
              <w:t>55</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1069" w:history="1">
            <w:r w:rsidR="0050212E" w:rsidRPr="00233D86">
              <w:rPr>
                <w:rStyle w:val="Hyperlink"/>
                <w:noProof/>
              </w:rPr>
              <w:t>References &amp; Bibliography</w:t>
            </w:r>
            <w:r w:rsidR="0050212E">
              <w:rPr>
                <w:noProof/>
                <w:webHidden/>
              </w:rPr>
              <w:tab/>
            </w:r>
            <w:r w:rsidR="00955315">
              <w:rPr>
                <w:noProof/>
                <w:webHidden/>
              </w:rPr>
              <w:fldChar w:fldCharType="begin"/>
            </w:r>
            <w:r w:rsidR="0050212E">
              <w:rPr>
                <w:noProof/>
                <w:webHidden/>
              </w:rPr>
              <w:instrText xml:space="preserve"> PAGEREF _Toc524821069 \h </w:instrText>
            </w:r>
            <w:r w:rsidR="00955315">
              <w:rPr>
                <w:noProof/>
                <w:webHidden/>
              </w:rPr>
            </w:r>
            <w:r w:rsidR="00955315">
              <w:rPr>
                <w:noProof/>
                <w:webHidden/>
              </w:rPr>
              <w:fldChar w:fldCharType="separate"/>
            </w:r>
            <w:r w:rsidR="0050212E">
              <w:rPr>
                <w:noProof/>
                <w:webHidden/>
              </w:rPr>
              <w:t>56</w:t>
            </w:r>
            <w:r w:rsidR="00955315">
              <w:rPr>
                <w:noProof/>
                <w:webHidden/>
              </w:rPr>
              <w:fldChar w:fldCharType="end"/>
            </w:r>
          </w:hyperlink>
        </w:p>
        <w:p w:rsidR="0050212E" w:rsidRDefault="00A765F7">
          <w:pPr>
            <w:pStyle w:val="TOC1"/>
            <w:tabs>
              <w:tab w:val="right" w:leader="dot" w:pos="9209"/>
            </w:tabs>
            <w:rPr>
              <w:rFonts w:asciiTheme="minorHAnsi" w:eastAsiaTheme="minorEastAsia" w:hAnsiTheme="minorHAnsi" w:cs="Vrinda"/>
              <w:noProof/>
              <w:color w:val="auto"/>
              <w:szCs w:val="28"/>
              <w:lang w:bidi="bn-BD"/>
            </w:rPr>
          </w:pPr>
          <w:hyperlink w:anchor="_Toc524821070" w:history="1">
            <w:r w:rsidR="0050212E" w:rsidRPr="00233D86">
              <w:rPr>
                <w:rStyle w:val="Hyperlink"/>
                <w:noProof/>
              </w:rPr>
              <w:t>Appendix &amp; Notes</w:t>
            </w:r>
            <w:r w:rsidR="0050212E">
              <w:rPr>
                <w:noProof/>
                <w:webHidden/>
              </w:rPr>
              <w:tab/>
            </w:r>
            <w:r w:rsidR="00955315">
              <w:rPr>
                <w:noProof/>
                <w:webHidden/>
              </w:rPr>
              <w:fldChar w:fldCharType="begin"/>
            </w:r>
            <w:r w:rsidR="0050212E">
              <w:rPr>
                <w:noProof/>
                <w:webHidden/>
              </w:rPr>
              <w:instrText xml:space="preserve"> PAGEREF _Toc524821070 \h </w:instrText>
            </w:r>
            <w:r w:rsidR="00955315">
              <w:rPr>
                <w:noProof/>
                <w:webHidden/>
              </w:rPr>
            </w:r>
            <w:r w:rsidR="00955315">
              <w:rPr>
                <w:noProof/>
                <w:webHidden/>
              </w:rPr>
              <w:fldChar w:fldCharType="separate"/>
            </w:r>
            <w:r w:rsidR="0050212E">
              <w:rPr>
                <w:noProof/>
                <w:webHidden/>
              </w:rPr>
              <w:t>56</w:t>
            </w:r>
            <w:r w:rsidR="00955315">
              <w:rPr>
                <w:noProof/>
                <w:webHidden/>
              </w:rPr>
              <w:fldChar w:fldCharType="end"/>
            </w:r>
          </w:hyperlink>
        </w:p>
        <w:p w:rsidR="00F6772C" w:rsidRDefault="00955315">
          <w:r>
            <w:fldChar w:fldCharType="end"/>
          </w:r>
        </w:p>
      </w:sdtContent>
    </w:sdt>
    <w:p w:rsidR="00F6772C" w:rsidRDefault="00F6772C">
      <w:pPr>
        <w:spacing w:after="3" w:line="240" w:lineRule="auto"/>
        <w:ind w:left="3313" w:firstLine="0"/>
        <w:jc w:val="left"/>
        <w:rPr>
          <w:b/>
          <w:i/>
          <w:color w:val="984806"/>
          <w:sz w:val="40"/>
          <w:shd w:val="clear" w:color="auto" w:fill="C0C0C0"/>
        </w:rPr>
      </w:pPr>
    </w:p>
    <w:p w:rsidR="00222762" w:rsidRDefault="00222762">
      <w:pPr>
        <w:sectPr w:rsidR="00222762">
          <w:headerReference w:type="even" r:id="rId16"/>
          <w:headerReference w:type="default" r:id="rId17"/>
          <w:footerReference w:type="even" r:id="rId18"/>
          <w:footerReference w:type="default" r:id="rId19"/>
          <w:headerReference w:type="first" r:id="rId20"/>
          <w:footerReference w:type="first" r:id="rId21"/>
          <w:pgSz w:w="11906" w:h="16838"/>
          <w:pgMar w:top="1440" w:right="1434" w:bottom="1440" w:left="1253" w:header="720" w:footer="286" w:gutter="0"/>
          <w:pgNumType w:fmt="lowerRoman" w:start="1"/>
          <w:cols w:space="720"/>
        </w:sectPr>
      </w:pPr>
    </w:p>
    <w:p w:rsidR="00222762" w:rsidRDefault="00222762">
      <w:pPr>
        <w:spacing w:after="259" w:line="240" w:lineRule="auto"/>
        <w:ind w:left="91" w:firstLine="0"/>
        <w:jc w:val="left"/>
      </w:pPr>
    </w:p>
    <w:p w:rsidR="00222762" w:rsidRDefault="00222762">
      <w:pPr>
        <w:spacing w:after="256" w:line="240" w:lineRule="auto"/>
        <w:ind w:left="91" w:firstLine="0"/>
        <w:jc w:val="left"/>
      </w:pPr>
    </w:p>
    <w:p w:rsidR="00222762" w:rsidRDefault="00222762">
      <w:pPr>
        <w:spacing w:after="259" w:line="240" w:lineRule="auto"/>
        <w:ind w:left="91" w:firstLine="0"/>
        <w:jc w:val="left"/>
      </w:pPr>
    </w:p>
    <w:p w:rsidR="00222762" w:rsidRDefault="00222762">
      <w:pPr>
        <w:spacing w:after="259" w:line="240" w:lineRule="auto"/>
        <w:ind w:left="91" w:firstLine="0"/>
        <w:jc w:val="left"/>
      </w:pPr>
    </w:p>
    <w:p w:rsidR="00222762" w:rsidRDefault="00222762">
      <w:pPr>
        <w:spacing w:after="256" w:line="240" w:lineRule="auto"/>
        <w:ind w:left="91" w:firstLine="0"/>
        <w:jc w:val="left"/>
      </w:pPr>
    </w:p>
    <w:p w:rsidR="00222762" w:rsidRDefault="00222762">
      <w:pPr>
        <w:spacing w:after="259" w:line="240" w:lineRule="auto"/>
        <w:ind w:left="91" w:firstLine="0"/>
        <w:jc w:val="left"/>
      </w:pPr>
    </w:p>
    <w:p w:rsidR="00222762" w:rsidRDefault="00222762">
      <w:pPr>
        <w:spacing w:after="259" w:line="240" w:lineRule="auto"/>
        <w:ind w:left="0" w:right="5004" w:firstLine="0"/>
        <w:jc w:val="right"/>
      </w:pPr>
    </w:p>
    <w:p w:rsidR="0076569A" w:rsidRDefault="0076569A" w:rsidP="00AD581D">
      <w:pPr>
        <w:spacing w:line="240" w:lineRule="auto"/>
        <w:ind w:left="303" w:firstLine="0"/>
        <w:jc w:val="left"/>
        <w:rPr>
          <w:rFonts w:ascii="Calibri" w:eastAsia="Calibri" w:hAnsi="Calibri" w:cs="Calibri"/>
          <w:noProof/>
        </w:rPr>
      </w:pPr>
    </w:p>
    <w:p w:rsidR="0076569A" w:rsidRPr="0076569A" w:rsidRDefault="0076569A" w:rsidP="0076569A">
      <w:pPr>
        <w:rPr>
          <w:rFonts w:ascii="Calibri" w:eastAsia="Calibri" w:hAnsi="Calibri" w:cs="Calibri"/>
        </w:rPr>
      </w:pPr>
    </w:p>
    <w:p w:rsidR="0076569A" w:rsidRPr="0076569A" w:rsidRDefault="0076569A" w:rsidP="0076569A">
      <w:pPr>
        <w:rPr>
          <w:rFonts w:ascii="Calibri" w:eastAsia="Calibri" w:hAnsi="Calibri" w:cs="Calibri"/>
        </w:rPr>
      </w:pPr>
    </w:p>
    <w:p w:rsidR="0076569A" w:rsidRPr="0076569A" w:rsidRDefault="0076569A" w:rsidP="0076569A">
      <w:pPr>
        <w:rPr>
          <w:rFonts w:ascii="Calibri" w:eastAsia="Calibri" w:hAnsi="Calibri" w:cs="Calibri"/>
        </w:rPr>
      </w:pPr>
    </w:p>
    <w:p w:rsidR="0076569A" w:rsidRPr="0076569A" w:rsidRDefault="0076569A" w:rsidP="0076569A">
      <w:pPr>
        <w:rPr>
          <w:rFonts w:ascii="Calibri" w:eastAsia="Calibri" w:hAnsi="Calibri" w:cs="Calibri"/>
        </w:rPr>
      </w:pPr>
    </w:p>
    <w:p w:rsidR="0076569A" w:rsidRDefault="0076569A" w:rsidP="0076569A">
      <w:pPr>
        <w:rPr>
          <w:rFonts w:ascii="Calibri" w:eastAsia="Calibri" w:hAnsi="Calibri" w:cs="Calibri"/>
        </w:rPr>
      </w:pPr>
    </w:p>
    <w:p w:rsidR="0076569A" w:rsidRPr="00401C1D" w:rsidRDefault="0076569A" w:rsidP="00401C1D">
      <w:pPr>
        <w:pStyle w:val="Heading1"/>
        <w:rPr>
          <w:rFonts w:eastAsia="Calibri"/>
          <w:w w:val="80"/>
          <w:sz w:val="72"/>
          <w:szCs w:val="44"/>
        </w:rPr>
      </w:pPr>
      <w:bookmarkStart w:id="4" w:name="_Toc524820983"/>
      <w:r w:rsidRPr="00401C1D">
        <w:rPr>
          <w:rFonts w:eastAsia="Calibri"/>
          <w:w w:val="80"/>
          <w:sz w:val="72"/>
          <w:szCs w:val="44"/>
        </w:rPr>
        <w:t>Chapter 1: Introduction</w:t>
      </w:r>
      <w:bookmarkEnd w:id="4"/>
    </w:p>
    <w:p w:rsidR="00AD581D" w:rsidRPr="00C92866" w:rsidRDefault="00AD581D" w:rsidP="00C92866">
      <w:pPr>
        <w:pStyle w:val="Heading1"/>
        <w:rPr>
          <w:rFonts w:eastAsia="Calibri"/>
          <w:sz w:val="96"/>
          <w:szCs w:val="48"/>
        </w:rPr>
        <w:sectPr w:rsidR="00AD581D" w:rsidRPr="00C92866" w:rsidSect="000326A0">
          <w:headerReference w:type="even" r:id="rId22"/>
          <w:headerReference w:type="default" r:id="rId23"/>
          <w:footerReference w:type="even" r:id="rId24"/>
          <w:footerReference w:type="default" r:id="rId25"/>
          <w:headerReference w:type="first" r:id="rId26"/>
          <w:footerReference w:type="first" r:id="rId27"/>
          <w:pgSz w:w="11906" w:h="16838"/>
          <w:pgMar w:top="1440" w:right="869" w:bottom="1456" w:left="1349" w:header="288" w:footer="720" w:gutter="0"/>
          <w:pgNumType w:start="1"/>
          <w:cols w:space="720"/>
        </w:sectPr>
      </w:pPr>
    </w:p>
    <w:p w:rsidR="00AD581D" w:rsidRDefault="00AD581D" w:rsidP="00AD581D">
      <w:pPr>
        <w:spacing w:line="240" w:lineRule="auto"/>
        <w:ind w:left="0" w:firstLine="0"/>
        <w:jc w:val="left"/>
      </w:pPr>
    </w:p>
    <w:p w:rsidR="00222762" w:rsidRDefault="00F44942" w:rsidP="00C92866">
      <w:pPr>
        <w:pStyle w:val="Heading2"/>
      </w:pPr>
      <w:bookmarkStart w:id="5" w:name="_Toc524820984"/>
      <w:r>
        <w:t>1.1 Introduction</w:t>
      </w:r>
      <w:bookmarkEnd w:id="5"/>
    </w:p>
    <w:p w:rsidR="00222762" w:rsidRDefault="00F44942" w:rsidP="00AD581D">
      <w:pPr>
        <w:spacing w:after="234"/>
        <w:ind w:right="514"/>
      </w:pPr>
      <w:r>
        <w:t>This report is based on the investment activities of CBL in its financial assets. This report will cover the area of investment activities in financial assets of The City Bank Ltd. The purposes of this report are to analyze the investment in financial assets and to know about the yearly growth rate at investment in financial assets of CBL.A financial asset is a non-physical asset whose value is derived from a contractual claim, such as</w:t>
      </w:r>
      <w:hyperlink r:id="rId28">
        <w:r>
          <w:t xml:space="preserve"> bank deposits,</w:t>
        </w:r>
      </w:hyperlink>
      <w:hyperlink r:id="rId29">
        <w:r>
          <w:t xml:space="preserve"> bonds,</w:t>
        </w:r>
      </w:hyperlink>
      <w:r>
        <w:t xml:space="preserve"> and</w:t>
      </w:r>
      <w:hyperlink r:id="rId30">
        <w:r>
          <w:t xml:space="preserve"> stocks </w:t>
        </w:r>
      </w:hyperlink>
      <w:r>
        <w:t>that are usually more</w:t>
      </w:r>
      <w:hyperlink r:id="rId31">
        <w:r>
          <w:t xml:space="preserve"> liquid </w:t>
        </w:r>
      </w:hyperlink>
      <w:r>
        <w:t>than other</w:t>
      </w:r>
      <w:hyperlink r:id="rId32">
        <w:r>
          <w:t xml:space="preserve"> tangible assets,</w:t>
        </w:r>
      </w:hyperlink>
      <w:r>
        <w:t xml:space="preserve"> such as commodities or real estate, and may be traded </w:t>
      </w:r>
      <w:proofErr w:type="spellStart"/>
      <w:r>
        <w:t>on</w:t>
      </w:r>
      <w:hyperlink r:id="rId33">
        <w:r>
          <w:t>financialmarkets.</w:t>
        </w:r>
      </w:hyperlink>
      <w:r>
        <w:t>CBL</w:t>
      </w:r>
      <w:proofErr w:type="spellEnd"/>
      <w:r>
        <w:t xml:space="preserve"> mainly invests in government securities and other securities. Prize bonds and government bonds are two types of bonds where CBL invests more than others bond for its risk free investments. Investments in debentures, mutual funds and shares are the parts of others bonds where CBL also invests for increasing investment income. Investment income is one of the most significant earning sources for a commercial </w:t>
      </w:r>
      <w:proofErr w:type="spellStart"/>
      <w:r>
        <w:t>bank.CBL</w:t>
      </w:r>
      <w:proofErr w:type="spellEnd"/>
      <w:r>
        <w:t xml:space="preserve"> generally invests near about 16%-17% in financial assets among total assets and earns near about 16% - 22% from the investment. </w:t>
      </w:r>
    </w:p>
    <w:p w:rsidR="00222762" w:rsidRDefault="00F44942" w:rsidP="00C92866">
      <w:pPr>
        <w:pStyle w:val="Heading2"/>
      </w:pPr>
      <w:bookmarkStart w:id="6" w:name="_Toc524820985"/>
      <w:r>
        <w:t>1.2 Objective of the Study</w:t>
      </w:r>
      <w:bookmarkEnd w:id="6"/>
    </w:p>
    <w:p w:rsidR="00222762" w:rsidRDefault="00F44942">
      <w:pPr>
        <w:spacing w:after="235"/>
      </w:pPr>
      <w:r>
        <w:t xml:space="preserve">The primary objective of this report is to analyze the nature of investment in financial assets of City Bank Limited (CBL). The other specific can be categorized as follows: </w:t>
      </w:r>
    </w:p>
    <w:p w:rsidR="00222762" w:rsidRDefault="00F44942">
      <w:pPr>
        <w:numPr>
          <w:ilvl w:val="0"/>
          <w:numId w:val="1"/>
        </w:numPr>
        <w:ind w:hanging="360"/>
      </w:pPr>
      <w:r>
        <w:t xml:space="preserve">To achieve the information regarding the banking environment and its investment in financial assets. </w:t>
      </w:r>
    </w:p>
    <w:p w:rsidR="00222762" w:rsidRDefault="00F44942">
      <w:pPr>
        <w:numPr>
          <w:ilvl w:val="0"/>
          <w:numId w:val="1"/>
        </w:numPr>
        <w:ind w:hanging="360"/>
      </w:pPr>
      <w:r>
        <w:t xml:space="preserve">To find out the performance of investment at financial assets of CBL over years through percentage of growth analysis. </w:t>
      </w:r>
    </w:p>
    <w:p w:rsidR="00222762" w:rsidRDefault="00F44942">
      <w:pPr>
        <w:numPr>
          <w:ilvl w:val="0"/>
          <w:numId w:val="1"/>
        </w:numPr>
        <w:ind w:hanging="360"/>
      </w:pPr>
      <w:r>
        <w:t xml:space="preserve">To estimate the future position of CBL in investment at financial assets. </w:t>
      </w:r>
    </w:p>
    <w:p w:rsidR="00222762" w:rsidRDefault="00F44942" w:rsidP="00AD581D">
      <w:pPr>
        <w:numPr>
          <w:ilvl w:val="0"/>
          <w:numId w:val="1"/>
        </w:numPr>
        <w:spacing w:after="231"/>
        <w:ind w:hanging="360"/>
      </w:pPr>
      <w:r>
        <w:t>To find out the reason behind CBL’s increasing or decreasing rate of growth in investments in financial assets.</w:t>
      </w:r>
    </w:p>
    <w:p w:rsidR="00222762" w:rsidRDefault="00F44942" w:rsidP="00C92866">
      <w:pPr>
        <w:pStyle w:val="Heading2"/>
      </w:pPr>
      <w:bookmarkStart w:id="7" w:name="_Toc524820986"/>
      <w:r>
        <w:t>1.3 Scope of the Study</w:t>
      </w:r>
      <w:bookmarkEnd w:id="7"/>
    </w:p>
    <w:p w:rsidR="00222762" w:rsidRDefault="00F44942">
      <w:pPr>
        <w:spacing w:after="69"/>
        <w:ind w:right="514"/>
      </w:pPr>
      <w:r>
        <w:t>The field of my study is t</w:t>
      </w:r>
      <w:r w:rsidR="00F72D67">
        <w:t>he operation of foreign exchange branch</w:t>
      </w:r>
      <w:r>
        <w:t xml:space="preserve"> of The City Bank Limited. For conducting this study an overall knowledge of the total investment in financial assets is necessary because the investment of banking are linked with each other. The scope of the organizational part covers the organizational background, objective, function, departmentalization and product and services of </w:t>
      </w:r>
      <w:proofErr w:type="gramStart"/>
      <w:r>
        <w:t>The</w:t>
      </w:r>
      <w:proofErr w:type="gramEnd"/>
    </w:p>
    <w:p w:rsidR="00222762" w:rsidRDefault="00F44942" w:rsidP="00AD581D">
      <w:pPr>
        <w:spacing w:after="231"/>
        <w:ind w:right="141"/>
      </w:pPr>
      <w:r>
        <w:t xml:space="preserve">City Bank limited as a whole. The main part covers the investment in financial assets’ analysis of The City Bank Ltd. This refers that how the bank is performing at invest in financial assets over the years. </w:t>
      </w:r>
    </w:p>
    <w:p w:rsidR="00222762" w:rsidRDefault="00F44942" w:rsidP="00C92866">
      <w:pPr>
        <w:pStyle w:val="Heading2"/>
      </w:pPr>
      <w:bookmarkStart w:id="8" w:name="_Toc524820987"/>
      <w:r>
        <w:t>1.4 Methodology of the Study</w:t>
      </w:r>
      <w:bookmarkEnd w:id="8"/>
    </w:p>
    <w:p w:rsidR="00222762" w:rsidRDefault="00F44942">
      <w:pPr>
        <w:spacing w:after="234"/>
        <w:ind w:right="146"/>
      </w:pPr>
      <w:r>
        <w:t>Methodology is a system of methods used in a particular area of study. For analyzing in a particular area of study, there are two source of information.</w:t>
      </w:r>
    </w:p>
    <w:p w:rsidR="00222762" w:rsidRDefault="00F44942">
      <w:pPr>
        <w:numPr>
          <w:ilvl w:val="0"/>
          <w:numId w:val="2"/>
        </w:numPr>
        <w:ind w:hanging="360"/>
      </w:pPr>
      <w:r>
        <w:t xml:space="preserve">Primary source </w:t>
      </w:r>
    </w:p>
    <w:p w:rsidR="00222762" w:rsidRDefault="00F44942">
      <w:pPr>
        <w:numPr>
          <w:ilvl w:val="0"/>
          <w:numId w:val="2"/>
        </w:numPr>
        <w:ind w:hanging="360"/>
      </w:pPr>
      <w:r>
        <w:t xml:space="preserve">Secondary source </w:t>
      </w:r>
    </w:p>
    <w:p w:rsidR="00222762" w:rsidRDefault="00F44942">
      <w:pPr>
        <w:spacing w:after="234"/>
      </w:pPr>
      <w:r>
        <w:t xml:space="preserve">As there is no convenient and available primary source for making this report, I have use secondary sources of information for preparing this. </w:t>
      </w:r>
    </w:p>
    <w:p w:rsidR="00222762" w:rsidRDefault="00F44942">
      <w:pPr>
        <w:spacing w:after="234"/>
      </w:pPr>
      <w:r>
        <w:t xml:space="preserve">This report is basically prepared on the basis of secondary sources of information. They are as follows:- </w:t>
      </w:r>
    </w:p>
    <w:p w:rsidR="00222762" w:rsidRDefault="00F44942" w:rsidP="00C92866">
      <w:pPr>
        <w:pStyle w:val="Heading2"/>
      </w:pPr>
      <w:bookmarkStart w:id="9" w:name="_Toc524820988"/>
      <w:r>
        <w:lastRenderedPageBreak/>
        <w:t>1.4.1 Secondary Source</w:t>
      </w:r>
      <w:bookmarkEnd w:id="9"/>
    </w:p>
    <w:p w:rsidR="00222762" w:rsidRDefault="00F44942">
      <w:pPr>
        <w:numPr>
          <w:ilvl w:val="0"/>
          <w:numId w:val="3"/>
        </w:numPr>
        <w:ind w:hanging="415"/>
      </w:pPr>
      <w:r>
        <w:t>Annual report of The City Bank Ltd.</w:t>
      </w:r>
    </w:p>
    <w:p w:rsidR="00222762" w:rsidRDefault="00F44942">
      <w:pPr>
        <w:numPr>
          <w:ilvl w:val="0"/>
          <w:numId w:val="3"/>
        </w:numPr>
        <w:ind w:hanging="415"/>
      </w:pPr>
      <w:r>
        <w:t>File balance sheet and various documents</w:t>
      </w:r>
    </w:p>
    <w:p w:rsidR="00222762" w:rsidRDefault="00F44942">
      <w:pPr>
        <w:numPr>
          <w:ilvl w:val="0"/>
          <w:numId w:val="3"/>
        </w:numPr>
        <w:ind w:hanging="415"/>
      </w:pPr>
      <w:r>
        <w:t xml:space="preserve">Different textbooks &amp; materials </w:t>
      </w:r>
    </w:p>
    <w:p w:rsidR="00222762" w:rsidRDefault="00F44942">
      <w:pPr>
        <w:numPr>
          <w:ilvl w:val="0"/>
          <w:numId w:val="3"/>
        </w:numPr>
        <w:ind w:hanging="415"/>
      </w:pPr>
      <w:r>
        <w:t>Website of The City Bank Limited</w:t>
      </w:r>
    </w:p>
    <w:p w:rsidR="00222762" w:rsidRDefault="00F44942">
      <w:pPr>
        <w:numPr>
          <w:ilvl w:val="0"/>
          <w:numId w:val="3"/>
        </w:numPr>
        <w:ind w:hanging="415"/>
      </w:pPr>
      <w:r>
        <w:t>Reports submitted by several internship students</w:t>
      </w:r>
    </w:p>
    <w:p w:rsidR="00222762" w:rsidRDefault="00F44942" w:rsidP="00AD581D">
      <w:pPr>
        <w:numPr>
          <w:ilvl w:val="0"/>
          <w:numId w:val="3"/>
        </w:numPr>
        <w:spacing w:after="236"/>
        <w:ind w:hanging="415"/>
      </w:pPr>
      <w:proofErr w:type="spellStart"/>
      <w:r>
        <w:t>Investopedia</w:t>
      </w:r>
      <w:proofErr w:type="spellEnd"/>
      <w:r>
        <w:t>&amp; Wikipedia about financial assets and related topic</w:t>
      </w:r>
    </w:p>
    <w:p w:rsidR="00222762" w:rsidRDefault="00F44942" w:rsidP="00C92866">
      <w:pPr>
        <w:pStyle w:val="Heading2"/>
      </w:pPr>
      <w:bookmarkStart w:id="10" w:name="_Toc524820989"/>
      <w:r>
        <w:t>1.5 Limitations of the Study</w:t>
      </w:r>
      <w:bookmarkEnd w:id="10"/>
    </w:p>
    <w:p w:rsidR="00222762" w:rsidRDefault="00F44942">
      <w:pPr>
        <w:spacing w:after="232"/>
        <w:ind w:right="514"/>
      </w:pPr>
      <w:r>
        <w:t xml:space="preserve">This report has been conducted from the intention to make the report realistic and properly accepted. However, many problems appeared in the way of conducting the study. All the given information was not fully complete and some of the information was company secret and important and only provided to some persons to know about it. However, I have tried my best to settle and pass up the Report before the due date and hoping it was satisfied. The study considers following limitations: </w:t>
      </w:r>
    </w:p>
    <w:p w:rsidR="00222762" w:rsidRDefault="00F44942">
      <w:pPr>
        <w:numPr>
          <w:ilvl w:val="0"/>
          <w:numId w:val="4"/>
        </w:numPr>
        <w:ind w:hanging="360"/>
      </w:pPr>
      <w:r>
        <w:t xml:space="preserve">Lack of in-depth knowledge and analytical ability for writing such report.  </w:t>
      </w:r>
    </w:p>
    <w:p w:rsidR="00222762" w:rsidRDefault="00F44942">
      <w:pPr>
        <w:numPr>
          <w:ilvl w:val="0"/>
          <w:numId w:val="4"/>
        </w:numPr>
        <w:ind w:hanging="360"/>
      </w:pPr>
      <w:r>
        <w:t xml:space="preserve">Bank’s policy of not disclosing some data and information for obvious reason, which could be very much useful.  </w:t>
      </w:r>
    </w:p>
    <w:p w:rsidR="00222762" w:rsidRDefault="00F44942">
      <w:pPr>
        <w:numPr>
          <w:ilvl w:val="0"/>
          <w:numId w:val="4"/>
        </w:numPr>
        <w:ind w:hanging="360"/>
      </w:pPr>
      <w:r>
        <w:t xml:space="preserve">In case of the secondary data collection, there were very few secondary information was available. There were few supporting books, report, journals etc. </w:t>
      </w:r>
    </w:p>
    <w:p w:rsidR="00222762" w:rsidRDefault="00F44942">
      <w:pPr>
        <w:numPr>
          <w:ilvl w:val="0"/>
          <w:numId w:val="4"/>
        </w:numPr>
        <w:ind w:hanging="360"/>
      </w:pPr>
      <w:r>
        <w:t xml:space="preserve">As the duration of the internship program is three months, I didn’t get sufficient time in each department to understand their activities. </w:t>
      </w:r>
    </w:p>
    <w:p w:rsidR="00222762" w:rsidRDefault="00F44942">
      <w:pPr>
        <w:numPr>
          <w:ilvl w:val="0"/>
          <w:numId w:val="4"/>
        </w:numPr>
        <w:ind w:hanging="360"/>
      </w:pPr>
      <w:r>
        <w:t xml:space="preserve">Gathering information about the investment in financial assets was very difficult. That is why I have to follow more on secondary data like annual report, web sites and some of banking documents. </w:t>
      </w:r>
    </w:p>
    <w:p w:rsidR="00222762" w:rsidRDefault="00F44942">
      <w:pPr>
        <w:numPr>
          <w:ilvl w:val="0"/>
          <w:numId w:val="4"/>
        </w:numPr>
        <w:spacing w:after="238"/>
        <w:ind w:hanging="360"/>
      </w:pPr>
      <w:r>
        <w:t>Banking sector is a very vast sector where I have a little knowledge about it which limits my report.</w:t>
      </w:r>
    </w:p>
    <w:p w:rsidR="00222762" w:rsidRDefault="00222762">
      <w:pPr>
        <w:spacing w:after="259" w:line="240" w:lineRule="auto"/>
        <w:ind w:left="91" w:firstLine="0"/>
        <w:jc w:val="left"/>
      </w:pPr>
    </w:p>
    <w:p w:rsidR="00222762" w:rsidRDefault="00222762">
      <w:pPr>
        <w:spacing w:after="259" w:line="240" w:lineRule="auto"/>
        <w:ind w:left="91" w:firstLine="0"/>
        <w:jc w:val="left"/>
      </w:pPr>
    </w:p>
    <w:p w:rsidR="00222762" w:rsidRDefault="00222762">
      <w:pPr>
        <w:spacing w:after="256" w:line="240" w:lineRule="auto"/>
        <w:ind w:left="91" w:firstLine="0"/>
        <w:jc w:val="left"/>
      </w:pPr>
    </w:p>
    <w:p w:rsidR="00222762" w:rsidRDefault="00222762">
      <w:pPr>
        <w:spacing w:after="259" w:line="240" w:lineRule="auto"/>
        <w:ind w:left="91" w:firstLine="0"/>
        <w:jc w:val="left"/>
      </w:pPr>
    </w:p>
    <w:p w:rsidR="00222762" w:rsidRDefault="00222762">
      <w:pPr>
        <w:spacing w:after="259" w:line="240" w:lineRule="auto"/>
        <w:ind w:left="91" w:firstLine="0"/>
        <w:jc w:val="left"/>
      </w:pPr>
    </w:p>
    <w:p w:rsidR="00222762" w:rsidRDefault="00222762">
      <w:pPr>
        <w:spacing w:line="240" w:lineRule="auto"/>
        <w:ind w:left="91" w:firstLine="0"/>
        <w:jc w:val="left"/>
      </w:pPr>
    </w:p>
    <w:p w:rsidR="00222762" w:rsidRDefault="00222762">
      <w:pPr>
        <w:spacing w:after="259" w:line="240" w:lineRule="auto"/>
        <w:ind w:left="91" w:firstLine="0"/>
        <w:jc w:val="left"/>
      </w:pPr>
    </w:p>
    <w:p w:rsidR="00222762" w:rsidRDefault="00222762">
      <w:pPr>
        <w:spacing w:after="256" w:line="240" w:lineRule="auto"/>
        <w:ind w:left="91" w:firstLine="0"/>
        <w:jc w:val="left"/>
      </w:pPr>
    </w:p>
    <w:p w:rsidR="00222762" w:rsidRDefault="00222762">
      <w:pPr>
        <w:spacing w:after="259" w:line="240" w:lineRule="auto"/>
        <w:ind w:left="91" w:firstLine="0"/>
        <w:jc w:val="left"/>
      </w:pPr>
    </w:p>
    <w:p w:rsidR="00222762" w:rsidRDefault="00222762">
      <w:pPr>
        <w:spacing w:after="259" w:line="240" w:lineRule="auto"/>
        <w:ind w:left="91" w:firstLine="0"/>
        <w:jc w:val="left"/>
      </w:pPr>
    </w:p>
    <w:p w:rsidR="00222762" w:rsidRDefault="00222762">
      <w:pPr>
        <w:spacing w:after="256" w:line="240" w:lineRule="auto"/>
        <w:ind w:left="0" w:right="5004" w:firstLine="0"/>
        <w:jc w:val="right"/>
      </w:pPr>
    </w:p>
    <w:p w:rsidR="00222762" w:rsidRDefault="00222762">
      <w:pPr>
        <w:spacing w:after="259" w:line="240" w:lineRule="auto"/>
        <w:ind w:left="0" w:right="5004" w:firstLine="0"/>
        <w:jc w:val="right"/>
      </w:pPr>
    </w:p>
    <w:p w:rsidR="00222762" w:rsidRDefault="00222762">
      <w:pPr>
        <w:spacing w:after="259" w:line="240" w:lineRule="auto"/>
        <w:ind w:left="0" w:right="5004" w:firstLine="0"/>
        <w:jc w:val="right"/>
      </w:pPr>
    </w:p>
    <w:p w:rsidR="00222762" w:rsidRDefault="00222762">
      <w:pPr>
        <w:spacing w:after="256" w:line="240" w:lineRule="auto"/>
        <w:ind w:left="0" w:right="5004" w:firstLine="0"/>
        <w:jc w:val="right"/>
      </w:pPr>
    </w:p>
    <w:p w:rsidR="00222762" w:rsidRDefault="00222762">
      <w:pPr>
        <w:spacing w:line="240" w:lineRule="auto"/>
        <w:ind w:left="91" w:firstLine="0"/>
        <w:jc w:val="left"/>
      </w:pPr>
    </w:p>
    <w:p w:rsidR="00401C1D" w:rsidRDefault="00401C1D">
      <w:pPr>
        <w:spacing w:line="240" w:lineRule="auto"/>
        <w:ind w:left="91" w:firstLine="0"/>
        <w:jc w:val="left"/>
      </w:pPr>
    </w:p>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Pr>
        <w:pStyle w:val="Heading1"/>
        <w:rPr>
          <w:sz w:val="72"/>
          <w:szCs w:val="44"/>
        </w:rPr>
      </w:pPr>
      <w:bookmarkStart w:id="11" w:name="_Toc524820990"/>
      <w:r w:rsidRPr="00401C1D">
        <w:rPr>
          <w:rFonts w:eastAsia="Calibri"/>
          <w:w w:val="80"/>
          <w:sz w:val="72"/>
          <w:szCs w:val="44"/>
        </w:rPr>
        <w:t>Chapter 2: Organizational Overview</w:t>
      </w:r>
      <w:bookmarkEnd w:id="11"/>
    </w:p>
    <w:p w:rsidR="00401C1D" w:rsidRPr="00401C1D" w:rsidRDefault="00401C1D" w:rsidP="00401C1D"/>
    <w:p w:rsidR="00401C1D" w:rsidRPr="00401C1D" w:rsidRDefault="00401C1D" w:rsidP="00401C1D"/>
    <w:p w:rsidR="00AD581D" w:rsidRPr="00401C1D" w:rsidRDefault="00AD581D" w:rsidP="00401C1D">
      <w:pPr>
        <w:sectPr w:rsidR="00AD581D" w:rsidRPr="00401C1D" w:rsidSect="00F6772C">
          <w:footerReference w:type="default" r:id="rId34"/>
          <w:pgSz w:w="11906" w:h="16838"/>
          <w:pgMar w:top="1440" w:right="869" w:bottom="1456" w:left="1349" w:header="288" w:footer="720" w:gutter="0"/>
          <w:pgNumType w:start="2"/>
          <w:cols w:space="720"/>
        </w:sectPr>
      </w:pPr>
    </w:p>
    <w:p w:rsidR="00AD581D" w:rsidRDefault="00AD581D">
      <w:pPr>
        <w:spacing w:line="240" w:lineRule="auto"/>
        <w:ind w:left="91" w:firstLine="0"/>
        <w:jc w:val="left"/>
      </w:pPr>
    </w:p>
    <w:p w:rsidR="00222762" w:rsidRDefault="00F44942" w:rsidP="00401C1D">
      <w:pPr>
        <w:pStyle w:val="Heading2"/>
      </w:pPr>
      <w:bookmarkStart w:id="12" w:name="_Toc524820991"/>
      <w:r>
        <w:t>2.1 Introduction</w:t>
      </w:r>
      <w:bookmarkEnd w:id="12"/>
    </w:p>
    <w:p w:rsidR="00222762" w:rsidRDefault="00F44942" w:rsidP="00AD581D">
      <w:pPr>
        <w:spacing w:after="232"/>
        <w:ind w:right="514"/>
      </w:pPr>
      <w:r>
        <w:t xml:space="preserve">The city Bank Ltd is one of the largest private sector commercial bank. It has prosperous past, glorious present, prospective future and under processing projects and activities. It started its voyage on 27th March, 1983 and now retains its crown among the five oldest Commercial Banks in the </w:t>
      </w:r>
      <w:proofErr w:type="spellStart"/>
      <w:r>
        <w:t>country.CBL</w:t>
      </w:r>
      <w:proofErr w:type="spellEnd"/>
      <w:r>
        <w:t xml:space="preserve"> was the visionary enterprise of around 13 local businessmen who overcome the immense risks with courage that made the foundation and forward to walk of the bank conceivable. They started it with just TK 3.4 </w:t>
      </w:r>
      <w:proofErr w:type="spellStart"/>
      <w:r>
        <w:t>crore</w:t>
      </w:r>
      <w:proofErr w:type="spellEnd"/>
      <w:r>
        <w:t xml:space="preserve"> worth of capital. City bank does not follow the traditional, decentralized, geographically managed, branch based business or profit model. </w:t>
      </w:r>
    </w:p>
    <w:p w:rsidR="00222762" w:rsidRDefault="00F44942" w:rsidP="00401C1D">
      <w:pPr>
        <w:pStyle w:val="Heading2"/>
      </w:pPr>
      <w:bookmarkStart w:id="13" w:name="_Toc524820992"/>
      <w:r>
        <w:t>2.2 History</w:t>
      </w:r>
      <w:bookmarkEnd w:id="13"/>
    </w:p>
    <w:p w:rsidR="00222762" w:rsidRDefault="00F44942" w:rsidP="00401C1D">
      <w:pPr>
        <w:spacing w:after="222"/>
        <w:ind w:right="515"/>
      </w:pPr>
      <w:r>
        <w:t xml:space="preserve">The emergence of The City Bank Limited in the private sector is an important history in the banking area of Bangladesh. During 1981-83, when the nation was in the grip of severe recession, the government declared and gave permission for the establishment of banks in the private sector with the vision to make money supply more volatile and to reactivate the economy. In that fateful moment twelve valiant and foresighted businessmen came forward to uphold the charge of establishing the bank that would one day take its rightful place among the stars. These extraordinary people were,  </w:t>
      </w:r>
    </w:p>
    <w:p w:rsidR="00222762" w:rsidRDefault="006D1431">
      <w:pPr>
        <w:spacing w:line="240" w:lineRule="auto"/>
        <w:ind w:left="0" w:firstLine="0"/>
        <w:jc w:val="left"/>
      </w:pPr>
      <w:r>
        <w:rPr>
          <w:rFonts w:ascii="Calibri" w:eastAsia="Calibri" w:hAnsi="Calibri" w:cs="Calibri"/>
          <w:noProof/>
        </w:rPr>
        <mc:AlternateContent>
          <mc:Choice Requires="wpg">
            <w:drawing>
              <wp:inline distT="0" distB="0" distL="0" distR="0">
                <wp:extent cx="5869940" cy="12065"/>
                <wp:effectExtent l="0" t="0" r="0" b="0"/>
                <wp:docPr id="60652" name="Group 59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9940" cy="12065"/>
                          <a:chOff x="0" y="0"/>
                          <a:chExt cx="58697" cy="121"/>
                        </a:xfrm>
                      </wpg:grpSpPr>
                      <wps:wsp>
                        <wps:cNvPr id="60653" name="Shape 72785"/>
                        <wps:cNvSpPr>
                          <a:spLocks/>
                        </wps:cNvSpPr>
                        <wps:spPr bwMode="auto">
                          <a:xfrm>
                            <a:off x="0" y="0"/>
                            <a:ext cx="33686" cy="121"/>
                          </a:xfrm>
                          <a:custGeom>
                            <a:avLst/>
                            <a:gdLst>
                              <a:gd name="T0" fmla="*/ 0 w 3368675"/>
                              <a:gd name="T1" fmla="*/ 0 h 12192"/>
                              <a:gd name="T2" fmla="*/ 33686 w 3368675"/>
                              <a:gd name="T3" fmla="*/ 0 h 12192"/>
                              <a:gd name="T4" fmla="*/ 33686 w 3368675"/>
                              <a:gd name="T5" fmla="*/ 121 h 12192"/>
                              <a:gd name="T6" fmla="*/ 0 w 3368675"/>
                              <a:gd name="T7" fmla="*/ 121 h 12192"/>
                              <a:gd name="T8" fmla="*/ 0 w 3368675"/>
                              <a:gd name="T9" fmla="*/ 0 h 12192"/>
                              <a:gd name="T10" fmla="*/ 0 60000 65536"/>
                              <a:gd name="T11" fmla="*/ 0 60000 65536"/>
                              <a:gd name="T12" fmla="*/ 0 60000 65536"/>
                              <a:gd name="T13" fmla="*/ 0 60000 65536"/>
                              <a:gd name="T14" fmla="*/ 0 60000 65536"/>
                              <a:gd name="T15" fmla="*/ 0 w 3368675"/>
                              <a:gd name="T16" fmla="*/ 0 h 12192"/>
                              <a:gd name="T17" fmla="*/ 3368675 w 3368675"/>
                              <a:gd name="T18" fmla="*/ 12192 h 12192"/>
                            </a:gdLst>
                            <a:ahLst/>
                            <a:cxnLst>
                              <a:cxn ang="T10">
                                <a:pos x="T0" y="T1"/>
                              </a:cxn>
                              <a:cxn ang="T11">
                                <a:pos x="T2" y="T3"/>
                              </a:cxn>
                              <a:cxn ang="T12">
                                <a:pos x="T4" y="T5"/>
                              </a:cxn>
                              <a:cxn ang="T13">
                                <a:pos x="T6" y="T7"/>
                              </a:cxn>
                              <a:cxn ang="T14">
                                <a:pos x="T8" y="T9"/>
                              </a:cxn>
                            </a:cxnLst>
                            <a:rect l="T15" t="T16" r="T17" b="T18"/>
                            <a:pathLst>
                              <a:path w="3368675" h="12192">
                                <a:moveTo>
                                  <a:pt x="0" y="0"/>
                                </a:moveTo>
                                <a:lnTo>
                                  <a:pt x="3368675" y="0"/>
                                </a:lnTo>
                                <a:lnTo>
                                  <a:pt x="3368675"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654" name="Shape 72786"/>
                        <wps:cNvSpPr>
                          <a:spLocks/>
                        </wps:cNvSpPr>
                        <wps:spPr bwMode="auto">
                          <a:xfrm>
                            <a:off x="33686" y="0"/>
                            <a:ext cx="122" cy="121"/>
                          </a:xfrm>
                          <a:custGeom>
                            <a:avLst/>
                            <a:gdLst>
                              <a:gd name="T0" fmla="*/ 0 w 12192"/>
                              <a:gd name="T1" fmla="*/ 0 h 12192"/>
                              <a:gd name="T2" fmla="*/ 122 w 12192"/>
                              <a:gd name="T3" fmla="*/ 0 h 12192"/>
                              <a:gd name="T4" fmla="*/ 122 w 12192"/>
                              <a:gd name="T5" fmla="*/ 121 h 12192"/>
                              <a:gd name="T6" fmla="*/ 0 w 12192"/>
                              <a:gd name="T7" fmla="*/ 121 h 12192"/>
                              <a:gd name="T8" fmla="*/ 0 w 12192"/>
                              <a:gd name="T9" fmla="*/ 0 h 12192"/>
                              <a:gd name="T10" fmla="*/ 0 60000 65536"/>
                              <a:gd name="T11" fmla="*/ 0 60000 65536"/>
                              <a:gd name="T12" fmla="*/ 0 60000 65536"/>
                              <a:gd name="T13" fmla="*/ 0 60000 65536"/>
                              <a:gd name="T14" fmla="*/ 0 60000 65536"/>
                              <a:gd name="T15" fmla="*/ 0 w 12192"/>
                              <a:gd name="T16" fmla="*/ 0 h 12192"/>
                              <a:gd name="T17" fmla="*/ 12192 w 12192"/>
                              <a:gd name="T18" fmla="*/ 12192 h 12192"/>
                            </a:gdLst>
                            <a:ahLst/>
                            <a:cxnLst>
                              <a:cxn ang="T10">
                                <a:pos x="T0" y="T1"/>
                              </a:cxn>
                              <a:cxn ang="T11">
                                <a:pos x="T2" y="T3"/>
                              </a:cxn>
                              <a:cxn ang="T12">
                                <a:pos x="T4" y="T5"/>
                              </a:cxn>
                              <a:cxn ang="T13">
                                <a:pos x="T6" y="T7"/>
                              </a:cxn>
                              <a:cxn ang="T14">
                                <a:pos x="T8" y="T9"/>
                              </a:cxn>
                            </a:cxnLst>
                            <a:rect l="T15" t="T16" r="T17" b="T18"/>
                            <a:pathLst>
                              <a:path w="12192" h="12192">
                                <a:moveTo>
                                  <a:pt x="0" y="0"/>
                                </a:moveTo>
                                <a:lnTo>
                                  <a:pt x="12192" y="0"/>
                                </a:lnTo>
                                <a:lnTo>
                                  <a:pt x="12192"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655" name="Shape 72787"/>
                        <wps:cNvSpPr>
                          <a:spLocks/>
                        </wps:cNvSpPr>
                        <wps:spPr bwMode="auto">
                          <a:xfrm>
                            <a:off x="33808" y="0"/>
                            <a:ext cx="24889" cy="121"/>
                          </a:xfrm>
                          <a:custGeom>
                            <a:avLst/>
                            <a:gdLst>
                              <a:gd name="T0" fmla="*/ 0 w 2488946"/>
                              <a:gd name="T1" fmla="*/ 0 h 12192"/>
                              <a:gd name="T2" fmla="*/ 24889 w 2488946"/>
                              <a:gd name="T3" fmla="*/ 0 h 12192"/>
                              <a:gd name="T4" fmla="*/ 24889 w 2488946"/>
                              <a:gd name="T5" fmla="*/ 121 h 12192"/>
                              <a:gd name="T6" fmla="*/ 0 w 2488946"/>
                              <a:gd name="T7" fmla="*/ 121 h 12192"/>
                              <a:gd name="T8" fmla="*/ 0 w 2488946"/>
                              <a:gd name="T9" fmla="*/ 0 h 12192"/>
                              <a:gd name="T10" fmla="*/ 0 60000 65536"/>
                              <a:gd name="T11" fmla="*/ 0 60000 65536"/>
                              <a:gd name="T12" fmla="*/ 0 60000 65536"/>
                              <a:gd name="T13" fmla="*/ 0 60000 65536"/>
                              <a:gd name="T14" fmla="*/ 0 60000 65536"/>
                              <a:gd name="T15" fmla="*/ 0 w 2488946"/>
                              <a:gd name="T16" fmla="*/ 0 h 12192"/>
                              <a:gd name="T17" fmla="*/ 2488946 w 2488946"/>
                              <a:gd name="T18" fmla="*/ 12192 h 12192"/>
                            </a:gdLst>
                            <a:ahLst/>
                            <a:cxnLst>
                              <a:cxn ang="T10">
                                <a:pos x="T0" y="T1"/>
                              </a:cxn>
                              <a:cxn ang="T11">
                                <a:pos x="T2" y="T3"/>
                              </a:cxn>
                              <a:cxn ang="T12">
                                <a:pos x="T4" y="T5"/>
                              </a:cxn>
                              <a:cxn ang="T13">
                                <a:pos x="T6" y="T7"/>
                              </a:cxn>
                              <a:cxn ang="T14">
                                <a:pos x="T8" y="T9"/>
                              </a:cxn>
                            </a:cxnLst>
                            <a:rect l="T15" t="T16" r="T17" b="T18"/>
                            <a:pathLst>
                              <a:path w="2488946" h="12192">
                                <a:moveTo>
                                  <a:pt x="0" y="0"/>
                                </a:moveTo>
                                <a:lnTo>
                                  <a:pt x="2488946" y="0"/>
                                </a:lnTo>
                                <a:lnTo>
                                  <a:pt x="2488946"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59919" o:spid="_x0000_s1026" style="width:462.2pt;height:.95pt;mso-position-horizontal-relative:char;mso-position-vertical-relative:line" coordsize="586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">
                <v:shape id="Shape 72785" o:spid="_x0000_s1027" style="position:absolute;width:33686;height:121;visibility:visible;mso-wrap-style:square;v-text-anchor:top" coordsize="336867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Sc8gA&#10;AADeAAAADwAAAGRycy9kb3ducmV2LnhtbESPT2vCQBTE74V+h+UVetONLQaJriIWQXqw+Be8PbLP&#10;JJh9m+5uNemndwtCj8PM/IaZzFpTiys5X1lWMOgnIIhzqysuFOx3y94IhA/IGmvLpKAjD7Pp89ME&#10;M21vvKHrNhQiQthnqKAMocmk9HlJBn3fNsTRO1tnMETpCqkd3iLc1PItSVJpsOK4UGJDi5Lyy/bH&#10;KPjsvo4f3dkt1pvlaf+9DqfD6neo1OtLOx+DCNSG//CjvdIK0iQdvsPfnXgF5PQ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txJzyAAAAN4AAAAPAAAAAAAAAAAAAAAAAJgCAABk&#10;cnMvZG93bnJldi54bWxQSwUGAAAAAAQABAD1AAAAjQMAAAAA&#10;" path="m,l3368675,r,12192l,12192,,e" fillcolor="black" stroked="f" strokeweight="0">
                  <v:stroke miterlimit="83231f" joinstyle="miter"/>
                  <v:path arrowok="t" o:connecttype="custom" o:connectlocs="0,0;337,0;337,1;0,1;0,0" o:connectangles="0,0,0,0,0" textboxrect="0,0,3368675,12192"/>
                </v:shape>
                <v:shape id="Shape 72786" o:spid="_x0000_s1028" style="position:absolute;left:33686;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KNcUA&#10;AADeAAAADwAAAGRycy9kb3ducmV2LnhtbESP0WoCMRRE34X+Q7iFvmmi1KVsjSIt2uJL6dYPuGyu&#10;2cXNzZLEdfv3jSD0cZiZM8xqM7pODBRi61nDfKZAENfetGw1HH920xcQMSEb7DyThl+KsFk/TFZY&#10;Gn/lbxqqZEWGcCxRQ5NSX0oZ64YcxpnvibN38sFhyjJYaQJeM9x1cqFUIR22nBca7OmtofpcXZyG&#10;i7SBFqfD3n5Uxdfgt8f3JJXWT4/j9hVEojH9h+/tT6OhUMXyGW538hW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5co1xQAAAN4AAAAPAAAAAAAAAAAAAAAAAJgCAABkcnMv&#10;ZG93bnJldi54bWxQSwUGAAAAAAQABAD1AAAAigMAAAAA&#10;" path="m,l12192,r,12192l,12192,,e" fillcolor="black" stroked="f" strokeweight="0">
                  <v:stroke miterlimit="83231f" joinstyle="miter"/>
                  <v:path arrowok="t" o:connecttype="custom" o:connectlocs="0,0;1,0;1,1;0,1;0,0" o:connectangles="0,0,0,0,0" textboxrect="0,0,12192,12192"/>
                </v:shape>
                <v:shape id="Shape 72787" o:spid="_x0000_s1029" style="position:absolute;left:33808;width:24889;height:121;visibility:visible;mso-wrap-style:square;v-text-anchor:top" coordsize="248894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mCBMcA&#10;AADeAAAADwAAAGRycy9kb3ducmV2LnhtbESPT2vCQBTE74LfYXkFb7qp1iCpmyBqodf6p9Dba/Y1&#10;Cc2+jburxn76bqHgcZiZ3zDLojetuJDzjWUFj5MEBHFpdcOVgsP+ZbwA4QOyxtYyKbiRhyIfDpaY&#10;aXvlN7rsQiUihH2GCuoQukxKX9Zk0E9sRxy9L+sMhihdJbXDa4SbVk6TJJUGG44LNXa0rqn83p2N&#10;guBPh9l28zTtP94/j7jg5sfd1kqNHvrVM4hAfbiH/9uvWkGapPM5/N2JV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ZggTHAAAA3gAAAA8AAAAAAAAAAAAAAAAAmAIAAGRy&#10;cy9kb3ducmV2LnhtbFBLBQYAAAAABAAEAPUAAACMAwAAAAA=&#10;" path="m,l2488946,r,12192l,12192,,e" fillcolor="black" stroked="f" strokeweight="0">
                  <v:stroke miterlimit="83231f" joinstyle="miter"/>
                  <v:path arrowok="t" o:connecttype="custom" o:connectlocs="0,0;249,0;249,1;0,1;0,0" o:connectangles="0,0,0,0,0" textboxrect="0,0,2488946,12192"/>
                </v:shape>
                <w10:anchorlock/>
              </v:group>
            </w:pict>
          </mc:Fallback>
        </mc:AlternateContent>
      </w:r>
    </w:p>
    <w:p w:rsidR="00222762" w:rsidRDefault="00F44942">
      <w:pPr>
        <w:spacing w:after="12" w:line="276" w:lineRule="auto"/>
        <w:ind w:left="91" w:firstLine="0"/>
        <w:jc w:val="left"/>
      </w:pPr>
      <w:r>
        <w:rPr>
          <w:b/>
        </w:rPr>
        <w:t xml:space="preserve">Mr. </w:t>
      </w:r>
      <w:proofErr w:type="spellStart"/>
      <w:r>
        <w:rPr>
          <w:b/>
        </w:rPr>
        <w:t>Monowar</w:t>
      </w:r>
      <w:proofErr w:type="spellEnd"/>
      <w:r>
        <w:rPr>
          <w:b/>
        </w:rPr>
        <w:t xml:space="preserve"> Ali </w:t>
      </w:r>
      <w:r>
        <w:rPr>
          <w:b/>
        </w:rPr>
        <w:tab/>
        <w:t xml:space="preserve">Mr. </w:t>
      </w:r>
      <w:proofErr w:type="spellStart"/>
      <w:r>
        <w:rPr>
          <w:b/>
        </w:rPr>
        <w:t>Deen</w:t>
      </w:r>
      <w:proofErr w:type="spellEnd"/>
      <w:r>
        <w:rPr>
          <w:b/>
        </w:rPr>
        <w:t xml:space="preserve"> Mohammad </w:t>
      </w:r>
    </w:p>
    <w:tbl>
      <w:tblPr>
        <w:tblStyle w:val="TableGrid"/>
        <w:tblW w:w="9244" w:type="dxa"/>
        <w:tblInd w:w="-17" w:type="dxa"/>
        <w:tblCellMar>
          <w:right w:w="115" w:type="dxa"/>
        </w:tblCellMar>
        <w:tblLook w:val="04A0" w:firstRow="1" w:lastRow="0" w:firstColumn="1" w:lastColumn="0" w:noHBand="0" w:noVBand="1"/>
      </w:tblPr>
      <w:tblGrid>
        <w:gridCol w:w="5413"/>
        <w:gridCol w:w="3831"/>
      </w:tblGrid>
      <w:tr w:rsidR="00222762">
        <w:trPr>
          <w:trHeight w:val="262"/>
        </w:trPr>
        <w:tc>
          <w:tcPr>
            <w:tcW w:w="5413" w:type="dxa"/>
            <w:tcBorders>
              <w:top w:val="single" w:sz="8" w:space="0" w:color="000000"/>
              <w:left w:val="nil"/>
              <w:bottom w:val="nil"/>
              <w:right w:val="nil"/>
            </w:tcBorders>
            <w:shd w:val="clear" w:color="auto" w:fill="C0C0C0"/>
          </w:tcPr>
          <w:p w:rsidR="00222762" w:rsidRDefault="00F44942">
            <w:pPr>
              <w:spacing w:line="276" w:lineRule="auto"/>
              <w:ind w:left="108" w:firstLine="0"/>
              <w:jc w:val="left"/>
            </w:pPr>
            <w:r>
              <w:rPr>
                <w:b/>
              </w:rPr>
              <w:t xml:space="preserve">Mr. Ibrahim Mia (Late)  </w:t>
            </w:r>
          </w:p>
        </w:tc>
        <w:tc>
          <w:tcPr>
            <w:tcW w:w="3831" w:type="dxa"/>
            <w:tcBorders>
              <w:top w:val="single" w:sz="8" w:space="0" w:color="000000"/>
              <w:left w:val="nil"/>
              <w:bottom w:val="nil"/>
              <w:right w:val="nil"/>
            </w:tcBorders>
            <w:shd w:val="clear" w:color="auto" w:fill="C0C0C0"/>
          </w:tcPr>
          <w:p w:rsidR="00222762" w:rsidRDefault="00F44942">
            <w:pPr>
              <w:spacing w:line="276" w:lineRule="auto"/>
              <w:ind w:left="0" w:firstLine="0"/>
              <w:jc w:val="left"/>
            </w:pPr>
            <w:r>
              <w:rPr>
                <w:b/>
              </w:rPr>
              <w:t xml:space="preserve">Mr. A.B.M. </w:t>
            </w:r>
            <w:proofErr w:type="spellStart"/>
            <w:r>
              <w:rPr>
                <w:b/>
              </w:rPr>
              <w:t>Feroz</w:t>
            </w:r>
            <w:proofErr w:type="spellEnd"/>
          </w:p>
        </w:tc>
      </w:tr>
      <w:tr w:rsidR="00222762">
        <w:trPr>
          <w:trHeight w:val="252"/>
        </w:trPr>
        <w:tc>
          <w:tcPr>
            <w:tcW w:w="5413" w:type="dxa"/>
            <w:tcBorders>
              <w:top w:val="nil"/>
              <w:left w:val="nil"/>
              <w:bottom w:val="nil"/>
              <w:right w:val="nil"/>
            </w:tcBorders>
          </w:tcPr>
          <w:p w:rsidR="00222762" w:rsidRDefault="00F44942">
            <w:pPr>
              <w:spacing w:line="276" w:lineRule="auto"/>
              <w:ind w:left="108" w:firstLine="0"/>
              <w:jc w:val="left"/>
            </w:pPr>
            <w:r>
              <w:rPr>
                <w:b/>
              </w:rPr>
              <w:t xml:space="preserve">Mr. Abdul </w:t>
            </w:r>
            <w:proofErr w:type="spellStart"/>
            <w:r>
              <w:rPr>
                <w:b/>
              </w:rPr>
              <w:t>Hadi</w:t>
            </w:r>
            <w:proofErr w:type="spellEnd"/>
            <w:r>
              <w:rPr>
                <w:b/>
              </w:rPr>
              <w:t xml:space="preserve"> (Late)  </w:t>
            </w:r>
          </w:p>
        </w:tc>
        <w:tc>
          <w:tcPr>
            <w:tcW w:w="3831" w:type="dxa"/>
            <w:tcBorders>
              <w:top w:val="nil"/>
              <w:left w:val="nil"/>
              <w:bottom w:val="nil"/>
              <w:right w:val="nil"/>
            </w:tcBorders>
          </w:tcPr>
          <w:p w:rsidR="00222762" w:rsidRDefault="00F44942">
            <w:pPr>
              <w:spacing w:line="276" w:lineRule="auto"/>
              <w:ind w:left="0" w:firstLine="0"/>
              <w:jc w:val="left"/>
            </w:pPr>
            <w:r>
              <w:rPr>
                <w:b/>
              </w:rPr>
              <w:t xml:space="preserve">Mr. Md. Ali </w:t>
            </w:r>
            <w:proofErr w:type="spellStart"/>
            <w:r>
              <w:rPr>
                <w:b/>
              </w:rPr>
              <w:t>Hossain</w:t>
            </w:r>
            <w:proofErr w:type="spellEnd"/>
            <w:r>
              <w:rPr>
                <w:b/>
              </w:rPr>
              <w:t xml:space="preserve">  </w:t>
            </w:r>
          </w:p>
        </w:tc>
      </w:tr>
      <w:tr w:rsidR="00222762">
        <w:trPr>
          <w:trHeight w:val="254"/>
        </w:trPr>
        <w:tc>
          <w:tcPr>
            <w:tcW w:w="5413" w:type="dxa"/>
            <w:tcBorders>
              <w:top w:val="nil"/>
              <w:left w:val="nil"/>
              <w:bottom w:val="nil"/>
              <w:right w:val="nil"/>
            </w:tcBorders>
            <w:shd w:val="clear" w:color="auto" w:fill="C0C0C0"/>
          </w:tcPr>
          <w:p w:rsidR="00222762" w:rsidRDefault="00F44942">
            <w:pPr>
              <w:spacing w:line="276" w:lineRule="auto"/>
              <w:ind w:left="108" w:firstLine="0"/>
              <w:jc w:val="left"/>
            </w:pPr>
            <w:r>
              <w:rPr>
                <w:b/>
              </w:rPr>
              <w:t xml:space="preserve">Mr. M. A. </w:t>
            </w:r>
            <w:proofErr w:type="spellStart"/>
            <w:r>
              <w:rPr>
                <w:b/>
              </w:rPr>
              <w:t>Hashem</w:t>
            </w:r>
            <w:proofErr w:type="spellEnd"/>
          </w:p>
        </w:tc>
        <w:tc>
          <w:tcPr>
            <w:tcW w:w="3831" w:type="dxa"/>
            <w:tcBorders>
              <w:top w:val="nil"/>
              <w:left w:val="nil"/>
              <w:bottom w:val="nil"/>
              <w:right w:val="nil"/>
            </w:tcBorders>
            <w:shd w:val="clear" w:color="auto" w:fill="C0C0C0"/>
          </w:tcPr>
          <w:p w:rsidR="00222762" w:rsidRDefault="00F44942">
            <w:pPr>
              <w:spacing w:line="276" w:lineRule="auto"/>
              <w:ind w:left="0" w:firstLine="0"/>
              <w:jc w:val="left"/>
            </w:pPr>
            <w:r>
              <w:rPr>
                <w:b/>
              </w:rPr>
              <w:t xml:space="preserve">Mr. </w:t>
            </w:r>
            <w:proofErr w:type="spellStart"/>
            <w:r>
              <w:rPr>
                <w:b/>
              </w:rPr>
              <w:t>AzizulHaque</w:t>
            </w:r>
            <w:proofErr w:type="spellEnd"/>
            <w:r>
              <w:rPr>
                <w:b/>
              </w:rPr>
              <w:t xml:space="preserve"> </w:t>
            </w:r>
            <w:proofErr w:type="spellStart"/>
            <w:r>
              <w:rPr>
                <w:b/>
              </w:rPr>
              <w:t>Chowdhury</w:t>
            </w:r>
            <w:proofErr w:type="spellEnd"/>
            <w:r>
              <w:rPr>
                <w:b/>
              </w:rPr>
              <w:t xml:space="preserve">  </w:t>
            </w:r>
          </w:p>
        </w:tc>
      </w:tr>
      <w:tr w:rsidR="00222762">
        <w:trPr>
          <w:trHeight w:val="252"/>
        </w:trPr>
        <w:tc>
          <w:tcPr>
            <w:tcW w:w="5413" w:type="dxa"/>
            <w:tcBorders>
              <w:top w:val="nil"/>
              <w:left w:val="nil"/>
              <w:bottom w:val="nil"/>
              <w:right w:val="nil"/>
            </w:tcBorders>
          </w:tcPr>
          <w:p w:rsidR="00222762" w:rsidRDefault="00F44942">
            <w:pPr>
              <w:spacing w:line="276" w:lineRule="auto"/>
              <w:ind w:left="108" w:firstLine="0"/>
              <w:jc w:val="left"/>
            </w:pPr>
            <w:r>
              <w:rPr>
                <w:b/>
              </w:rPr>
              <w:t xml:space="preserve">Mr. Anwar </w:t>
            </w:r>
            <w:proofErr w:type="spellStart"/>
            <w:r>
              <w:rPr>
                <w:b/>
              </w:rPr>
              <w:t>Hossain</w:t>
            </w:r>
            <w:proofErr w:type="spellEnd"/>
            <w:r>
              <w:rPr>
                <w:b/>
              </w:rPr>
              <w:t xml:space="preserve">  </w:t>
            </w:r>
          </w:p>
        </w:tc>
        <w:tc>
          <w:tcPr>
            <w:tcW w:w="3831" w:type="dxa"/>
            <w:tcBorders>
              <w:top w:val="nil"/>
              <w:left w:val="nil"/>
              <w:bottom w:val="nil"/>
              <w:right w:val="nil"/>
            </w:tcBorders>
          </w:tcPr>
          <w:p w:rsidR="00222762" w:rsidRDefault="00F44942">
            <w:pPr>
              <w:spacing w:line="276" w:lineRule="auto"/>
              <w:ind w:left="0" w:firstLine="0"/>
              <w:jc w:val="left"/>
            </w:pPr>
            <w:r>
              <w:rPr>
                <w:b/>
              </w:rPr>
              <w:t xml:space="preserve">Mr. N. A. </w:t>
            </w:r>
            <w:proofErr w:type="spellStart"/>
            <w:r>
              <w:rPr>
                <w:b/>
              </w:rPr>
              <w:t>Chowdhury</w:t>
            </w:r>
            <w:proofErr w:type="spellEnd"/>
            <w:r>
              <w:rPr>
                <w:b/>
              </w:rPr>
              <w:t xml:space="preserve"> (Late)  </w:t>
            </w:r>
          </w:p>
        </w:tc>
      </w:tr>
      <w:tr w:rsidR="00222762">
        <w:trPr>
          <w:trHeight w:val="261"/>
        </w:trPr>
        <w:tc>
          <w:tcPr>
            <w:tcW w:w="5413" w:type="dxa"/>
            <w:tcBorders>
              <w:top w:val="nil"/>
              <w:left w:val="nil"/>
              <w:bottom w:val="single" w:sz="8" w:space="0" w:color="000000"/>
              <w:right w:val="nil"/>
            </w:tcBorders>
            <w:shd w:val="clear" w:color="auto" w:fill="C0C0C0"/>
          </w:tcPr>
          <w:p w:rsidR="00222762" w:rsidRDefault="00F44942">
            <w:pPr>
              <w:spacing w:line="276" w:lineRule="auto"/>
              <w:ind w:left="108" w:firstLine="0"/>
              <w:jc w:val="left"/>
            </w:pPr>
            <w:r>
              <w:rPr>
                <w:b/>
              </w:rPr>
              <w:t xml:space="preserve">Mr. Abdul </w:t>
            </w:r>
            <w:proofErr w:type="spellStart"/>
            <w:r>
              <w:rPr>
                <w:b/>
              </w:rPr>
              <w:t>Barik</w:t>
            </w:r>
            <w:proofErr w:type="spellEnd"/>
            <w:r>
              <w:rPr>
                <w:b/>
              </w:rPr>
              <w:t xml:space="preserve"> </w:t>
            </w:r>
            <w:proofErr w:type="spellStart"/>
            <w:r>
              <w:rPr>
                <w:b/>
              </w:rPr>
              <w:t>Choudhury</w:t>
            </w:r>
            <w:proofErr w:type="spellEnd"/>
            <w:r>
              <w:rPr>
                <w:b/>
              </w:rPr>
              <w:t xml:space="preserve"> (Late)  </w:t>
            </w:r>
          </w:p>
        </w:tc>
        <w:tc>
          <w:tcPr>
            <w:tcW w:w="3831" w:type="dxa"/>
            <w:tcBorders>
              <w:top w:val="nil"/>
              <w:left w:val="nil"/>
              <w:bottom w:val="single" w:sz="8" w:space="0" w:color="000000"/>
              <w:right w:val="nil"/>
            </w:tcBorders>
            <w:shd w:val="clear" w:color="auto" w:fill="C0C0C0"/>
          </w:tcPr>
          <w:p w:rsidR="00222762" w:rsidRDefault="00F44942">
            <w:pPr>
              <w:spacing w:line="276" w:lineRule="auto"/>
              <w:ind w:left="0" w:firstLine="0"/>
              <w:jc w:val="left"/>
            </w:pPr>
            <w:r>
              <w:rPr>
                <w:b/>
              </w:rPr>
              <w:t xml:space="preserve">Mr. A. K. </w:t>
            </w:r>
            <w:proofErr w:type="spellStart"/>
            <w:r>
              <w:rPr>
                <w:b/>
              </w:rPr>
              <w:t>Mehmoob</w:t>
            </w:r>
            <w:proofErr w:type="spellEnd"/>
          </w:p>
        </w:tc>
      </w:tr>
    </w:tbl>
    <w:p w:rsidR="00222762" w:rsidRDefault="00222762">
      <w:pPr>
        <w:spacing w:after="233" w:line="240" w:lineRule="auto"/>
        <w:ind w:left="91" w:firstLine="0"/>
        <w:jc w:val="left"/>
      </w:pPr>
    </w:p>
    <w:p w:rsidR="00222762" w:rsidRDefault="00F44942">
      <w:pPr>
        <w:spacing w:after="234"/>
        <w:ind w:right="517"/>
      </w:pPr>
      <w:r>
        <w:t xml:space="preserve">Their objective was to serve the community with general banking practice but with the passing of time the bank started to present some unique, demanding and timely packages to the public. The journey of this bank started with only 34 million taka worth of capital in an office at B.B. Avenue in </w:t>
      </w:r>
      <w:proofErr w:type="spellStart"/>
      <w:r>
        <w:t>Motijheel</w:t>
      </w:r>
      <w:proofErr w:type="spellEnd"/>
      <w:r>
        <w:t xml:space="preserve">. The startup capital was obtained from the promoters but subsequently the argument of issuing share capital arose and through formal registration as a schedule bank the organization commenced at the latter phase of first quarter of 1983. </w:t>
      </w:r>
    </w:p>
    <w:p w:rsidR="00222762" w:rsidRDefault="00F44942">
      <w:pPr>
        <w:spacing w:after="76"/>
        <w:ind w:right="515"/>
      </w:pPr>
      <w:r>
        <w:t xml:space="preserve">CBL serves its customer through Corporate &amp; Investment Banking, Retail Banking, SME Banking, Treasury and Market Risks. City Bank received “the strongest Bank in Bangladesh award” in 2010 from the Asian banker and for outstanding new card launch in 2010 received “American Express Marketing Award” from American Express. Later CBL was included in IFC client, </w:t>
      </w:r>
      <w:proofErr w:type="gramStart"/>
      <w:r>
        <w:t>ensuing</w:t>
      </w:r>
      <w:proofErr w:type="gramEnd"/>
      <w:r>
        <w:t xml:space="preserve"> it to become the 4</w:t>
      </w:r>
      <w:r>
        <w:rPr>
          <w:vertAlign w:val="superscript"/>
        </w:rPr>
        <w:t>th</w:t>
      </w:r>
      <w:r>
        <w:t xml:space="preserve"> of its kind in the entire banking industry of the nation. Under the leadership of </w:t>
      </w:r>
      <w:proofErr w:type="spellStart"/>
      <w:r>
        <w:t>Rubel</w:t>
      </w:r>
      <w:proofErr w:type="spellEnd"/>
      <w:r>
        <w:t xml:space="preserve"> Aziz as managing director of the bank elected in 1</w:t>
      </w:r>
      <w:r>
        <w:rPr>
          <w:vertAlign w:val="superscript"/>
        </w:rPr>
        <w:t>st</w:t>
      </w:r>
      <w:r>
        <w:t xml:space="preserve"> December 2011 the bank opened eight new branches up to date, received the “Finances Asia’s Best Local Bank Award” on 3</w:t>
      </w:r>
      <w:r>
        <w:rPr>
          <w:vertAlign w:val="superscript"/>
        </w:rPr>
        <w:t>rd</w:t>
      </w:r>
      <w:r>
        <w:t xml:space="preserve">novenber 2013 in which offered home loan service, signed several new profitable business agreements, took part in reasonable CSR activities and inaugurated a whole new range of services like city gems priority banking service, city touch internet banking service and so on. After that under the supervision of </w:t>
      </w:r>
    </w:p>
    <w:p w:rsidR="00222762" w:rsidRDefault="00F44942">
      <w:pPr>
        <w:ind w:right="514"/>
      </w:pPr>
      <w:proofErr w:type="spellStart"/>
      <w:r>
        <w:t>Sohail</w:t>
      </w:r>
      <w:proofErr w:type="spellEnd"/>
      <w:r>
        <w:t xml:space="preserve"> R. K. </w:t>
      </w:r>
      <w:proofErr w:type="spellStart"/>
      <w:r>
        <w:t>Hussain</w:t>
      </w:r>
      <w:proofErr w:type="spellEnd"/>
      <w:r>
        <w:t xml:space="preserve"> as a managing director and CEO CBL achieved “Best Bank in Bangladesh”, “Best Commercial Bank In Bangladesh”,” Best Bank in Finance Asia”, and “ Best Consumer Internet Bank in Bangladesh” award in 2014. </w:t>
      </w:r>
    </w:p>
    <w:p w:rsidR="00222762" w:rsidRDefault="00F44942">
      <w:pPr>
        <w:spacing w:after="238"/>
        <w:ind w:right="523"/>
      </w:pPr>
      <w:r>
        <w:t xml:space="preserve">Since the very inception The City Bank Limited is working with the philosophy of serving the nationals as an ideal and unique financial house. The golden pages of history give testimony of that very truth. </w:t>
      </w:r>
    </w:p>
    <w:p w:rsidR="00222762" w:rsidRDefault="00F44942" w:rsidP="00401C1D">
      <w:pPr>
        <w:pStyle w:val="Heading2"/>
      </w:pPr>
      <w:bookmarkStart w:id="14" w:name="_Toc524820993"/>
      <w:r>
        <w:lastRenderedPageBreak/>
        <w:t>2.3 Current Situation</w:t>
      </w:r>
      <w:bookmarkEnd w:id="14"/>
    </w:p>
    <w:p w:rsidR="00222762" w:rsidRDefault="00F44942">
      <w:pPr>
        <w:spacing w:after="440"/>
        <w:ind w:right="514"/>
      </w:pPr>
      <w:r>
        <w:t xml:space="preserve">City Bank is one of the oldest private Commercial Banks in Bangladesh. It is the top commercial bank among five banks in Bangladesh which started their operation in 1983.CBL started the journey with only Taka 3.4 </w:t>
      </w:r>
      <w:proofErr w:type="spellStart"/>
      <w:r>
        <w:t>crore</w:t>
      </w:r>
      <w:proofErr w:type="spellEnd"/>
      <w:r>
        <w:t xml:space="preserve"> worth of Capital, which now is a respectable Taka 2311.78 </w:t>
      </w:r>
      <w:proofErr w:type="spellStart"/>
      <w:r>
        <w:t>crore</w:t>
      </w:r>
      <w:proofErr w:type="spellEnd"/>
      <w:r>
        <w:t xml:space="preserve"> as capital &amp; reserve which has increased near about 98% from the </w:t>
      </w:r>
      <w:proofErr w:type="spellStart"/>
      <w:r>
        <w:t>previous.CBL</w:t>
      </w:r>
      <w:proofErr w:type="spellEnd"/>
      <w:r>
        <w:t xml:space="preserve"> manages its business and operation from the head office through 5 distinct unit namely,  </w:t>
      </w:r>
    </w:p>
    <w:p w:rsidR="00222762" w:rsidRDefault="00F44942">
      <w:pPr>
        <w:spacing w:line="240" w:lineRule="auto"/>
        <w:ind w:left="0" w:right="1051" w:firstLine="0"/>
        <w:jc w:val="right"/>
      </w:pPr>
      <w:r>
        <w:rPr>
          <w:rFonts w:ascii="Calibri" w:eastAsia="Calibri" w:hAnsi="Calibri" w:cs="Calibri"/>
          <w:noProof/>
          <w:position w:val="-13"/>
        </w:rPr>
        <w:drawing>
          <wp:inline distT="0" distB="0" distL="0" distR="0">
            <wp:extent cx="5270754" cy="1695450"/>
            <wp:effectExtent l="0" t="0" r="0" b="0"/>
            <wp:docPr id="2197" name="Picture 2197"/>
            <wp:cNvGraphicFramePr/>
            <a:graphic xmlns:a="http://schemas.openxmlformats.org/drawingml/2006/main">
              <a:graphicData uri="http://schemas.openxmlformats.org/drawingml/2006/picture">
                <pic:pic xmlns:pic="http://schemas.openxmlformats.org/drawingml/2006/picture">
                  <pic:nvPicPr>
                    <pic:cNvPr id="2197" name="Picture 2197"/>
                    <pic:cNvPicPr/>
                  </pic:nvPicPr>
                  <pic:blipFill>
                    <a:blip r:embed="rId35"/>
                    <a:stretch>
                      <a:fillRect/>
                    </a:stretch>
                  </pic:blipFill>
                  <pic:spPr>
                    <a:xfrm>
                      <a:off x="0" y="0"/>
                      <a:ext cx="5270754" cy="1695450"/>
                    </a:xfrm>
                    <a:prstGeom prst="rect">
                      <a:avLst/>
                    </a:prstGeom>
                  </pic:spPr>
                </pic:pic>
              </a:graphicData>
            </a:graphic>
          </wp:inline>
        </w:drawing>
      </w:r>
      <w:r>
        <w:rPr>
          <w:b/>
          <w:sz w:val="24"/>
        </w:rPr>
        <w:tab/>
      </w:r>
    </w:p>
    <w:p w:rsidR="00222762" w:rsidRDefault="00222762">
      <w:pPr>
        <w:spacing w:line="240" w:lineRule="auto"/>
        <w:ind w:left="2" w:firstLine="0"/>
        <w:jc w:val="left"/>
      </w:pPr>
    </w:p>
    <w:p w:rsidR="00222762" w:rsidRDefault="00222762">
      <w:pPr>
        <w:spacing w:line="240" w:lineRule="auto"/>
        <w:ind w:left="2" w:firstLine="0"/>
        <w:jc w:val="left"/>
      </w:pPr>
    </w:p>
    <w:p w:rsidR="00222762" w:rsidRDefault="00F44942">
      <w:pPr>
        <w:ind w:left="12" w:right="905"/>
      </w:pPr>
      <w:r>
        <w:t xml:space="preserve">Under a real-time online banking platform, these 5 distinct Units are supported at the back by an excellent service delivery or operations setup and also a smart IT Backbone. Such centralized business segment based business &amp; operating model ensure specialized treatment and services to the bank's different customer segments. </w:t>
      </w:r>
    </w:p>
    <w:p w:rsidR="00222762" w:rsidRDefault="00222762">
      <w:pPr>
        <w:spacing w:line="240" w:lineRule="auto"/>
        <w:ind w:left="2" w:firstLine="0"/>
        <w:jc w:val="left"/>
      </w:pPr>
    </w:p>
    <w:p w:rsidR="00222762" w:rsidRDefault="00F44942">
      <w:pPr>
        <w:ind w:right="833"/>
      </w:pPr>
      <w:r>
        <w:t xml:space="preserve">The bank currently has total 120 branches including 99 online branches, 1 full-fledged Islamic Banking branch, 1 SME service center and 11 SME branches spread across the country. It currently has 311 ATMs of its own and ATM sharing arrangement with partner banks that has more than 1150 ATMs in place, SMS Banking, Internet Banking with city touch and so on. It already has started its Customer Call Center operation. City Bank is the first bank in Bangladesh to have issued Dual Currency Credit Card. City Bank has launched American Express Credit Card and American Express Gold Credit card in November 2009.City Bank is the local caretaker of the brand and is responsible for all operations supporting the issuing of the new credit cards, including billing and accounting, customer service, credit management and charge authorizations, as well as marketing the cards in Bangladesh. </w:t>
      </w:r>
    </w:p>
    <w:p w:rsidR="00222762" w:rsidRDefault="00222762">
      <w:pPr>
        <w:spacing w:line="240" w:lineRule="auto"/>
        <w:ind w:left="19" w:firstLine="0"/>
        <w:jc w:val="left"/>
      </w:pPr>
    </w:p>
    <w:p w:rsidR="00222762" w:rsidRDefault="00F44942" w:rsidP="00AD581D">
      <w:pPr>
        <w:ind w:right="836"/>
      </w:pPr>
      <w:r>
        <w:t xml:space="preserve">City Bank offers a very personalized and friendly customer service. </w:t>
      </w:r>
      <w:proofErr w:type="gramStart"/>
      <w:r>
        <w:t>It focuses on ensuring happy customers through setting benchmarks for the bank’s employee’ attitude, behavior, readiness level, accuracy and timeliness of service quality through CRP model.</w:t>
      </w:r>
      <w:proofErr w:type="gramEnd"/>
      <w:r>
        <w:t xml:space="preserve"> City Bank is one of the largest corporate banks in Bangladesh with a current business model that supports the growth of the bank in retail and SME banking. The bank is also very active in the workers' foreign remittance business. </w:t>
      </w:r>
    </w:p>
    <w:p w:rsidR="00AD581D" w:rsidRDefault="00AD581D" w:rsidP="00AD581D">
      <w:pPr>
        <w:ind w:right="836"/>
      </w:pPr>
    </w:p>
    <w:p w:rsidR="00AD581D" w:rsidRDefault="00AD581D" w:rsidP="00AD581D">
      <w:pPr>
        <w:ind w:right="836"/>
      </w:pPr>
    </w:p>
    <w:p w:rsidR="00AD581D" w:rsidRDefault="00AD581D" w:rsidP="00AD581D">
      <w:pPr>
        <w:ind w:right="836"/>
      </w:pPr>
    </w:p>
    <w:p w:rsidR="00AD581D" w:rsidRDefault="00AD581D" w:rsidP="00AD581D">
      <w:pPr>
        <w:ind w:right="836"/>
      </w:pPr>
    </w:p>
    <w:p w:rsidR="00AD581D" w:rsidRDefault="00AD581D" w:rsidP="00AD581D">
      <w:pPr>
        <w:ind w:right="836"/>
      </w:pPr>
    </w:p>
    <w:p w:rsidR="00AD581D" w:rsidRDefault="00AD581D" w:rsidP="00AD581D">
      <w:pPr>
        <w:ind w:right="836"/>
      </w:pPr>
    </w:p>
    <w:p w:rsidR="00AD581D" w:rsidRDefault="00AD581D" w:rsidP="00AD581D">
      <w:pPr>
        <w:ind w:right="836"/>
      </w:pPr>
    </w:p>
    <w:p w:rsidR="00AD581D" w:rsidRDefault="00AD581D" w:rsidP="00AD581D">
      <w:pPr>
        <w:ind w:right="836"/>
      </w:pPr>
    </w:p>
    <w:p w:rsidR="00222762" w:rsidRDefault="00F44942" w:rsidP="00401C1D">
      <w:pPr>
        <w:pStyle w:val="Heading2"/>
      </w:pPr>
      <w:bookmarkStart w:id="15" w:name="_Toc524820994"/>
      <w:r>
        <w:lastRenderedPageBreak/>
        <w:t>2.4 CBL at a Glance</w:t>
      </w:r>
      <w:bookmarkEnd w:id="15"/>
    </w:p>
    <w:p w:rsidR="00222762" w:rsidRDefault="00222762">
      <w:pPr>
        <w:spacing w:after="244" w:line="276" w:lineRule="auto"/>
        <w:ind w:left="91" w:firstLine="0"/>
        <w:jc w:val="left"/>
      </w:pPr>
    </w:p>
    <w:tbl>
      <w:tblPr>
        <w:tblStyle w:val="TableGrid"/>
        <w:tblW w:w="8641" w:type="dxa"/>
        <w:tblInd w:w="182" w:type="dxa"/>
        <w:tblCellMar>
          <w:left w:w="114" w:type="dxa"/>
          <w:right w:w="49" w:type="dxa"/>
        </w:tblCellMar>
        <w:tblLook w:val="04A0" w:firstRow="1" w:lastRow="0" w:firstColumn="1" w:lastColumn="0" w:noHBand="0" w:noVBand="1"/>
      </w:tblPr>
      <w:tblGrid>
        <w:gridCol w:w="7722"/>
        <w:gridCol w:w="920"/>
        <w:gridCol w:w="1027"/>
      </w:tblGrid>
      <w:tr w:rsidR="00222762">
        <w:trPr>
          <w:trHeight w:val="430"/>
        </w:trPr>
        <w:tc>
          <w:tcPr>
            <w:tcW w:w="7719" w:type="dxa"/>
            <w:tcBorders>
              <w:top w:val="nil"/>
              <w:left w:val="nil"/>
              <w:bottom w:val="single" w:sz="12" w:space="0" w:color="FFFFFF"/>
              <w:right w:val="nil"/>
            </w:tcBorders>
            <w:shd w:val="clear" w:color="auto" w:fill="9E3A38"/>
          </w:tcPr>
          <w:p w:rsidR="00222762" w:rsidRDefault="00F44942">
            <w:pPr>
              <w:spacing w:line="276" w:lineRule="auto"/>
              <w:ind w:left="119" w:firstLine="226"/>
            </w:pPr>
            <w:r>
              <w:rPr>
                <w:b/>
                <w:color w:val="FFFFFF"/>
                <w:sz w:val="18"/>
              </w:rPr>
              <w:t xml:space="preserve">Formal March 27,1983 Listing with Chittagong DECE </w:t>
            </w:r>
            <w:proofErr w:type="spellStart"/>
            <w:r>
              <w:rPr>
                <w:b/>
                <w:color w:val="FFFFFF"/>
                <w:sz w:val="18"/>
              </w:rPr>
              <w:t>InaugurationStock</w:t>
            </w:r>
            <w:proofErr w:type="spellEnd"/>
            <w:r>
              <w:rPr>
                <w:b/>
                <w:color w:val="FFFFFF"/>
                <w:sz w:val="18"/>
              </w:rPr>
              <w:t xml:space="preserve"> Exchange Ltd</w:t>
            </w:r>
          </w:p>
        </w:tc>
        <w:tc>
          <w:tcPr>
            <w:tcW w:w="923" w:type="dxa"/>
            <w:gridSpan w:val="2"/>
            <w:tcBorders>
              <w:top w:val="nil"/>
              <w:left w:val="nil"/>
              <w:bottom w:val="single" w:sz="12" w:space="0" w:color="FFFFFF"/>
              <w:right w:val="nil"/>
            </w:tcBorders>
            <w:shd w:val="clear" w:color="auto" w:fill="9E3A38"/>
          </w:tcPr>
          <w:p w:rsidR="00222762" w:rsidRDefault="00F44942">
            <w:pPr>
              <w:spacing w:line="276" w:lineRule="auto"/>
              <w:ind w:left="0" w:firstLine="21"/>
              <w:jc w:val="left"/>
            </w:pPr>
            <w:r>
              <w:rPr>
                <w:b/>
                <w:color w:val="FFFFFF"/>
                <w:sz w:val="18"/>
              </w:rPr>
              <w:t>MBER 27, 1995</w:t>
            </w:r>
          </w:p>
        </w:tc>
      </w:tr>
      <w:tr w:rsidR="00222762">
        <w:trPr>
          <w:trHeight w:val="842"/>
        </w:trPr>
        <w:tc>
          <w:tcPr>
            <w:tcW w:w="7719" w:type="dxa"/>
            <w:tcBorders>
              <w:top w:val="single" w:sz="12" w:space="0" w:color="FFFFFF"/>
              <w:left w:val="nil"/>
              <w:bottom w:val="nil"/>
              <w:right w:val="nil"/>
            </w:tcBorders>
            <w:shd w:val="clear" w:color="auto" w:fill="CCCCCC"/>
          </w:tcPr>
          <w:p w:rsidR="00222762" w:rsidRDefault="00F44942">
            <w:pPr>
              <w:spacing w:line="235" w:lineRule="auto"/>
              <w:ind w:left="419" w:right="1192" w:hanging="199"/>
              <w:jc w:val="left"/>
            </w:pPr>
            <w:r>
              <w:rPr>
                <w:b/>
                <w:sz w:val="18"/>
              </w:rPr>
              <w:t xml:space="preserve">Registered </w:t>
            </w:r>
            <w:r>
              <w:rPr>
                <w:b/>
                <w:sz w:val="18"/>
              </w:rPr>
              <w:tab/>
            </w:r>
            <w:r>
              <w:rPr>
                <w:sz w:val="18"/>
              </w:rPr>
              <w:t xml:space="preserve">136, </w:t>
            </w:r>
            <w:r>
              <w:rPr>
                <w:sz w:val="18"/>
              </w:rPr>
              <w:tab/>
              <w:t>Total Manpower</w:t>
            </w:r>
            <w:r>
              <w:rPr>
                <w:b/>
                <w:sz w:val="18"/>
              </w:rPr>
              <w:t xml:space="preserve"> office</w:t>
            </w:r>
            <w:r>
              <w:rPr>
                <w:sz w:val="18"/>
              </w:rPr>
              <w:tab/>
            </w:r>
            <w:proofErr w:type="spellStart"/>
            <w:r>
              <w:rPr>
                <w:sz w:val="18"/>
              </w:rPr>
              <w:t>BiruttamShakhawatsarak</w:t>
            </w:r>
            <w:proofErr w:type="spellEnd"/>
            <w:r>
              <w:rPr>
                <w:sz w:val="18"/>
              </w:rPr>
              <w:t>(</w:t>
            </w:r>
            <w:proofErr w:type="spellStart"/>
            <w:r>
              <w:rPr>
                <w:sz w:val="18"/>
              </w:rPr>
              <w:t>Gulshan</w:t>
            </w:r>
            <w:proofErr w:type="spellEnd"/>
            <w:r>
              <w:rPr>
                <w:sz w:val="18"/>
              </w:rPr>
              <w:t xml:space="preserve"> avenue) </w:t>
            </w:r>
            <w:proofErr w:type="spellStart"/>
            <w:r>
              <w:rPr>
                <w:sz w:val="18"/>
              </w:rPr>
              <w:t>Gulshan</w:t>
            </w:r>
            <w:proofErr w:type="spellEnd"/>
            <w:r>
              <w:rPr>
                <w:sz w:val="18"/>
              </w:rPr>
              <w:t xml:space="preserve"> 2, </w:t>
            </w:r>
          </w:p>
          <w:p w:rsidR="00222762" w:rsidRDefault="00F44942">
            <w:pPr>
              <w:spacing w:line="276" w:lineRule="auto"/>
              <w:ind w:left="2416" w:firstLine="0"/>
              <w:jc w:val="left"/>
            </w:pPr>
            <w:r>
              <w:rPr>
                <w:sz w:val="18"/>
              </w:rPr>
              <w:t>Dhaka-1212</w:t>
            </w:r>
          </w:p>
        </w:tc>
        <w:tc>
          <w:tcPr>
            <w:tcW w:w="923" w:type="dxa"/>
            <w:gridSpan w:val="2"/>
            <w:tcBorders>
              <w:top w:val="single" w:sz="12" w:space="0" w:color="FFFFFF"/>
              <w:left w:val="nil"/>
              <w:bottom w:val="nil"/>
              <w:right w:val="nil"/>
            </w:tcBorders>
            <w:shd w:val="clear" w:color="auto" w:fill="CCCCCC"/>
          </w:tcPr>
          <w:p w:rsidR="00222762" w:rsidRDefault="00F44942">
            <w:pPr>
              <w:spacing w:line="240" w:lineRule="auto"/>
              <w:ind w:left="0" w:firstLine="0"/>
              <w:jc w:val="left"/>
            </w:pPr>
            <w:r>
              <w:rPr>
                <w:sz w:val="18"/>
              </w:rPr>
              <w:t xml:space="preserve">2,647 </w:t>
            </w:r>
          </w:p>
          <w:p w:rsidR="00222762" w:rsidRDefault="00222762">
            <w:pPr>
              <w:spacing w:line="276" w:lineRule="auto"/>
              <w:ind w:firstLine="0"/>
              <w:jc w:val="left"/>
            </w:pPr>
          </w:p>
        </w:tc>
      </w:tr>
      <w:tr w:rsidR="00222762">
        <w:trPr>
          <w:trHeight w:val="415"/>
        </w:trPr>
        <w:tc>
          <w:tcPr>
            <w:tcW w:w="7719" w:type="dxa"/>
            <w:tcBorders>
              <w:top w:val="nil"/>
              <w:left w:val="nil"/>
              <w:bottom w:val="nil"/>
              <w:right w:val="nil"/>
            </w:tcBorders>
            <w:shd w:val="clear" w:color="auto" w:fill="E6E6E6"/>
          </w:tcPr>
          <w:p w:rsidR="00222762" w:rsidRDefault="00F44942">
            <w:pPr>
              <w:spacing w:line="240" w:lineRule="auto"/>
              <w:ind w:left="318" w:firstLine="0"/>
              <w:jc w:val="left"/>
            </w:pPr>
            <w:r>
              <w:rPr>
                <w:b/>
                <w:sz w:val="18"/>
              </w:rPr>
              <w:t>Website</w:t>
            </w:r>
            <w:r>
              <w:rPr>
                <w:sz w:val="18"/>
              </w:rPr>
              <w:tab/>
            </w:r>
            <w:hyperlink r:id="rId36">
              <w:r>
                <w:rPr>
                  <w:color w:val="0000FF"/>
                  <w:sz w:val="18"/>
                  <w:u w:val="single" w:color="0000FF"/>
                </w:rPr>
                <w:t>www.thecitybank.com</w:t>
              </w:r>
            </w:hyperlink>
            <w:hyperlink r:id="rId37"/>
            <w:r>
              <w:rPr>
                <w:sz w:val="18"/>
              </w:rPr>
              <w:tab/>
              <w:t>Number of Branches</w:t>
            </w:r>
          </w:p>
          <w:p w:rsidR="00222762" w:rsidRDefault="00222762">
            <w:pPr>
              <w:spacing w:line="276" w:lineRule="auto"/>
              <w:ind w:left="2860" w:firstLine="0"/>
              <w:jc w:val="left"/>
            </w:pPr>
          </w:p>
        </w:tc>
        <w:tc>
          <w:tcPr>
            <w:tcW w:w="923" w:type="dxa"/>
            <w:gridSpan w:val="2"/>
            <w:tcBorders>
              <w:top w:val="nil"/>
              <w:left w:val="nil"/>
              <w:bottom w:val="nil"/>
              <w:right w:val="nil"/>
            </w:tcBorders>
            <w:shd w:val="clear" w:color="auto" w:fill="E6E6E6"/>
          </w:tcPr>
          <w:p w:rsidR="00222762" w:rsidRDefault="00F44942">
            <w:pPr>
              <w:spacing w:line="240" w:lineRule="auto"/>
              <w:ind w:left="0" w:firstLine="0"/>
              <w:jc w:val="left"/>
            </w:pPr>
            <w:r>
              <w:rPr>
                <w:sz w:val="18"/>
              </w:rPr>
              <w:t xml:space="preserve">91 </w:t>
            </w:r>
          </w:p>
          <w:p w:rsidR="00222762" w:rsidRDefault="00222762">
            <w:pPr>
              <w:spacing w:line="276" w:lineRule="auto"/>
              <w:ind w:left="0" w:firstLine="0"/>
              <w:jc w:val="left"/>
            </w:pPr>
          </w:p>
        </w:tc>
      </w:tr>
      <w:tr w:rsidR="00222762">
        <w:trPr>
          <w:trHeight w:val="206"/>
        </w:trPr>
        <w:tc>
          <w:tcPr>
            <w:tcW w:w="7719" w:type="dxa"/>
            <w:vMerge w:val="restart"/>
            <w:tcBorders>
              <w:top w:val="nil"/>
              <w:left w:val="nil"/>
              <w:bottom w:val="nil"/>
              <w:right w:val="nil"/>
            </w:tcBorders>
            <w:shd w:val="clear" w:color="auto" w:fill="CCCCCC"/>
          </w:tcPr>
          <w:p w:rsidR="00222762" w:rsidRDefault="00F44942">
            <w:pPr>
              <w:spacing w:line="240" w:lineRule="auto"/>
              <w:ind w:left="234" w:firstLine="0"/>
              <w:jc w:val="left"/>
            </w:pPr>
            <w:r>
              <w:rPr>
                <w:b/>
                <w:sz w:val="18"/>
              </w:rPr>
              <w:t>Chairman</w:t>
            </w:r>
            <w:r>
              <w:rPr>
                <w:sz w:val="18"/>
              </w:rPr>
              <w:tab/>
              <w:t xml:space="preserve">RUBEL AZIZ </w:t>
            </w:r>
            <w:r>
              <w:rPr>
                <w:sz w:val="18"/>
              </w:rPr>
              <w:tab/>
              <w:t>Number of SME Service Center</w:t>
            </w:r>
          </w:p>
          <w:p w:rsidR="00222762" w:rsidRDefault="00222762">
            <w:pPr>
              <w:spacing w:line="240" w:lineRule="auto"/>
              <w:ind w:left="2860" w:firstLine="0"/>
              <w:jc w:val="left"/>
            </w:pPr>
          </w:p>
          <w:p w:rsidR="00222762" w:rsidRDefault="00222762">
            <w:pPr>
              <w:spacing w:line="276" w:lineRule="auto"/>
              <w:ind w:left="2860" w:firstLine="0"/>
              <w:jc w:val="left"/>
            </w:pPr>
          </w:p>
        </w:tc>
        <w:tc>
          <w:tcPr>
            <w:tcW w:w="226" w:type="dxa"/>
            <w:tcBorders>
              <w:top w:val="nil"/>
              <w:left w:val="nil"/>
              <w:bottom w:val="nil"/>
              <w:right w:val="nil"/>
            </w:tcBorders>
            <w:shd w:val="clear" w:color="auto" w:fill="CCCCCC"/>
          </w:tcPr>
          <w:p w:rsidR="00222762" w:rsidRDefault="00F44942">
            <w:pPr>
              <w:spacing w:line="276" w:lineRule="auto"/>
              <w:ind w:left="0" w:firstLine="0"/>
            </w:pPr>
            <w:r>
              <w:rPr>
                <w:sz w:val="18"/>
              </w:rPr>
              <w:t xml:space="preserve">01  </w:t>
            </w:r>
          </w:p>
        </w:tc>
        <w:tc>
          <w:tcPr>
            <w:tcW w:w="697" w:type="dxa"/>
            <w:vMerge w:val="restart"/>
            <w:tcBorders>
              <w:top w:val="nil"/>
              <w:left w:val="nil"/>
              <w:bottom w:val="nil"/>
              <w:right w:val="nil"/>
            </w:tcBorders>
            <w:shd w:val="clear" w:color="auto" w:fill="CCCCCC"/>
          </w:tcPr>
          <w:p w:rsidR="00222762" w:rsidRDefault="00222762">
            <w:pPr>
              <w:spacing w:line="276" w:lineRule="auto"/>
              <w:ind w:left="0" w:firstLine="0"/>
              <w:jc w:val="left"/>
            </w:pPr>
          </w:p>
        </w:tc>
      </w:tr>
      <w:tr w:rsidR="00222762">
        <w:trPr>
          <w:trHeight w:val="413"/>
        </w:trPr>
        <w:tc>
          <w:tcPr>
            <w:tcW w:w="0" w:type="auto"/>
            <w:vMerge/>
            <w:tcBorders>
              <w:top w:val="nil"/>
              <w:left w:val="nil"/>
              <w:bottom w:val="nil"/>
              <w:right w:val="nil"/>
            </w:tcBorders>
          </w:tcPr>
          <w:p w:rsidR="00222762" w:rsidRDefault="00222762">
            <w:pPr>
              <w:spacing w:line="276" w:lineRule="auto"/>
              <w:ind w:left="0" w:firstLine="0"/>
              <w:jc w:val="left"/>
            </w:pPr>
          </w:p>
        </w:tc>
        <w:tc>
          <w:tcPr>
            <w:tcW w:w="226" w:type="dxa"/>
            <w:tcBorders>
              <w:top w:val="nil"/>
              <w:left w:val="nil"/>
              <w:bottom w:val="nil"/>
              <w:right w:val="nil"/>
            </w:tcBorders>
            <w:shd w:val="clear" w:color="auto" w:fill="CCCCCC"/>
          </w:tcPr>
          <w:p w:rsidR="00222762" w:rsidRDefault="00222762">
            <w:pPr>
              <w:spacing w:line="276" w:lineRule="auto"/>
              <w:ind w:left="0" w:firstLine="0"/>
              <w:jc w:val="left"/>
            </w:pPr>
          </w:p>
        </w:tc>
        <w:tc>
          <w:tcPr>
            <w:tcW w:w="0" w:type="auto"/>
            <w:vMerge/>
            <w:tcBorders>
              <w:top w:val="nil"/>
              <w:left w:val="nil"/>
              <w:bottom w:val="nil"/>
              <w:right w:val="nil"/>
            </w:tcBorders>
          </w:tcPr>
          <w:p w:rsidR="00222762" w:rsidRDefault="00222762">
            <w:pPr>
              <w:spacing w:line="276" w:lineRule="auto"/>
              <w:ind w:left="0" w:firstLine="0"/>
              <w:jc w:val="left"/>
            </w:pPr>
          </w:p>
        </w:tc>
      </w:tr>
      <w:tr w:rsidR="00222762">
        <w:trPr>
          <w:trHeight w:val="209"/>
        </w:trPr>
        <w:tc>
          <w:tcPr>
            <w:tcW w:w="7719" w:type="dxa"/>
            <w:vMerge w:val="restart"/>
            <w:tcBorders>
              <w:top w:val="nil"/>
              <w:left w:val="nil"/>
              <w:bottom w:val="nil"/>
              <w:right w:val="nil"/>
            </w:tcBorders>
            <w:shd w:val="clear" w:color="auto" w:fill="E6E6E6"/>
          </w:tcPr>
          <w:p w:rsidR="00222762" w:rsidRDefault="00F44942">
            <w:pPr>
              <w:spacing w:line="240" w:lineRule="auto"/>
              <w:ind w:left="460" w:firstLine="0"/>
              <w:jc w:val="left"/>
            </w:pPr>
            <w:r>
              <w:rPr>
                <w:b/>
                <w:sz w:val="18"/>
              </w:rPr>
              <w:t xml:space="preserve">Vice </w:t>
            </w:r>
            <w:r>
              <w:rPr>
                <w:b/>
                <w:sz w:val="18"/>
              </w:rPr>
              <w:tab/>
            </w:r>
            <w:r>
              <w:rPr>
                <w:sz w:val="18"/>
              </w:rPr>
              <w:t xml:space="preserve">MEHERUN HAQUE </w:t>
            </w:r>
            <w:r>
              <w:rPr>
                <w:sz w:val="18"/>
              </w:rPr>
              <w:tab/>
              <w:t>Number of Islamic Branch</w:t>
            </w:r>
          </w:p>
          <w:p w:rsidR="00222762" w:rsidRDefault="00F44942">
            <w:pPr>
              <w:spacing w:line="276" w:lineRule="auto"/>
              <w:ind w:left="143" w:firstLine="0"/>
              <w:jc w:val="left"/>
            </w:pPr>
            <w:r>
              <w:rPr>
                <w:b/>
                <w:sz w:val="18"/>
              </w:rPr>
              <w:t>Chairperson</w:t>
            </w:r>
            <w:r>
              <w:rPr>
                <w:sz w:val="18"/>
              </w:rPr>
              <w:tab/>
            </w:r>
          </w:p>
        </w:tc>
        <w:tc>
          <w:tcPr>
            <w:tcW w:w="226" w:type="dxa"/>
            <w:tcBorders>
              <w:top w:val="nil"/>
              <w:left w:val="nil"/>
              <w:bottom w:val="nil"/>
              <w:right w:val="nil"/>
            </w:tcBorders>
            <w:shd w:val="clear" w:color="auto" w:fill="E6E6E6"/>
          </w:tcPr>
          <w:p w:rsidR="00222762" w:rsidRDefault="00F44942">
            <w:pPr>
              <w:spacing w:line="276" w:lineRule="auto"/>
              <w:ind w:left="0" w:firstLine="0"/>
            </w:pPr>
            <w:r>
              <w:rPr>
                <w:sz w:val="18"/>
              </w:rPr>
              <w:t xml:space="preserve">01  </w:t>
            </w:r>
          </w:p>
        </w:tc>
        <w:tc>
          <w:tcPr>
            <w:tcW w:w="697" w:type="dxa"/>
            <w:vMerge w:val="restart"/>
            <w:tcBorders>
              <w:top w:val="nil"/>
              <w:left w:val="nil"/>
              <w:bottom w:val="nil"/>
              <w:right w:val="nil"/>
            </w:tcBorders>
            <w:shd w:val="clear" w:color="auto" w:fill="E6E6E6"/>
          </w:tcPr>
          <w:p w:rsidR="00222762" w:rsidRDefault="00222762">
            <w:pPr>
              <w:spacing w:line="276" w:lineRule="auto"/>
              <w:ind w:left="0" w:firstLine="0"/>
              <w:jc w:val="left"/>
            </w:pPr>
          </w:p>
        </w:tc>
      </w:tr>
      <w:tr w:rsidR="00222762">
        <w:trPr>
          <w:trHeight w:val="207"/>
        </w:trPr>
        <w:tc>
          <w:tcPr>
            <w:tcW w:w="0" w:type="auto"/>
            <w:vMerge/>
            <w:tcBorders>
              <w:top w:val="nil"/>
              <w:left w:val="nil"/>
              <w:bottom w:val="nil"/>
              <w:right w:val="nil"/>
            </w:tcBorders>
          </w:tcPr>
          <w:p w:rsidR="00222762" w:rsidRDefault="00222762">
            <w:pPr>
              <w:spacing w:line="276" w:lineRule="auto"/>
              <w:ind w:left="0" w:firstLine="0"/>
              <w:jc w:val="left"/>
            </w:pPr>
          </w:p>
        </w:tc>
        <w:tc>
          <w:tcPr>
            <w:tcW w:w="226" w:type="dxa"/>
            <w:tcBorders>
              <w:top w:val="nil"/>
              <w:left w:val="nil"/>
              <w:bottom w:val="nil"/>
              <w:right w:val="nil"/>
            </w:tcBorders>
            <w:shd w:val="clear" w:color="auto" w:fill="E6E6E6"/>
          </w:tcPr>
          <w:p w:rsidR="00222762" w:rsidRDefault="00222762">
            <w:pPr>
              <w:spacing w:line="276" w:lineRule="auto"/>
              <w:ind w:left="0" w:firstLine="0"/>
              <w:jc w:val="left"/>
            </w:pPr>
          </w:p>
        </w:tc>
        <w:tc>
          <w:tcPr>
            <w:tcW w:w="0" w:type="auto"/>
            <w:vMerge/>
            <w:tcBorders>
              <w:top w:val="nil"/>
              <w:left w:val="nil"/>
              <w:bottom w:val="nil"/>
              <w:right w:val="nil"/>
            </w:tcBorders>
          </w:tcPr>
          <w:p w:rsidR="00222762" w:rsidRDefault="00222762">
            <w:pPr>
              <w:spacing w:line="276" w:lineRule="auto"/>
              <w:ind w:left="0" w:firstLine="0"/>
              <w:jc w:val="left"/>
            </w:pPr>
          </w:p>
        </w:tc>
      </w:tr>
      <w:tr w:rsidR="00222762">
        <w:trPr>
          <w:trHeight w:val="206"/>
        </w:trPr>
        <w:tc>
          <w:tcPr>
            <w:tcW w:w="7719" w:type="dxa"/>
            <w:vMerge w:val="restart"/>
            <w:tcBorders>
              <w:top w:val="nil"/>
              <w:left w:val="nil"/>
              <w:bottom w:val="nil"/>
              <w:right w:val="nil"/>
            </w:tcBorders>
            <w:shd w:val="clear" w:color="auto" w:fill="CCCCCC"/>
          </w:tcPr>
          <w:p w:rsidR="00222762" w:rsidRDefault="00F44942">
            <w:pPr>
              <w:spacing w:line="240" w:lineRule="auto"/>
              <w:ind w:left="239" w:firstLine="0"/>
              <w:jc w:val="left"/>
            </w:pPr>
            <w:r>
              <w:rPr>
                <w:b/>
                <w:sz w:val="18"/>
              </w:rPr>
              <w:t xml:space="preserve">Managing </w:t>
            </w:r>
            <w:r>
              <w:rPr>
                <w:b/>
                <w:sz w:val="18"/>
              </w:rPr>
              <w:tab/>
            </w:r>
            <w:r>
              <w:rPr>
                <w:sz w:val="18"/>
              </w:rPr>
              <w:t xml:space="preserve">SOHAIL R. K. HUSSAIN </w:t>
            </w:r>
            <w:r>
              <w:rPr>
                <w:sz w:val="18"/>
              </w:rPr>
              <w:tab/>
              <w:t>Number of SME/</w:t>
            </w:r>
            <w:proofErr w:type="spellStart"/>
            <w:r>
              <w:rPr>
                <w:sz w:val="18"/>
              </w:rPr>
              <w:t>Agri</w:t>
            </w:r>
            <w:proofErr w:type="spellEnd"/>
            <w:r>
              <w:rPr>
                <w:sz w:val="18"/>
              </w:rPr>
              <w:t xml:space="preserve"> Branches</w:t>
            </w:r>
          </w:p>
          <w:p w:rsidR="00222762" w:rsidRDefault="00F44942">
            <w:pPr>
              <w:spacing w:line="240" w:lineRule="auto"/>
              <w:ind w:left="208" w:firstLine="0"/>
              <w:jc w:val="left"/>
            </w:pPr>
            <w:r>
              <w:rPr>
                <w:b/>
                <w:sz w:val="18"/>
              </w:rPr>
              <w:t>Director &amp;</w:t>
            </w:r>
            <w:r>
              <w:rPr>
                <w:b/>
                <w:sz w:val="18"/>
              </w:rPr>
              <w:tab/>
            </w:r>
          </w:p>
          <w:p w:rsidR="00222762" w:rsidRDefault="00F44942">
            <w:pPr>
              <w:spacing w:line="276" w:lineRule="auto"/>
              <w:ind w:left="433" w:firstLine="0"/>
              <w:jc w:val="left"/>
            </w:pPr>
            <w:r>
              <w:rPr>
                <w:b/>
                <w:sz w:val="18"/>
              </w:rPr>
              <w:t>CEO</w:t>
            </w:r>
          </w:p>
        </w:tc>
        <w:tc>
          <w:tcPr>
            <w:tcW w:w="226" w:type="dxa"/>
            <w:tcBorders>
              <w:top w:val="nil"/>
              <w:left w:val="nil"/>
              <w:bottom w:val="nil"/>
              <w:right w:val="nil"/>
            </w:tcBorders>
            <w:shd w:val="clear" w:color="auto" w:fill="CCCCCC"/>
          </w:tcPr>
          <w:p w:rsidR="00222762" w:rsidRDefault="00F44942">
            <w:pPr>
              <w:spacing w:line="276" w:lineRule="auto"/>
              <w:ind w:left="0" w:firstLine="0"/>
            </w:pPr>
            <w:r>
              <w:rPr>
                <w:sz w:val="18"/>
              </w:rPr>
              <w:t xml:space="preserve">11  </w:t>
            </w:r>
          </w:p>
        </w:tc>
        <w:tc>
          <w:tcPr>
            <w:tcW w:w="697" w:type="dxa"/>
            <w:vMerge w:val="restart"/>
            <w:tcBorders>
              <w:top w:val="nil"/>
              <w:left w:val="nil"/>
              <w:bottom w:val="nil"/>
              <w:right w:val="nil"/>
            </w:tcBorders>
            <w:shd w:val="clear" w:color="auto" w:fill="CCCCCC"/>
          </w:tcPr>
          <w:p w:rsidR="00222762" w:rsidRDefault="00222762">
            <w:pPr>
              <w:spacing w:line="276" w:lineRule="auto"/>
              <w:ind w:left="0" w:firstLine="0"/>
              <w:jc w:val="left"/>
            </w:pPr>
          </w:p>
        </w:tc>
      </w:tr>
      <w:tr w:rsidR="00222762">
        <w:trPr>
          <w:trHeight w:val="602"/>
        </w:trPr>
        <w:tc>
          <w:tcPr>
            <w:tcW w:w="0" w:type="auto"/>
            <w:vMerge/>
            <w:tcBorders>
              <w:top w:val="nil"/>
              <w:left w:val="nil"/>
              <w:bottom w:val="nil"/>
              <w:right w:val="nil"/>
            </w:tcBorders>
          </w:tcPr>
          <w:p w:rsidR="00222762" w:rsidRDefault="00222762">
            <w:pPr>
              <w:spacing w:line="276" w:lineRule="auto"/>
              <w:ind w:left="0" w:firstLine="0"/>
              <w:jc w:val="left"/>
            </w:pPr>
          </w:p>
        </w:tc>
        <w:tc>
          <w:tcPr>
            <w:tcW w:w="226" w:type="dxa"/>
            <w:tcBorders>
              <w:top w:val="nil"/>
              <w:left w:val="nil"/>
              <w:bottom w:val="nil"/>
              <w:right w:val="nil"/>
            </w:tcBorders>
            <w:shd w:val="clear" w:color="auto" w:fill="CCCCCC"/>
          </w:tcPr>
          <w:p w:rsidR="00222762" w:rsidRDefault="00222762">
            <w:pPr>
              <w:spacing w:line="276" w:lineRule="auto"/>
              <w:ind w:left="0" w:firstLine="0"/>
              <w:jc w:val="left"/>
            </w:pPr>
          </w:p>
        </w:tc>
        <w:tc>
          <w:tcPr>
            <w:tcW w:w="0" w:type="auto"/>
            <w:vMerge/>
            <w:tcBorders>
              <w:top w:val="nil"/>
              <w:left w:val="nil"/>
              <w:bottom w:val="nil"/>
              <w:right w:val="nil"/>
            </w:tcBorders>
          </w:tcPr>
          <w:p w:rsidR="00222762" w:rsidRDefault="00222762">
            <w:pPr>
              <w:spacing w:line="276" w:lineRule="auto"/>
              <w:ind w:left="0" w:firstLine="0"/>
              <w:jc w:val="left"/>
            </w:pPr>
          </w:p>
        </w:tc>
      </w:tr>
      <w:tr w:rsidR="00222762">
        <w:trPr>
          <w:trHeight w:val="209"/>
        </w:trPr>
        <w:tc>
          <w:tcPr>
            <w:tcW w:w="7719" w:type="dxa"/>
            <w:vMerge w:val="restart"/>
            <w:tcBorders>
              <w:top w:val="nil"/>
              <w:left w:val="nil"/>
              <w:bottom w:val="nil"/>
              <w:right w:val="nil"/>
            </w:tcBorders>
            <w:shd w:val="clear" w:color="auto" w:fill="E6E6E6"/>
          </w:tcPr>
          <w:p w:rsidR="00222762" w:rsidRDefault="00F44942">
            <w:pPr>
              <w:spacing w:line="240" w:lineRule="auto"/>
              <w:ind w:left="253" w:firstLine="0"/>
              <w:jc w:val="left"/>
            </w:pPr>
            <w:r>
              <w:rPr>
                <w:b/>
                <w:sz w:val="18"/>
              </w:rPr>
              <w:t xml:space="preserve">Company </w:t>
            </w:r>
            <w:r>
              <w:rPr>
                <w:b/>
                <w:sz w:val="18"/>
              </w:rPr>
              <w:tab/>
            </w:r>
            <w:r>
              <w:rPr>
                <w:sz w:val="18"/>
              </w:rPr>
              <w:t xml:space="preserve">MD. KAFI KHAN </w:t>
            </w:r>
            <w:r>
              <w:rPr>
                <w:sz w:val="18"/>
              </w:rPr>
              <w:tab/>
              <w:t>Number of ATM Booths</w:t>
            </w:r>
          </w:p>
          <w:p w:rsidR="00222762" w:rsidRDefault="00F44942">
            <w:pPr>
              <w:spacing w:line="276" w:lineRule="auto"/>
              <w:ind w:left="258" w:firstLine="0"/>
              <w:jc w:val="left"/>
            </w:pPr>
            <w:r>
              <w:rPr>
                <w:b/>
                <w:sz w:val="18"/>
              </w:rPr>
              <w:t>Secretary</w:t>
            </w:r>
            <w:r>
              <w:rPr>
                <w:sz w:val="18"/>
              </w:rPr>
              <w:tab/>
            </w:r>
          </w:p>
        </w:tc>
        <w:tc>
          <w:tcPr>
            <w:tcW w:w="226" w:type="dxa"/>
            <w:tcBorders>
              <w:top w:val="nil"/>
              <w:left w:val="nil"/>
              <w:bottom w:val="nil"/>
              <w:right w:val="nil"/>
            </w:tcBorders>
            <w:shd w:val="clear" w:color="auto" w:fill="E6E6E6"/>
          </w:tcPr>
          <w:p w:rsidR="00222762" w:rsidRDefault="00F44942">
            <w:pPr>
              <w:spacing w:line="276" w:lineRule="auto"/>
              <w:ind w:left="0" w:firstLine="0"/>
            </w:pPr>
            <w:r>
              <w:rPr>
                <w:sz w:val="18"/>
              </w:rPr>
              <w:t>120</w:t>
            </w:r>
          </w:p>
        </w:tc>
        <w:tc>
          <w:tcPr>
            <w:tcW w:w="697" w:type="dxa"/>
            <w:vMerge w:val="restart"/>
            <w:tcBorders>
              <w:top w:val="nil"/>
              <w:left w:val="nil"/>
              <w:bottom w:val="nil"/>
              <w:right w:val="nil"/>
            </w:tcBorders>
            <w:shd w:val="clear" w:color="auto" w:fill="E6E6E6"/>
          </w:tcPr>
          <w:p w:rsidR="00222762" w:rsidRDefault="00222762">
            <w:pPr>
              <w:spacing w:line="276" w:lineRule="auto"/>
              <w:ind w:left="0" w:firstLine="0"/>
              <w:jc w:val="left"/>
            </w:pPr>
          </w:p>
        </w:tc>
      </w:tr>
      <w:tr w:rsidR="00222762">
        <w:trPr>
          <w:trHeight w:val="432"/>
        </w:trPr>
        <w:tc>
          <w:tcPr>
            <w:tcW w:w="0" w:type="auto"/>
            <w:vMerge/>
            <w:tcBorders>
              <w:top w:val="nil"/>
              <w:left w:val="nil"/>
              <w:bottom w:val="nil"/>
              <w:right w:val="nil"/>
            </w:tcBorders>
          </w:tcPr>
          <w:p w:rsidR="00222762" w:rsidRDefault="00222762">
            <w:pPr>
              <w:spacing w:line="276" w:lineRule="auto"/>
              <w:ind w:left="0" w:firstLine="0"/>
              <w:jc w:val="left"/>
            </w:pPr>
          </w:p>
        </w:tc>
        <w:tc>
          <w:tcPr>
            <w:tcW w:w="226" w:type="dxa"/>
            <w:tcBorders>
              <w:top w:val="nil"/>
              <w:left w:val="nil"/>
              <w:bottom w:val="nil"/>
              <w:right w:val="nil"/>
            </w:tcBorders>
            <w:shd w:val="clear" w:color="auto" w:fill="E6E6E6"/>
          </w:tcPr>
          <w:p w:rsidR="00222762" w:rsidRDefault="00222762">
            <w:pPr>
              <w:spacing w:line="276" w:lineRule="auto"/>
              <w:ind w:left="0" w:firstLine="0"/>
              <w:jc w:val="left"/>
            </w:pPr>
          </w:p>
        </w:tc>
        <w:tc>
          <w:tcPr>
            <w:tcW w:w="0" w:type="auto"/>
            <w:vMerge/>
            <w:tcBorders>
              <w:top w:val="nil"/>
              <w:left w:val="nil"/>
              <w:bottom w:val="nil"/>
              <w:right w:val="nil"/>
            </w:tcBorders>
          </w:tcPr>
          <w:p w:rsidR="00222762" w:rsidRDefault="00222762">
            <w:pPr>
              <w:spacing w:line="276" w:lineRule="auto"/>
              <w:ind w:left="0" w:firstLine="0"/>
              <w:jc w:val="left"/>
            </w:pPr>
          </w:p>
        </w:tc>
      </w:tr>
      <w:tr w:rsidR="00222762">
        <w:trPr>
          <w:trHeight w:val="206"/>
        </w:trPr>
        <w:tc>
          <w:tcPr>
            <w:tcW w:w="7719" w:type="dxa"/>
            <w:vMerge w:val="restart"/>
            <w:tcBorders>
              <w:top w:val="nil"/>
              <w:left w:val="nil"/>
              <w:bottom w:val="nil"/>
              <w:right w:val="nil"/>
            </w:tcBorders>
            <w:shd w:val="clear" w:color="auto" w:fill="CCCCCC"/>
          </w:tcPr>
          <w:p w:rsidR="00222762" w:rsidRDefault="00F44942">
            <w:pPr>
              <w:spacing w:line="240" w:lineRule="auto"/>
              <w:ind w:left="164" w:firstLine="0"/>
              <w:jc w:val="left"/>
            </w:pPr>
            <w:r>
              <w:rPr>
                <w:b/>
                <w:sz w:val="18"/>
              </w:rPr>
              <w:t xml:space="preserve">Listing with </w:t>
            </w:r>
            <w:r>
              <w:rPr>
                <w:b/>
                <w:sz w:val="18"/>
              </w:rPr>
              <w:tab/>
            </w:r>
            <w:r>
              <w:rPr>
                <w:sz w:val="18"/>
              </w:rPr>
              <w:t xml:space="preserve">FEBRUARY 03, 1919 </w:t>
            </w:r>
            <w:r>
              <w:rPr>
                <w:sz w:val="18"/>
              </w:rPr>
              <w:tab/>
              <w:t>Number of CDM Terminals</w:t>
            </w:r>
          </w:p>
          <w:p w:rsidR="00222762" w:rsidRDefault="00F44942">
            <w:pPr>
              <w:spacing w:line="240" w:lineRule="auto"/>
              <w:ind w:left="114" w:firstLine="0"/>
              <w:jc w:val="left"/>
            </w:pPr>
            <w:r>
              <w:rPr>
                <w:b/>
                <w:sz w:val="18"/>
              </w:rPr>
              <w:t xml:space="preserve">Dhaka  Stock </w:t>
            </w:r>
          </w:p>
          <w:p w:rsidR="00222762" w:rsidRDefault="00F44942">
            <w:pPr>
              <w:spacing w:line="240" w:lineRule="auto"/>
              <w:ind w:left="90" w:firstLine="0"/>
              <w:jc w:val="left"/>
            </w:pPr>
            <w:r>
              <w:rPr>
                <w:b/>
                <w:sz w:val="18"/>
              </w:rPr>
              <w:t>Exchange Ltd</w:t>
            </w:r>
          </w:p>
          <w:p w:rsidR="00222762" w:rsidRDefault="00222762">
            <w:pPr>
              <w:spacing w:line="240" w:lineRule="auto"/>
              <w:ind w:left="628" w:firstLine="0"/>
              <w:jc w:val="left"/>
            </w:pPr>
          </w:p>
          <w:p w:rsidR="00222762" w:rsidRDefault="00222762">
            <w:pPr>
              <w:spacing w:line="276" w:lineRule="auto"/>
              <w:ind w:left="628" w:firstLine="0"/>
              <w:jc w:val="left"/>
            </w:pPr>
          </w:p>
        </w:tc>
        <w:tc>
          <w:tcPr>
            <w:tcW w:w="226" w:type="dxa"/>
            <w:tcBorders>
              <w:top w:val="nil"/>
              <w:left w:val="nil"/>
              <w:bottom w:val="nil"/>
              <w:right w:val="nil"/>
            </w:tcBorders>
            <w:shd w:val="clear" w:color="auto" w:fill="CCCCCC"/>
          </w:tcPr>
          <w:p w:rsidR="00222762" w:rsidRDefault="00F44942">
            <w:pPr>
              <w:spacing w:line="276" w:lineRule="auto"/>
              <w:ind w:left="0" w:firstLine="0"/>
            </w:pPr>
            <w:r>
              <w:rPr>
                <w:sz w:val="18"/>
              </w:rPr>
              <w:t xml:space="preserve">20  </w:t>
            </w:r>
          </w:p>
        </w:tc>
        <w:tc>
          <w:tcPr>
            <w:tcW w:w="697" w:type="dxa"/>
            <w:vMerge w:val="restart"/>
            <w:tcBorders>
              <w:top w:val="nil"/>
              <w:left w:val="nil"/>
              <w:bottom w:val="nil"/>
              <w:right w:val="nil"/>
            </w:tcBorders>
            <w:shd w:val="clear" w:color="auto" w:fill="CCCCCC"/>
          </w:tcPr>
          <w:p w:rsidR="00222762" w:rsidRDefault="00222762">
            <w:pPr>
              <w:spacing w:line="276" w:lineRule="auto"/>
              <w:ind w:left="0" w:firstLine="0"/>
              <w:jc w:val="left"/>
            </w:pPr>
          </w:p>
        </w:tc>
      </w:tr>
      <w:tr w:rsidR="00222762">
        <w:trPr>
          <w:trHeight w:val="828"/>
        </w:trPr>
        <w:tc>
          <w:tcPr>
            <w:tcW w:w="0" w:type="auto"/>
            <w:vMerge/>
            <w:tcBorders>
              <w:top w:val="nil"/>
              <w:left w:val="nil"/>
              <w:bottom w:val="nil"/>
              <w:right w:val="nil"/>
            </w:tcBorders>
          </w:tcPr>
          <w:p w:rsidR="00222762" w:rsidRDefault="00222762">
            <w:pPr>
              <w:spacing w:line="276" w:lineRule="auto"/>
              <w:ind w:left="0" w:firstLine="0"/>
              <w:jc w:val="left"/>
            </w:pPr>
          </w:p>
        </w:tc>
        <w:tc>
          <w:tcPr>
            <w:tcW w:w="226" w:type="dxa"/>
            <w:tcBorders>
              <w:top w:val="nil"/>
              <w:left w:val="nil"/>
              <w:bottom w:val="nil"/>
              <w:right w:val="nil"/>
            </w:tcBorders>
            <w:shd w:val="clear" w:color="auto" w:fill="CCCCCC"/>
          </w:tcPr>
          <w:p w:rsidR="00222762" w:rsidRDefault="00222762">
            <w:pPr>
              <w:spacing w:line="240" w:lineRule="auto"/>
              <w:ind w:left="0" w:firstLine="0"/>
              <w:jc w:val="center"/>
            </w:pPr>
          </w:p>
          <w:p w:rsidR="00222762" w:rsidRDefault="00222762">
            <w:pPr>
              <w:spacing w:line="240" w:lineRule="auto"/>
              <w:ind w:left="0" w:firstLine="0"/>
              <w:jc w:val="center"/>
            </w:pPr>
          </w:p>
          <w:p w:rsidR="00222762" w:rsidRDefault="00222762">
            <w:pPr>
              <w:spacing w:line="276" w:lineRule="auto"/>
              <w:ind w:left="0" w:firstLine="0"/>
              <w:jc w:val="center"/>
            </w:pPr>
          </w:p>
        </w:tc>
        <w:tc>
          <w:tcPr>
            <w:tcW w:w="0" w:type="auto"/>
            <w:vMerge/>
            <w:tcBorders>
              <w:top w:val="nil"/>
              <w:left w:val="nil"/>
              <w:bottom w:val="nil"/>
              <w:right w:val="nil"/>
            </w:tcBorders>
          </w:tcPr>
          <w:p w:rsidR="00222762" w:rsidRDefault="00222762">
            <w:pPr>
              <w:spacing w:line="276" w:lineRule="auto"/>
              <w:ind w:left="0" w:firstLine="0"/>
              <w:jc w:val="left"/>
            </w:pPr>
          </w:p>
        </w:tc>
      </w:tr>
      <w:tr w:rsidR="00222762">
        <w:trPr>
          <w:trHeight w:val="1656"/>
        </w:trPr>
        <w:tc>
          <w:tcPr>
            <w:tcW w:w="7719" w:type="dxa"/>
            <w:tcBorders>
              <w:top w:val="nil"/>
              <w:left w:val="nil"/>
              <w:bottom w:val="nil"/>
              <w:right w:val="nil"/>
            </w:tcBorders>
            <w:shd w:val="clear" w:color="auto" w:fill="E6E6E6"/>
          </w:tcPr>
          <w:p w:rsidR="00222762" w:rsidRDefault="00F44942">
            <w:pPr>
              <w:spacing w:line="240" w:lineRule="auto"/>
              <w:ind w:left="0" w:firstLine="0"/>
              <w:jc w:val="right"/>
            </w:pPr>
            <w:r>
              <w:rPr>
                <w:b/>
                <w:sz w:val="18"/>
              </w:rPr>
              <w:t xml:space="preserve">Auditors </w:t>
            </w:r>
            <w:r>
              <w:rPr>
                <w:b/>
                <w:sz w:val="18"/>
              </w:rPr>
              <w:tab/>
            </w:r>
            <w:r>
              <w:rPr>
                <w:sz w:val="18"/>
              </w:rPr>
              <w:t xml:space="preserve">RAHMAN&amp; HUQ    CHARTERED </w:t>
            </w:r>
            <w:r>
              <w:rPr>
                <w:sz w:val="18"/>
              </w:rPr>
              <w:tab/>
              <w:t xml:space="preserve">Tax Consultants </w:t>
            </w:r>
            <w:r>
              <w:rPr>
                <w:sz w:val="18"/>
              </w:rPr>
              <w:tab/>
              <w:t>AC</w:t>
            </w:r>
          </w:p>
          <w:p w:rsidR="00222762" w:rsidRDefault="00F44942">
            <w:pPr>
              <w:spacing w:line="233" w:lineRule="auto"/>
              <w:ind w:left="1952" w:right="4" w:firstLine="0"/>
              <w:jc w:val="right"/>
            </w:pPr>
            <w:r>
              <w:rPr>
                <w:sz w:val="18"/>
              </w:rPr>
              <w:t xml:space="preserve">ACCOUNTANTS </w:t>
            </w:r>
            <w:r>
              <w:rPr>
                <w:sz w:val="18"/>
              </w:rPr>
              <w:tab/>
            </w:r>
            <w:proofErr w:type="spellStart"/>
            <w:r>
              <w:rPr>
                <w:sz w:val="18"/>
              </w:rPr>
              <w:t>ch</w:t>
            </w:r>
            <w:proofErr w:type="spellEnd"/>
            <w:r>
              <w:rPr>
                <w:sz w:val="18"/>
              </w:rPr>
              <w:tab/>
            </w:r>
            <w:proofErr w:type="spellStart"/>
            <w:r>
              <w:rPr>
                <w:sz w:val="18"/>
              </w:rPr>
              <w:t>acc</w:t>
            </w:r>
            <w:proofErr w:type="spellEnd"/>
          </w:p>
          <w:p w:rsidR="00222762" w:rsidRDefault="00F44942">
            <w:pPr>
              <w:spacing w:line="276" w:lineRule="auto"/>
              <w:ind w:left="7142" w:right="4" w:hanging="11"/>
              <w:jc w:val="right"/>
            </w:pPr>
            <w:r>
              <w:rPr>
                <w:sz w:val="18"/>
              </w:rPr>
              <w:t>&amp;</w:t>
            </w:r>
            <w:proofErr w:type="spellStart"/>
            <w:r>
              <w:rPr>
                <w:sz w:val="18"/>
              </w:rPr>
              <w:t>k.mchacc</w:t>
            </w:r>
            <w:proofErr w:type="spellEnd"/>
          </w:p>
        </w:tc>
        <w:tc>
          <w:tcPr>
            <w:tcW w:w="923" w:type="dxa"/>
            <w:gridSpan w:val="2"/>
            <w:tcBorders>
              <w:top w:val="nil"/>
              <w:left w:val="nil"/>
              <w:bottom w:val="nil"/>
              <w:right w:val="nil"/>
            </w:tcBorders>
            <w:shd w:val="clear" w:color="auto" w:fill="E6E6E6"/>
          </w:tcPr>
          <w:p w:rsidR="00222762" w:rsidRDefault="00F44942">
            <w:pPr>
              <w:spacing w:line="240" w:lineRule="auto"/>
              <w:ind w:left="0" w:firstLine="0"/>
              <w:jc w:val="left"/>
            </w:pPr>
            <w:r>
              <w:rPr>
                <w:sz w:val="18"/>
              </w:rPr>
              <w:t xml:space="preserve">NABIN </w:t>
            </w:r>
          </w:p>
          <w:p w:rsidR="00222762" w:rsidRDefault="00F44942">
            <w:pPr>
              <w:spacing w:line="240" w:lineRule="auto"/>
              <w:ind w:left="0" w:firstLine="0"/>
              <w:jc w:val="left"/>
            </w:pPr>
            <w:proofErr w:type="spellStart"/>
            <w:r>
              <w:rPr>
                <w:sz w:val="18"/>
              </w:rPr>
              <w:t>artered</w:t>
            </w:r>
            <w:proofErr w:type="spellEnd"/>
          </w:p>
          <w:p w:rsidR="00222762" w:rsidRDefault="00F44942">
            <w:pPr>
              <w:spacing w:line="235" w:lineRule="auto"/>
              <w:ind w:left="14" w:hanging="14"/>
              <w:jc w:val="left"/>
            </w:pPr>
            <w:proofErr w:type="spellStart"/>
            <w:r>
              <w:rPr>
                <w:sz w:val="18"/>
              </w:rPr>
              <w:t>ountantsHasan&amp;coartered</w:t>
            </w:r>
            <w:proofErr w:type="spellEnd"/>
          </w:p>
          <w:p w:rsidR="00222762" w:rsidRDefault="00F44942">
            <w:pPr>
              <w:spacing w:line="240" w:lineRule="auto"/>
              <w:ind w:left="0" w:firstLine="0"/>
              <w:jc w:val="left"/>
            </w:pPr>
            <w:proofErr w:type="spellStart"/>
            <w:r>
              <w:rPr>
                <w:sz w:val="18"/>
              </w:rPr>
              <w:t>ountants</w:t>
            </w:r>
            <w:proofErr w:type="spellEnd"/>
          </w:p>
          <w:p w:rsidR="00222762" w:rsidRDefault="00222762">
            <w:pPr>
              <w:spacing w:line="240" w:lineRule="auto"/>
              <w:ind w:left="0" w:firstLine="0"/>
              <w:jc w:val="left"/>
            </w:pPr>
          </w:p>
          <w:p w:rsidR="00222762" w:rsidRDefault="00222762">
            <w:pPr>
              <w:spacing w:line="276" w:lineRule="auto"/>
              <w:ind w:left="0" w:firstLine="0"/>
              <w:jc w:val="left"/>
            </w:pPr>
          </w:p>
        </w:tc>
      </w:tr>
      <w:tr w:rsidR="00222762">
        <w:trPr>
          <w:trHeight w:val="1241"/>
        </w:trPr>
        <w:tc>
          <w:tcPr>
            <w:tcW w:w="7719" w:type="dxa"/>
            <w:tcBorders>
              <w:top w:val="nil"/>
              <w:left w:val="nil"/>
              <w:bottom w:val="nil"/>
              <w:right w:val="nil"/>
            </w:tcBorders>
            <w:shd w:val="clear" w:color="auto" w:fill="CCCCCC"/>
          </w:tcPr>
          <w:p w:rsidR="00222762" w:rsidRDefault="00F44942">
            <w:pPr>
              <w:spacing w:line="240" w:lineRule="auto"/>
              <w:ind w:left="56" w:firstLine="0"/>
              <w:jc w:val="left"/>
            </w:pPr>
            <w:r>
              <w:rPr>
                <w:b/>
                <w:sz w:val="18"/>
              </w:rPr>
              <w:t xml:space="preserve">Legal Retainer </w:t>
            </w:r>
            <w:r>
              <w:rPr>
                <w:b/>
                <w:sz w:val="18"/>
              </w:rPr>
              <w:tab/>
            </w:r>
            <w:r>
              <w:rPr>
                <w:sz w:val="18"/>
              </w:rPr>
              <w:t xml:space="preserve">LAW VALLE </w:t>
            </w:r>
            <w:r>
              <w:rPr>
                <w:sz w:val="18"/>
              </w:rPr>
              <w:tab/>
            </w:r>
            <w:r>
              <w:rPr>
                <w:sz w:val="18"/>
              </w:rPr>
              <w:tab/>
            </w:r>
          </w:p>
          <w:p w:rsidR="00222762" w:rsidRDefault="00F44942">
            <w:pPr>
              <w:spacing w:line="240" w:lineRule="auto"/>
              <w:ind w:left="2027" w:firstLine="0"/>
              <w:jc w:val="left"/>
            </w:pPr>
            <w:r>
              <w:rPr>
                <w:sz w:val="18"/>
              </w:rPr>
              <w:t xml:space="preserve">Credit rating agency of </w:t>
            </w:r>
            <w:r>
              <w:rPr>
                <w:sz w:val="18"/>
              </w:rPr>
              <w:tab/>
            </w:r>
          </w:p>
          <w:p w:rsidR="00222762" w:rsidRDefault="00F44942">
            <w:pPr>
              <w:spacing w:line="240" w:lineRule="auto"/>
              <w:ind w:left="1482" w:firstLine="0"/>
              <w:jc w:val="left"/>
            </w:pPr>
            <w:r>
              <w:rPr>
                <w:sz w:val="18"/>
              </w:rPr>
              <w:t xml:space="preserve">            Bangladesh Ltd(CRAB) </w:t>
            </w:r>
            <w:r>
              <w:rPr>
                <w:sz w:val="18"/>
              </w:rPr>
              <w:tab/>
            </w:r>
          </w:p>
          <w:p w:rsidR="00222762" w:rsidRDefault="00F44942">
            <w:pPr>
              <w:spacing w:line="240" w:lineRule="auto"/>
              <w:ind w:left="0" w:right="491" w:firstLine="0"/>
              <w:jc w:val="right"/>
            </w:pPr>
            <w:r>
              <w:rPr>
                <w:sz w:val="18"/>
              </w:rPr>
              <w:tab/>
            </w:r>
          </w:p>
          <w:p w:rsidR="00222762" w:rsidRDefault="00222762">
            <w:pPr>
              <w:spacing w:line="240" w:lineRule="auto"/>
              <w:ind w:left="0" w:right="491" w:firstLine="0"/>
              <w:jc w:val="right"/>
            </w:pPr>
          </w:p>
          <w:p w:rsidR="00222762" w:rsidRDefault="00222762">
            <w:pPr>
              <w:spacing w:line="276" w:lineRule="auto"/>
              <w:ind w:left="0" w:right="491" w:firstLine="0"/>
              <w:jc w:val="right"/>
            </w:pPr>
          </w:p>
        </w:tc>
        <w:tc>
          <w:tcPr>
            <w:tcW w:w="923" w:type="dxa"/>
            <w:gridSpan w:val="2"/>
            <w:tcBorders>
              <w:top w:val="nil"/>
              <w:left w:val="nil"/>
              <w:bottom w:val="nil"/>
              <w:right w:val="nil"/>
            </w:tcBorders>
            <w:shd w:val="clear" w:color="auto" w:fill="CCCCCC"/>
          </w:tcPr>
          <w:p w:rsidR="00222762" w:rsidRDefault="00222762">
            <w:pPr>
              <w:spacing w:line="276" w:lineRule="auto"/>
              <w:ind w:left="0" w:firstLine="0"/>
              <w:jc w:val="left"/>
            </w:pPr>
          </w:p>
        </w:tc>
      </w:tr>
    </w:tbl>
    <w:p w:rsidR="00222762" w:rsidRDefault="00222762">
      <w:pPr>
        <w:spacing w:after="227" w:line="240" w:lineRule="auto"/>
        <w:ind w:left="91" w:firstLine="0"/>
        <w:jc w:val="left"/>
      </w:pPr>
    </w:p>
    <w:p w:rsidR="00222762" w:rsidRDefault="00F44942">
      <w:pPr>
        <w:spacing w:after="249"/>
        <w:ind w:right="514"/>
      </w:pPr>
      <w:r>
        <w:t xml:space="preserve">Here, the total authorized capital is TK.10, 000,000,000 and paid up capital is TK.6, 950,778,030 of CBL. So the percentage of total investment is near about 70% of CBL .Here reserves are TK.11, 573,996,673 and total assets are TK.147, </w:t>
      </w:r>
      <w:proofErr w:type="gramStart"/>
      <w:r>
        <w:t>471,618,878</w:t>
      </w:r>
      <w:r>
        <w:rPr>
          <w:sz w:val="24"/>
        </w:rPr>
        <w:t xml:space="preserve"> .</w:t>
      </w:r>
      <w:proofErr w:type="gramEnd"/>
    </w:p>
    <w:p w:rsidR="00222762" w:rsidRDefault="00F44942" w:rsidP="00401C1D">
      <w:pPr>
        <w:pStyle w:val="Heading2"/>
      </w:pPr>
      <w:bookmarkStart w:id="16" w:name="_Toc524820995"/>
      <w:r>
        <w:t>2.5 Objectives and Goals of CBL</w:t>
      </w:r>
      <w:bookmarkEnd w:id="16"/>
    </w:p>
    <w:p w:rsidR="00222762" w:rsidRDefault="00F44942">
      <w:pPr>
        <w:spacing w:after="232"/>
        <w:ind w:right="514"/>
      </w:pPr>
      <w:r>
        <w:t xml:space="preserve">CBL always ready to maintain the best quality of services by upgrading banking technology in management and by applying high standard of business ethics through its established commitment and heritage. There are several objective and goals of CBL which are: </w:t>
      </w:r>
    </w:p>
    <w:p w:rsidR="00222762" w:rsidRDefault="00F44942">
      <w:pPr>
        <w:numPr>
          <w:ilvl w:val="0"/>
          <w:numId w:val="5"/>
        </w:numPr>
        <w:ind w:hanging="360"/>
      </w:pPr>
      <w:r>
        <w:t xml:space="preserve">Earn profit with keeping social commitment and ensuring its co-operation to the person of all level. </w:t>
      </w:r>
    </w:p>
    <w:p w:rsidR="00222762" w:rsidRDefault="00F44942">
      <w:pPr>
        <w:numPr>
          <w:ilvl w:val="0"/>
          <w:numId w:val="5"/>
        </w:numPr>
        <w:ind w:hanging="360"/>
      </w:pPr>
      <w:r>
        <w:t xml:space="preserve">Continuing its endeavor by rapidly increasing the investment of honorable shareholders into assets.   </w:t>
      </w:r>
    </w:p>
    <w:p w:rsidR="00222762" w:rsidRDefault="00F44942">
      <w:pPr>
        <w:numPr>
          <w:ilvl w:val="0"/>
          <w:numId w:val="5"/>
        </w:numPr>
        <w:ind w:hanging="360"/>
      </w:pPr>
      <w:r>
        <w:t xml:space="preserve">Building up strong based capitalization of the country. </w:t>
      </w:r>
    </w:p>
    <w:p w:rsidR="00222762" w:rsidRDefault="00F44942">
      <w:pPr>
        <w:numPr>
          <w:ilvl w:val="0"/>
          <w:numId w:val="5"/>
        </w:numPr>
        <w:ind w:hanging="360"/>
      </w:pPr>
      <w:r>
        <w:lastRenderedPageBreak/>
        <w:t xml:space="preserve">Developing service oriented industry and culture of morality and its maintenance in banking. </w:t>
      </w:r>
    </w:p>
    <w:p w:rsidR="00222762" w:rsidRDefault="00F44942">
      <w:pPr>
        <w:numPr>
          <w:ilvl w:val="0"/>
          <w:numId w:val="5"/>
        </w:numPr>
        <w:spacing w:after="35" w:line="240" w:lineRule="auto"/>
        <w:ind w:hanging="360"/>
      </w:pPr>
      <w:r>
        <w:t xml:space="preserve">Ensuring the best use of its creativity, well disciplined, well managed and perfect growth.  </w:t>
      </w:r>
    </w:p>
    <w:p w:rsidR="00222762" w:rsidRDefault="00F44942">
      <w:pPr>
        <w:numPr>
          <w:ilvl w:val="0"/>
          <w:numId w:val="5"/>
        </w:numPr>
        <w:ind w:hanging="360"/>
      </w:pPr>
      <w:r>
        <w:t xml:space="preserve">Increasing the value of share through prosperity as developed day by day. </w:t>
      </w:r>
    </w:p>
    <w:p w:rsidR="00222762" w:rsidRDefault="00F44942">
      <w:pPr>
        <w:numPr>
          <w:ilvl w:val="0"/>
          <w:numId w:val="5"/>
        </w:numPr>
        <w:spacing w:after="236"/>
        <w:ind w:hanging="360"/>
      </w:pPr>
      <w:r>
        <w:t xml:space="preserve">Link aging with rest of the world by developing worldwide network in domestic and international operations. </w:t>
      </w:r>
    </w:p>
    <w:p w:rsidR="00222762" w:rsidRDefault="00F44942" w:rsidP="00401C1D">
      <w:pPr>
        <w:pStyle w:val="Heading2"/>
      </w:pPr>
      <w:bookmarkStart w:id="17" w:name="_Toc524820996"/>
      <w:r>
        <w:t>2.6 Vision</w:t>
      </w:r>
      <w:bookmarkEnd w:id="17"/>
    </w:p>
    <w:p w:rsidR="00222762" w:rsidRDefault="00F44942">
      <w:pPr>
        <w:spacing w:after="240" w:line="246" w:lineRule="auto"/>
        <w:ind w:left="101" w:right="-15"/>
        <w:jc w:val="left"/>
      </w:pPr>
      <w:proofErr w:type="gramStart"/>
      <w:r>
        <w:rPr>
          <w:i/>
        </w:rPr>
        <w:t>The Financial Supermarket with a Wining Culture Offering Enjoyable Experience.</w:t>
      </w:r>
      <w:proofErr w:type="gramEnd"/>
      <w:r>
        <w:rPr>
          <w:i/>
        </w:rPr>
        <w:t xml:space="preserve"> </w:t>
      </w:r>
    </w:p>
    <w:p w:rsidR="00222762" w:rsidRDefault="00F44942" w:rsidP="00401C1D">
      <w:pPr>
        <w:pStyle w:val="Heading2"/>
      </w:pPr>
      <w:bookmarkStart w:id="18" w:name="_Toc524820997"/>
      <w:r>
        <w:t>2.7 Mission&amp; Values</w:t>
      </w:r>
      <w:bookmarkEnd w:id="18"/>
    </w:p>
    <w:p w:rsidR="00222762" w:rsidRDefault="00F44942">
      <w:pPr>
        <w:spacing w:after="232"/>
        <w:ind w:right="519"/>
      </w:pPr>
      <w:r>
        <w:t xml:space="preserve">A short statement of an organization’s purpose is called mission statement in which it is identified of an organization’s scope of operation. It may include short statement or main competitive advantages or a desired future statement. The mission statements of CBL are: </w:t>
      </w:r>
    </w:p>
    <w:p w:rsidR="00222762" w:rsidRDefault="00222762">
      <w:pPr>
        <w:spacing w:after="309" w:line="240" w:lineRule="auto"/>
        <w:ind w:left="91" w:firstLine="0"/>
        <w:jc w:val="left"/>
      </w:pPr>
    </w:p>
    <w:p w:rsidR="00222762" w:rsidRDefault="006D1431">
      <w:pPr>
        <w:spacing w:after="97" w:line="240" w:lineRule="auto"/>
        <w:ind w:left="175" w:firstLine="0"/>
        <w:jc w:val="left"/>
      </w:pPr>
      <w:r>
        <w:rPr>
          <w:rFonts w:ascii="Calibri" w:eastAsia="Calibri" w:hAnsi="Calibri" w:cs="Calibri"/>
          <w:noProof/>
        </w:rPr>
        <mc:AlternateContent>
          <mc:Choice Requires="wpg">
            <w:drawing>
              <wp:inline distT="0" distB="0" distL="0" distR="0">
                <wp:extent cx="5548630" cy="1885315"/>
                <wp:effectExtent l="0" t="0" r="909320" b="57785"/>
                <wp:docPr id="60642" name="Group 60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1885315"/>
                          <a:chOff x="0" y="0"/>
                          <a:chExt cx="55486" cy="18854"/>
                        </a:xfrm>
                      </wpg:grpSpPr>
                      <wps:wsp>
                        <wps:cNvPr id="60643" name="Rectangle 2625"/>
                        <wps:cNvSpPr>
                          <a:spLocks noChangeArrowheads="1"/>
                        </wps:cNvSpPr>
                        <wps:spPr bwMode="auto">
                          <a:xfrm>
                            <a:off x="55105" y="1716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
                          </w:txbxContent>
                        </wps:txbx>
                        <wps:bodyPr rot="0" vert="horz" wrap="square" lIns="0" tIns="0" rIns="0" bIns="0" anchor="t" anchorCtr="0" upright="1">
                          <a:noAutofit/>
                        </wps:bodyPr>
                      </wps:wsp>
                      <pic:pic xmlns:pic="http://schemas.openxmlformats.org/drawingml/2006/picture">
                        <pic:nvPicPr>
                          <pic:cNvPr id="60644" name="Picture 605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2579" y="-27"/>
                            <a:ext cx="42323" cy="3364"/>
                          </a:xfrm>
                          <a:prstGeom prst="rect">
                            <a:avLst/>
                          </a:prstGeom>
                          <a:noFill/>
                          <a:extLst>
                            <a:ext uri="{909E8E84-426E-40DD-AFC4-6F175D3DCCD1}">
                              <a14:hiddenFill xmlns:a14="http://schemas.microsoft.com/office/drawing/2010/main">
                                <a:solidFill>
                                  <a:srgbClr val="FFFFFF"/>
                                </a:solidFill>
                              </a14:hiddenFill>
                            </a:ext>
                          </a:extLst>
                        </pic:spPr>
                      </pic:pic>
                      <wps:wsp>
                        <wps:cNvPr id="60645" name="Rectangle 2635"/>
                        <wps:cNvSpPr>
                          <a:spLocks noChangeArrowheads="1"/>
                        </wps:cNvSpPr>
                        <wps:spPr bwMode="auto">
                          <a:xfrm>
                            <a:off x="16724" y="778"/>
                            <a:ext cx="47725"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4"/>
                                </w:rPr>
                                <w:t xml:space="preserve">Offer wide array of products and services that differentiate and excite all </w:t>
                              </w:r>
                            </w:p>
                          </w:txbxContent>
                        </wps:txbx>
                        <wps:bodyPr rot="0" vert="horz" wrap="square" lIns="0" tIns="0" rIns="0" bIns="0" anchor="t" anchorCtr="0" upright="1">
                          <a:noAutofit/>
                        </wps:bodyPr>
                      </wps:wsp>
                      <wps:wsp>
                        <wps:cNvPr id="60646" name="Rectangle 2636"/>
                        <wps:cNvSpPr>
                          <a:spLocks noChangeArrowheads="1"/>
                        </wps:cNvSpPr>
                        <wps:spPr bwMode="auto">
                          <a:xfrm>
                            <a:off x="16724" y="1906"/>
                            <a:ext cx="13566"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Arial" w:eastAsia="Arial" w:hAnsi="Arial" w:cs="Arial"/>
                                  <w:b/>
                                  <w:sz w:val="14"/>
                                </w:rPr>
                                <w:t>customer</w:t>
                              </w:r>
                              <w:proofErr w:type="gramEnd"/>
                              <w:r>
                                <w:rPr>
                                  <w:rFonts w:ascii="Arial" w:eastAsia="Arial" w:hAnsi="Arial" w:cs="Arial"/>
                                  <w:b/>
                                  <w:sz w:val="14"/>
                                </w:rPr>
                                <w:t xml:space="preserve"> segments  </w:t>
                              </w:r>
                            </w:p>
                          </w:txbxContent>
                        </wps:txbx>
                        <wps:bodyPr rot="0" vert="horz" wrap="square" lIns="0" tIns="0" rIns="0" bIns="0" anchor="t" anchorCtr="0" upright="1">
                          <a:noAutofit/>
                        </wps:bodyPr>
                      </wps:wsp>
                      <pic:pic xmlns:pic="http://schemas.openxmlformats.org/drawingml/2006/picture">
                        <pic:nvPicPr>
                          <pic:cNvPr id="60647" name="Picture 6056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436" y="3718"/>
                            <a:ext cx="42322" cy="3366"/>
                          </a:xfrm>
                          <a:prstGeom prst="rect">
                            <a:avLst/>
                          </a:prstGeom>
                          <a:noFill/>
                          <a:extLst>
                            <a:ext uri="{909E8E84-426E-40DD-AFC4-6F175D3DCCD1}">
                              <a14:hiddenFill xmlns:a14="http://schemas.microsoft.com/office/drawing/2010/main">
                                <a:solidFill>
                                  <a:srgbClr val="FFFFFF"/>
                                </a:solidFill>
                              </a14:hiddenFill>
                            </a:ext>
                          </a:extLst>
                        </pic:spPr>
                      </pic:pic>
                      <wps:wsp>
                        <wps:cNvPr id="60648" name="Rectangle 2639"/>
                        <wps:cNvSpPr>
                          <a:spLocks noChangeArrowheads="1"/>
                        </wps:cNvSpPr>
                        <wps:spPr bwMode="auto">
                          <a:xfrm>
                            <a:off x="15161" y="4527"/>
                            <a:ext cx="45402"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4"/>
                                </w:rPr>
                                <w:t xml:space="preserve">Be the “Employer of choice” by offering an environment where people </w:t>
                              </w:r>
                            </w:p>
                          </w:txbxContent>
                        </wps:txbx>
                        <wps:bodyPr rot="0" vert="horz" wrap="square" lIns="0" tIns="0" rIns="0" bIns="0" anchor="t" anchorCtr="0" upright="1">
                          <a:noAutofit/>
                        </wps:bodyPr>
                      </wps:wsp>
                      <wps:wsp>
                        <wps:cNvPr id="60649" name="Rectangle 2640"/>
                        <wps:cNvSpPr>
                          <a:spLocks noChangeArrowheads="1"/>
                        </wps:cNvSpPr>
                        <wps:spPr bwMode="auto">
                          <a:xfrm>
                            <a:off x="15161" y="5655"/>
                            <a:ext cx="19356"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Arial" w:eastAsia="Arial" w:hAnsi="Arial" w:cs="Arial"/>
                                  <w:b/>
                                  <w:sz w:val="14"/>
                                </w:rPr>
                                <w:t>excel</w:t>
                              </w:r>
                              <w:proofErr w:type="gramEnd"/>
                              <w:r>
                                <w:rPr>
                                  <w:rFonts w:ascii="Arial" w:eastAsia="Arial" w:hAnsi="Arial" w:cs="Arial"/>
                                  <w:b/>
                                  <w:sz w:val="14"/>
                                </w:rPr>
                                <w:t xml:space="preserve"> and leaders are created </w:t>
                              </w:r>
                            </w:p>
                          </w:txbxContent>
                        </wps:txbx>
                        <wps:bodyPr rot="0" vert="horz" wrap="square" lIns="0" tIns="0" rIns="0" bIns="0" anchor="t" anchorCtr="0" upright="1">
                          <a:noAutofit/>
                        </wps:bodyPr>
                      </wps:wsp>
                      <pic:pic xmlns:pic="http://schemas.openxmlformats.org/drawingml/2006/picture">
                        <pic:nvPicPr>
                          <pic:cNvPr id="60650" name="Picture 26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309" y="7498"/>
                            <a:ext cx="42283" cy="3345"/>
                          </a:xfrm>
                          <a:prstGeom prst="rect">
                            <a:avLst/>
                          </a:prstGeom>
                          <a:noFill/>
                          <a:extLst>
                            <a:ext uri="{909E8E84-426E-40DD-AFC4-6F175D3DCCD1}">
                              <a14:hiddenFill xmlns:a14="http://schemas.microsoft.com/office/drawing/2010/main">
                                <a:solidFill>
                                  <a:srgbClr val="FFFFFF"/>
                                </a:solidFill>
                              </a14:hiddenFill>
                            </a:ext>
                          </a:extLst>
                        </pic:spPr>
                      </pic:pic>
                      <wps:wsp>
                        <wps:cNvPr id="60651" name="Rectangle 2643"/>
                        <wps:cNvSpPr>
                          <a:spLocks noChangeArrowheads="1"/>
                        </wps:cNvSpPr>
                        <wps:spPr bwMode="auto">
                          <a:xfrm>
                            <a:off x="12006" y="8276"/>
                            <a:ext cx="39425"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4"/>
                                </w:rPr>
                                <w:t xml:space="preserve">Continuously challenge processes and platforms to enhance </w:t>
                              </w:r>
                            </w:p>
                          </w:txbxContent>
                        </wps:txbx>
                        <wps:bodyPr rot="0" vert="horz" wrap="square" lIns="0" tIns="0" rIns="0" bIns="0" anchor="t" anchorCtr="0" upright="1">
                          <a:noAutofit/>
                        </wps:bodyPr>
                      </wps:wsp>
                      <wps:wsp>
                        <wps:cNvPr id="60608" name="Rectangle 2644"/>
                        <wps:cNvSpPr>
                          <a:spLocks noChangeArrowheads="1"/>
                        </wps:cNvSpPr>
                        <wps:spPr bwMode="auto">
                          <a:xfrm>
                            <a:off x="12006" y="9404"/>
                            <a:ext cx="18243"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Arial" w:eastAsia="Arial" w:hAnsi="Arial" w:cs="Arial"/>
                                  <w:b/>
                                  <w:sz w:val="14"/>
                                </w:rPr>
                                <w:t>effectiveness</w:t>
                              </w:r>
                              <w:proofErr w:type="gramEnd"/>
                              <w:r>
                                <w:rPr>
                                  <w:rFonts w:ascii="Arial" w:eastAsia="Arial" w:hAnsi="Arial" w:cs="Arial"/>
                                  <w:b/>
                                  <w:sz w:val="14"/>
                                </w:rPr>
                                <w:t xml:space="preserve"> and efficiency </w:t>
                              </w:r>
                            </w:p>
                          </w:txbxContent>
                        </wps:txbx>
                        <wps:bodyPr rot="0" vert="horz" wrap="square" lIns="0" tIns="0" rIns="0" bIns="0" anchor="t" anchorCtr="0" upright="1">
                          <a:noAutofit/>
                        </wps:bodyPr>
                      </wps:wsp>
                      <pic:pic xmlns:pic="http://schemas.openxmlformats.org/drawingml/2006/picture">
                        <pic:nvPicPr>
                          <pic:cNvPr id="60609" name="Picture 605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3117" y="11211"/>
                            <a:ext cx="42323" cy="3366"/>
                          </a:xfrm>
                          <a:prstGeom prst="rect">
                            <a:avLst/>
                          </a:prstGeom>
                          <a:noFill/>
                          <a:extLst>
                            <a:ext uri="{909E8E84-426E-40DD-AFC4-6F175D3DCCD1}">
                              <a14:hiddenFill xmlns:a14="http://schemas.microsoft.com/office/drawing/2010/main">
                                <a:solidFill>
                                  <a:srgbClr val="FFFFFF"/>
                                </a:solidFill>
                              </a14:hiddenFill>
                            </a:ext>
                          </a:extLst>
                        </pic:spPr>
                      </pic:pic>
                      <wps:wsp>
                        <wps:cNvPr id="60610" name="Rectangle 2647"/>
                        <wps:cNvSpPr>
                          <a:spLocks noChangeArrowheads="1"/>
                        </wps:cNvSpPr>
                        <wps:spPr bwMode="auto">
                          <a:xfrm>
                            <a:off x="8851" y="12025"/>
                            <a:ext cx="44669"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4"/>
                                </w:rPr>
                                <w:t xml:space="preserve">Promote innovation and automation with a view to guaranteeing and </w:t>
                              </w:r>
                            </w:p>
                          </w:txbxContent>
                        </wps:txbx>
                        <wps:bodyPr rot="0" vert="horz" wrap="square" lIns="0" tIns="0" rIns="0" bIns="0" anchor="t" anchorCtr="0" upright="1">
                          <a:noAutofit/>
                        </wps:bodyPr>
                      </wps:wsp>
                      <wps:wsp>
                        <wps:cNvPr id="60611" name="Rectangle 2648"/>
                        <wps:cNvSpPr>
                          <a:spLocks noChangeArrowheads="1"/>
                        </wps:cNvSpPr>
                        <wps:spPr bwMode="auto">
                          <a:xfrm>
                            <a:off x="8851" y="13153"/>
                            <a:ext cx="21234"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Arial" w:eastAsia="Arial" w:hAnsi="Arial" w:cs="Arial"/>
                                  <w:b/>
                                  <w:sz w:val="14"/>
                                </w:rPr>
                                <w:t>enhancing</w:t>
                              </w:r>
                              <w:proofErr w:type="gramEnd"/>
                              <w:r>
                                <w:rPr>
                                  <w:rFonts w:ascii="Arial" w:eastAsia="Arial" w:hAnsi="Arial" w:cs="Arial"/>
                                  <w:b/>
                                  <w:sz w:val="14"/>
                                </w:rPr>
                                <w:t xml:space="preserve"> excellence in service </w:t>
                              </w:r>
                            </w:p>
                          </w:txbxContent>
                        </wps:txbx>
                        <wps:bodyPr rot="0" vert="horz" wrap="square" lIns="0" tIns="0" rIns="0" bIns="0" anchor="t" anchorCtr="0" upright="1">
                          <a:noAutofit/>
                        </wps:bodyPr>
                      </wps:wsp>
                      <pic:pic xmlns:pic="http://schemas.openxmlformats.org/drawingml/2006/picture">
                        <pic:nvPicPr>
                          <pic:cNvPr id="60612" name="Picture 26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14996"/>
                            <a:ext cx="42283" cy="3345"/>
                          </a:xfrm>
                          <a:prstGeom prst="rect">
                            <a:avLst/>
                          </a:prstGeom>
                          <a:noFill/>
                          <a:extLst>
                            <a:ext uri="{909E8E84-426E-40DD-AFC4-6F175D3DCCD1}">
                              <a14:hiddenFill xmlns:a14="http://schemas.microsoft.com/office/drawing/2010/main">
                                <a:solidFill>
                                  <a:srgbClr val="FFFFFF"/>
                                </a:solidFill>
                              </a14:hiddenFill>
                            </a:ext>
                          </a:extLst>
                        </pic:spPr>
                      </pic:pic>
                      <wps:wsp>
                        <wps:cNvPr id="60613" name="Rectangle 2651"/>
                        <wps:cNvSpPr>
                          <a:spLocks noChangeArrowheads="1"/>
                        </wps:cNvSpPr>
                        <wps:spPr bwMode="auto">
                          <a:xfrm>
                            <a:off x="5697" y="15774"/>
                            <a:ext cx="43942"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4"/>
                                </w:rPr>
                                <w:t xml:space="preserve">Ensure respect for community, good governance and compliance in </w:t>
                              </w:r>
                            </w:p>
                          </w:txbxContent>
                        </wps:txbx>
                        <wps:bodyPr rot="0" vert="horz" wrap="square" lIns="0" tIns="0" rIns="0" bIns="0" anchor="t" anchorCtr="0" upright="1">
                          <a:noAutofit/>
                        </wps:bodyPr>
                      </wps:wsp>
                      <wps:wsp>
                        <wps:cNvPr id="60614" name="Rectangle 2652"/>
                        <wps:cNvSpPr>
                          <a:spLocks noChangeArrowheads="1"/>
                        </wps:cNvSpPr>
                        <wps:spPr bwMode="auto">
                          <a:xfrm>
                            <a:off x="5697" y="16902"/>
                            <a:ext cx="11082" cy="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Arial" w:eastAsia="Arial" w:hAnsi="Arial" w:cs="Arial"/>
                                  <w:b/>
                                  <w:sz w:val="14"/>
                                </w:rPr>
                                <w:t>everything</w:t>
                              </w:r>
                              <w:proofErr w:type="gramEnd"/>
                              <w:r>
                                <w:rPr>
                                  <w:rFonts w:ascii="Arial" w:eastAsia="Arial" w:hAnsi="Arial" w:cs="Arial"/>
                                  <w:b/>
                                  <w:sz w:val="14"/>
                                </w:rPr>
                                <w:t xml:space="preserve"> we do</w:t>
                              </w:r>
                            </w:p>
                          </w:txbxContent>
                        </wps:txbx>
                        <wps:bodyPr rot="0" vert="horz" wrap="square" lIns="0" tIns="0" rIns="0" bIns="0" anchor="t" anchorCtr="0" upright="1">
                          <a:noAutofit/>
                        </wps:bodyPr>
                      </wps:wsp>
                      <pic:pic xmlns:pic="http://schemas.openxmlformats.org/drawingml/2006/picture">
                        <pic:nvPicPr>
                          <pic:cNvPr id="60615" name="Picture 26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2451" y="2331"/>
                            <a:ext cx="2522" cy="2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16" name="Picture 605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9277" y="6036"/>
                            <a:ext cx="2540" cy="2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17" name="Picture 6056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134" y="9751"/>
                            <a:ext cx="2540" cy="23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18" name="Picture 26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987" y="13563"/>
                            <a:ext cx="2522" cy="23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60499" o:spid="_x0000_s1026" style="width:436.9pt;height:148.45pt;mso-position-horizontal-relative:char;mso-position-vertical-relative:line" coordsize="55486,18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">
                <v:rect id="Rectangle 2625" o:spid="_x0000_s1027" style="position:absolute;left:55105;top:1716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kn8cA&#10;AADeAAAADwAAAGRycy9kb3ducmV2LnhtbESPQWvCQBSE7wX/w/KE3pqNWkKMriJq0WOrQvT2yL4m&#10;odm3Ibs1aX99t1DocZiZb5jlejCNuFPnassKJlEMgriwuuZSweX88pSCcB5ZY2OZFHyRg/Vq9LDE&#10;TNue3+h+8qUIEHYZKqi8bzMpXVGRQRfZljh477Yz6IPsSqk77APcNHIax4k0WHNYqLClbUXFx+nT&#10;KDik7eZ6tN992exvh/w1n+/Oc6/U43jYLEB4Gvx/+K991AqSOHmewe+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ipJ/HAAAA3gAAAA8AAAAAAAAAAAAAAAAAmAIAAGRy&#10;cy9kb3ducmV2LnhtbFBLBQYAAAAABAAEAPUAAACMAwAAAAA=&#10;" filled="f" stroked="f">
                  <v:textbox inset="0,0,0,0">
                    <w:txbxContent>
                      <w:p w:rsidR="0050212E" w:rsidRDefault="0050212E">
                        <w:pPr>
                          <w:spacing w:line="276" w:lineRule="auto"/>
                          <w:ind w:lef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563" o:spid="_x0000_s1028" type="#_x0000_t75" style="position:absolute;left:12579;top:-27;width:42323;height:3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fpOfGAAAA3gAAAA8AAABkcnMvZG93bnJldi54bWxEj1FrwjAUhd8H+w/hCnubqaN2Uo1SBoMN&#10;GUznD7g016bY3HRNVjN//SIIezycc77DWW2i7cRIg28dK5hNMxDEtdMtNwoOX6+PCxA+IGvsHJOC&#10;X/KwWd/frbDU7sw7GvehEQnCvkQFJoS+lNLXhiz6qeuJk3d0g8WQ5NBIPeA5wW0nn7KskBZbTgsG&#10;e3oxVJ/2P1bB52VRxUv9bU38iNv8eZxXfXxX6mESqyWIQDH8h2/tN62gyIo8h+uddAXk+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9+k58YAAADeAAAADwAAAAAAAAAAAAAA&#10;AACfAgAAZHJzL2Rvd25yZXYueG1sUEsFBgAAAAAEAAQA9wAAAJIDAAAAAA==&#10;">
                  <v:imagedata r:id="rId47" o:title=""/>
                </v:shape>
                <v:rect id="Rectangle 2635" o:spid="_x0000_s1029" style="position:absolute;left:16724;top:778;width:47725;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eZcMcA&#10;AADeAAAADwAAAGRycy9kb3ducmV2LnhtbESPQWvCQBSE7wX/w/KE3pqNYkOMriJq0WOrQvT2yL4m&#10;odm3Ibs1aX99t1DocZiZb5jlejCNuFPnassKJlEMgriwuuZSweX88pSCcB5ZY2OZFHyRg/Vq9LDE&#10;TNue3+h+8qUIEHYZKqi8bzMpXVGRQRfZljh477Yz6IPsSqk77APcNHIax4k0WHNYqLClbUXFx+nT&#10;KDik7eZ6tN992exvh/w1n+/Oc6/U43jYLEB4Gvx/+K991AqSOJk9w++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HmXDHAAAA3gAAAA8AAAAAAAAAAAAAAAAAmAIAAGRy&#10;cy9kb3ducmV2LnhtbFBLBQYAAAAABAAEAPUAAACMAwAAAAA=&#10;" filled="f" stroked="f">
                  <v:textbox inset="0,0,0,0">
                    <w:txbxContent>
                      <w:p w:rsidR="0050212E" w:rsidRDefault="0050212E">
                        <w:pPr>
                          <w:spacing w:line="276" w:lineRule="auto"/>
                          <w:ind w:left="0" w:firstLine="0"/>
                          <w:jc w:val="left"/>
                        </w:pPr>
                        <w:r>
                          <w:rPr>
                            <w:rFonts w:ascii="Arial" w:eastAsia="Arial" w:hAnsi="Arial" w:cs="Arial"/>
                            <w:b/>
                            <w:sz w:val="14"/>
                          </w:rPr>
                          <w:t xml:space="preserve">Offer wide array of products and services that differentiate and excite all </w:t>
                        </w:r>
                      </w:p>
                    </w:txbxContent>
                  </v:textbox>
                </v:rect>
                <v:rect id="Rectangle 2636" o:spid="_x0000_s1030" style="position:absolute;left:16724;top:1906;width:13566;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UHB8YA&#10;AADeAAAADwAAAGRycy9kb3ducmV2LnhtbESPT4vCMBTE78J+h/AWvGmqSNFqFNl10aN/FtTbo3m2&#10;xealNFlb/fRGEPY4zMxvmNmiNaW4Ue0KywoG/QgEcWp1wZmC38NPbwzCeWSNpWVScCcHi/lHZ4aJ&#10;tg3v6Lb3mQgQdgkqyL2vEildmpNB17cVcfAutjbog6wzqWtsAtyUchhFsTRYcFjIsaKvnNLr/s8o&#10;WI+r5WljH01Wrs7r4/Y4+T5MvFLdz3Y5BeGp9f/hd3ujFcRRPIrhdSdc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UHB8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customer segments  </w:t>
                        </w:r>
                      </w:p>
                    </w:txbxContent>
                  </v:textbox>
                </v:rect>
                <v:shape id="Picture 60564" o:spid="_x0000_s1031" type="#_x0000_t75" style="position:absolute;left:9436;top:3718;width:42322;height: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ve1vHAAAA3gAAAA8AAABkcnMvZG93bnJldi54bWxEj19rwjAUxd8Hfodwhb2Ipg7pajWKDAZj&#10;D5NVER8vybUtNjelyWy3T78MhD0ezp8fZ70dbCNu1PnasYL5LAFBrJ2puVRwPLxOMxA+IBtsHJOC&#10;b/Kw3Ywe1pgb1/Mn3YpQijjCPkcFVQhtLqXXFVn0M9cSR+/iOoshyq6UpsM+jttGPiVJKi3WHAkV&#10;tvRSkb4WXzZC0o/j3unFfjkx/c85e9dGnzKlHsfDbgUi0BD+w/f2m1GQJuniGf7uxCsgN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kve1vHAAAA3gAAAA8AAAAAAAAAAAAA&#10;AAAAnwIAAGRycy9kb3ducmV2LnhtbFBLBQYAAAAABAAEAPcAAACTAwAAAAA=&#10;">
                  <v:imagedata r:id="rId48" o:title=""/>
                </v:shape>
                <v:rect id="Rectangle 2639" o:spid="_x0000_s1032" style="position:absolute;left:15161;top:4527;width:45402;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7sMA&#10;AADeAAAADwAAAGRycy9kb3ducmV2LnhtbERPy4rCMBTdC/MP4Q7MTlOHodhqFNERXfoCZ3aX5toW&#10;m5vSRFv9erMQXB7OezLrTCVu1LjSsoLhIAJBnFldcq7geFj1RyCcR9ZYWSYFd3Iwm370Jphq2/KO&#10;bnufixDCLkUFhfd1KqXLCjLoBrYmDtzZNgZ9gE0udYNtCDeV/I6iWBosOTQUWNOioOyyvxoF61E9&#10;/9vYR5tXv//r0/aULA+JV+rrs5uPQXjq/Fv8cm+0gjiKf8LecCdc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27sMAAADeAAAADwAAAAAAAAAAAAAAAACYAgAAZHJzL2Rv&#10;d25yZXYueG1sUEsFBgAAAAAEAAQA9QAAAIg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Be the “Employer of choice” by offering an environment where people </w:t>
                        </w:r>
                      </w:p>
                    </w:txbxContent>
                  </v:textbox>
                </v:rect>
                <v:rect id="Rectangle 2640" o:spid="_x0000_s1033" style="position:absolute;left:15161;top:5655;width:19356;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qTdccA&#10;AADeAAAADwAAAGRycy9kb3ducmV2LnhtbESPT2vCQBTE74LfYXlCb7pRSjCpq4h/0KNVwfb2yL4m&#10;wezbkF1N2k/vFgSPw8z8hpktOlOJOzWutKxgPIpAEGdWl5wrOJ+2wykI55E1VpZJwS85WMz7vRmm&#10;2rb8Sfejz0WAsEtRQeF9nUrpsoIMupGtiYP3YxuDPsgml7rBNsBNJSdRFEuDJYeFAmtaFZRdjzej&#10;YDetl197+9fm1eZ7dzlckvUp8Uq9DbrlBwhPnX+Fn+29VhBH8XsC/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Kk3XHAAAA3gAAAA8AAAAAAAAAAAAAAAAAmAIAAGRy&#10;cy9kb3ducmV2LnhtbFBLBQYAAAAABAAEAPUAAACMAwAAAAA=&#10;" filled="f" stroked="f">
                  <v:textbox inset="0,0,0,0">
                    <w:txbxContent>
                      <w:p w:rsidR="0050212E" w:rsidRDefault="0050212E">
                        <w:pPr>
                          <w:spacing w:line="276" w:lineRule="auto"/>
                          <w:ind w:left="0" w:firstLine="0"/>
                          <w:jc w:val="left"/>
                        </w:pPr>
                        <w:r>
                          <w:rPr>
                            <w:rFonts w:ascii="Arial" w:eastAsia="Arial" w:hAnsi="Arial" w:cs="Arial"/>
                            <w:b/>
                            <w:sz w:val="14"/>
                          </w:rPr>
                          <w:t xml:space="preserve">excel and leaders are created </w:t>
                        </w:r>
                      </w:p>
                    </w:txbxContent>
                  </v:textbox>
                </v:rect>
                <v:shape id="Picture 2642" o:spid="_x0000_s1034" type="#_x0000_t75" style="position:absolute;left:6309;top:7498;width:42283;height:3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VRCDEAAAA3gAAAA8AAABkcnMvZG93bnJldi54bWxEj11rwjAUhu8H/odwBO/WxIJl1kYRQdhg&#10;DNYNrw/NsS02J7WJbffvl4vBLl/eL57iMNtOjDT41rGGdaJAEFfOtFxr+P46P7+A8AHZYOeYNPyQ&#10;h8N+8VRgbtzEnzSWoRZxhH2OGpoQ+lxKXzVk0SeuJ47e1Q0WQ5RDLc2AUxy3nUyVyqTFluNDgz2d&#10;Gqpu5cNquOMo1+m7SbeXLffq7UR0fnxovVrOxx2IQHP4D/+1X42GTGWbCBBxIgr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VRCDEAAAA3gAAAA8AAAAAAAAAAAAAAAAA&#10;nwIAAGRycy9kb3ducmV2LnhtbFBLBQYAAAAABAAEAPcAAACQAwAAAAA=&#10;">
                  <v:imagedata r:id="rId49" o:title=""/>
                </v:shape>
                <v:rect id="Rectangle 2643" o:spid="_x0000_s1035" style="position:absolute;left:12006;top:8276;width:39425;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UJrsYA&#10;AADeAAAADwAAAGRycy9kb3ducmV2LnhtbESPT4vCMBTE78J+h/AWvGmqYNFqFNlV9OifBdfbo3nb&#10;lm1eShNt9dMbQfA4zMxvmNmiNaW4Uu0KywoG/QgEcWp1wZmCn+O6NwbhPLLG0jIpuJGDxfyjM8NE&#10;24b3dD34TAQIuwQV5N5XiZQuzcmg69uKOHh/tjbog6wzqWtsAtyUchhFsTRYcFjIsaKvnNL/w8Uo&#10;2Iyr5e/W3pusXJ03p91p8n2ceKW6n+1yCsJT69/hV3urFcRRPBr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2UJrs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Continuously challenge processes and platforms to enhance </w:t>
                        </w:r>
                      </w:p>
                    </w:txbxContent>
                  </v:textbox>
                </v:rect>
                <v:rect id="Rectangle 2644" o:spid="_x0000_s1036" style="position:absolute;left:12006;top:9404;width:18243;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PLsMA&#10;AADeAAAADwAAAGRycy9kb3ducmV2LnhtbERPy4rCMBTdC/MP4Q6402RcFO0YRRxFl77AcXdprm2x&#10;uSlNtNWvN4uBWR7OezrvbCUe1PjSsYavoQJBnDlTcq7hdFwPxiB8QDZYOSYNT/Iwn330ppga1/Ke&#10;HoeQixjCPkUNRQh1KqXPCrLoh64mjtzVNRZDhE0uTYNtDLeVHCmVSIslx4YCa1oWlN0Od6thM64X&#10;v1v3avNqddmcd+fJz3EStO5/dotvEIG68C/+c2+NhkQlKu6Nd+IV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yPLsMAAADeAAAADwAAAAAAAAAAAAAAAACYAgAAZHJzL2Rv&#10;d25yZXYueG1sUEsFBgAAAAAEAAQA9QAAAIg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effectiveness and efficiency </w:t>
                        </w:r>
                      </w:p>
                    </w:txbxContent>
                  </v:textbox>
                </v:rect>
                <v:shape id="Picture 60567" o:spid="_x0000_s1037" type="#_x0000_t75" style="position:absolute;left:3117;top:11211;width:42323;height: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Df7fFAAAA3gAAAA8AAABkcnMvZG93bnJldi54bWxEj0FrwkAUhO+C/2F5Qi/S7FZosKmrSKHU&#10;YxsFr6/ZZxLNvg3ZbRL767sFweMwM98wq81oG9FT52vHGp4SBYK4cKbmUsNh//64BOEDssHGMWm4&#10;kofNejpZYWbcwF/U56EUEcI+Qw1VCG0mpS8qsugT1xJH7+Q6iyHKrpSmwyHCbSMXSqXSYs1xocKW&#10;3ioqLvmP1fBs5jtl+mO+SO3VffL3eZAfv1o/zMbtK4hAY7iHb+2d0ZCqVL3A/514Be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Q3+3xQAAAN4AAAAPAAAAAAAAAAAAAAAA&#10;AJ8CAABkcnMvZG93bnJldi54bWxQSwUGAAAAAAQABAD3AAAAkQMAAAAA&#10;">
                  <v:imagedata r:id="rId50" o:title=""/>
                </v:shape>
                <v:rect id="Rectangle 2647" o:spid="_x0000_s1038" style="position:absolute;left:8851;top:12025;width:44669;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V9cYA&#10;AADeAAAADwAAAGRycy9kb3ducmV2LnhtbESPy2rCQBSG94LvMByhOzPRRYhpRhEvmKXVgu3ukDlN&#10;QjNnQmY0qU/fWRS6/PlvfPlmNK14UO8aywoWUQyCuLS64UrB+/U4T0E4j6yxtUwKfsjBZj2d5Jhp&#10;O/AbPS6+EmGEXYYKau+7TEpX1mTQRbYjDt6X7Q36IPtK6h6HMG5auYzjRBpsODzU2NGupvL7cjcK&#10;Tmm3/Sjsc6jaw+fpdr6t9teVV+plNm5fQXga/X/4r11oBUmcLAJAwAko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MV9c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Promote innovation and automation with a view to guaranteeing and </w:t>
                        </w:r>
                      </w:p>
                    </w:txbxContent>
                  </v:textbox>
                </v:rect>
                <v:rect id="Rectangle 2648" o:spid="_x0000_s1039" style="position:absolute;left:8851;top:13153;width:21234;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bsYA&#10;AADeAAAADwAAAGRycy9kb3ducmV2LnhtbESPT4vCMBTE78J+h/AWvGlaD0W7RpFdRY/+WXD39mie&#10;bbF5KU201U9vBMHjMDO/YabzzlTiSo0rLSuIhxEI4szqknMFv4fVYAzCeWSNlWVScCMH89lHb4qp&#10;ti3v6Lr3uQgQdikqKLyvUyldVpBBN7Q1cfBOtjHog2xyqRtsA9xUchRFiTRYclgosKbvgrLz/mIU&#10;rMf14m9j721eLf/Xx+1x8nOYeKX6n93iC4Snzr/Dr/ZGK0iiJI7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wbs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enhancing excellence in service </w:t>
                        </w:r>
                      </w:p>
                    </w:txbxContent>
                  </v:textbox>
                </v:rect>
                <v:shape id="Picture 2650" o:spid="_x0000_s1040" type="#_x0000_t75" style="position:absolute;top:14996;width:42283;height:3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FxLzHAAAA3gAAAA8AAABkcnMvZG93bnJldi54bWxEj0FrwkAUhO8F/8PyCr3VjSksJbqKFCQi&#10;tKXa6vWRfSbB7NuQXTX5911B8DjMzDfMbNHbRlyo87VjDZNxAoK4cKbmUsPvbvX6DsIHZIONY9Iw&#10;kIfFfPQ0w8y4K//QZRtKESHsM9RQhdBmUvqiIot+7Fri6B1dZzFE2ZXSdHiNcNvINEmUtFhzXKiw&#10;pY+KitP2bDWs//Kh3e0P+SodvvPPN/WlzOas9ctzv5yCCNSHR/jeXhsNKlGTFG534hWQ8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5FxLzHAAAA3gAAAA8AAAAAAAAAAAAA&#10;AAAAnwIAAGRycy9kb3ducmV2LnhtbFBLBQYAAAAABAAEAPcAAACTAwAAAAA=&#10;">
                  <v:imagedata r:id="rId51" o:title=""/>
                </v:shape>
                <v:rect id="Rectangle 2651" o:spid="_x0000_s1041" style="position:absolute;left:5697;top:15774;width:43942;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GLgsYA&#10;AADeAAAADwAAAGRycy9kb3ducmV2LnhtbESPT4vCMBTE78J+h/AWvGmqQtFqFNlV9OifBdfbo3nb&#10;lm1eShNt9dMbQfA4zMxvmNmiNaW4Uu0KywoG/QgEcWp1wZmCn+O6NwbhPLLG0jIpuJGDxfyjM8NE&#10;24b3dD34TAQIuwQV5N5XiZQuzcmg69uKOHh/tjbog6wzqWtsAtyUchhFsTRYcFjIsaKvnNL/w8Uo&#10;2Iyr5e/W3pusXJ03p91p8n2ceKW6n+1yCsJT69/hV3urFcRRPBjB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GLgs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4"/>
                          </w:rPr>
                          <w:t xml:space="preserve">Ensure respect for community, good governance and compliance in </w:t>
                        </w:r>
                      </w:p>
                    </w:txbxContent>
                  </v:textbox>
                </v:rect>
                <v:rect id="Rectangle 2652" o:spid="_x0000_s1042" style="position:absolute;left:5697;top:16902;width:11082;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T9sYA&#10;AADeAAAADwAAAGRycy9kb3ducmV2LnhtbESPT4vCMBTE78J+h/AWvGmqSNFqFNlV9OifBdfbo3nb&#10;lm1eShNt9dMbQfA4zMxvmNmiNaW4Uu0KywoG/QgEcWp1wZmCn+O6NwbhPLLG0jIpuJGDxfyjM8NE&#10;24b3dD34TAQIuwQV5N5XiZQuzcmg69uKOHh/tjbog6wzqWtsAtyUchhFsTRYcFjIsaKvnNL/w8Uo&#10;2Iyr5e/W3pusXJ03p91p8n2ceKW6n+1yCsJT69/hV3urFcRRPBjB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gT9s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4"/>
                          </w:rPr>
                          <w:t>everything we do</w:t>
                        </w:r>
                      </w:p>
                    </w:txbxContent>
                  </v:textbox>
                </v:rect>
                <v:shape id="Picture 2654" o:spid="_x0000_s1043" type="#_x0000_t75" style="position:absolute;left:12451;top:2331;width:2522;height:2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CtK7HAAAA3gAAAA8AAABkcnMvZG93bnJldi54bWxEj0FrAjEUhO9C/0N4BW+aVXCVrVGkKvTg&#10;odpCr4/Nc7PdzcuSRN3665tCweMwM98wy3VvW3ElH2rHCibjDARx6XTNlYLPj/1oASJEZI2tY1Lw&#10;QwHWq6fBEgvtbnyk6ylWIkE4FKjAxNgVUobSkMUwdh1x8s7OW4xJ+kpqj7cEt62cZlkuLdacFgx2&#10;9GqobE4Xq2C7/zqb7/vhfbrwu9pc5s19c2iUGj73mxcQkfr4CP+337SCPMsnM/i7k66AXP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SCtK7HAAAA3gAAAA8AAAAAAAAAAAAA&#10;AAAAnwIAAGRycy9kb3ducmV2LnhtbFBLBQYAAAAABAAEAPcAAACTAwAAAAA=&#10;">
                  <v:imagedata r:id="rId52" o:title=""/>
                </v:shape>
                <v:shape id="Picture 60565" o:spid="_x0000_s1044" type="#_x0000_t75" style="position:absolute;left:9277;top:6036;width:2540;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00d/HAAAA3gAAAA8AAABkcnMvZG93bnJldi54bWxEj0FrwkAUhO+C/2F5Qi9SN3oIkroJIkhb&#10;qIcaQ6+P7Gs2mH0bs9uY/vtuodDjMDPfMLtisp0YafCtYwXrVQKCuHa65UbBpTw+bkH4gKyxc0wK&#10;vslDkc9nO8y0u/M7jefQiAhhn6ECE0KfSelrQxb9yvXE0ft0g8UQ5dBIPeA9wm0nN0mSSostxwWD&#10;PR0M1dfzl1VwM8vl9Fo7fns+jZsTflTltayUelhM+ycQgabwH/5rv2gFaZKuU/i9E6+AzH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D00d/HAAAA3gAAAA8AAAAAAAAAAAAA&#10;AAAAnwIAAGRycy9kb3ducmV2LnhtbFBLBQYAAAAABAAEAPcAAACTAwAAAAA=&#10;">
                  <v:imagedata r:id="rId53" o:title=""/>
                </v:shape>
                <v:shape id="Picture 60566" o:spid="_x0000_s1045" type="#_x0000_t75" style="position:absolute;left:6134;top:9751;width:2540;height:2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3uGHHAAAA3gAAAA8AAABkcnMvZG93bnJldi54bWxEj0FLxDAUhO+C/yE8wZubrLK11M0WKRTt&#10;wYOrP+DZPJtq81KauO366zeCsMdhZr5htuXiBnGgKfSeNaxXCgRx603PnYb3t/omBxEissHBM2k4&#10;UoByd3mxxcL4mV/psI+dSBAOBWqwMY6FlKG15DCs/EicvE8/OYxJTp00E84J7gZ5q1QmHfacFiyO&#10;VFlqv/c/TkO1mUkds7rJ7cvd12/10YzNU6P19dXy+AAi0hLP4f/2s9GQqWx9D3930hWQuxM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u3uGHHAAAA3gAAAA8AAAAAAAAAAAAA&#10;AAAAnwIAAGRycy9kb3ducmV2LnhtbFBLBQYAAAAABAAEAPcAAACTAwAAAAA=&#10;">
                  <v:imagedata r:id="rId54" o:title=""/>
                </v:shape>
                <v:shape id="Picture 2660" o:spid="_x0000_s1046" type="#_x0000_t75" style="position:absolute;left:2987;top:13563;width:2522;height:2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D/jDFAAAA3gAAAA8AAABkcnMvZG93bnJldi54bWxET89rwjAUvg/8H8ITvM3EgWF0RtmUDfEy&#10;dR2bt0fz1habl66J2v335jDw+PH9ni1614gzdaH2bGAyViCIC29rLg3kH6/3jyBCRLbYeCYDfxRg&#10;MR/czTCz/sI7Ou9jKVIIhwwNVDG2mZShqMhhGPuWOHE/vnMYE+xKaTu8pHDXyAeltHRYc2qosKVl&#10;RcVxf3IGtnqz8of4ctDfv5/rfPmVv03flTGjYf/8BCJSH2/if/faGtBKT9LedCddAT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A/4wxQAAAN4AAAAPAAAAAAAAAAAAAAAA&#10;AJ8CAABkcnMvZG93bnJldi54bWxQSwUGAAAAAAQABAD3AAAAkQMAAAAA&#10;">
                  <v:imagedata r:id="rId55" o:title=""/>
                </v:shape>
                <w10:anchorlock/>
              </v:group>
            </w:pict>
          </mc:Fallback>
        </mc:AlternateContent>
      </w:r>
    </w:p>
    <w:p w:rsidR="00222762" w:rsidRDefault="00222762">
      <w:pPr>
        <w:spacing w:after="233" w:line="240" w:lineRule="auto"/>
        <w:ind w:left="91" w:firstLine="0"/>
        <w:jc w:val="left"/>
      </w:pPr>
    </w:p>
    <w:p w:rsidR="00222762" w:rsidRDefault="00F44942">
      <w:pPr>
        <w:spacing w:after="224"/>
        <w:ind w:right="519"/>
      </w:pPr>
      <w:r>
        <w:t xml:space="preserve">A set of common values can help n organization to define its culture and beliefs. When members of the organization keep strong belief in a common set of values, the organization appears united when it deals with various issues. The common values of CBL are: </w:t>
      </w:r>
    </w:p>
    <w:p w:rsidR="00222762" w:rsidRDefault="006D1431">
      <w:pPr>
        <w:spacing w:line="240" w:lineRule="auto"/>
        <w:ind w:left="0" w:right="895" w:firstLine="0"/>
        <w:jc w:val="right"/>
      </w:pPr>
      <w:r>
        <w:rPr>
          <w:rFonts w:ascii="Calibri" w:eastAsia="Calibri" w:hAnsi="Calibri" w:cs="Calibri"/>
          <w:noProof/>
        </w:rPr>
        <mc:AlternateContent>
          <mc:Choice Requires="wpg">
            <w:drawing>
              <wp:inline distT="0" distB="0" distL="0" distR="0">
                <wp:extent cx="4179570" cy="2736850"/>
                <wp:effectExtent l="19050" t="19050" r="11430" b="53975"/>
                <wp:docPr id="2182" name="Group 60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9570" cy="2736850"/>
                          <a:chOff x="0" y="0"/>
                          <a:chExt cx="41796" cy="27368"/>
                        </a:xfrm>
                      </wpg:grpSpPr>
                      <wps:wsp>
                        <wps:cNvPr id="2183" name="Rectangle 2632"/>
                        <wps:cNvSpPr>
                          <a:spLocks noChangeArrowheads="1"/>
                        </wps:cNvSpPr>
                        <wps:spPr bwMode="auto">
                          <a:xfrm>
                            <a:off x="41415" y="2568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
                          </w:txbxContent>
                        </wps:txbx>
                        <wps:bodyPr rot="0" vert="horz" wrap="square" lIns="0" tIns="0" rIns="0" bIns="0" anchor="t" anchorCtr="0" upright="1">
                          <a:noAutofit/>
                        </wps:bodyPr>
                      </wps:wsp>
                      <wps:wsp>
                        <wps:cNvPr id="2184" name="Shape 2662"/>
                        <wps:cNvSpPr>
                          <a:spLocks/>
                        </wps:cNvSpPr>
                        <wps:spPr bwMode="auto">
                          <a:xfrm>
                            <a:off x="10607" y="11108"/>
                            <a:ext cx="6727" cy="6727"/>
                          </a:xfrm>
                          <a:custGeom>
                            <a:avLst/>
                            <a:gdLst>
                              <a:gd name="T0" fmla="*/ 0 w 672719"/>
                              <a:gd name="T1" fmla="*/ 3363 h 672719"/>
                              <a:gd name="T2" fmla="*/ 3363 w 672719"/>
                              <a:gd name="T3" fmla="*/ 0 h 672719"/>
                              <a:gd name="T4" fmla="*/ 6727 w 672719"/>
                              <a:gd name="T5" fmla="*/ 3363 h 672719"/>
                              <a:gd name="T6" fmla="*/ 3363 w 672719"/>
                              <a:gd name="T7" fmla="*/ 6727 h 672719"/>
                              <a:gd name="T8" fmla="*/ 0 w 672719"/>
                              <a:gd name="T9" fmla="*/ 3363 h 672719"/>
                              <a:gd name="T10" fmla="*/ 0 60000 65536"/>
                              <a:gd name="T11" fmla="*/ 0 60000 65536"/>
                              <a:gd name="T12" fmla="*/ 0 60000 65536"/>
                              <a:gd name="T13" fmla="*/ 0 60000 65536"/>
                              <a:gd name="T14" fmla="*/ 0 60000 65536"/>
                              <a:gd name="T15" fmla="*/ 0 w 672719"/>
                              <a:gd name="T16" fmla="*/ 0 h 672719"/>
                              <a:gd name="T17" fmla="*/ 672719 w 672719"/>
                              <a:gd name="T18" fmla="*/ 672719 h 672719"/>
                            </a:gdLst>
                            <a:ahLst/>
                            <a:cxnLst>
                              <a:cxn ang="T10">
                                <a:pos x="T0" y="T1"/>
                              </a:cxn>
                              <a:cxn ang="T11">
                                <a:pos x="T2" y="T3"/>
                              </a:cxn>
                              <a:cxn ang="T12">
                                <a:pos x="T4" y="T5"/>
                              </a:cxn>
                              <a:cxn ang="T13">
                                <a:pos x="T6" y="T7"/>
                              </a:cxn>
                              <a:cxn ang="T14">
                                <a:pos x="T8" y="T9"/>
                              </a:cxn>
                            </a:cxnLst>
                            <a:rect l="T15" t="T16" r="T17" b="T18"/>
                            <a:pathLst>
                              <a:path w="672719" h="672719">
                                <a:moveTo>
                                  <a:pt x="0" y="336296"/>
                                </a:moveTo>
                                <a:cubicBezTo>
                                  <a:pt x="0" y="150495"/>
                                  <a:pt x="150622" y="0"/>
                                  <a:pt x="336296" y="0"/>
                                </a:cubicBezTo>
                                <a:cubicBezTo>
                                  <a:pt x="522097" y="0"/>
                                  <a:pt x="672719" y="150495"/>
                                  <a:pt x="672719" y="336296"/>
                                </a:cubicBezTo>
                                <a:cubicBezTo>
                                  <a:pt x="672719" y="522097"/>
                                  <a:pt x="522097" y="672719"/>
                                  <a:pt x="336296" y="672719"/>
                                </a:cubicBezTo>
                                <a:cubicBezTo>
                                  <a:pt x="150622" y="672719"/>
                                  <a:pt x="0" y="522097"/>
                                  <a:pt x="0" y="336296"/>
                                </a:cubicBezTo>
                                <a:close/>
                              </a:path>
                            </a:pathLst>
                          </a:custGeom>
                          <a:noFill/>
                          <a:ln w="25400">
                            <a:solidFill>
                              <a:srgbClr val="AE48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Rectangle 2663"/>
                        <wps:cNvSpPr>
                          <a:spLocks noChangeArrowheads="1"/>
                        </wps:cNvSpPr>
                        <wps:spPr bwMode="auto">
                          <a:xfrm>
                            <a:off x="11794" y="13713"/>
                            <a:ext cx="5777" cy="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6"/>
                                </w:rPr>
                                <w:t xml:space="preserve">Values </w:t>
                              </w:r>
                            </w:p>
                          </w:txbxContent>
                        </wps:txbx>
                        <wps:bodyPr rot="0" vert="horz" wrap="square" lIns="0" tIns="0" rIns="0" bIns="0" anchor="t" anchorCtr="0" upright="1">
                          <a:noAutofit/>
                        </wps:bodyPr>
                      </wps:wsp>
                      <wps:wsp>
                        <wps:cNvPr id="2186" name="Shape 2664"/>
                        <wps:cNvSpPr>
                          <a:spLocks/>
                        </wps:cNvSpPr>
                        <wps:spPr bwMode="auto">
                          <a:xfrm>
                            <a:off x="13036" y="9083"/>
                            <a:ext cx="1867" cy="1431"/>
                          </a:xfrm>
                          <a:custGeom>
                            <a:avLst/>
                            <a:gdLst>
                              <a:gd name="T0" fmla="*/ 934 w 186690"/>
                              <a:gd name="T1" fmla="*/ 0 h 143129"/>
                              <a:gd name="T2" fmla="*/ 1867 w 186690"/>
                              <a:gd name="T3" fmla="*/ 716 h 143129"/>
                              <a:gd name="T4" fmla="*/ 1494 w 186690"/>
                              <a:gd name="T5" fmla="*/ 716 h 143129"/>
                              <a:gd name="T6" fmla="*/ 1494 w 186690"/>
                              <a:gd name="T7" fmla="*/ 1431 h 143129"/>
                              <a:gd name="T8" fmla="*/ 373 w 186690"/>
                              <a:gd name="T9" fmla="*/ 1431 h 143129"/>
                              <a:gd name="T10" fmla="*/ 373 w 186690"/>
                              <a:gd name="T11" fmla="*/ 716 h 143129"/>
                              <a:gd name="T12" fmla="*/ 0 w 186690"/>
                              <a:gd name="T13" fmla="*/ 716 h 143129"/>
                              <a:gd name="T14" fmla="*/ 934 w 186690"/>
                              <a:gd name="T15" fmla="*/ 0 h 143129"/>
                              <a:gd name="T16" fmla="*/ 0 60000 65536"/>
                              <a:gd name="T17" fmla="*/ 0 60000 65536"/>
                              <a:gd name="T18" fmla="*/ 0 60000 65536"/>
                              <a:gd name="T19" fmla="*/ 0 60000 65536"/>
                              <a:gd name="T20" fmla="*/ 0 60000 65536"/>
                              <a:gd name="T21" fmla="*/ 0 60000 65536"/>
                              <a:gd name="T22" fmla="*/ 0 60000 65536"/>
                              <a:gd name="T23" fmla="*/ 0 60000 65536"/>
                              <a:gd name="T24" fmla="*/ 0 w 186690"/>
                              <a:gd name="T25" fmla="*/ 0 h 143129"/>
                              <a:gd name="T26" fmla="*/ 186690 w 186690"/>
                              <a:gd name="T27" fmla="*/ 143129 h 143129"/>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86690" h="143129">
                                <a:moveTo>
                                  <a:pt x="93345" y="0"/>
                                </a:moveTo>
                                <a:lnTo>
                                  <a:pt x="186690" y="71628"/>
                                </a:lnTo>
                                <a:lnTo>
                                  <a:pt x="149352" y="71628"/>
                                </a:lnTo>
                                <a:lnTo>
                                  <a:pt x="149352" y="143129"/>
                                </a:lnTo>
                                <a:lnTo>
                                  <a:pt x="37338" y="143129"/>
                                </a:lnTo>
                                <a:lnTo>
                                  <a:pt x="37338" y="71628"/>
                                </a:lnTo>
                                <a:lnTo>
                                  <a:pt x="0" y="71628"/>
                                </a:lnTo>
                                <a:lnTo>
                                  <a:pt x="93345" y="0"/>
                                </a:lnTo>
                                <a:close/>
                              </a:path>
                            </a:pathLst>
                          </a:custGeom>
                          <a:solidFill>
                            <a:srgbClr val="DCB3B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87" name="Shape 2666"/>
                        <wps:cNvSpPr>
                          <a:spLocks/>
                        </wps:cNvSpPr>
                        <wps:spPr bwMode="auto">
                          <a:xfrm>
                            <a:off x="9766" y="0"/>
                            <a:ext cx="8408" cy="8408"/>
                          </a:xfrm>
                          <a:custGeom>
                            <a:avLst/>
                            <a:gdLst>
                              <a:gd name="T0" fmla="*/ 0 w 840867"/>
                              <a:gd name="T1" fmla="*/ 4203 h 840867"/>
                              <a:gd name="T2" fmla="*/ 4203 w 840867"/>
                              <a:gd name="T3" fmla="*/ 0 h 840867"/>
                              <a:gd name="T4" fmla="*/ 8408 w 840867"/>
                              <a:gd name="T5" fmla="*/ 4203 h 840867"/>
                              <a:gd name="T6" fmla="*/ 4203 w 840867"/>
                              <a:gd name="T7" fmla="*/ 8408 h 840867"/>
                              <a:gd name="T8" fmla="*/ 0 w 840867"/>
                              <a:gd name="T9" fmla="*/ 4203 h 840867"/>
                              <a:gd name="T10" fmla="*/ 0 60000 65536"/>
                              <a:gd name="T11" fmla="*/ 0 60000 65536"/>
                              <a:gd name="T12" fmla="*/ 0 60000 65536"/>
                              <a:gd name="T13" fmla="*/ 0 60000 65536"/>
                              <a:gd name="T14" fmla="*/ 0 60000 65536"/>
                              <a:gd name="T15" fmla="*/ 0 w 840867"/>
                              <a:gd name="T16" fmla="*/ 0 h 840867"/>
                              <a:gd name="T17" fmla="*/ 840867 w 840867"/>
                              <a:gd name="T18" fmla="*/ 840867 h 840867"/>
                            </a:gdLst>
                            <a:ahLst/>
                            <a:cxnLst>
                              <a:cxn ang="T10">
                                <a:pos x="T0" y="T1"/>
                              </a:cxn>
                              <a:cxn ang="T11">
                                <a:pos x="T2" y="T3"/>
                              </a:cxn>
                              <a:cxn ang="T12">
                                <a:pos x="T4" y="T5"/>
                              </a:cxn>
                              <a:cxn ang="T13">
                                <a:pos x="T6" y="T7"/>
                              </a:cxn>
                              <a:cxn ang="T14">
                                <a:pos x="T8" y="T9"/>
                              </a:cxn>
                            </a:cxnLst>
                            <a:rect l="T15" t="T16" r="T17" b="T18"/>
                            <a:pathLst>
                              <a:path w="840867" h="840867">
                                <a:moveTo>
                                  <a:pt x="0" y="420370"/>
                                </a:moveTo>
                                <a:cubicBezTo>
                                  <a:pt x="0" y="188213"/>
                                  <a:pt x="188214" y="0"/>
                                  <a:pt x="420370" y="0"/>
                                </a:cubicBezTo>
                                <a:cubicBezTo>
                                  <a:pt x="652653" y="0"/>
                                  <a:pt x="840867" y="188213"/>
                                  <a:pt x="840867" y="420370"/>
                                </a:cubicBezTo>
                                <a:cubicBezTo>
                                  <a:pt x="840867" y="652652"/>
                                  <a:pt x="652653" y="840867"/>
                                  <a:pt x="420370" y="840867"/>
                                </a:cubicBezTo>
                                <a:cubicBezTo>
                                  <a:pt x="188214" y="840867"/>
                                  <a:pt x="0" y="652652"/>
                                  <a:pt x="0" y="420370"/>
                                </a:cubicBezTo>
                                <a:close/>
                              </a:path>
                            </a:pathLst>
                          </a:custGeom>
                          <a:noFill/>
                          <a:ln w="25400">
                            <a:solidFill>
                              <a:srgbClr val="AE48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Rectangle 2667"/>
                        <wps:cNvSpPr>
                          <a:spLocks noChangeArrowheads="1"/>
                        </wps:cNvSpPr>
                        <wps:spPr bwMode="auto">
                          <a:xfrm>
                            <a:off x="11169" y="3917"/>
                            <a:ext cx="746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Result Driven </w:t>
                              </w:r>
                            </w:p>
                          </w:txbxContent>
                        </wps:txbx>
                        <wps:bodyPr rot="0" vert="horz" wrap="square" lIns="0" tIns="0" rIns="0" bIns="0" anchor="t" anchorCtr="0" upright="1">
                          <a:noAutofit/>
                        </wps:bodyPr>
                      </wps:wsp>
                      <wps:wsp>
                        <wps:cNvPr id="2189" name="Shape 2668"/>
                        <wps:cNvSpPr>
                          <a:spLocks/>
                        </wps:cNvSpPr>
                        <wps:spPr bwMode="auto">
                          <a:xfrm>
                            <a:off x="17561" y="12139"/>
                            <a:ext cx="1533" cy="1776"/>
                          </a:xfrm>
                          <a:custGeom>
                            <a:avLst/>
                            <a:gdLst>
                              <a:gd name="T0" fmla="*/ 565 w 153289"/>
                              <a:gd name="T1" fmla="*/ 0 h 177546"/>
                              <a:gd name="T2" fmla="*/ 1533 w 153289"/>
                              <a:gd name="T3" fmla="*/ 667 h 177546"/>
                              <a:gd name="T4" fmla="*/ 1142 w 153289"/>
                              <a:gd name="T5" fmla="*/ 1776 h 177546"/>
                              <a:gd name="T6" fmla="*/ 1026 w 153289"/>
                              <a:gd name="T7" fmla="*/ 1422 h 177546"/>
                              <a:gd name="T8" fmla="*/ 345 w 153289"/>
                              <a:gd name="T9" fmla="*/ 1643 h 177546"/>
                              <a:gd name="T10" fmla="*/ 0 w 153289"/>
                              <a:gd name="T11" fmla="*/ 577 h 177546"/>
                              <a:gd name="T12" fmla="*/ 679 w 153289"/>
                              <a:gd name="T13" fmla="*/ 356 h 177546"/>
                              <a:gd name="T14" fmla="*/ 565 w 153289"/>
                              <a:gd name="T15" fmla="*/ 0 h 177546"/>
                              <a:gd name="T16" fmla="*/ 0 60000 65536"/>
                              <a:gd name="T17" fmla="*/ 0 60000 65536"/>
                              <a:gd name="T18" fmla="*/ 0 60000 65536"/>
                              <a:gd name="T19" fmla="*/ 0 60000 65536"/>
                              <a:gd name="T20" fmla="*/ 0 60000 65536"/>
                              <a:gd name="T21" fmla="*/ 0 60000 65536"/>
                              <a:gd name="T22" fmla="*/ 0 60000 65536"/>
                              <a:gd name="T23" fmla="*/ 0 60000 65536"/>
                              <a:gd name="T24" fmla="*/ 0 w 153289"/>
                              <a:gd name="T25" fmla="*/ 0 h 177546"/>
                              <a:gd name="T26" fmla="*/ 153289 w 153289"/>
                              <a:gd name="T27" fmla="*/ 177546 h 17754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53289" h="177546">
                                <a:moveTo>
                                  <a:pt x="56515" y="0"/>
                                </a:moveTo>
                                <a:lnTo>
                                  <a:pt x="153289" y="66675"/>
                                </a:lnTo>
                                <a:lnTo>
                                  <a:pt x="114173" y="177546"/>
                                </a:lnTo>
                                <a:lnTo>
                                  <a:pt x="102616" y="142113"/>
                                </a:lnTo>
                                <a:lnTo>
                                  <a:pt x="34544" y="164211"/>
                                </a:lnTo>
                                <a:lnTo>
                                  <a:pt x="0" y="57658"/>
                                </a:lnTo>
                                <a:lnTo>
                                  <a:pt x="67945" y="35560"/>
                                </a:lnTo>
                                <a:lnTo>
                                  <a:pt x="56515" y="0"/>
                                </a:lnTo>
                                <a:close/>
                              </a:path>
                            </a:pathLst>
                          </a:custGeom>
                          <a:solidFill>
                            <a:srgbClr val="DCB3B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90" name="Shape 2670"/>
                        <wps:cNvSpPr>
                          <a:spLocks/>
                        </wps:cNvSpPr>
                        <wps:spPr bwMode="auto">
                          <a:xfrm>
                            <a:off x="19531" y="7094"/>
                            <a:ext cx="8409" cy="8408"/>
                          </a:xfrm>
                          <a:custGeom>
                            <a:avLst/>
                            <a:gdLst>
                              <a:gd name="T0" fmla="*/ 0 w 840867"/>
                              <a:gd name="T1" fmla="*/ 4205 h 840867"/>
                              <a:gd name="T2" fmla="*/ 4204 w 840867"/>
                              <a:gd name="T3" fmla="*/ 0 h 840867"/>
                              <a:gd name="T4" fmla="*/ 8409 w 840867"/>
                              <a:gd name="T5" fmla="*/ 4205 h 840867"/>
                              <a:gd name="T6" fmla="*/ 4204 w 840867"/>
                              <a:gd name="T7" fmla="*/ 8408 h 840867"/>
                              <a:gd name="T8" fmla="*/ 0 w 840867"/>
                              <a:gd name="T9" fmla="*/ 4205 h 840867"/>
                              <a:gd name="T10" fmla="*/ 0 60000 65536"/>
                              <a:gd name="T11" fmla="*/ 0 60000 65536"/>
                              <a:gd name="T12" fmla="*/ 0 60000 65536"/>
                              <a:gd name="T13" fmla="*/ 0 60000 65536"/>
                              <a:gd name="T14" fmla="*/ 0 60000 65536"/>
                              <a:gd name="T15" fmla="*/ 0 w 840867"/>
                              <a:gd name="T16" fmla="*/ 0 h 840867"/>
                              <a:gd name="T17" fmla="*/ 840867 w 840867"/>
                              <a:gd name="T18" fmla="*/ 840867 h 840867"/>
                            </a:gdLst>
                            <a:ahLst/>
                            <a:cxnLst>
                              <a:cxn ang="T10">
                                <a:pos x="T0" y="T1"/>
                              </a:cxn>
                              <a:cxn ang="T11">
                                <a:pos x="T2" y="T3"/>
                              </a:cxn>
                              <a:cxn ang="T12">
                                <a:pos x="T4" y="T5"/>
                              </a:cxn>
                              <a:cxn ang="T13">
                                <a:pos x="T6" y="T7"/>
                              </a:cxn>
                              <a:cxn ang="T14">
                                <a:pos x="T8" y="T9"/>
                              </a:cxn>
                            </a:cxnLst>
                            <a:rect l="T15" t="T16" r="T17" b="T18"/>
                            <a:pathLst>
                              <a:path w="840867" h="840867">
                                <a:moveTo>
                                  <a:pt x="0" y="420497"/>
                                </a:moveTo>
                                <a:cubicBezTo>
                                  <a:pt x="0" y="188213"/>
                                  <a:pt x="188214" y="0"/>
                                  <a:pt x="420370" y="0"/>
                                </a:cubicBezTo>
                                <a:cubicBezTo>
                                  <a:pt x="652653" y="0"/>
                                  <a:pt x="840867" y="188213"/>
                                  <a:pt x="840867" y="420497"/>
                                </a:cubicBezTo>
                                <a:cubicBezTo>
                                  <a:pt x="840867" y="652653"/>
                                  <a:pt x="652653" y="840867"/>
                                  <a:pt x="420370" y="840867"/>
                                </a:cubicBezTo>
                                <a:cubicBezTo>
                                  <a:pt x="188214" y="840867"/>
                                  <a:pt x="0" y="652653"/>
                                  <a:pt x="0" y="420497"/>
                                </a:cubicBezTo>
                                <a:close/>
                              </a:path>
                            </a:pathLst>
                          </a:custGeom>
                          <a:noFill/>
                          <a:ln w="25400">
                            <a:solidFill>
                              <a:srgbClr val="AE48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Rectangle 2671"/>
                        <wps:cNvSpPr>
                          <a:spLocks noChangeArrowheads="1"/>
                        </wps:cNvSpPr>
                        <wps:spPr bwMode="auto">
                          <a:xfrm>
                            <a:off x="21136" y="10046"/>
                            <a:ext cx="7269"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Accountable </w:t>
                              </w:r>
                            </w:p>
                          </w:txbxContent>
                        </wps:txbx>
                        <wps:bodyPr rot="0" vert="horz" wrap="square" lIns="0" tIns="0" rIns="0" bIns="0" anchor="t" anchorCtr="0" upright="1">
                          <a:noAutofit/>
                        </wps:bodyPr>
                      </wps:wsp>
                      <wps:wsp>
                        <wps:cNvPr id="2192" name="Rectangle 2672"/>
                        <wps:cNvSpPr>
                          <a:spLocks noChangeArrowheads="1"/>
                        </wps:cNvSpPr>
                        <wps:spPr bwMode="auto">
                          <a:xfrm>
                            <a:off x="23407" y="11006"/>
                            <a:ext cx="1229"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&amp;</w:t>
                              </w:r>
                            </w:p>
                          </w:txbxContent>
                        </wps:txbx>
                        <wps:bodyPr rot="0" vert="horz" wrap="square" lIns="0" tIns="0" rIns="0" bIns="0" anchor="t" anchorCtr="0" upright="1">
                          <a:noAutofit/>
                        </wps:bodyPr>
                      </wps:wsp>
                      <wps:wsp>
                        <wps:cNvPr id="2193" name="Rectangle 2673"/>
                        <wps:cNvSpPr>
                          <a:spLocks noChangeArrowheads="1"/>
                        </wps:cNvSpPr>
                        <wps:spPr bwMode="auto">
                          <a:xfrm>
                            <a:off x="21212" y="11981"/>
                            <a:ext cx="70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Transparent </w:t>
                              </w:r>
                            </w:p>
                          </w:txbxContent>
                        </wps:txbx>
                        <wps:bodyPr rot="0" vert="horz" wrap="square" lIns="0" tIns="0" rIns="0" bIns="0" anchor="t" anchorCtr="0" upright="1">
                          <a:noAutofit/>
                        </wps:bodyPr>
                      </wps:wsp>
                      <wps:wsp>
                        <wps:cNvPr id="2194" name="Shape 2674"/>
                        <wps:cNvSpPr>
                          <a:spLocks/>
                        </wps:cNvSpPr>
                        <wps:spPr bwMode="auto">
                          <a:xfrm>
                            <a:off x="15843" y="17344"/>
                            <a:ext cx="1629" cy="1487"/>
                          </a:xfrm>
                          <a:custGeom>
                            <a:avLst/>
                            <a:gdLst>
                              <a:gd name="T0" fmla="*/ 907 w 162941"/>
                              <a:gd name="T1" fmla="*/ 0 h 148717"/>
                              <a:gd name="T2" fmla="*/ 1327 w 162941"/>
                              <a:gd name="T3" fmla="*/ 579 h 148717"/>
                              <a:gd name="T4" fmla="*/ 1629 w 162941"/>
                              <a:gd name="T5" fmla="*/ 359 h 148717"/>
                              <a:gd name="T6" fmla="*/ 1294 w 162941"/>
                              <a:gd name="T7" fmla="*/ 1487 h 148717"/>
                              <a:gd name="T8" fmla="*/ 118 w 162941"/>
                              <a:gd name="T9" fmla="*/ 1457 h 148717"/>
                              <a:gd name="T10" fmla="*/ 420 w 162941"/>
                              <a:gd name="T11" fmla="*/ 1237 h 148717"/>
                              <a:gd name="T12" fmla="*/ 0 w 162941"/>
                              <a:gd name="T13" fmla="*/ 658 h 148717"/>
                              <a:gd name="T14" fmla="*/ 907 w 162941"/>
                              <a:gd name="T15" fmla="*/ 0 h 148717"/>
                              <a:gd name="T16" fmla="*/ 0 60000 65536"/>
                              <a:gd name="T17" fmla="*/ 0 60000 65536"/>
                              <a:gd name="T18" fmla="*/ 0 60000 65536"/>
                              <a:gd name="T19" fmla="*/ 0 60000 65536"/>
                              <a:gd name="T20" fmla="*/ 0 60000 65536"/>
                              <a:gd name="T21" fmla="*/ 0 60000 65536"/>
                              <a:gd name="T22" fmla="*/ 0 60000 65536"/>
                              <a:gd name="T23" fmla="*/ 0 60000 65536"/>
                              <a:gd name="T24" fmla="*/ 0 w 162941"/>
                              <a:gd name="T25" fmla="*/ 0 h 148717"/>
                              <a:gd name="T26" fmla="*/ 162941 w 162941"/>
                              <a:gd name="T27" fmla="*/ 148717 h 148717"/>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2941" h="148717">
                                <a:moveTo>
                                  <a:pt x="90678" y="0"/>
                                </a:moveTo>
                                <a:lnTo>
                                  <a:pt x="132715" y="57913"/>
                                </a:lnTo>
                                <a:lnTo>
                                  <a:pt x="162941" y="35941"/>
                                </a:lnTo>
                                <a:lnTo>
                                  <a:pt x="129413" y="148717"/>
                                </a:lnTo>
                                <a:lnTo>
                                  <a:pt x="11811" y="145669"/>
                                </a:lnTo>
                                <a:lnTo>
                                  <a:pt x="42037" y="123698"/>
                                </a:lnTo>
                                <a:lnTo>
                                  <a:pt x="0" y="65787"/>
                                </a:lnTo>
                                <a:lnTo>
                                  <a:pt x="90678" y="0"/>
                                </a:lnTo>
                                <a:close/>
                              </a:path>
                            </a:pathLst>
                          </a:custGeom>
                          <a:solidFill>
                            <a:srgbClr val="DCB3B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95" name="Shape 2675"/>
                        <wps:cNvSpPr>
                          <a:spLocks/>
                        </wps:cNvSpPr>
                        <wps:spPr bwMode="auto">
                          <a:xfrm>
                            <a:off x="15801" y="18573"/>
                            <a:ext cx="8409" cy="8410"/>
                          </a:xfrm>
                          <a:custGeom>
                            <a:avLst/>
                            <a:gdLst>
                              <a:gd name="T0" fmla="*/ 4204 w 840867"/>
                              <a:gd name="T1" fmla="*/ 0 h 840942"/>
                              <a:gd name="T2" fmla="*/ 8409 w 840867"/>
                              <a:gd name="T3" fmla="*/ 4205 h 840942"/>
                              <a:gd name="T4" fmla="*/ 4204 w 840867"/>
                              <a:gd name="T5" fmla="*/ 8410 h 840942"/>
                              <a:gd name="T6" fmla="*/ 0 w 840867"/>
                              <a:gd name="T7" fmla="*/ 4205 h 840942"/>
                              <a:gd name="T8" fmla="*/ 4204 w 840867"/>
                              <a:gd name="T9" fmla="*/ 0 h 840942"/>
                              <a:gd name="T10" fmla="*/ 0 60000 65536"/>
                              <a:gd name="T11" fmla="*/ 0 60000 65536"/>
                              <a:gd name="T12" fmla="*/ 0 60000 65536"/>
                              <a:gd name="T13" fmla="*/ 0 60000 65536"/>
                              <a:gd name="T14" fmla="*/ 0 60000 65536"/>
                              <a:gd name="T15" fmla="*/ 0 w 840867"/>
                              <a:gd name="T16" fmla="*/ 0 h 840942"/>
                              <a:gd name="T17" fmla="*/ 840867 w 840867"/>
                              <a:gd name="T18" fmla="*/ 840942 h 840942"/>
                            </a:gdLst>
                            <a:ahLst/>
                            <a:cxnLst>
                              <a:cxn ang="T10">
                                <a:pos x="T0" y="T1"/>
                              </a:cxn>
                              <a:cxn ang="T11">
                                <a:pos x="T2" y="T3"/>
                              </a:cxn>
                              <a:cxn ang="T12">
                                <a:pos x="T4" y="T5"/>
                              </a:cxn>
                              <a:cxn ang="T13">
                                <a:pos x="T6" y="T7"/>
                              </a:cxn>
                              <a:cxn ang="T14">
                                <a:pos x="T8" y="T9"/>
                              </a:cxn>
                            </a:cxnLst>
                            <a:rect l="T15" t="T16" r="T17" b="T18"/>
                            <a:pathLst>
                              <a:path w="840867" h="840942">
                                <a:moveTo>
                                  <a:pt x="420370" y="0"/>
                                </a:moveTo>
                                <a:cubicBezTo>
                                  <a:pt x="652653" y="0"/>
                                  <a:pt x="840867" y="188340"/>
                                  <a:pt x="840867" y="420497"/>
                                </a:cubicBezTo>
                                <a:cubicBezTo>
                                  <a:pt x="840867" y="652704"/>
                                  <a:pt x="652653" y="840942"/>
                                  <a:pt x="420370" y="840942"/>
                                </a:cubicBezTo>
                                <a:cubicBezTo>
                                  <a:pt x="188214" y="840942"/>
                                  <a:pt x="0" y="652704"/>
                                  <a:pt x="0" y="420497"/>
                                </a:cubicBezTo>
                                <a:cubicBezTo>
                                  <a:pt x="0" y="188340"/>
                                  <a:pt x="188214" y="0"/>
                                  <a:pt x="420370" y="0"/>
                                </a:cubicBezTo>
                                <a:close/>
                              </a:path>
                            </a:pathLst>
                          </a:cu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96" name="Shape 2676"/>
                        <wps:cNvSpPr>
                          <a:spLocks/>
                        </wps:cNvSpPr>
                        <wps:spPr bwMode="auto">
                          <a:xfrm>
                            <a:off x="15801" y="18573"/>
                            <a:ext cx="8409" cy="8410"/>
                          </a:xfrm>
                          <a:custGeom>
                            <a:avLst/>
                            <a:gdLst>
                              <a:gd name="T0" fmla="*/ 0 w 840867"/>
                              <a:gd name="T1" fmla="*/ 4205 h 840942"/>
                              <a:gd name="T2" fmla="*/ 4204 w 840867"/>
                              <a:gd name="T3" fmla="*/ 0 h 840942"/>
                              <a:gd name="T4" fmla="*/ 8409 w 840867"/>
                              <a:gd name="T5" fmla="*/ 4205 h 840942"/>
                              <a:gd name="T6" fmla="*/ 4204 w 840867"/>
                              <a:gd name="T7" fmla="*/ 8410 h 840942"/>
                              <a:gd name="T8" fmla="*/ 0 w 840867"/>
                              <a:gd name="T9" fmla="*/ 4205 h 840942"/>
                              <a:gd name="T10" fmla="*/ 0 60000 65536"/>
                              <a:gd name="T11" fmla="*/ 0 60000 65536"/>
                              <a:gd name="T12" fmla="*/ 0 60000 65536"/>
                              <a:gd name="T13" fmla="*/ 0 60000 65536"/>
                              <a:gd name="T14" fmla="*/ 0 60000 65536"/>
                              <a:gd name="T15" fmla="*/ 0 w 840867"/>
                              <a:gd name="T16" fmla="*/ 0 h 840942"/>
                              <a:gd name="T17" fmla="*/ 840867 w 840867"/>
                              <a:gd name="T18" fmla="*/ 840942 h 840942"/>
                            </a:gdLst>
                            <a:ahLst/>
                            <a:cxnLst>
                              <a:cxn ang="T10">
                                <a:pos x="T0" y="T1"/>
                              </a:cxn>
                              <a:cxn ang="T11">
                                <a:pos x="T2" y="T3"/>
                              </a:cxn>
                              <a:cxn ang="T12">
                                <a:pos x="T4" y="T5"/>
                              </a:cxn>
                              <a:cxn ang="T13">
                                <a:pos x="T6" y="T7"/>
                              </a:cxn>
                              <a:cxn ang="T14">
                                <a:pos x="T8" y="T9"/>
                              </a:cxn>
                            </a:cxnLst>
                            <a:rect l="T15" t="T16" r="T17" b="T18"/>
                            <a:pathLst>
                              <a:path w="840867" h="840942">
                                <a:moveTo>
                                  <a:pt x="0" y="420497"/>
                                </a:moveTo>
                                <a:cubicBezTo>
                                  <a:pt x="0" y="188340"/>
                                  <a:pt x="188214" y="0"/>
                                  <a:pt x="420370" y="0"/>
                                </a:cubicBezTo>
                                <a:cubicBezTo>
                                  <a:pt x="652653" y="0"/>
                                  <a:pt x="840867" y="188340"/>
                                  <a:pt x="840867" y="420497"/>
                                </a:cubicBezTo>
                                <a:cubicBezTo>
                                  <a:pt x="840867" y="652704"/>
                                  <a:pt x="652653" y="840942"/>
                                  <a:pt x="420370" y="840942"/>
                                </a:cubicBezTo>
                                <a:cubicBezTo>
                                  <a:pt x="188214" y="840942"/>
                                  <a:pt x="0" y="652704"/>
                                  <a:pt x="0" y="420497"/>
                                </a:cubicBezTo>
                                <a:close/>
                              </a:path>
                            </a:pathLst>
                          </a:custGeom>
                          <a:noFill/>
                          <a:ln w="25400">
                            <a:solidFill>
                              <a:srgbClr val="AE48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Rectangle 2677"/>
                        <wps:cNvSpPr>
                          <a:spLocks noChangeArrowheads="1"/>
                        </wps:cNvSpPr>
                        <wps:spPr bwMode="auto">
                          <a:xfrm>
                            <a:off x="17619" y="21525"/>
                            <a:ext cx="668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Focused on </w:t>
                              </w:r>
                            </w:p>
                          </w:txbxContent>
                        </wps:txbx>
                        <wps:bodyPr rot="0" vert="horz" wrap="square" lIns="0" tIns="0" rIns="0" bIns="0" anchor="t" anchorCtr="0" upright="1">
                          <a:noAutofit/>
                        </wps:bodyPr>
                      </wps:wsp>
                      <wps:wsp>
                        <wps:cNvPr id="2199" name="Rectangle 2678"/>
                        <wps:cNvSpPr>
                          <a:spLocks noChangeArrowheads="1"/>
                        </wps:cNvSpPr>
                        <wps:spPr bwMode="auto">
                          <a:xfrm>
                            <a:off x="18000" y="22483"/>
                            <a:ext cx="5668" cy="1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Customer </w:t>
                              </w:r>
                            </w:p>
                          </w:txbxContent>
                        </wps:txbx>
                        <wps:bodyPr rot="0" vert="horz" wrap="square" lIns="0" tIns="0" rIns="0" bIns="0" anchor="t" anchorCtr="0" upright="1">
                          <a:noAutofit/>
                        </wps:bodyPr>
                      </wps:wsp>
                      <wps:wsp>
                        <wps:cNvPr id="2200" name="Rectangle 2679"/>
                        <wps:cNvSpPr>
                          <a:spLocks noChangeArrowheads="1"/>
                        </wps:cNvSpPr>
                        <wps:spPr bwMode="auto">
                          <a:xfrm>
                            <a:off x="18534" y="23463"/>
                            <a:ext cx="3934"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Delight </w:t>
                              </w:r>
                            </w:p>
                          </w:txbxContent>
                        </wps:txbx>
                        <wps:bodyPr rot="0" vert="horz" wrap="square" lIns="0" tIns="0" rIns="0" bIns="0" anchor="t" anchorCtr="0" upright="1">
                          <a:noAutofit/>
                        </wps:bodyPr>
                      </wps:wsp>
                      <wps:wsp>
                        <wps:cNvPr id="2201" name="Shape 2680"/>
                        <wps:cNvSpPr>
                          <a:spLocks/>
                        </wps:cNvSpPr>
                        <wps:spPr bwMode="auto">
                          <a:xfrm>
                            <a:off x="10643" y="17397"/>
                            <a:ext cx="1604" cy="1401"/>
                          </a:xfrm>
                          <a:custGeom>
                            <a:avLst/>
                            <a:gdLst>
                              <a:gd name="T0" fmla="*/ 676 w 160401"/>
                              <a:gd name="T1" fmla="*/ 0 h 140081"/>
                              <a:gd name="T2" fmla="*/ 1604 w 160401"/>
                              <a:gd name="T3" fmla="*/ 627 h 140081"/>
                              <a:gd name="T4" fmla="*/ 1238 w 160401"/>
                              <a:gd name="T5" fmla="*/ 1171 h 140081"/>
                              <a:gd name="T6" fmla="*/ 1547 w 160401"/>
                              <a:gd name="T7" fmla="*/ 1379 h 140081"/>
                              <a:gd name="T8" fmla="*/ 406 w 160401"/>
                              <a:gd name="T9" fmla="*/ 1401 h 140081"/>
                              <a:gd name="T10" fmla="*/ 0 w 160401"/>
                              <a:gd name="T11" fmla="*/ 335 h 140081"/>
                              <a:gd name="T12" fmla="*/ 309 w 160401"/>
                              <a:gd name="T13" fmla="*/ 544 h 140081"/>
                              <a:gd name="T14" fmla="*/ 676 w 160401"/>
                              <a:gd name="T15" fmla="*/ 0 h 140081"/>
                              <a:gd name="T16" fmla="*/ 0 60000 65536"/>
                              <a:gd name="T17" fmla="*/ 0 60000 65536"/>
                              <a:gd name="T18" fmla="*/ 0 60000 65536"/>
                              <a:gd name="T19" fmla="*/ 0 60000 65536"/>
                              <a:gd name="T20" fmla="*/ 0 60000 65536"/>
                              <a:gd name="T21" fmla="*/ 0 60000 65536"/>
                              <a:gd name="T22" fmla="*/ 0 60000 65536"/>
                              <a:gd name="T23" fmla="*/ 0 60000 65536"/>
                              <a:gd name="T24" fmla="*/ 0 w 160401"/>
                              <a:gd name="T25" fmla="*/ 0 h 140081"/>
                              <a:gd name="T26" fmla="*/ 160401 w 160401"/>
                              <a:gd name="T27" fmla="*/ 140081 h 140081"/>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0401" h="140081">
                                <a:moveTo>
                                  <a:pt x="67564" y="0"/>
                                </a:moveTo>
                                <a:lnTo>
                                  <a:pt x="160401" y="62737"/>
                                </a:lnTo>
                                <a:lnTo>
                                  <a:pt x="123825" y="117094"/>
                                </a:lnTo>
                                <a:lnTo>
                                  <a:pt x="154686" y="137922"/>
                                </a:lnTo>
                                <a:lnTo>
                                  <a:pt x="40640" y="140081"/>
                                </a:lnTo>
                                <a:lnTo>
                                  <a:pt x="0" y="33528"/>
                                </a:lnTo>
                                <a:lnTo>
                                  <a:pt x="30861" y="54356"/>
                                </a:lnTo>
                                <a:lnTo>
                                  <a:pt x="67564" y="0"/>
                                </a:lnTo>
                                <a:close/>
                              </a:path>
                            </a:pathLst>
                          </a:custGeom>
                          <a:solidFill>
                            <a:srgbClr val="DCB3B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202" name="Shape 2681"/>
                        <wps:cNvSpPr>
                          <a:spLocks/>
                        </wps:cNvSpPr>
                        <wps:spPr bwMode="auto">
                          <a:xfrm>
                            <a:off x="4147" y="18591"/>
                            <a:ext cx="8409" cy="8409"/>
                          </a:xfrm>
                          <a:custGeom>
                            <a:avLst/>
                            <a:gdLst>
                              <a:gd name="T0" fmla="*/ 4205 w 840867"/>
                              <a:gd name="T1" fmla="*/ 0 h 840943"/>
                              <a:gd name="T2" fmla="*/ 8409 w 840867"/>
                              <a:gd name="T3" fmla="*/ 4205 h 840943"/>
                              <a:gd name="T4" fmla="*/ 4205 w 840867"/>
                              <a:gd name="T5" fmla="*/ 8409 h 840943"/>
                              <a:gd name="T6" fmla="*/ 0 w 840867"/>
                              <a:gd name="T7" fmla="*/ 4205 h 840943"/>
                              <a:gd name="T8" fmla="*/ 4205 w 840867"/>
                              <a:gd name="T9" fmla="*/ 0 h 840943"/>
                              <a:gd name="T10" fmla="*/ 0 60000 65536"/>
                              <a:gd name="T11" fmla="*/ 0 60000 65536"/>
                              <a:gd name="T12" fmla="*/ 0 60000 65536"/>
                              <a:gd name="T13" fmla="*/ 0 60000 65536"/>
                              <a:gd name="T14" fmla="*/ 0 60000 65536"/>
                              <a:gd name="T15" fmla="*/ 0 w 840867"/>
                              <a:gd name="T16" fmla="*/ 0 h 840943"/>
                              <a:gd name="T17" fmla="*/ 840867 w 840867"/>
                              <a:gd name="T18" fmla="*/ 840943 h 840943"/>
                            </a:gdLst>
                            <a:ahLst/>
                            <a:cxnLst>
                              <a:cxn ang="T10">
                                <a:pos x="T0" y="T1"/>
                              </a:cxn>
                              <a:cxn ang="T11">
                                <a:pos x="T2" y="T3"/>
                              </a:cxn>
                              <a:cxn ang="T12">
                                <a:pos x="T4" y="T5"/>
                              </a:cxn>
                              <a:cxn ang="T13">
                                <a:pos x="T6" y="T7"/>
                              </a:cxn>
                              <a:cxn ang="T14">
                                <a:pos x="T8" y="T9"/>
                              </a:cxn>
                            </a:cxnLst>
                            <a:rect l="T15" t="T16" r="T17" b="T18"/>
                            <a:pathLst>
                              <a:path w="840867" h="840943">
                                <a:moveTo>
                                  <a:pt x="420497" y="0"/>
                                </a:moveTo>
                                <a:cubicBezTo>
                                  <a:pt x="652653" y="0"/>
                                  <a:pt x="840867" y="188341"/>
                                  <a:pt x="840867" y="420498"/>
                                </a:cubicBezTo>
                                <a:cubicBezTo>
                                  <a:pt x="840867" y="652704"/>
                                  <a:pt x="652653" y="840943"/>
                                  <a:pt x="420497" y="840943"/>
                                </a:cubicBezTo>
                                <a:cubicBezTo>
                                  <a:pt x="188214" y="840943"/>
                                  <a:pt x="0" y="652704"/>
                                  <a:pt x="0" y="420498"/>
                                </a:cubicBezTo>
                                <a:cubicBezTo>
                                  <a:pt x="0" y="188341"/>
                                  <a:pt x="188214" y="0"/>
                                  <a:pt x="420497" y="0"/>
                                </a:cubicBezTo>
                                <a:close/>
                              </a:path>
                            </a:pathLst>
                          </a:custGeom>
                          <a:solidFill>
                            <a:srgbClr val="FF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203" name="Shape 2682"/>
                        <wps:cNvSpPr>
                          <a:spLocks/>
                        </wps:cNvSpPr>
                        <wps:spPr bwMode="auto">
                          <a:xfrm>
                            <a:off x="4147" y="18591"/>
                            <a:ext cx="8409" cy="8409"/>
                          </a:xfrm>
                          <a:custGeom>
                            <a:avLst/>
                            <a:gdLst>
                              <a:gd name="T0" fmla="*/ 0 w 840867"/>
                              <a:gd name="T1" fmla="*/ 4205 h 840943"/>
                              <a:gd name="T2" fmla="*/ 4205 w 840867"/>
                              <a:gd name="T3" fmla="*/ 0 h 840943"/>
                              <a:gd name="T4" fmla="*/ 8409 w 840867"/>
                              <a:gd name="T5" fmla="*/ 4205 h 840943"/>
                              <a:gd name="T6" fmla="*/ 4205 w 840867"/>
                              <a:gd name="T7" fmla="*/ 8409 h 840943"/>
                              <a:gd name="T8" fmla="*/ 0 w 840867"/>
                              <a:gd name="T9" fmla="*/ 4205 h 840943"/>
                              <a:gd name="T10" fmla="*/ 0 60000 65536"/>
                              <a:gd name="T11" fmla="*/ 0 60000 65536"/>
                              <a:gd name="T12" fmla="*/ 0 60000 65536"/>
                              <a:gd name="T13" fmla="*/ 0 60000 65536"/>
                              <a:gd name="T14" fmla="*/ 0 60000 65536"/>
                              <a:gd name="T15" fmla="*/ 0 w 840867"/>
                              <a:gd name="T16" fmla="*/ 0 h 840943"/>
                              <a:gd name="T17" fmla="*/ 840867 w 840867"/>
                              <a:gd name="T18" fmla="*/ 840943 h 840943"/>
                            </a:gdLst>
                            <a:ahLst/>
                            <a:cxnLst>
                              <a:cxn ang="T10">
                                <a:pos x="T0" y="T1"/>
                              </a:cxn>
                              <a:cxn ang="T11">
                                <a:pos x="T2" y="T3"/>
                              </a:cxn>
                              <a:cxn ang="T12">
                                <a:pos x="T4" y="T5"/>
                              </a:cxn>
                              <a:cxn ang="T13">
                                <a:pos x="T6" y="T7"/>
                              </a:cxn>
                              <a:cxn ang="T14">
                                <a:pos x="T8" y="T9"/>
                              </a:cxn>
                            </a:cxnLst>
                            <a:rect l="T15" t="T16" r="T17" b="T18"/>
                            <a:pathLst>
                              <a:path w="840867" h="840943">
                                <a:moveTo>
                                  <a:pt x="0" y="420498"/>
                                </a:moveTo>
                                <a:cubicBezTo>
                                  <a:pt x="0" y="188341"/>
                                  <a:pt x="188214" y="0"/>
                                  <a:pt x="420497" y="0"/>
                                </a:cubicBezTo>
                                <a:cubicBezTo>
                                  <a:pt x="652653" y="0"/>
                                  <a:pt x="840867" y="188341"/>
                                  <a:pt x="840867" y="420498"/>
                                </a:cubicBezTo>
                                <a:cubicBezTo>
                                  <a:pt x="840867" y="652704"/>
                                  <a:pt x="652653" y="840943"/>
                                  <a:pt x="420497" y="840943"/>
                                </a:cubicBezTo>
                                <a:cubicBezTo>
                                  <a:pt x="188214" y="840943"/>
                                  <a:pt x="0" y="652704"/>
                                  <a:pt x="0" y="420498"/>
                                </a:cubicBezTo>
                                <a:close/>
                              </a:path>
                            </a:pathLst>
                          </a:custGeom>
                          <a:noFill/>
                          <a:ln w="25400">
                            <a:solidFill>
                              <a:srgbClr val="AE48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Rectangle 2683"/>
                        <wps:cNvSpPr>
                          <a:spLocks noChangeArrowheads="1"/>
                        </wps:cNvSpPr>
                        <wps:spPr bwMode="auto">
                          <a:xfrm>
                            <a:off x="5887" y="22028"/>
                            <a:ext cx="7268"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Courageous  </w:t>
                              </w:r>
                            </w:p>
                          </w:txbxContent>
                        </wps:txbx>
                        <wps:bodyPr rot="0" vert="horz" wrap="square" lIns="0" tIns="0" rIns="0" bIns="0" anchor="t" anchorCtr="0" upright="1">
                          <a:noAutofit/>
                        </wps:bodyPr>
                      </wps:wsp>
                      <wps:wsp>
                        <wps:cNvPr id="2205" name="Rectangle 2684"/>
                        <wps:cNvSpPr>
                          <a:spLocks noChangeArrowheads="1"/>
                        </wps:cNvSpPr>
                        <wps:spPr bwMode="auto">
                          <a:xfrm>
                            <a:off x="5659" y="22988"/>
                            <a:ext cx="7509"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&amp; Respectful </w:t>
                              </w:r>
                            </w:p>
                          </w:txbxContent>
                        </wps:txbx>
                        <wps:bodyPr rot="0" vert="horz" wrap="square" lIns="0" tIns="0" rIns="0" bIns="0" anchor="t" anchorCtr="0" upright="1">
                          <a:noAutofit/>
                        </wps:bodyPr>
                      </wps:wsp>
                      <wps:wsp>
                        <wps:cNvPr id="2206" name="Shape 2685"/>
                        <wps:cNvSpPr>
                          <a:spLocks/>
                        </wps:cNvSpPr>
                        <wps:spPr bwMode="auto">
                          <a:xfrm>
                            <a:off x="8845" y="12139"/>
                            <a:ext cx="1534" cy="1776"/>
                          </a:xfrm>
                          <a:custGeom>
                            <a:avLst/>
                            <a:gdLst>
                              <a:gd name="T0" fmla="*/ 969 w 153416"/>
                              <a:gd name="T1" fmla="*/ 0 h 177546"/>
                              <a:gd name="T2" fmla="*/ 853 w 153416"/>
                              <a:gd name="T3" fmla="*/ 356 h 177546"/>
                              <a:gd name="T4" fmla="*/ 1534 w 153416"/>
                              <a:gd name="T5" fmla="*/ 577 h 177546"/>
                              <a:gd name="T6" fmla="*/ 1187 w 153416"/>
                              <a:gd name="T7" fmla="*/ 1643 h 177546"/>
                              <a:gd name="T8" fmla="*/ 508 w 153416"/>
                              <a:gd name="T9" fmla="*/ 1422 h 177546"/>
                              <a:gd name="T10" fmla="*/ 392 w 153416"/>
                              <a:gd name="T11" fmla="*/ 1776 h 177546"/>
                              <a:gd name="T12" fmla="*/ 0 w 153416"/>
                              <a:gd name="T13" fmla="*/ 667 h 177546"/>
                              <a:gd name="T14" fmla="*/ 969 w 153416"/>
                              <a:gd name="T15" fmla="*/ 0 h 177546"/>
                              <a:gd name="T16" fmla="*/ 0 60000 65536"/>
                              <a:gd name="T17" fmla="*/ 0 60000 65536"/>
                              <a:gd name="T18" fmla="*/ 0 60000 65536"/>
                              <a:gd name="T19" fmla="*/ 0 60000 65536"/>
                              <a:gd name="T20" fmla="*/ 0 60000 65536"/>
                              <a:gd name="T21" fmla="*/ 0 60000 65536"/>
                              <a:gd name="T22" fmla="*/ 0 60000 65536"/>
                              <a:gd name="T23" fmla="*/ 0 60000 65536"/>
                              <a:gd name="T24" fmla="*/ 0 w 153416"/>
                              <a:gd name="T25" fmla="*/ 0 h 177546"/>
                              <a:gd name="T26" fmla="*/ 153416 w 153416"/>
                              <a:gd name="T27" fmla="*/ 177546 h 17754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53416" h="177546">
                                <a:moveTo>
                                  <a:pt x="96901" y="0"/>
                                </a:moveTo>
                                <a:lnTo>
                                  <a:pt x="85344" y="35560"/>
                                </a:lnTo>
                                <a:lnTo>
                                  <a:pt x="153416" y="57658"/>
                                </a:lnTo>
                                <a:lnTo>
                                  <a:pt x="118745" y="164211"/>
                                </a:lnTo>
                                <a:lnTo>
                                  <a:pt x="50800" y="142113"/>
                                </a:lnTo>
                                <a:lnTo>
                                  <a:pt x="39243" y="177546"/>
                                </a:lnTo>
                                <a:lnTo>
                                  <a:pt x="0" y="66675"/>
                                </a:lnTo>
                                <a:lnTo>
                                  <a:pt x="96901" y="0"/>
                                </a:lnTo>
                                <a:close/>
                              </a:path>
                            </a:pathLst>
                          </a:custGeom>
                          <a:solidFill>
                            <a:srgbClr val="DCB3B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207" name="Shape 2687"/>
                        <wps:cNvSpPr>
                          <a:spLocks/>
                        </wps:cNvSpPr>
                        <wps:spPr bwMode="auto">
                          <a:xfrm>
                            <a:off x="0" y="7094"/>
                            <a:ext cx="8409" cy="8408"/>
                          </a:xfrm>
                          <a:custGeom>
                            <a:avLst/>
                            <a:gdLst>
                              <a:gd name="T0" fmla="*/ 0 w 840994"/>
                              <a:gd name="T1" fmla="*/ 4205 h 840867"/>
                              <a:gd name="T2" fmla="*/ 4205 w 840994"/>
                              <a:gd name="T3" fmla="*/ 0 h 840867"/>
                              <a:gd name="T4" fmla="*/ 8409 w 840994"/>
                              <a:gd name="T5" fmla="*/ 4205 h 840867"/>
                              <a:gd name="T6" fmla="*/ 4205 w 840994"/>
                              <a:gd name="T7" fmla="*/ 8408 h 840867"/>
                              <a:gd name="T8" fmla="*/ 0 w 840994"/>
                              <a:gd name="T9" fmla="*/ 4205 h 840867"/>
                              <a:gd name="T10" fmla="*/ 0 60000 65536"/>
                              <a:gd name="T11" fmla="*/ 0 60000 65536"/>
                              <a:gd name="T12" fmla="*/ 0 60000 65536"/>
                              <a:gd name="T13" fmla="*/ 0 60000 65536"/>
                              <a:gd name="T14" fmla="*/ 0 60000 65536"/>
                              <a:gd name="T15" fmla="*/ 0 w 840994"/>
                              <a:gd name="T16" fmla="*/ 0 h 840867"/>
                              <a:gd name="T17" fmla="*/ 840994 w 840994"/>
                              <a:gd name="T18" fmla="*/ 840867 h 840867"/>
                            </a:gdLst>
                            <a:ahLst/>
                            <a:cxnLst>
                              <a:cxn ang="T10">
                                <a:pos x="T0" y="T1"/>
                              </a:cxn>
                              <a:cxn ang="T11">
                                <a:pos x="T2" y="T3"/>
                              </a:cxn>
                              <a:cxn ang="T12">
                                <a:pos x="T4" y="T5"/>
                              </a:cxn>
                              <a:cxn ang="T13">
                                <a:pos x="T6" y="T7"/>
                              </a:cxn>
                              <a:cxn ang="T14">
                                <a:pos x="T8" y="T9"/>
                              </a:cxn>
                            </a:cxnLst>
                            <a:rect l="T15" t="T16" r="T17" b="T18"/>
                            <a:pathLst>
                              <a:path w="840994" h="840867">
                                <a:moveTo>
                                  <a:pt x="0" y="420497"/>
                                </a:moveTo>
                                <a:cubicBezTo>
                                  <a:pt x="0" y="188213"/>
                                  <a:pt x="188341" y="0"/>
                                  <a:pt x="420497" y="0"/>
                                </a:cubicBezTo>
                                <a:cubicBezTo>
                                  <a:pt x="652780" y="0"/>
                                  <a:pt x="840994" y="188213"/>
                                  <a:pt x="840994" y="420497"/>
                                </a:cubicBezTo>
                                <a:cubicBezTo>
                                  <a:pt x="840994" y="652653"/>
                                  <a:pt x="652780" y="840867"/>
                                  <a:pt x="420497" y="840867"/>
                                </a:cubicBezTo>
                                <a:cubicBezTo>
                                  <a:pt x="188341" y="840867"/>
                                  <a:pt x="0" y="652653"/>
                                  <a:pt x="0" y="420497"/>
                                </a:cubicBezTo>
                                <a:close/>
                              </a:path>
                            </a:pathLst>
                          </a:custGeom>
                          <a:noFill/>
                          <a:ln w="25400">
                            <a:solidFill>
                              <a:srgbClr val="AE484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40" name="Rectangle 2688"/>
                        <wps:cNvSpPr>
                          <a:spLocks noChangeArrowheads="1"/>
                        </wps:cNvSpPr>
                        <wps:spPr bwMode="auto">
                          <a:xfrm>
                            <a:off x="1816" y="10527"/>
                            <a:ext cx="6680"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Arial" w:eastAsia="Arial" w:hAnsi="Arial" w:cs="Arial"/>
                                  <w:b/>
                                  <w:sz w:val="12"/>
                                </w:rPr>
                                <w:t>Engaged  &amp;</w:t>
                              </w:r>
                              <w:proofErr w:type="gramEnd"/>
                            </w:p>
                          </w:txbxContent>
                        </wps:txbx>
                        <wps:bodyPr rot="0" vert="horz" wrap="square" lIns="0" tIns="0" rIns="0" bIns="0" anchor="t" anchorCtr="0" upright="1">
                          <a:noAutofit/>
                        </wps:bodyPr>
                      </wps:wsp>
                      <wps:wsp>
                        <wps:cNvPr id="60641" name="Rectangle 2689"/>
                        <wps:cNvSpPr>
                          <a:spLocks noChangeArrowheads="1"/>
                        </wps:cNvSpPr>
                        <wps:spPr bwMode="auto">
                          <a:xfrm>
                            <a:off x="2517" y="11487"/>
                            <a:ext cx="5178"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Arial" w:eastAsia="Arial" w:hAnsi="Arial" w:cs="Arial"/>
                                  <w:b/>
                                  <w:sz w:val="12"/>
                                </w:rPr>
                                <w:t xml:space="preserve">Inspired  </w:t>
                              </w:r>
                            </w:p>
                          </w:txbxContent>
                        </wps:txbx>
                        <wps:bodyPr rot="0" vert="horz" wrap="square" lIns="0" tIns="0" rIns="0" bIns="0" anchor="t" anchorCtr="0" upright="1">
                          <a:noAutofit/>
                        </wps:bodyPr>
                      </wps:wsp>
                    </wpg:wgp>
                  </a:graphicData>
                </a:graphic>
              </wp:inline>
            </w:drawing>
          </mc:Choice>
          <mc:Fallback>
            <w:pict>
              <v:group id="Group 60500" o:spid="_x0000_s1047" style="width:329.1pt;height:215.5pt;mso-position-horizontal-relative:char;mso-position-vertical-relative:line" coordsize="41796,2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">
                <v:rect id="Rectangle 2632" o:spid="_x0000_s1048" style="position:absolute;left:41415;top:2568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FKMcA&#10;AADdAAAADwAAAGRycy9kb3ducmV2LnhtbESPQWvCQBSE7wX/w/KE3upGCyVG1xC0JTm2Kqi3R/aZ&#10;BLNvQ3Zr0v76bqHQ4zAz3zDrdDStuFPvGssK5rMIBHFpdcOVguPh7SkG4TyyxtYyKfgiB+lm8rDG&#10;RNuBP+i+95UIEHYJKqi97xIpXVmTQTezHXHwrrY36IPsK6l7HALctHIRRS/SYMNhocaOtjWVt/2n&#10;UZDHXXYu7PdQta+X/PR+Wu4OS6/U43TMViA8jf4//NcutILFPH6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hRSjHAAAA3QAAAA8AAAAAAAAAAAAAAAAAmAIAAGRy&#10;cy9kb3ducmV2LnhtbFBLBQYAAAAABAAEAPUAAACMAwAAAAA=&#10;" filled="f" stroked="f">
                  <v:textbox inset="0,0,0,0">
                    <w:txbxContent>
                      <w:p w:rsidR="0050212E" w:rsidRDefault="0050212E">
                        <w:pPr>
                          <w:spacing w:line="276" w:lineRule="auto"/>
                          <w:ind w:left="0" w:firstLine="0"/>
                          <w:jc w:val="left"/>
                        </w:pPr>
                      </w:p>
                    </w:txbxContent>
                  </v:textbox>
                </v:rect>
                <v:shape id="Shape 2662" o:spid="_x0000_s1049" style="position:absolute;left:10607;top:11108;width:6727;height:6727;visibility:visible;mso-wrap-style:square;v-text-anchor:top" coordsize="672719,672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hHPMYA&#10;AADdAAAADwAAAGRycy9kb3ducmV2LnhtbESPzWrDMBCE74W+g9hCbo0cE1LHtRKSQElubX7q82Jt&#10;ZVNrZSzVcd6+KhRyHGbmG6ZYj7YVA/W+caxgNk1AEFdON2wUXM5vzxkIH5A1to5JwY08rFePDwXm&#10;2l35SMMpGBEh7HNUUIfQ5VL6qiaLfuo64uh9ud5iiLI3Uvd4jXDbyjRJFtJiw3Ghxo52NVXfpx+r&#10;YHvcZ+bwuS3fF2yGpbyUH8NLqtTkady8ggg0hnv4v33QCtJZNoe/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hHPMYAAADdAAAADwAAAAAAAAAAAAAAAACYAgAAZHJz&#10;L2Rvd25yZXYueG1sUEsFBgAAAAAEAAQA9QAAAIsDAAAAAA==&#10;" path="m,336296c,150495,150622,,336296,,522097,,672719,150495,672719,336296v,185801,-150622,336423,-336423,336423c150622,672719,,522097,,336296xe" filled="f" strokecolor="#ae4845" strokeweight="2pt">
                  <v:path arrowok="t" o:connecttype="custom" o:connectlocs="0,34;34,0;67,34;34,67;0,34" o:connectangles="0,0,0,0,0" textboxrect="0,0,672719,672719"/>
                </v:shape>
                <v:rect id="Rectangle 2663" o:spid="_x0000_s1050" style="position:absolute;left:11794;top:13713;width:5777;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R4x8cA&#10;AADdAAAADwAAAGRycy9kb3ducmV2LnhtbESPQWvCQBSE7wX/w/KE3upGoSVG1xC0JTm2Kqi3R/aZ&#10;BLNvQ3Zr0v76bqHQ4zAz3zDrdDStuFPvGssK5rMIBHFpdcOVguPh7SkG4TyyxtYyKfgiB+lm8rDG&#10;RNuBP+i+95UIEHYJKqi97xIpXVmTQTezHXHwrrY36IPsK6l7HALctHIRRS/SYMNhocaOtjWVt/2n&#10;UZDHXXYu7PdQta+X/PR+Wu4OS6/U43TMViA8jf4//NcutILFPH6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EeMf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6"/>
                          </w:rPr>
                          <w:t xml:space="preserve">Values </w:t>
                        </w:r>
                      </w:p>
                    </w:txbxContent>
                  </v:textbox>
                </v:rect>
                <v:shape id="Shape 2664" o:spid="_x0000_s1051" style="position:absolute;left:13036;top:9083;width:1867;height:1431;visibility:visible;mso-wrap-style:square;v-text-anchor:top" coordsize="186690,14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NtscA&#10;AADdAAAADwAAAGRycy9kb3ducmV2LnhtbESPT2vCQBTE70K/w/IK3nSjh2BTNyItxRyqbVMRvD2y&#10;L39o9m3IbmP89t2C4HGYmd8w681oWjFQ7xrLChbzCARxYXXDlYLj99tsBcJ5ZI2tZVJwJQeb9GGy&#10;xkTbC3/RkPtKBAi7BBXU3neJlK6oyaCb2444eKXtDfog+0rqHi8Bblq5jKJYGmw4LNTY0UtNxU/+&#10;axRk+rX0n8OHue6z3en9cN7H7eFJqenjuH0G4Wn09/CtnWkFy8Uqhv834Qn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XTbbHAAAA3QAAAA8AAAAAAAAAAAAAAAAAmAIAAGRy&#10;cy9kb3ducmV2LnhtbFBLBQYAAAAABAAEAPUAAACMAwAAAAA=&#10;" path="m93345,r93345,71628l149352,71628r,71501l37338,143129r,-71501l,71628,93345,xe" fillcolor="#dcb3b2" stroked="f" strokeweight="0">
                  <v:path arrowok="t" o:connecttype="custom" o:connectlocs="9,0;19,7;15,7;15,14;4,14;4,7;0,7;9,0" o:connectangles="0,0,0,0,0,0,0,0" textboxrect="0,0,186690,143129"/>
                </v:shape>
                <v:shape id="Shape 2666" o:spid="_x0000_s1052" style="position:absolute;left:9766;width:8408;height:8408;visibility:visible;mso-wrap-style:square;v-text-anchor:top" coordsize="840867,840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gHsYA&#10;AADdAAAADwAAAGRycy9kb3ducmV2LnhtbESPT2vCQBTE7wW/w/IK3urGWKKkWUWkSg+FYrQ9P7Iv&#10;fzD7NuxuNX77bqHQ4zAzv2GKzWh6cSXnO8sK5rMEBHFldceNgvNp/7QC4QOyxt4yKbiTh8168lBg&#10;ru2Nj3QtQyMihH2OCtoQhlxKX7Vk0M/sQBy92jqDIUrXSO3wFuGml2mSZNJgx3GhxYF2LVWX8tso&#10;WHzU8nB5fu/GdCtf3afPvvYhU2r6OG5fQAQaw3/4r/2mFaTz1RJ+38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CgHsYAAADdAAAADwAAAAAAAAAAAAAAAACYAgAAZHJz&#10;L2Rvd25yZXYueG1sUEsFBgAAAAAEAAQA9QAAAIsDAAAAAA==&#10;" path="m,420370c,188213,188214,,420370,,652653,,840867,188213,840867,420370v,232282,-188214,420497,-420497,420497c188214,840867,,652652,,420370xe" filled="f" strokecolor="#ae4845" strokeweight="2pt">
                  <v:path arrowok="t" o:connecttype="custom" o:connectlocs="0,42;42,0;84,42;42,84;0,42" o:connectangles="0,0,0,0,0" textboxrect="0,0,840867,840867"/>
                </v:shape>
                <v:rect id="Rectangle 2667" o:spid="_x0000_s1053" style="position:absolute;left:11169;top:3917;width:7462;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XWcMA&#10;AADdAAAADwAAAGRycy9kb3ducmV2LnhtbERPy4rCMBTdC/5DuMLsNNWF1GpaxAe6nFFB3V2aO22Z&#10;5qY00Xbm6ycLweXhvFdZb2rxpNZVlhVMJxEI4tzqigsFl/N+HINwHlljbZkU/JKDLB0OVpho2/EX&#10;PU++ECGEXYIKSu+bREqXl2TQTWxDHLhv2xr0AbaF1C12IdzUchZFc2mw4tBQYkObkvKf08MoOMTN&#10;+na0f11R7+6H6+d1sT0vvFIfo369BOGp92/xy33UCmbTOMwNb8IT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XXWcMAAADdAAAADwAAAAAAAAAAAAAAAACYAgAAZHJzL2Rv&#10;d25yZXYueG1sUEsFBgAAAAAEAAQA9QAAAIgDAAAAAA==&#10;" filled="f" stroked="f">
                  <v:textbox inset="0,0,0,0">
                    <w:txbxContent>
                      <w:p w:rsidR="0050212E" w:rsidRDefault="0050212E">
                        <w:pPr>
                          <w:spacing w:line="276" w:lineRule="auto"/>
                          <w:ind w:left="0" w:firstLine="0"/>
                          <w:jc w:val="left"/>
                        </w:pPr>
                        <w:r>
                          <w:rPr>
                            <w:rFonts w:ascii="Arial" w:eastAsia="Arial" w:hAnsi="Arial" w:cs="Arial"/>
                            <w:b/>
                            <w:sz w:val="12"/>
                          </w:rPr>
                          <w:t xml:space="preserve">Result Driven </w:t>
                        </w:r>
                      </w:p>
                    </w:txbxContent>
                  </v:textbox>
                </v:rect>
                <v:shape id="Shape 2668" o:spid="_x0000_s1054" style="position:absolute;left:17561;top:12139;width:1533;height:1776;visibility:visible;mso-wrap-style:square;v-text-anchor:top" coordsize="153289,177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c98YA&#10;AADdAAAADwAAAGRycy9kb3ducmV2LnhtbESPT2vCQBTE74LfYXmCN90opWjqKv6hYLVUGnuot0f2&#10;mQSzb0N21fjtXUHwOMzMb5jJrDGluFDtCssKBv0IBHFqdcGZgr/9Z28EwnlkjaVlUnAjB7NpuzXB&#10;WNsr/9Il8ZkIEHYxKsi9r2IpXZqTQde3FXHwjrY26IOsM6lrvAa4KeUwit6lwYLDQo4VLXNKT8nZ&#10;KDA73H79rP5T/818eNsvlpv1LVGq22nmHyA8Nf4VfrbXWsFwMBrD4014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Xc98YAAADdAAAADwAAAAAAAAAAAAAAAACYAgAAZHJz&#10;L2Rvd25yZXYueG1sUEsFBgAAAAAEAAQA9QAAAIsDAAAAAA==&#10;" path="m56515,r96774,66675l114173,177546,102616,142113,34544,164211,,57658,67945,35560,56515,xe" fillcolor="#dcb3b2" stroked="f" strokeweight="0">
                  <v:path arrowok="t" o:connecttype="custom" o:connectlocs="6,0;15,7;11,18;10,14;3,16;0,6;7,4;6,0" o:connectangles="0,0,0,0,0,0,0,0" textboxrect="0,0,153289,177546"/>
                </v:shape>
                <v:shape id="Shape 2670" o:spid="_x0000_s1055" style="position:absolute;left:19531;top:7094;width:8409;height:8408;visibility:visible;mso-wrap-style:square;v-text-anchor:top" coordsize="840867,840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ut8MA&#10;AADdAAAADwAAAGRycy9kb3ducmV2LnhtbERPz2vCMBS+D/wfwhO8zbTdKLMzliJWPAzG3Nz50Tzb&#10;YvNSkkzrf78cBjt+fL/X5WQGcSXne8sK0mUCgrixuudWwddn/fgCwgdkjYNlUnAnD+Vm9rDGQtsb&#10;f9D1GFoRQ9gXqKALYSyk9E1HBv3SjsSRO1tnMEToWqkd3mK4GWSWJLk02HNs6HCkbUfN5fhjFDy9&#10;n+X+8vzWT1kld+7k8+865Eot5lP1CiLQFP7Ff+6DVpClq7g/vo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Cut8MAAADdAAAADwAAAAAAAAAAAAAAAACYAgAAZHJzL2Rv&#10;d25yZXYueG1sUEsFBgAAAAAEAAQA9QAAAIgDAAAAAA==&#10;" path="m,420497c,188213,188214,,420370,,652653,,840867,188213,840867,420497v,232156,-188214,420370,-420497,420370c188214,840867,,652653,,420497xe" filled="f" strokecolor="#ae4845" strokeweight="2pt">
                  <v:path arrowok="t" o:connecttype="custom" o:connectlocs="0,42;42,0;84,42;42,84;0,42" o:connectangles="0,0,0,0,0" textboxrect="0,0,840867,840867"/>
                </v:shape>
                <v:rect id="Rectangle 2671" o:spid="_x0000_s1056" style="position:absolute;left:21136;top:10046;width:7269;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oGcYA&#10;AADdAAAADwAAAGRycy9kb3ducmV2LnhtbESPQWvCQBSE7wX/w/IKvdVNPJQkZiNSW/RojaDeHtnX&#10;JDT7NmS3JvXXdwsFj8PMfMPkq8l04kqDay0riOcRCOLK6pZrBcfy/TkB4Tyyxs4yKfghB6ti9pBj&#10;pu3IH3Q9+FoECLsMFTTe95mUrmrIoJvbnjh4n3Yw6IMcaqkHHAPcdHIRRS/SYMthocGeXhuqvg7f&#10;RsE26dfnnb2Ndfd22Z72p3RTpl6pp8dpvQThafL38H97pxUs4jSGvzfhCc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boGcYAAADd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2"/>
                          </w:rPr>
                          <w:t xml:space="preserve">Accountable </w:t>
                        </w:r>
                      </w:p>
                    </w:txbxContent>
                  </v:textbox>
                </v:rect>
                <v:rect id="Rectangle 2672" o:spid="_x0000_s1057" style="position:absolute;left:23407;top:11006;width:1229;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R2bsYA&#10;AADdAAAADwAAAGRycy9kb3ducmV2LnhtbESPQWvCQBSE7wX/w/KE3uomOZQkuopoSzxaU7DeHtnX&#10;JDT7NmS3JvXXdwsFj8PMfMOsNpPpxJUG11pWEC8iEMSV1S3XCt7L16cUhPPIGjvLpOCHHGzWs4cV&#10;5tqO/EbXk69FgLDLUUHjfZ9L6aqGDLqF7YmD92kHgz7IoZZ6wDHATSeTKHqWBlsOCw32tGuo+jp9&#10;GwVF2m8/DvY21t3LpTgfz9m+zLxSj/NpuwThafL38H/7oBUkcZbA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R2bsYAAADd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2"/>
                          </w:rPr>
                          <w:t>&amp;</w:t>
                        </w:r>
                      </w:p>
                    </w:txbxContent>
                  </v:textbox>
                </v:rect>
                <v:rect id="Rectangle 2673" o:spid="_x0000_s1058" style="position:absolute;left:21212;top:11981;width:70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T9ccA&#10;AADdAAAADwAAAGRycy9kb3ducmV2LnhtbESPQWvCQBSE7wX/w/KE3upGC8VE1xC0RY+tEaK3R/aZ&#10;BLNvQ3Zr0v76bqHQ4zAz3zDrdDStuFPvGssK5rMIBHFpdcOVglP+9rQE4TyyxtYyKfgiB+lm8rDG&#10;RNuBP+h+9JUIEHYJKqi97xIpXVmTQTezHXHwrrY36IPsK6l7HALctHIRRS/SYMNhocaOtjWVt+On&#10;UbBfdtn5YL+Hqn297Iv3It7lsVfqcTpmKxCeRv8f/msftILFPH6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40/XHAAAA3QAAAA8AAAAAAAAAAAAAAAAAmAIAAGRy&#10;cy9kb3ducmV2LnhtbFBLBQYAAAAABAAEAPUAAACMAwAAAAA=&#10;" filled="f" stroked="f">
                  <v:textbox inset="0,0,0,0">
                    <w:txbxContent>
                      <w:p w:rsidR="0050212E" w:rsidRDefault="0050212E">
                        <w:pPr>
                          <w:spacing w:line="276" w:lineRule="auto"/>
                          <w:ind w:left="0" w:firstLine="0"/>
                          <w:jc w:val="left"/>
                        </w:pPr>
                        <w:r>
                          <w:rPr>
                            <w:rFonts w:ascii="Arial" w:eastAsia="Arial" w:hAnsi="Arial" w:cs="Arial"/>
                            <w:b/>
                            <w:sz w:val="12"/>
                          </w:rPr>
                          <w:t xml:space="preserve">Transparent </w:t>
                        </w:r>
                      </w:p>
                    </w:txbxContent>
                  </v:textbox>
                </v:rect>
                <v:shape id="Shape 2674" o:spid="_x0000_s1059" style="position:absolute;left:15843;top:17344;width:1629;height:1487;visibility:visible;mso-wrap-style:square;v-text-anchor:top" coordsize="162941,148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HX8YA&#10;AADdAAAADwAAAGRycy9kb3ducmV2LnhtbESPQWvCQBSE74L/YXmF3urGILaNrqIRoQoFq4LXR/aZ&#10;hGbfht1tTP+9Wyh4HGbmG2a+7E0jOnK+tqxgPEpAEBdW11wqOJ+2L28gfEDW2FgmBb/kYbkYDuaY&#10;aXvjL+qOoRQRwj5DBVUIbSalLyoy6Ee2JY7e1TqDIUpXSu3wFuGmkWmSTKXBmuNChS3lFRXfxx+j&#10;4DXfb1btofjsdvu1u14O6TTfpko9P/WrGYhAfXiE/9sfWkE6fp/A35v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gHX8YAAADdAAAADwAAAAAAAAAAAAAAAACYAgAAZHJz&#10;L2Rvd25yZXYueG1sUEsFBgAAAAAEAAQA9QAAAIsDAAAAAA==&#10;" path="m90678,r42037,57913l162941,35941,129413,148717,11811,145669,42037,123698,,65787,90678,xe" fillcolor="#dcb3b2" stroked="f" strokeweight="0">
                  <v:path arrowok="t" o:connecttype="custom" o:connectlocs="9,0;13,6;16,4;13,15;1,15;4,12;0,7;9,0" o:connectangles="0,0,0,0,0,0,0,0" textboxrect="0,0,162941,148717"/>
                </v:shape>
                <v:shape id="Shape 2675" o:spid="_x0000_s1060" style="position:absolute;left:15801;top:18573;width:8409;height:8410;visibility:visible;mso-wrap-style:square;v-text-anchor:top" coordsize="840867,840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FhW8UA&#10;AADdAAAADwAAAGRycy9kb3ducmV2LnhtbESPQWsCMRSE74L/ITyhN80qVHQ1ihUKvZTitorH5+bt&#10;ZnHzsiSpbv99Uyh4HGbmG2a97W0rbuRD41jBdJKBIC6dbrhW8PX5Ol6ACBFZY+uYFPxQgO1mOFhj&#10;rt2dD3QrYi0ShEOOCkyMXS5lKA1ZDBPXESevct5iTNLXUnu8J7ht5SzL5tJiw2nBYEd7Q+W1+LYK&#10;Xt5jdfTF/liZ63l+qQo+HT5YqadRv1uBiNTHR/i//aYVzKbLZ/h7k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WFbxQAAAN0AAAAPAAAAAAAAAAAAAAAAAJgCAABkcnMv&#10;ZG93bnJldi54bWxQSwUGAAAAAAQABAD1AAAAigMAAAAA&#10;" path="m420370,c652653,,840867,188340,840867,420497v,232207,-188214,420445,-420497,420445c188214,840942,,652704,,420497,,188340,188214,,420370,xe" stroked="f" strokeweight="0">
                  <v:path arrowok="t" o:connecttype="custom" o:connectlocs="42,0;84,42;42,84;0,42;42,0" o:connectangles="0,0,0,0,0" textboxrect="0,0,840867,840942"/>
                </v:shape>
                <v:shape id="Shape 2676" o:spid="_x0000_s1061" style="position:absolute;left:15801;top:18573;width:8409;height:8410;visibility:visible;mso-wrap-style:square;v-text-anchor:top" coordsize="840867,840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j+8YA&#10;AADdAAAADwAAAGRycy9kb3ducmV2LnhtbESPQWvCQBSE7wX/w/IK3uomItJGVymCoOClUcHj6+4z&#10;CWbfhuwao7++Kwg9DjPzDTNf9rYWHbW+cqwgHSUgiLUzFRcKDvv1xycIH5AN1o5JwZ08LBeDtzlm&#10;xt34h7o8FCJC2GeooAyhyaT0uiSLfuQa4uidXWsxRNkW0rR4i3Bby3GSTKXFiuNCiQ2tStKX/GoV&#10;6N3jdD/mp9X20v3m6X490butU2r43n/PQATqw3/41d4YBeP0awrPN/E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j+8YAAADdAAAADwAAAAAAAAAAAAAAAACYAgAAZHJz&#10;L2Rvd25yZXYueG1sUEsFBgAAAAAEAAQA9QAAAIsDAAAAAA==&#10;" path="m,420497c,188340,188214,,420370,,652653,,840867,188340,840867,420497v,232207,-188214,420445,-420497,420445c188214,840942,,652704,,420497xe" filled="f" strokecolor="#ae4845" strokeweight="2pt">
                  <v:path arrowok="t" o:connecttype="custom" o:connectlocs="0,42;42,0;84,42;42,84;0,42" o:connectangles="0,0,0,0,0" textboxrect="0,0,840867,840942"/>
                </v:shape>
                <v:rect id="Rectangle 2677" o:spid="_x0000_s1062" style="position:absolute;left:17619;top:21525;width:6680;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BhMQA&#10;AADdAAAADwAAAGRycy9kb3ducmV2LnhtbERPTWuDQBC9F/Iflin01qzJIajNKqFpicfUFNLeBneq&#10;UndW3I3a/PruIZDj431v89l0YqTBtZYVrJYRCOLK6pZrBZ+n9+cYhPPIGjvLpOCPHOTZ4mGLqbYT&#10;f9BY+lqEEHYpKmi871MpXdWQQbe0PXHgfuxg0Ac41FIPOIVw08l1FG2kwZZDQ4M9vTZU/ZYXo+AQ&#10;97uvwl6nunv7PpyP52R/SrxST4/z7gWEp9nfxTd3oRWsV0mYG96EJ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QYTEAAAA3QAAAA8AAAAAAAAAAAAAAAAAmAIAAGRycy9k&#10;b3ducmV2LnhtbFBLBQYAAAAABAAEAPUAAACJAwAAAAA=&#10;" filled="f" stroked="f">
                  <v:textbox inset="0,0,0,0">
                    <w:txbxContent>
                      <w:p w:rsidR="0050212E" w:rsidRDefault="0050212E">
                        <w:pPr>
                          <w:spacing w:line="276" w:lineRule="auto"/>
                          <w:ind w:left="0" w:firstLine="0"/>
                          <w:jc w:val="left"/>
                        </w:pPr>
                        <w:r>
                          <w:rPr>
                            <w:rFonts w:ascii="Arial" w:eastAsia="Arial" w:hAnsi="Arial" w:cs="Arial"/>
                            <w:b/>
                            <w:sz w:val="12"/>
                          </w:rPr>
                          <w:t xml:space="preserve">Focused on </w:t>
                        </w:r>
                      </w:p>
                    </w:txbxContent>
                  </v:textbox>
                </v:rect>
                <v:rect id="Rectangle 2678" o:spid="_x0000_s1063" style="position:absolute;left:18000;top:22483;width:5668;height:1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DkH8YA&#10;AADdAAAADwAAAGRycy9kb3ducmV2LnhtbESPQWvCQBSE74X+h+UJ3uomHkoSXSXYFj1aU7DeHtln&#10;Esy+Ddmtif76bqHgcZiZb5jlejStuFLvGssK4lkEgri0uuFKwVfx8ZKAcB5ZY2uZFNzIwXr1/LTE&#10;TNuBP+l68JUIEHYZKqi97zIpXVmTQTezHXHwzrY36IPsK6l7HALctHIeRa/SYMNhocaONjWVl8OP&#10;UbBNuvx7Z+9D1b6ftsf9MX0rUq/UdDLmCxCeRv8I/7d3WsE8Tl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DkH8YAAADd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2"/>
                          </w:rPr>
                          <w:t xml:space="preserve">Customer </w:t>
                        </w:r>
                      </w:p>
                    </w:txbxContent>
                  </v:textbox>
                </v:rect>
                <v:rect id="Rectangle 2679" o:spid="_x0000_s1064" style="position:absolute;left:18534;top:23463;width:3934;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5ecUA&#10;AADdAAAADwAAAGRycy9kb3ducmV2LnhtbESPS4vCQBCE7wv+h6EXvK2T9bBo1jEEH+jRF7jemkyb&#10;BDM9ITNror/eEQSPRVV9RU2SzlTiSo0rLSv4HkQgiDOrS84VHPbLrxEI55E1VpZJwY0cJNPexwRj&#10;bVve0nXncxEg7GJUUHhfx1K6rCCDbmBr4uCdbWPQB9nkUjfYBrip5DCKfqTBksNCgTXNCsouu3+j&#10;YDWq07+1vbd5tTitjpvjeL4fe6X6n136C8JT59/hV3utFQwDEp5vw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bl5xQAAAN0AAAAPAAAAAAAAAAAAAAAAAJgCAABkcnMv&#10;ZG93bnJldi54bWxQSwUGAAAAAAQABAD1AAAAigMAAAAA&#10;" filled="f" stroked="f">
                  <v:textbox inset="0,0,0,0">
                    <w:txbxContent>
                      <w:p w:rsidR="0050212E" w:rsidRDefault="0050212E">
                        <w:pPr>
                          <w:spacing w:line="276" w:lineRule="auto"/>
                          <w:ind w:left="0" w:firstLine="0"/>
                          <w:jc w:val="left"/>
                        </w:pPr>
                        <w:r>
                          <w:rPr>
                            <w:rFonts w:ascii="Arial" w:eastAsia="Arial" w:hAnsi="Arial" w:cs="Arial"/>
                            <w:b/>
                            <w:sz w:val="12"/>
                          </w:rPr>
                          <w:t xml:space="preserve">Delight </w:t>
                        </w:r>
                      </w:p>
                    </w:txbxContent>
                  </v:textbox>
                </v:rect>
                <v:shape id="Shape 2680" o:spid="_x0000_s1065" style="position:absolute;left:10643;top:17397;width:1604;height:1401;visibility:visible;mso-wrap-style:square;v-text-anchor:top" coordsize="160401,140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bEcYA&#10;AADdAAAADwAAAGRycy9kb3ducmV2LnhtbESPQWvCQBSE70L/w/IKvemuOZSQuooWWjykhWoRvD2z&#10;zySYfRt2tyb9992C4HGYmW+YxWq0nbiSD61jDfOZAkFcOdNyreF7/zbNQYSIbLBzTBp+KcBq+TBZ&#10;YGHcwF903cVaJAiHAjU0MfaFlKFqyGKYuZ44eWfnLcYkfS2NxyHBbSczpZ6lxZbTQoM9vTZUXXY/&#10;VsPJfxy36lCO77nflJ9DlffrrNT66XFcv4CINMZ7+NbeGg1Zpubw/yY9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gbEcYAAADdAAAADwAAAAAAAAAAAAAAAACYAgAAZHJz&#10;L2Rvd25yZXYueG1sUEsFBgAAAAAEAAQA9QAAAIsDAAAAAA==&#10;" path="m67564,r92837,62737l123825,117094r30861,20828l40640,140081,,33528,30861,54356,67564,xe" fillcolor="#dcb3b2" stroked="f" strokeweight="0">
                  <v:path arrowok="t" o:connecttype="custom" o:connectlocs="7,0;16,6;12,12;15,14;4,14;0,3;3,5;7,0" o:connectangles="0,0,0,0,0,0,0,0" textboxrect="0,0,160401,140081"/>
                </v:shape>
                <v:shape id="Shape 2681" o:spid="_x0000_s1066" style="position:absolute;left:4147;top:18591;width:8409;height:8409;visibility:visible;mso-wrap-style:square;v-text-anchor:top" coordsize="840867,840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T5MUA&#10;AADdAAAADwAAAGRycy9kb3ducmV2LnhtbESPQUsDMRSE74L/ITyhl2KzBimyNi0qlHrw0qqIt8fm&#10;uVncvCxJuhv99aZQ8DjMzDfMapNdL0YKsfOs4WZRgSBuvOm41fD2ur2+AxETssHeM2n4oQib9eXF&#10;CmvjJ97TeEitKBCONWqwKQ21lLGx5DAu/EBcvC8fHKYiQytNwKnAXS9VVS2lw47LgsWBniw134ej&#10;03CrPqcmP9L4nj92Lvza+Utektazq/xwDyJRTv/hc/vZaFCqUnB6U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JPkxQAAAN0AAAAPAAAAAAAAAAAAAAAAAJgCAABkcnMv&#10;ZG93bnJldi54bWxQSwUGAAAAAAQABAD1AAAAigMAAAAA&#10;" path="m420497,c652653,,840867,188341,840867,420498v,232206,-188214,420445,-420370,420445c188214,840943,,652704,,420498,,188341,188214,,420497,xe" stroked="f" strokeweight="0">
                  <v:path arrowok="t" o:connecttype="custom" o:connectlocs="42,0;84,42;42,84;0,42;42,0" o:connectangles="0,0,0,0,0" textboxrect="0,0,840867,840943"/>
                </v:shape>
                <v:shape id="Shape 2682" o:spid="_x0000_s1067" style="position:absolute;left:4147;top:18591;width:8409;height:8409;visibility:visible;mso-wrap-style:square;v-text-anchor:top" coordsize="840867,840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3ansYA&#10;AADdAAAADwAAAGRycy9kb3ducmV2LnhtbESPQWvCQBSE70L/w/IKvdVNI5U2upGiFKQVSzT0/Mg+&#10;k5Ds25BdY/z3bqHgcZiZb5jlajStGKh3tWUFL9MIBHFhdc2lgvz4+fwGwnlkja1lUnAlB6v0YbLE&#10;RNsLZzQcfCkChF2CCirvu0RKV1Rk0E1tRxy8k+0N+iD7UuoeLwFuWhlH0VwarDksVNjRuqKiOZyN&#10;gqHY7TfZl8np5/d75o6yeX2XuVJPj+PHAoSn0d/D/+2tVhDH0Qz+3oQn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3ansYAAADdAAAADwAAAAAAAAAAAAAAAACYAgAAZHJz&#10;L2Rvd25yZXYueG1sUEsFBgAAAAAEAAQA9QAAAIsDAAAAAA==&#10;" path="m,420498c,188341,188214,,420497,,652653,,840867,188341,840867,420498v,232206,-188214,420445,-420370,420445c188214,840943,,652704,,420498xe" filled="f" strokecolor="#ae4845" strokeweight="2pt">
                  <v:path arrowok="t" o:connecttype="custom" o:connectlocs="0,42;42,0;84,42;42,84;0,42" o:connectangles="0,0,0,0,0" textboxrect="0,0,840867,840943"/>
                </v:shape>
                <v:rect id="Rectangle 2683" o:spid="_x0000_s1068" style="position:absolute;left:5887;top:22028;width:7268;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6/esUA&#10;AADdAAAADwAAAGRycy9kb3ducmV2LnhtbESPT4vCMBTE74LfITxhb5paZNFqFPEPetxVQb09mmdb&#10;bF5KE213P/1mQfA4zMxvmNmiNaV4Uu0KywqGgwgEcWp1wZmC03HbH4NwHlljaZkU/JCDxbzbmWGi&#10;bcPf9Dz4TAQIuwQV5N5XiZQuzcmgG9iKOHg3Wxv0QdaZ1DU2AW5KGUfRpzRYcFjIsaJVTun98DAK&#10;duNqednb3yYrN9fd+es8WR8nXqmPXrucgvDU+nf41d5rBXEcj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r96xQAAAN0AAAAPAAAAAAAAAAAAAAAAAJgCAABkcnMv&#10;ZG93bnJldi54bWxQSwUGAAAAAAQABAD1AAAAigMAAAAA&#10;" filled="f" stroked="f">
                  <v:textbox inset="0,0,0,0">
                    <w:txbxContent>
                      <w:p w:rsidR="0050212E" w:rsidRDefault="0050212E">
                        <w:pPr>
                          <w:spacing w:line="276" w:lineRule="auto"/>
                          <w:ind w:left="0" w:firstLine="0"/>
                          <w:jc w:val="left"/>
                        </w:pPr>
                        <w:r>
                          <w:rPr>
                            <w:rFonts w:ascii="Arial" w:eastAsia="Arial" w:hAnsi="Arial" w:cs="Arial"/>
                            <w:b/>
                            <w:sz w:val="12"/>
                          </w:rPr>
                          <w:t xml:space="preserve">Courageous  </w:t>
                        </w:r>
                      </w:p>
                    </w:txbxContent>
                  </v:textbox>
                </v:rect>
                <v:rect id="Rectangle 2684" o:spid="_x0000_s1069" style="position:absolute;left:5659;top:22988;width:7509;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a4c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cj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hrhxQAAAN0AAAAPAAAAAAAAAAAAAAAAAJgCAABkcnMv&#10;ZG93bnJldi54bWxQSwUGAAAAAAQABAD1AAAAigMAAAAA&#10;" filled="f" stroked="f">
                  <v:textbox inset="0,0,0,0">
                    <w:txbxContent>
                      <w:p w:rsidR="0050212E" w:rsidRDefault="0050212E">
                        <w:pPr>
                          <w:spacing w:line="276" w:lineRule="auto"/>
                          <w:ind w:left="0" w:firstLine="0"/>
                          <w:jc w:val="left"/>
                        </w:pPr>
                        <w:r>
                          <w:rPr>
                            <w:rFonts w:ascii="Arial" w:eastAsia="Arial" w:hAnsi="Arial" w:cs="Arial"/>
                            <w:b/>
                            <w:sz w:val="12"/>
                          </w:rPr>
                          <w:t xml:space="preserve">&amp; Respectful </w:t>
                        </w:r>
                      </w:p>
                    </w:txbxContent>
                  </v:textbox>
                </v:rect>
                <v:shape id="Shape 2685" o:spid="_x0000_s1070" style="position:absolute;left:8845;top:12139;width:1534;height:1776;visibility:visible;mso-wrap-style:square;v-text-anchor:top" coordsize="153416,177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fxsYA&#10;AADdAAAADwAAAGRycy9kb3ducmV2LnhtbESPX2vCMBTF3wd+h3CFvWm6wrpZjTIKsj8MQSfo4yW5&#10;NmXNTWkyrd9+GQh7PJxzfoezWA2uFWfqQ+NZwcM0A0GsvWm4VrD/Wk+eQYSIbLD1TAquFGC1HN0t&#10;sDT+wls672ItEoRDiQpsjF0pZdCWHIap74iTd/K9w5hkX0vT4yXBXSvzLCukw4bTgsWOKkv6e/fj&#10;FHj95D7eN/ZQzV6r6+PnWhdHHZS6Hw8vcxCRhvgfvrXfjII8zwr4e5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rfxsYAAADdAAAADwAAAAAAAAAAAAAAAACYAgAAZHJz&#10;L2Rvd25yZXYueG1sUEsFBgAAAAAEAAQA9QAAAIsDAAAAAA==&#10;" path="m96901,l85344,35560r68072,22098l118745,164211,50800,142113,39243,177546,,66675,96901,xe" fillcolor="#dcb3b2" stroked="f" strokeweight="0">
                  <v:path arrowok="t" o:connecttype="custom" o:connectlocs="10,0;9,4;15,6;12,16;5,14;4,18;0,7;10,0" o:connectangles="0,0,0,0,0,0,0,0" textboxrect="0,0,153416,177546"/>
                </v:shape>
                <v:shape id="Shape 2687" o:spid="_x0000_s1071" style="position:absolute;top:7094;width:8409;height:8408;visibility:visible;mso-wrap-style:square;v-text-anchor:top" coordsize="840994,840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0r8QA&#10;AADdAAAADwAAAGRycy9kb3ducmV2LnhtbESPQYvCMBSE78L+h/AW9qbp9qBSjSKugot4sIrnR/Ns&#10;i81LaVJb99dvBMHjMDPfMPNlbypxp8aVlhV8jyIQxJnVJecKzqftcArCeWSNlWVS8CAHy8XHYI6J&#10;th0f6Z76XAQIuwQVFN7XiZQuK8igG9maOHhX2xj0QTa51A12AW4qGUfRWBosOSwUWNO6oOyWtkbB&#10;Bm9ty5O9oe4x3fyODz/m4v+U+vrsVzMQnnr/Dr/aO60gjqMJPN+EJ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4dK/EAAAA3QAAAA8AAAAAAAAAAAAAAAAAmAIAAGRycy9k&#10;b3ducmV2LnhtbFBLBQYAAAAABAAEAPUAAACJAwAAAAA=&#10;" path="m,420497c,188213,188341,,420497,,652780,,840994,188213,840994,420497v,232156,-188214,420370,-420497,420370c188341,840867,,652653,,420497xe" filled="f" strokecolor="#ae4845" strokeweight="2pt">
                  <v:path arrowok="t" o:connecttype="custom" o:connectlocs="0,42;42,0;84,42;42,84;0,42" o:connectangles="0,0,0,0,0" textboxrect="0,0,840994,840867"/>
                </v:shape>
                <v:rect id="Rectangle 2688" o:spid="_x0000_s1072" style="position:absolute;left:1816;top:10527;width:6680;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66MUA&#10;AADeAAAADwAAAGRycy9kb3ducmV2LnhtbESPy4rCMBSG98K8QzgDs9PUYSi2GkV0RJfewJndoTm2&#10;xeakNNFWn94sBJc//41vMutMJW7UuNKyguEgAkGcWV1yruB4WPVHIJxH1lhZJgV3cjCbfvQmmGrb&#10;8o5ue5+LMMIuRQWF93UqpcsKMugGtiYO3tk2Bn2QTS51g20YN5X8jqJYGiw5PBRY06Kg7LK/GgXr&#10;UT3/29hHm1e//+vT9pQsD4lX6uuzm49BeOr8O/xqb7SCOIp/AkDACSg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DroxQAAAN4AAAAPAAAAAAAAAAAAAAAAAJgCAABkcnMv&#10;ZG93bnJldi54bWxQSwUGAAAAAAQABAD1AAAAigMAAAAA&#10;" filled="f" stroked="f">
                  <v:textbox inset="0,0,0,0">
                    <w:txbxContent>
                      <w:p w:rsidR="0050212E" w:rsidRDefault="0050212E">
                        <w:pPr>
                          <w:spacing w:line="276" w:lineRule="auto"/>
                          <w:ind w:left="0" w:firstLine="0"/>
                          <w:jc w:val="left"/>
                        </w:pPr>
                        <w:r>
                          <w:rPr>
                            <w:rFonts w:ascii="Arial" w:eastAsia="Arial" w:hAnsi="Arial" w:cs="Arial"/>
                            <w:b/>
                            <w:sz w:val="12"/>
                          </w:rPr>
                          <w:t>Engaged  &amp;</w:t>
                        </w:r>
                      </w:p>
                    </w:txbxContent>
                  </v:textbox>
                </v:rect>
                <v:rect id="Rectangle 2689" o:spid="_x0000_s1073" style="position:absolute;left:2517;top:11487;width:5178;height: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fc8YA&#10;AADeAAAADwAAAGRycy9kb3ducmV2LnhtbESPT4vCMBTE78J+h/AWvGmqSNFqFNlV9OifBdfbo3nb&#10;lm1eShNt9dMbQfA4zMxvmNmiNaW4Uu0KywoG/QgEcWp1wZmCn+O6NwbhPLLG0jIpuJGDxfyjM8NE&#10;24b3dD34TAQIuwQV5N5XiZQuzcmg69uKOHh/tjbog6wzqWtsAtyUchhFsTRYcFjIsaKvnNL/w8Uo&#10;2Iyr5e/W3pusXJ03p91p8n2ceKW6n+1yCsJT69/hV3urFcRRPBr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yfc8YAAADeAAAADwAAAAAAAAAAAAAAAACYAgAAZHJz&#10;L2Rvd25yZXYueG1sUEsFBgAAAAAEAAQA9QAAAIsDAAAAAA==&#10;" filled="f" stroked="f">
                  <v:textbox inset="0,0,0,0">
                    <w:txbxContent>
                      <w:p w:rsidR="0050212E" w:rsidRDefault="0050212E">
                        <w:pPr>
                          <w:spacing w:line="276" w:lineRule="auto"/>
                          <w:ind w:left="0" w:firstLine="0"/>
                          <w:jc w:val="left"/>
                        </w:pPr>
                        <w:r>
                          <w:rPr>
                            <w:rFonts w:ascii="Arial" w:eastAsia="Arial" w:hAnsi="Arial" w:cs="Arial"/>
                            <w:b/>
                            <w:sz w:val="12"/>
                          </w:rPr>
                          <w:t xml:space="preserve">Inspired  </w:t>
                        </w:r>
                      </w:p>
                    </w:txbxContent>
                  </v:textbox>
                </v:rect>
                <w10:anchorlock/>
              </v:group>
            </w:pict>
          </mc:Fallback>
        </mc:AlternateContent>
      </w:r>
    </w:p>
    <w:p w:rsidR="00222762" w:rsidRDefault="00F44942" w:rsidP="00401C1D">
      <w:pPr>
        <w:pStyle w:val="Heading2"/>
      </w:pPr>
      <w:bookmarkStart w:id="19" w:name="_Toc524820998"/>
      <w:r>
        <w:lastRenderedPageBreak/>
        <w:t>2.8 Logo</w:t>
      </w:r>
      <w:bookmarkEnd w:id="19"/>
    </w:p>
    <w:p w:rsidR="00222762" w:rsidRDefault="00F44942">
      <w:pPr>
        <w:spacing w:after="234"/>
        <w:ind w:right="516"/>
      </w:pPr>
      <w:r>
        <w:t xml:space="preserve">A logo is a mark or symbol that is used to promote public recognition. It is very important for any organization for creating position in the market. Positioning is the act of designing the company’s offering and image to occupy a distinct place in the target market’s mind. In doing so City Bank recently started series of advertisement in daily newspapers, billboards and in other media. It launched its new logo and tag line to mark the 25th anniversary of its operation in July 2008.  </w:t>
      </w:r>
    </w:p>
    <w:p w:rsidR="00222762" w:rsidRDefault="00F44942">
      <w:pPr>
        <w:spacing w:after="234"/>
        <w:ind w:right="310"/>
      </w:pPr>
      <w:r>
        <w:t xml:space="preserve">The old logo is out dated and does not have any concrete meaning or idea. However, the new logo can be defined in many different ways.  </w:t>
      </w:r>
    </w:p>
    <w:p w:rsidR="00222762" w:rsidRDefault="00222762">
      <w:pPr>
        <w:spacing w:after="233" w:line="240" w:lineRule="auto"/>
        <w:ind w:left="91" w:firstLine="0"/>
        <w:jc w:val="left"/>
      </w:pPr>
    </w:p>
    <w:p w:rsidR="00222762" w:rsidRDefault="00F44942">
      <w:pPr>
        <w:spacing w:after="226" w:line="240" w:lineRule="auto"/>
        <w:ind w:left="0" w:firstLine="0"/>
        <w:jc w:val="center"/>
      </w:pPr>
      <w:r>
        <w:rPr>
          <w:b/>
          <w:i/>
        </w:rPr>
        <w:t xml:space="preserve">Old Logo                                                                                                New Logo </w:t>
      </w:r>
    </w:p>
    <w:p w:rsidR="00222762" w:rsidRDefault="00F44942">
      <w:pPr>
        <w:spacing w:after="185" w:line="240" w:lineRule="auto"/>
        <w:ind w:left="0" w:right="799" w:firstLine="0"/>
        <w:jc w:val="right"/>
      </w:pPr>
      <w:r>
        <w:rPr>
          <w:rFonts w:ascii="Calibri" w:eastAsia="Calibri" w:hAnsi="Calibri" w:cs="Calibri"/>
          <w:noProof/>
        </w:rPr>
        <w:drawing>
          <wp:inline distT="0" distB="0" distL="0" distR="0">
            <wp:extent cx="2511425" cy="1381125"/>
            <wp:effectExtent l="0" t="0" r="0" b="0"/>
            <wp:docPr id="60661" name="Picture 60661"/>
            <wp:cNvGraphicFramePr/>
            <a:graphic xmlns:a="http://schemas.openxmlformats.org/drawingml/2006/main">
              <a:graphicData uri="http://schemas.openxmlformats.org/drawingml/2006/picture">
                <pic:pic xmlns:pic="http://schemas.openxmlformats.org/drawingml/2006/picture">
                  <pic:nvPicPr>
                    <pic:cNvPr id="60661" name="Picture 60661"/>
                    <pic:cNvPicPr/>
                  </pic:nvPicPr>
                  <pic:blipFill>
                    <a:blip r:embed="rId56" cstate="print"/>
                    <a:stretch>
                      <a:fillRect/>
                    </a:stretch>
                  </pic:blipFill>
                  <pic:spPr>
                    <a:xfrm>
                      <a:off x="0" y="0"/>
                      <a:ext cx="2511425" cy="1381125"/>
                    </a:xfrm>
                    <a:prstGeom prst="rect">
                      <a:avLst/>
                    </a:prstGeom>
                  </pic:spPr>
                </pic:pic>
              </a:graphicData>
            </a:graphic>
          </wp:inline>
        </w:drawing>
      </w:r>
      <w:r>
        <w:tab/>
      </w:r>
      <w:r>
        <w:rPr>
          <w:rFonts w:ascii="Calibri" w:eastAsia="Calibri" w:hAnsi="Calibri" w:cs="Calibri"/>
          <w:noProof/>
        </w:rPr>
        <w:drawing>
          <wp:inline distT="0" distB="0" distL="0" distR="0">
            <wp:extent cx="1482344" cy="1301115"/>
            <wp:effectExtent l="0" t="0" r="0" b="0"/>
            <wp:docPr id="2784" name="Picture 2784"/>
            <wp:cNvGraphicFramePr/>
            <a:graphic xmlns:a="http://schemas.openxmlformats.org/drawingml/2006/main">
              <a:graphicData uri="http://schemas.openxmlformats.org/drawingml/2006/picture">
                <pic:pic xmlns:pic="http://schemas.openxmlformats.org/drawingml/2006/picture">
                  <pic:nvPicPr>
                    <pic:cNvPr id="2784" name="Picture 2784"/>
                    <pic:cNvPicPr/>
                  </pic:nvPicPr>
                  <pic:blipFill>
                    <a:blip r:embed="rId57"/>
                    <a:stretch>
                      <a:fillRect/>
                    </a:stretch>
                  </pic:blipFill>
                  <pic:spPr>
                    <a:xfrm>
                      <a:off x="0" y="0"/>
                      <a:ext cx="1482344" cy="1301115"/>
                    </a:xfrm>
                    <a:prstGeom prst="rect">
                      <a:avLst/>
                    </a:prstGeom>
                  </pic:spPr>
                </pic:pic>
              </a:graphicData>
            </a:graphic>
          </wp:inline>
        </w:drawing>
      </w:r>
    </w:p>
    <w:p w:rsidR="00222762" w:rsidRDefault="00F44942">
      <w:pPr>
        <w:spacing w:after="234"/>
        <w:ind w:right="518"/>
      </w:pPr>
      <w:r>
        <w:t xml:space="preserve">Here, the red and silver shape means a chessboard; which stand for wisdom and vision. Since City Bank is 28 years old, they are expert and experienced. Chess is the game of the smart people who knows all the moves. The Bank’s game is to deal with customer’s money matters as smart and sensible banker. </w:t>
      </w:r>
    </w:p>
    <w:p w:rsidR="00222762" w:rsidRDefault="00F44942">
      <w:pPr>
        <w:spacing w:after="233"/>
      </w:pPr>
      <w:r>
        <w:t xml:space="preserve"> It also symbolizes the checkered flag of Formula One racing which signifies speed and fast pace.  </w:t>
      </w:r>
    </w:p>
    <w:p w:rsidR="00222762" w:rsidRDefault="00F44942">
      <w:pPr>
        <w:spacing w:after="232"/>
        <w:ind w:right="520"/>
      </w:pPr>
      <w:r>
        <w:t xml:space="preserve">It can also be signified as a beautiful kite, which nose up, going to reach for the sky. In that case, it means the bank is soaring high into the skies of many possibilities in order to make financial dreams come true.  </w:t>
      </w:r>
    </w:p>
    <w:p w:rsidR="00222762" w:rsidRDefault="00F44942">
      <w:pPr>
        <w:spacing w:after="234"/>
        <w:ind w:right="250"/>
      </w:pPr>
      <w:r>
        <w:t xml:space="preserve">The color red stands for passion, confidence, daring, bold and courage. The color silver symbolizes the Silver Jubilee color which goes or match with the color of historical coins. </w:t>
      </w:r>
    </w:p>
    <w:p w:rsidR="00222762" w:rsidRDefault="00F44942" w:rsidP="00AD581D">
      <w:pPr>
        <w:spacing w:after="239"/>
        <w:ind w:right="202"/>
      </w:pPr>
      <w:r>
        <w:t xml:space="preserve"> The logo has a dynamic shape. Such dynamism stands for modernity, the 21st century. That signifies, this is going to be techno savvy bank, a state of the art tech powered modern bank. </w:t>
      </w:r>
    </w:p>
    <w:p w:rsidR="00222762" w:rsidRDefault="00F44942" w:rsidP="00401C1D">
      <w:pPr>
        <w:pStyle w:val="Heading2"/>
      </w:pPr>
      <w:bookmarkStart w:id="20" w:name="_Toc524820999"/>
      <w:r>
        <w:t>2.9 Services of CBL</w:t>
      </w:r>
      <w:bookmarkEnd w:id="20"/>
    </w:p>
    <w:p w:rsidR="00222762" w:rsidRDefault="00F44942">
      <w:pPr>
        <w:spacing w:after="233"/>
        <w:ind w:right="514"/>
      </w:pPr>
      <w:r>
        <w:t xml:space="preserve">The principal activities of the Bank are to provide all kinds of commercial banking, consumer banking trade services, custody and clearing to its customers through its branches in Bangladesh. CBL manages its business and operation vertically from the head office through 4 distinct business divisions.  </w:t>
      </w:r>
    </w:p>
    <w:p w:rsidR="00222762" w:rsidRDefault="00F44942">
      <w:pPr>
        <w:numPr>
          <w:ilvl w:val="0"/>
          <w:numId w:val="6"/>
        </w:numPr>
        <w:ind w:hanging="360"/>
      </w:pPr>
      <w:r>
        <w:t xml:space="preserve">Corporate &amp; Investment Banking  </w:t>
      </w:r>
    </w:p>
    <w:p w:rsidR="00222762" w:rsidRDefault="00F44942">
      <w:pPr>
        <w:numPr>
          <w:ilvl w:val="0"/>
          <w:numId w:val="6"/>
        </w:numPr>
        <w:ind w:hanging="360"/>
      </w:pPr>
      <w:r>
        <w:t xml:space="preserve">Retail Banking (including Cards) </w:t>
      </w:r>
    </w:p>
    <w:p w:rsidR="00222762" w:rsidRDefault="00F44942">
      <w:pPr>
        <w:numPr>
          <w:ilvl w:val="0"/>
          <w:numId w:val="6"/>
        </w:numPr>
        <w:ind w:hanging="360"/>
      </w:pPr>
      <w:r>
        <w:t xml:space="preserve">Treasury &amp; Market Risks   </w:t>
      </w:r>
    </w:p>
    <w:p w:rsidR="00222762" w:rsidRDefault="00F44942">
      <w:pPr>
        <w:numPr>
          <w:ilvl w:val="0"/>
          <w:numId w:val="6"/>
        </w:numPr>
        <w:spacing w:after="236"/>
        <w:ind w:hanging="360"/>
      </w:pPr>
      <w:r>
        <w:t xml:space="preserve">SME Banking </w:t>
      </w:r>
    </w:p>
    <w:p w:rsidR="00222762" w:rsidRDefault="00222762">
      <w:pPr>
        <w:spacing w:after="233" w:line="240" w:lineRule="auto"/>
        <w:ind w:left="91" w:firstLine="0"/>
        <w:jc w:val="left"/>
      </w:pPr>
    </w:p>
    <w:p w:rsidR="00222762" w:rsidRDefault="00F44942">
      <w:pPr>
        <w:spacing w:after="236"/>
      </w:pPr>
      <w:r>
        <w:lastRenderedPageBreak/>
        <w:t xml:space="preserve">Detail Parts of these four services are presented below with a Smart Art: </w:t>
      </w:r>
    </w:p>
    <w:p w:rsidR="00222762" w:rsidRDefault="00222762">
      <w:pPr>
        <w:spacing w:after="284" w:line="240" w:lineRule="auto"/>
        <w:ind w:left="91" w:firstLine="0"/>
        <w:jc w:val="left"/>
      </w:pPr>
    </w:p>
    <w:p w:rsidR="00222762" w:rsidRDefault="006D1431">
      <w:pPr>
        <w:spacing w:after="78" w:line="240" w:lineRule="auto"/>
        <w:ind w:left="1206" w:firstLine="0"/>
        <w:jc w:val="left"/>
      </w:pPr>
      <w:r>
        <w:rPr>
          <w:rFonts w:ascii="Calibri" w:eastAsia="Calibri" w:hAnsi="Calibri" w:cs="Calibri"/>
          <w:noProof/>
        </w:rPr>
        <mc:AlternateContent>
          <mc:Choice Requires="wpg">
            <w:drawing>
              <wp:inline distT="0" distB="0" distL="0" distR="0">
                <wp:extent cx="4814570" cy="3192780"/>
                <wp:effectExtent l="9525" t="9525" r="14605" b="55245"/>
                <wp:docPr id="75" name="Group 60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4570" cy="3192780"/>
                          <a:chOff x="0" y="0"/>
                          <a:chExt cx="48143" cy="31925"/>
                        </a:xfrm>
                      </wpg:grpSpPr>
                      <wps:wsp>
                        <wps:cNvPr id="76" name="Rectangle 2810"/>
                        <wps:cNvSpPr>
                          <a:spLocks noChangeArrowheads="1"/>
                        </wps:cNvSpPr>
                        <wps:spPr bwMode="auto">
                          <a:xfrm>
                            <a:off x="47792" y="30373"/>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
                          </w:txbxContent>
                        </wps:txbx>
                        <wps:bodyPr rot="0" vert="horz" wrap="square" lIns="0" tIns="0" rIns="0" bIns="0" anchor="t" anchorCtr="0" upright="1">
                          <a:noAutofit/>
                        </wps:bodyPr>
                      </wps:wsp>
                      <wps:wsp>
                        <wps:cNvPr id="77" name="Shape 2857"/>
                        <wps:cNvSpPr>
                          <a:spLocks/>
                        </wps:cNvSpPr>
                        <wps:spPr bwMode="auto">
                          <a:xfrm>
                            <a:off x="25226" y="21283"/>
                            <a:ext cx="15462" cy="10016"/>
                          </a:xfrm>
                          <a:custGeom>
                            <a:avLst/>
                            <a:gdLst>
                              <a:gd name="T0" fmla="*/ 0 w 1546225"/>
                              <a:gd name="T1" fmla="*/ 1001 h 1001522"/>
                              <a:gd name="T2" fmla="*/ 1002 w 1546225"/>
                              <a:gd name="T3" fmla="*/ 0 h 1001522"/>
                              <a:gd name="T4" fmla="*/ 14460 w 1546225"/>
                              <a:gd name="T5" fmla="*/ 0 h 1001522"/>
                              <a:gd name="T6" fmla="*/ 15462 w 1546225"/>
                              <a:gd name="T7" fmla="*/ 1001 h 1001522"/>
                              <a:gd name="T8" fmla="*/ 15462 w 1546225"/>
                              <a:gd name="T9" fmla="*/ 9015 h 1001522"/>
                              <a:gd name="T10" fmla="*/ 14460 w 1546225"/>
                              <a:gd name="T11" fmla="*/ 10016 h 1001522"/>
                              <a:gd name="T12" fmla="*/ 1002 w 1546225"/>
                              <a:gd name="T13" fmla="*/ 10016 h 1001522"/>
                              <a:gd name="T14" fmla="*/ 0 w 1546225"/>
                              <a:gd name="T15" fmla="*/ 9015 h 1001522"/>
                              <a:gd name="T16" fmla="*/ 0 w 1546225"/>
                              <a:gd name="T17" fmla="*/ 1001 h 100152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546225"/>
                              <a:gd name="T28" fmla="*/ 0 h 1001522"/>
                              <a:gd name="T29" fmla="*/ 1546225 w 1546225"/>
                              <a:gd name="T30" fmla="*/ 1001522 h 1001522"/>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546225" h="1001522">
                                <a:moveTo>
                                  <a:pt x="0" y="100076"/>
                                </a:moveTo>
                                <a:cubicBezTo>
                                  <a:pt x="0" y="44831"/>
                                  <a:pt x="44831" y="0"/>
                                  <a:pt x="100203" y="0"/>
                                </a:cubicBezTo>
                                <a:lnTo>
                                  <a:pt x="1446022" y="0"/>
                                </a:lnTo>
                                <a:cubicBezTo>
                                  <a:pt x="1501394" y="0"/>
                                  <a:pt x="1546225" y="44831"/>
                                  <a:pt x="1546225" y="100076"/>
                                </a:cubicBezTo>
                                <a:lnTo>
                                  <a:pt x="1546225" y="901446"/>
                                </a:lnTo>
                                <a:cubicBezTo>
                                  <a:pt x="1546225" y="956691"/>
                                  <a:pt x="1501394" y="1001522"/>
                                  <a:pt x="1446022" y="1001522"/>
                                </a:cubicBezTo>
                                <a:lnTo>
                                  <a:pt x="100203" y="1001522"/>
                                </a:lnTo>
                                <a:cubicBezTo>
                                  <a:pt x="44831" y="1001522"/>
                                  <a:pt x="0" y="956691"/>
                                  <a:pt x="0" y="901446"/>
                                </a:cubicBezTo>
                                <a:lnTo>
                                  <a:pt x="0" y="100076"/>
                                </a:lnTo>
                                <a:close/>
                              </a:path>
                            </a:pathLst>
                          </a:custGeom>
                          <a:noFill/>
                          <a:ln w="9525">
                            <a:solidFill>
                              <a:srgbClr val="8064A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2858"/>
                        <wps:cNvSpPr>
                          <a:spLocks noChangeArrowheads="1"/>
                        </wps:cNvSpPr>
                        <wps:spPr bwMode="auto">
                          <a:xfrm>
                            <a:off x="30399" y="24391"/>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79" name="Rectangle 2859"/>
                        <wps:cNvSpPr>
                          <a:spLocks noChangeArrowheads="1"/>
                        </wps:cNvSpPr>
                        <wps:spPr bwMode="auto">
                          <a:xfrm>
                            <a:off x="31436" y="24391"/>
                            <a:ext cx="7115"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SME Deposit </w:t>
                              </w:r>
                            </w:p>
                          </w:txbxContent>
                        </wps:txbx>
                        <wps:bodyPr rot="0" vert="horz" wrap="square" lIns="0" tIns="0" rIns="0" bIns="0" anchor="t" anchorCtr="0" upright="1">
                          <a:noAutofit/>
                        </wps:bodyPr>
                      </wps:wsp>
                      <wps:wsp>
                        <wps:cNvPr id="80" name="Rectangle 2860"/>
                        <wps:cNvSpPr>
                          <a:spLocks noChangeArrowheads="1"/>
                        </wps:cNvSpPr>
                        <wps:spPr bwMode="auto">
                          <a:xfrm>
                            <a:off x="30399" y="25702"/>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81" name="Rectangle 2861"/>
                        <wps:cNvSpPr>
                          <a:spLocks noChangeArrowheads="1"/>
                        </wps:cNvSpPr>
                        <wps:spPr bwMode="auto">
                          <a:xfrm>
                            <a:off x="30979" y="25702"/>
                            <a:ext cx="5473"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SME Loan </w:t>
                              </w:r>
                            </w:p>
                          </w:txbxContent>
                        </wps:txbx>
                        <wps:bodyPr rot="0" vert="horz" wrap="square" lIns="0" tIns="0" rIns="0" bIns="0" anchor="t" anchorCtr="0" upright="1">
                          <a:noAutofit/>
                        </wps:bodyPr>
                      </wps:wsp>
                      <wps:wsp>
                        <wps:cNvPr id="82" name="Shape 2863"/>
                        <wps:cNvSpPr>
                          <a:spLocks/>
                        </wps:cNvSpPr>
                        <wps:spPr bwMode="auto">
                          <a:xfrm>
                            <a:off x="0" y="21283"/>
                            <a:ext cx="15460" cy="10016"/>
                          </a:xfrm>
                          <a:custGeom>
                            <a:avLst/>
                            <a:gdLst>
                              <a:gd name="T0" fmla="*/ 0 w 1546098"/>
                              <a:gd name="T1" fmla="*/ 1001 h 1001522"/>
                              <a:gd name="T2" fmla="*/ 1001 w 1546098"/>
                              <a:gd name="T3" fmla="*/ 0 h 1001522"/>
                              <a:gd name="T4" fmla="*/ 14459 w 1546098"/>
                              <a:gd name="T5" fmla="*/ 0 h 1001522"/>
                              <a:gd name="T6" fmla="*/ 15460 w 1546098"/>
                              <a:gd name="T7" fmla="*/ 1001 h 1001522"/>
                              <a:gd name="T8" fmla="*/ 15460 w 1546098"/>
                              <a:gd name="T9" fmla="*/ 9015 h 1001522"/>
                              <a:gd name="T10" fmla="*/ 14459 w 1546098"/>
                              <a:gd name="T11" fmla="*/ 10016 h 1001522"/>
                              <a:gd name="T12" fmla="*/ 1001 w 1546098"/>
                              <a:gd name="T13" fmla="*/ 10016 h 1001522"/>
                              <a:gd name="T14" fmla="*/ 0 w 1546098"/>
                              <a:gd name="T15" fmla="*/ 9015 h 1001522"/>
                              <a:gd name="T16" fmla="*/ 0 w 1546098"/>
                              <a:gd name="T17" fmla="*/ 1001 h 100152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546098"/>
                              <a:gd name="T28" fmla="*/ 0 h 1001522"/>
                              <a:gd name="T29" fmla="*/ 1546098 w 1546098"/>
                              <a:gd name="T30" fmla="*/ 1001522 h 1001522"/>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546098" h="1001522">
                                <a:moveTo>
                                  <a:pt x="0" y="100076"/>
                                </a:moveTo>
                                <a:cubicBezTo>
                                  <a:pt x="0" y="44831"/>
                                  <a:pt x="44831" y="0"/>
                                  <a:pt x="100076" y="0"/>
                                </a:cubicBezTo>
                                <a:lnTo>
                                  <a:pt x="1446022" y="0"/>
                                </a:lnTo>
                                <a:cubicBezTo>
                                  <a:pt x="1501267" y="0"/>
                                  <a:pt x="1546098" y="44831"/>
                                  <a:pt x="1546098" y="100076"/>
                                </a:cubicBezTo>
                                <a:lnTo>
                                  <a:pt x="1546098" y="901446"/>
                                </a:lnTo>
                                <a:cubicBezTo>
                                  <a:pt x="1546098" y="956691"/>
                                  <a:pt x="1501267" y="1001522"/>
                                  <a:pt x="1446022" y="1001522"/>
                                </a:cubicBezTo>
                                <a:lnTo>
                                  <a:pt x="100076" y="1001522"/>
                                </a:lnTo>
                                <a:cubicBezTo>
                                  <a:pt x="44831" y="1001522"/>
                                  <a:pt x="0" y="956691"/>
                                  <a:pt x="0" y="901446"/>
                                </a:cubicBezTo>
                                <a:lnTo>
                                  <a:pt x="0" y="100076"/>
                                </a:lnTo>
                                <a:close/>
                              </a:path>
                            </a:pathLst>
                          </a:custGeom>
                          <a:noFill/>
                          <a:ln w="9525">
                            <a:solidFill>
                              <a:srgbClr val="4BA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2864"/>
                        <wps:cNvSpPr>
                          <a:spLocks noChangeArrowheads="1"/>
                        </wps:cNvSpPr>
                        <wps:spPr bwMode="auto">
                          <a:xfrm>
                            <a:off x="527" y="24391"/>
                            <a:ext cx="676"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87" name="Rectangle 2865"/>
                        <wps:cNvSpPr>
                          <a:spLocks noChangeArrowheads="1"/>
                        </wps:cNvSpPr>
                        <wps:spPr bwMode="auto">
                          <a:xfrm>
                            <a:off x="1106" y="24391"/>
                            <a:ext cx="454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Foreign </w:t>
                              </w:r>
                            </w:p>
                          </w:txbxContent>
                        </wps:txbx>
                        <wps:bodyPr rot="0" vert="horz" wrap="square" lIns="0" tIns="0" rIns="0" bIns="0" anchor="t" anchorCtr="0" upright="1">
                          <a:noAutofit/>
                        </wps:bodyPr>
                      </wps:wsp>
                      <wps:wsp>
                        <wps:cNvPr id="88" name="Rectangle 2866"/>
                        <wps:cNvSpPr>
                          <a:spLocks noChangeArrowheads="1"/>
                        </wps:cNvSpPr>
                        <wps:spPr bwMode="auto">
                          <a:xfrm>
                            <a:off x="1106" y="25519"/>
                            <a:ext cx="12113"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Calibri" w:eastAsia="Calibri" w:hAnsi="Calibri" w:cs="Calibri"/>
                                  <w:b/>
                                  <w:sz w:val="16"/>
                                </w:rPr>
                                <w:t>Exchange(</w:t>
                              </w:r>
                              <w:proofErr w:type="gramEnd"/>
                              <w:r>
                                <w:rPr>
                                  <w:rFonts w:ascii="Calibri" w:eastAsia="Calibri" w:hAnsi="Calibri" w:cs="Calibri"/>
                                  <w:b/>
                                  <w:sz w:val="16"/>
                                </w:rPr>
                                <w:t>Local &amp; G7)</w:t>
                              </w:r>
                            </w:p>
                          </w:txbxContent>
                        </wps:txbx>
                        <wps:bodyPr rot="0" vert="horz" wrap="square" lIns="0" tIns="0" rIns="0" bIns="0" anchor="t" anchorCtr="0" upright="1">
                          <a:noAutofit/>
                        </wps:bodyPr>
                      </wps:wsp>
                      <wps:wsp>
                        <wps:cNvPr id="89" name="Rectangle 2867"/>
                        <wps:cNvSpPr>
                          <a:spLocks noChangeArrowheads="1"/>
                        </wps:cNvSpPr>
                        <wps:spPr bwMode="auto">
                          <a:xfrm>
                            <a:off x="527" y="26814"/>
                            <a:ext cx="676" cy="1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90" name="Rectangle 2868"/>
                        <wps:cNvSpPr>
                          <a:spLocks noChangeArrowheads="1"/>
                        </wps:cNvSpPr>
                        <wps:spPr bwMode="auto">
                          <a:xfrm>
                            <a:off x="1106" y="26814"/>
                            <a:ext cx="8411" cy="1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Money Market </w:t>
                              </w:r>
                            </w:p>
                          </w:txbxContent>
                        </wps:txbx>
                        <wps:bodyPr rot="0" vert="horz" wrap="square" lIns="0" tIns="0" rIns="0" bIns="0" anchor="t" anchorCtr="0" upright="1">
                          <a:noAutofit/>
                        </wps:bodyPr>
                      </wps:wsp>
                      <wps:wsp>
                        <wps:cNvPr id="91" name="Rectangle 2869"/>
                        <wps:cNvSpPr>
                          <a:spLocks noChangeArrowheads="1"/>
                        </wps:cNvSpPr>
                        <wps:spPr bwMode="auto">
                          <a:xfrm>
                            <a:off x="527" y="28125"/>
                            <a:ext cx="676"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92" name="Rectangle 2870"/>
                        <wps:cNvSpPr>
                          <a:spLocks noChangeArrowheads="1"/>
                        </wps:cNvSpPr>
                        <wps:spPr bwMode="auto">
                          <a:xfrm>
                            <a:off x="1106" y="28125"/>
                            <a:ext cx="8845"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Corporate Sales </w:t>
                              </w:r>
                            </w:p>
                          </w:txbxContent>
                        </wps:txbx>
                        <wps:bodyPr rot="0" vert="horz" wrap="square" lIns="0" tIns="0" rIns="0" bIns="0" anchor="t" anchorCtr="0" upright="1">
                          <a:noAutofit/>
                        </wps:bodyPr>
                      </wps:wsp>
                      <wps:wsp>
                        <wps:cNvPr id="93" name="Rectangle 2871"/>
                        <wps:cNvSpPr>
                          <a:spLocks noChangeArrowheads="1"/>
                        </wps:cNvSpPr>
                        <wps:spPr bwMode="auto">
                          <a:xfrm>
                            <a:off x="527" y="29420"/>
                            <a:ext cx="676" cy="1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94" name="Rectangle 2872"/>
                        <wps:cNvSpPr>
                          <a:spLocks noChangeArrowheads="1"/>
                        </wps:cNvSpPr>
                        <wps:spPr bwMode="auto">
                          <a:xfrm>
                            <a:off x="1106" y="29420"/>
                            <a:ext cx="8591" cy="1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ALM &amp; Market </w:t>
                              </w:r>
                            </w:p>
                          </w:txbxContent>
                        </wps:txbx>
                        <wps:bodyPr rot="0" vert="horz" wrap="square" lIns="0" tIns="0" rIns="0" bIns="0" anchor="t" anchorCtr="0" upright="1">
                          <a:noAutofit/>
                        </wps:bodyPr>
                      </wps:wsp>
                      <wps:wsp>
                        <wps:cNvPr id="95" name="Rectangle 2873"/>
                        <wps:cNvSpPr>
                          <a:spLocks noChangeArrowheads="1"/>
                        </wps:cNvSpPr>
                        <wps:spPr bwMode="auto">
                          <a:xfrm>
                            <a:off x="1106" y="30533"/>
                            <a:ext cx="5138"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Research</w:t>
                              </w:r>
                            </w:p>
                          </w:txbxContent>
                        </wps:txbx>
                        <wps:bodyPr rot="0" vert="horz" wrap="square" lIns="0" tIns="0" rIns="0" bIns="0" anchor="t" anchorCtr="0" upright="1">
                          <a:noAutofit/>
                        </wps:bodyPr>
                      </wps:wsp>
                      <wps:wsp>
                        <wps:cNvPr id="2785" name="Shape 2875"/>
                        <wps:cNvSpPr>
                          <a:spLocks/>
                        </wps:cNvSpPr>
                        <wps:spPr bwMode="auto">
                          <a:xfrm>
                            <a:off x="25226" y="0"/>
                            <a:ext cx="15462" cy="10016"/>
                          </a:xfrm>
                          <a:custGeom>
                            <a:avLst/>
                            <a:gdLst>
                              <a:gd name="T0" fmla="*/ 0 w 1546225"/>
                              <a:gd name="T1" fmla="*/ 1002 h 1001649"/>
                              <a:gd name="T2" fmla="*/ 1002 w 1546225"/>
                              <a:gd name="T3" fmla="*/ 0 h 1001649"/>
                              <a:gd name="T4" fmla="*/ 14460 w 1546225"/>
                              <a:gd name="T5" fmla="*/ 0 h 1001649"/>
                              <a:gd name="T6" fmla="*/ 15462 w 1546225"/>
                              <a:gd name="T7" fmla="*/ 1002 h 1001649"/>
                              <a:gd name="T8" fmla="*/ 15462 w 1546225"/>
                              <a:gd name="T9" fmla="*/ 9014 h 1001649"/>
                              <a:gd name="T10" fmla="*/ 14460 w 1546225"/>
                              <a:gd name="T11" fmla="*/ 10016 h 1001649"/>
                              <a:gd name="T12" fmla="*/ 1002 w 1546225"/>
                              <a:gd name="T13" fmla="*/ 10016 h 1001649"/>
                              <a:gd name="T14" fmla="*/ 0 w 1546225"/>
                              <a:gd name="T15" fmla="*/ 9014 h 1001649"/>
                              <a:gd name="T16" fmla="*/ 0 w 1546225"/>
                              <a:gd name="T17" fmla="*/ 1002 h 100164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546225"/>
                              <a:gd name="T28" fmla="*/ 0 h 1001649"/>
                              <a:gd name="T29" fmla="*/ 1546225 w 1546225"/>
                              <a:gd name="T30" fmla="*/ 1001649 h 1001649"/>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546225" h="1001649">
                                <a:moveTo>
                                  <a:pt x="0" y="100203"/>
                                </a:moveTo>
                                <a:cubicBezTo>
                                  <a:pt x="0" y="44831"/>
                                  <a:pt x="44831" y="0"/>
                                  <a:pt x="100203" y="0"/>
                                </a:cubicBezTo>
                                <a:lnTo>
                                  <a:pt x="1446022" y="0"/>
                                </a:lnTo>
                                <a:cubicBezTo>
                                  <a:pt x="1501394" y="0"/>
                                  <a:pt x="1546225" y="44831"/>
                                  <a:pt x="1546225" y="100203"/>
                                </a:cubicBezTo>
                                <a:lnTo>
                                  <a:pt x="1546225" y="901446"/>
                                </a:lnTo>
                                <a:cubicBezTo>
                                  <a:pt x="1546225" y="956818"/>
                                  <a:pt x="1501394" y="1001649"/>
                                  <a:pt x="1446022" y="1001649"/>
                                </a:cubicBezTo>
                                <a:lnTo>
                                  <a:pt x="100203" y="1001649"/>
                                </a:lnTo>
                                <a:cubicBezTo>
                                  <a:pt x="44831" y="1001649"/>
                                  <a:pt x="0" y="956818"/>
                                  <a:pt x="0" y="901446"/>
                                </a:cubicBezTo>
                                <a:lnTo>
                                  <a:pt x="0" y="100203"/>
                                </a:lnTo>
                                <a:close/>
                              </a:path>
                            </a:pathLst>
                          </a:custGeom>
                          <a:noFill/>
                          <a:ln w="9525">
                            <a:solidFill>
                              <a:srgbClr val="9BBB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6" name="Rectangle 2876"/>
                        <wps:cNvSpPr>
                          <a:spLocks noChangeArrowheads="1"/>
                        </wps:cNvSpPr>
                        <wps:spPr bwMode="auto">
                          <a:xfrm>
                            <a:off x="30399" y="597"/>
                            <a:ext cx="679" cy="1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2787" name="Rectangle 2877"/>
                        <wps:cNvSpPr>
                          <a:spLocks noChangeArrowheads="1"/>
                        </wps:cNvSpPr>
                        <wps:spPr bwMode="auto">
                          <a:xfrm>
                            <a:off x="30979" y="597"/>
                            <a:ext cx="10394" cy="1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Structured finance </w:t>
                              </w:r>
                            </w:p>
                          </w:txbxContent>
                        </wps:txbx>
                        <wps:bodyPr rot="0" vert="horz" wrap="square" lIns="0" tIns="0" rIns="0" bIns="0" anchor="t" anchorCtr="0" upright="1">
                          <a:noAutofit/>
                        </wps:bodyPr>
                      </wps:wsp>
                      <wps:wsp>
                        <wps:cNvPr id="2788" name="Rectangle 2878"/>
                        <wps:cNvSpPr>
                          <a:spLocks noChangeArrowheads="1"/>
                        </wps:cNvSpPr>
                        <wps:spPr bwMode="auto">
                          <a:xfrm>
                            <a:off x="30399" y="1912"/>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2789" name="Rectangle 2879"/>
                        <wps:cNvSpPr>
                          <a:spLocks noChangeArrowheads="1"/>
                        </wps:cNvSpPr>
                        <wps:spPr bwMode="auto">
                          <a:xfrm>
                            <a:off x="30979" y="1912"/>
                            <a:ext cx="6464"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gramStart"/>
                              <w:r>
                                <w:rPr>
                                  <w:rFonts w:ascii="Calibri" w:eastAsia="Calibri" w:hAnsi="Calibri" w:cs="Calibri"/>
                                  <w:b/>
                                  <w:sz w:val="16"/>
                                </w:rPr>
                                <w:t>syndication</w:t>
                              </w:r>
                              <w:proofErr w:type="gramEnd"/>
                            </w:p>
                          </w:txbxContent>
                        </wps:txbx>
                        <wps:bodyPr rot="0" vert="horz" wrap="square" lIns="0" tIns="0" rIns="0" bIns="0" anchor="t" anchorCtr="0" upright="1">
                          <a:noAutofit/>
                        </wps:bodyPr>
                      </wps:wsp>
                      <wps:wsp>
                        <wps:cNvPr id="2790" name="Rectangle 2880"/>
                        <wps:cNvSpPr>
                          <a:spLocks noChangeArrowheads="1"/>
                        </wps:cNvSpPr>
                        <wps:spPr bwMode="auto">
                          <a:xfrm>
                            <a:off x="30399" y="3208"/>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2791" name="Rectangle 2881"/>
                        <wps:cNvSpPr>
                          <a:spLocks noChangeArrowheads="1"/>
                        </wps:cNvSpPr>
                        <wps:spPr bwMode="auto">
                          <a:xfrm>
                            <a:off x="30979" y="3208"/>
                            <a:ext cx="1025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Equity investment </w:t>
                              </w:r>
                            </w:p>
                          </w:txbxContent>
                        </wps:txbx>
                        <wps:bodyPr rot="0" vert="horz" wrap="square" lIns="0" tIns="0" rIns="0" bIns="0" anchor="t" anchorCtr="0" upright="1">
                          <a:noAutofit/>
                        </wps:bodyPr>
                      </wps:wsp>
                      <wps:wsp>
                        <wps:cNvPr id="2792" name="Rectangle 2882"/>
                        <wps:cNvSpPr>
                          <a:spLocks noChangeArrowheads="1"/>
                        </wps:cNvSpPr>
                        <wps:spPr bwMode="auto">
                          <a:xfrm>
                            <a:off x="30399" y="4518"/>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2793" name="Rectangle 2883"/>
                        <wps:cNvSpPr>
                          <a:spLocks noChangeArrowheads="1"/>
                        </wps:cNvSpPr>
                        <wps:spPr bwMode="auto">
                          <a:xfrm>
                            <a:off x="30979" y="4518"/>
                            <a:ext cx="755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Foreign trade </w:t>
                              </w:r>
                            </w:p>
                          </w:txbxContent>
                        </wps:txbx>
                        <wps:bodyPr rot="0" vert="horz" wrap="square" lIns="0" tIns="0" rIns="0" bIns="0" anchor="t" anchorCtr="0" upright="1">
                          <a:noAutofit/>
                        </wps:bodyPr>
                      </wps:wsp>
                      <wps:wsp>
                        <wps:cNvPr id="2794" name="Rectangle 2884"/>
                        <wps:cNvSpPr>
                          <a:spLocks noChangeArrowheads="1"/>
                        </wps:cNvSpPr>
                        <wps:spPr bwMode="auto">
                          <a:xfrm>
                            <a:off x="30399" y="5814"/>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2795" name="Rectangle 2885"/>
                        <wps:cNvSpPr>
                          <a:spLocks noChangeArrowheads="1"/>
                        </wps:cNvSpPr>
                        <wps:spPr bwMode="auto">
                          <a:xfrm>
                            <a:off x="30979" y="5814"/>
                            <a:ext cx="8525"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Islamic Finance </w:t>
                              </w:r>
                            </w:p>
                          </w:txbxContent>
                        </wps:txbx>
                        <wps:bodyPr rot="0" vert="horz" wrap="square" lIns="0" tIns="0" rIns="0" bIns="0" anchor="t" anchorCtr="0" upright="1">
                          <a:noAutofit/>
                        </wps:bodyPr>
                      </wps:wsp>
                      <wps:wsp>
                        <wps:cNvPr id="2796" name="Rectangle 2886"/>
                        <wps:cNvSpPr>
                          <a:spLocks noChangeArrowheads="1"/>
                        </wps:cNvSpPr>
                        <wps:spPr bwMode="auto">
                          <a:xfrm>
                            <a:off x="30399" y="7124"/>
                            <a:ext cx="67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16"/>
                                </w:rPr>
                                <w:t>•</w:t>
                              </w:r>
                            </w:p>
                          </w:txbxContent>
                        </wps:txbx>
                        <wps:bodyPr rot="0" vert="horz" wrap="square" lIns="0" tIns="0" rIns="0" bIns="0" anchor="t" anchorCtr="0" upright="1">
                          <a:noAutofit/>
                        </wps:bodyPr>
                      </wps:wsp>
                      <wps:wsp>
                        <wps:cNvPr id="2797" name="Rectangle 2887"/>
                        <wps:cNvSpPr>
                          <a:spLocks noChangeArrowheads="1"/>
                        </wps:cNvSpPr>
                        <wps:spPr bwMode="auto">
                          <a:xfrm>
                            <a:off x="32122" y="7124"/>
                            <a:ext cx="4167"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6"/>
                                </w:rPr>
                                <w:t xml:space="preserve">Leasing </w:t>
                              </w:r>
                            </w:p>
                          </w:txbxContent>
                        </wps:txbx>
                        <wps:bodyPr rot="0" vert="horz" wrap="square" lIns="0" tIns="0" rIns="0" bIns="0" anchor="t" anchorCtr="0" upright="1">
                          <a:noAutofit/>
                        </wps:bodyPr>
                      </wps:wsp>
                      <wps:wsp>
                        <wps:cNvPr id="2798" name="Shape 2889"/>
                        <wps:cNvSpPr>
                          <a:spLocks/>
                        </wps:cNvSpPr>
                        <wps:spPr bwMode="auto">
                          <a:xfrm>
                            <a:off x="0" y="0"/>
                            <a:ext cx="15460" cy="10016"/>
                          </a:xfrm>
                          <a:custGeom>
                            <a:avLst/>
                            <a:gdLst>
                              <a:gd name="T0" fmla="*/ 0 w 1546098"/>
                              <a:gd name="T1" fmla="*/ 1002 h 1001649"/>
                              <a:gd name="T2" fmla="*/ 1001 w 1546098"/>
                              <a:gd name="T3" fmla="*/ 0 h 1001649"/>
                              <a:gd name="T4" fmla="*/ 14459 w 1546098"/>
                              <a:gd name="T5" fmla="*/ 0 h 1001649"/>
                              <a:gd name="T6" fmla="*/ 15460 w 1546098"/>
                              <a:gd name="T7" fmla="*/ 1002 h 1001649"/>
                              <a:gd name="T8" fmla="*/ 15460 w 1546098"/>
                              <a:gd name="T9" fmla="*/ 9014 h 1001649"/>
                              <a:gd name="T10" fmla="*/ 14459 w 1546098"/>
                              <a:gd name="T11" fmla="*/ 10016 h 1001649"/>
                              <a:gd name="T12" fmla="*/ 1001 w 1546098"/>
                              <a:gd name="T13" fmla="*/ 10016 h 1001649"/>
                              <a:gd name="T14" fmla="*/ 0 w 1546098"/>
                              <a:gd name="T15" fmla="*/ 9014 h 1001649"/>
                              <a:gd name="T16" fmla="*/ 0 w 1546098"/>
                              <a:gd name="T17" fmla="*/ 1002 h 100164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546098"/>
                              <a:gd name="T28" fmla="*/ 0 h 1001649"/>
                              <a:gd name="T29" fmla="*/ 1546098 w 1546098"/>
                              <a:gd name="T30" fmla="*/ 1001649 h 1001649"/>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546098" h="1001649">
                                <a:moveTo>
                                  <a:pt x="0" y="100203"/>
                                </a:moveTo>
                                <a:cubicBezTo>
                                  <a:pt x="0" y="44831"/>
                                  <a:pt x="44831" y="0"/>
                                  <a:pt x="100076" y="0"/>
                                </a:cubicBezTo>
                                <a:lnTo>
                                  <a:pt x="1446022" y="0"/>
                                </a:lnTo>
                                <a:cubicBezTo>
                                  <a:pt x="1501267" y="0"/>
                                  <a:pt x="1546098" y="44831"/>
                                  <a:pt x="1546098" y="100203"/>
                                </a:cubicBezTo>
                                <a:lnTo>
                                  <a:pt x="1546098" y="901446"/>
                                </a:lnTo>
                                <a:cubicBezTo>
                                  <a:pt x="1546098" y="956818"/>
                                  <a:pt x="1501267" y="1001649"/>
                                  <a:pt x="1446022" y="1001649"/>
                                </a:cubicBezTo>
                                <a:lnTo>
                                  <a:pt x="100076" y="1001649"/>
                                </a:lnTo>
                                <a:cubicBezTo>
                                  <a:pt x="44831" y="1001649"/>
                                  <a:pt x="0" y="956818"/>
                                  <a:pt x="0" y="901446"/>
                                </a:cubicBezTo>
                                <a:lnTo>
                                  <a:pt x="0" y="100203"/>
                                </a:lnTo>
                                <a:close/>
                              </a:path>
                            </a:pathLst>
                          </a:custGeom>
                          <a:noFill/>
                          <a:ln w="9525">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9" name="Rectangle 2890"/>
                        <wps:cNvSpPr>
                          <a:spLocks noChangeArrowheads="1"/>
                        </wps:cNvSpPr>
                        <wps:spPr bwMode="auto">
                          <a:xfrm>
                            <a:off x="642" y="749"/>
                            <a:ext cx="88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1"/>
                                </w:rPr>
                                <w:t>•</w:t>
                              </w:r>
                            </w:p>
                          </w:txbxContent>
                        </wps:txbx>
                        <wps:bodyPr rot="0" vert="horz" wrap="square" lIns="0" tIns="0" rIns="0" bIns="0" anchor="t" anchorCtr="0" upright="1">
                          <a:noAutofit/>
                        </wps:bodyPr>
                      </wps:wsp>
                      <wps:wsp>
                        <wps:cNvPr id="2800" name="Rectangle 2891"/>
                        <wps:cNvSpPr>
                          <a:spLocks noChangeArrowheads="1"/>
                        </wps:cNvSpPr>
                        <wps:spPr bwMode="auto">
                          <a:xfrm>
                            <a:off x="1313" y="695"/>
                            <a:ext cx="5694"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4"/>
                                </w:rPr>
                                <w:t>Retail loans</w:t>
                              </w:r>
                            </w:p>
                          </w:txbxContent>
                        </wps:txbx>
                        <wps:bodyPr rot="0" vert="horz" wrap="square" lIns="0" tIns="0" rIns="0" bIns="0" anchor="t" anchorCtr="0" upright="1">
                          <a:noAutofit/>
                        </wps:bodyPr>
                      </wps:wsp>
                      <wps:wsp>
                        <wps:cNvPr id="2801" name="Rectangle 2892"/>
                        <wps:cNvSpPr>
                          <a:spLocks noChangeArrowheads="1"/>
                        </wps:cNvSpPr>
                        <wps:spPr bwMode="auto">
                          <a:xfrm>
                            <a:off x="642" y="2456"/>
                            <a:ext cx="888" cy="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1"/>
                                </w:rPr>
                                <w:t xml:space="preserve">• </w:t>
                              </w:r>
                            </w:p>
                          </w:txbxContent>
                        </wps:txbx>
                        <wps:bodyPr rot="0" vert="horz" wrap="square" lIns="0" tIns="0" rIns="0" bIns="0" anchor="t" anchorCtr="0" upright="1">
                          <a:noAutofit/>
                        </wps:bodyPr>
                      </wps:wsp>
                      <wps:wsp>
                        <wps:cNvPr id="2802" name="Rectangle 2893"/>
                        <wps:cNvSpPr>
                          <a:spLocks noChangeArrowheads="1"/>
                        </wps:cNvSpPr>
                        <wps:spPr bwMode="auto">
                          <a:xfrm>
                            <a:off x="1313" y="2402"/>
                            <a:ext cx="5065"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4"/>
                                </w:rPr>
                                <w:t>Debit card</w:t>
                              </w:r>
                            </w:p>
                          </w:txbxContent>
                        </wps:txbx>
                        <wps:bodyPr rot="0" vert="horz" wrap="square" lIns="0" tIns="0" rIns="0" bIns="0" anchor="t" anchorCtr="0" upright="1">
                          <a:noAutofit/>
                        </wps:bodyPr>
                      </wps:wsp>
                      <wps:wsp>
                        <wps:cNvPr id="2803" name="Rectangle 2894"/>
                        <wps:cNvSpPr>
                          <a:spLocks noChangeArrowheads="1"/>
                        </wps:cNvSpPr>
                        <wps:spPr bwMode="auto">
                          <a:xfrm>
                            <a:off x="642" y="4163"/>
                            <a:ext cx="888" cy="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1"/>
                                </w:rPr>
                                <w:t>•</w:t>
                              </w:r>
                            </w:p>
                          </w:txbxContent>
                        </wps:txbx>
                        <wps:bodyPr rot="0" vert="horz" wrap="square" lIns="0" tIns="0" rIns="0" bIns="0" anchor="t" anchorCtr="0" upright="1">
                          <a:noAutofit/>
                        </wps:bodyPr>
                      </wps:wsp>
                      <wps:wsp>
                        <wps:cNvPr id="2804" name="Rectangle 2895"/>
                        <wps:cNvSpPr>
                          <a:spLocks noChangeArrowheads="1"/>
                        </wps:cNvSpPr>
                        <wps:spPr bwMode="auto">
                          <a:xfrm>
                            <a:off x="1313" y="4109"/>
                            <a:ext cx="5368"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4"/>
                                </w:rPr>
                                <w:t>Credit card</w:t>
                              </w:r>
                            </w:p>
                          </w:txbxContent>
                        </wps:txbx>
                        <wps:bodyPr rot="0" vert="horz" wrap="square" lIns="0" tIns="0" rIns="0" bIns="0" anchor="t" anchorCtr="0" upright="1">
                          <a:noAutofit/>
                        </wps:bodyPr>
                      </wps:wsp>
                      <wps:wsp>
                        <wps:cNvPr id="2805" name="Rectangle 2896"/>
                        <wps:cNvSpPr>
                          <a:spLocks noChangeArrowheads="1"/>
                        </wps:cNvSpPr>
                        <wps:spPr bwMode="auto">
                          <a:xfrm>
                            <a:off x="642" y="5869"/>
                            <a:ext cx="88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1"/>
                                </w:rPr>
                                <w:t>•</w:t>
                              </w:r>
                            </w:p>
                          </w:txbxContent>
                        </wps:txbx>
                        <wps:bodyPr rot="0" vert="horz" wrap="square" lIns="0" tIns="0" rIns="0" bIns="0" anchor="t" anchorCtr="0" upright="1">
                          <a:noAutofit/>
                        </wps:bodyPr>
                      </wps:wsp>
                      <wps:wsp>
                        <wps:cNvPr id="2806" name="Rectangle 2897"/>
                        <wps:cNvSpPr>
                          <a:spLocks noChangeArrowheads="1"/>
                        </wps:cNvSpPr>
                        <wps:spPr bwMode="auto">
                          <a:xfrm>
                            <a:off x="1313" y="5816"/>
                            <a:ext cx="2536"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proofErr w:type="spellStart"/>
                              <w:r>
                                <w:rPr>
                                  <w:rFonts w:ascii="Calibri" w:eastAsia="Calibri" w:hAnsi="Calibri" w:cs="Calibri"/>
                                  <w:b/>
                                  <w:sz w:val="14"/>
                                </w:rPr>
                                <w:t>Atms</w:t>
                              </w:r>
                              <w:proofErr w:type="spellEnd"/>
                            </w:p>
                          </w:txbxContent>
                        </wps:txbx>
                        <wps:bodyPr rot="0" vert="horz" wrap="square" lIns="0" tIns="0" rIns="0" bIns="0" anchor="t" anchorCtr="0" upright="1">
                          <a:noAutofit/>
                        </wps:bodyPr>
                      </wps:wsp>
                      <wps:wsp>
                        <wps:cNvPr id="2807" name="Rectangle 2898"/>
                        <wps:cNvSpPr>
                          <a:spLocks noChangeArrowheads="1"/>
                        </wps:cNvSpPr>
                        <wps:spPr bwMode="auto">
                          <a:xfrm>
                            <a:off x="642" y="7592"/>
                            <a:ext cx="888" cy="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1"/>
                                </w:rPr>
                                <w:t xml:space="preserve">• </w:t>
                              </w:r>
                            </w:p>
                          </w:txbxContent>
                        </wps:txbx>
                        <wps:bodyPr rot="0" vert="horz" wrap="square" lIns="0" tIns="0" rIns="0" bIns="0" anchor="t" anchorCtr="0" upright="1">
                          <a:noAutofit/>
                        </wps:bodyPr>
                      </wps:wsp>
                      <wps:wsp>
                        <wps:cNvPr id="2808" name="Rectangle 2899"/>
                        <wps:cNvSpPr>
                          <a:spLocks noChangeArrowheads="1"/>
                        </wps:cNvSpPr>
                        <wps:spPr bwMode="auto">
                          <a:xfrm>
                            <a:off x="1313" y="7538"/>
                            <a:ext cx="11670"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b/>
                                  <w:sz w:val="14"/>
                                </w:rPr>
                                <w:t xml:space="preserve">NRB Foreign </w:t>
                              </w:r>
                              <w:proofErr w:type="spellStart"/>
                              <w:r>
                                <w:rPr>
                                  <w:rFonts w:ascii="Calibri" w:eastAsia="Calibri" w:hAnsi="Calibri" w:cs="Calibri"/>
                                  <w:b/>
                                  <w:sz w:val="14"/>
                                </w:rPr>
                                <w:t>remittence</w:t>
                              </w:r>
                              <w:proofErr w:type="spellEnd"/>
                            </w:p>
                          </w:txbxContent>
                        </wps:txbx>
                        <wps:bodyPr rot="0" vert="horz" wrap="square" lIns="0" tIns="0" rIns="0" bIns="0" anchor="t" anchorCtr="0" upright="1">
                          <a:noAutofit/>
                        </wps:bodyPr>
                      </wps:wsp>
                      <pic:pic xmlns:pic="http://schemas.openxmlformats.org/drawingml/2006/picture">
                        <pic:nvPicPr>
                          <pic:cNvPr id="2809" name="Picture 607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6441" y="1717"/>
                            <a:ext cx="14192" cy="14192"/>
                          </a:xfrm>
                          <a:prstGeom prst="rect">
                            <a:avLst/>
                          </a:prstGeom>
                          <a:noFill/>
                          <a:extLst>
                            <a:ext uri="{909E8E84-426E-40DD-AFC4-6F175D3DCCD1}">
                              <a14:hiddenFill xmlns:a14="http://schemas.microsoft.com/office/drawing/2010/main">
                                <a:solidFill>
                                  <a:srgbClr val="FFFFFF"/>
                                </a:solidFill>
                              </a14:hiddenFill>
                            </a:ext>
                          </a:extLst>
                        </pic:spPr>
                      </pic:pic>
                      <wps:wsp>
                        <wps:cNvPr id="2810" name="Rectangle 2902"/>
                        <wps:cNvSpPr>
                          <a:spLocks noChangeArrowheads="1"/>
                        </wps:cNvSpPr>
                        <wps:spPr bwMode="auto">
                          <a:xfrm>
                            <a:off x="13522" y="9796"/>
                            <a:ext cx="5410" cy="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Retail</w:t>
                              </w:r>
                            </w:p>
                          </w:txbxContent>
                        </wps:txbx>
                        <wps:bodyPr rot="0" vert="horz" wrap="square" lIns="0" tIns="0" rIns="0" bIns="0" anchor="t" anchorCtr="0" upright="1">
                          <a:noAutofit/>
                        </wps:bodyPr>
                      </wps:wsp>
                      <pic:pic xmlns:pic="http://schemas.openxmlformats.org/drawingml/2006/picture">
                        <pic:nvPicPr>
                          <pic:cNvPr id="2811" name="Picture 290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0226" y="1548"/>
                            <a:ext cx="14394" cy="14409"/>
                          </a:xfrm>
                          <a:prstGeom prst="rect">
                            <a:avLst/>
                          </a:prstGeom>
                          <a:noFill/>
                          <a:extLst>
                            <a:ext uri="{909E8E84-426E-40DD-AFC4-6F175D3DCCD1}">
                              <a14:hiddenFill xmlns:a14="http://schemas.microsoft.com/office/drawing/2010/main">
                                <a:solidFill>
                                  <a:srgbClr val="FFFFFF"/>
                                </a:solidFill>
                              </a14:hiddenFill>
                            </a:ext>
                          </a:extLst>
                        </pic:spPr>
                      </pic:pic>
                      <wps:wsp>
                        <wps:cNvPr id="2812" name="Rectangle 2905"/>
                        <wps:cNvSpPr>
                          <a:spLocks noChangeArrowheads="1"/>
                        </wps:cNvSpPr>
                        <wps:spPr bwMode="auto">
                          <a:xfrm>
                            <a:off x="21813" y="9714"/>
                            <a:ext cx="9690" cy="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 xml:space="preserve">Corporate </w:t>
                              </w:r>
                            </w:p>
                          </w:txbxContent>
                        </wps:txbx>
                        <wps:bodyPr rot="0" vert="horz" wrap="square" lIns="0" tIns="0" rIns="0" bIns="0" anchor="t" anchorCtr="0" upright="1">
                          <a:noAutofit/>
                        </wps:bodyPr>
                      </wps:wsp>
                      <pic:pic xmlns:pic="http://schemas.openxmlformats.org/drawingml/2006/picture">
                        <pic:nvPicPr>
                          <pic:cNvPr id="2813" name="Picture 290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0226" y="15721"/>
                            <a:ext cx="14394" cy="14409"/>
                          </a:xfrm>
                          <a:prstGeom prst="rect">
                            <a:avLst/>
                          </a:prstGeom>
                          <a:noFill/>
                          <a:extLst>
                            <a:ext uri="{909E8E84-426E-40DD-AFC4-6F175D3DCCD1}">
                              <a14:hiddenFill xmlns:a14="http://schemas.microsoft.com/office/drawing/2010/main">
                                <a:solidFill>
                                  <a:srgbClr val="FFFFFF"/>
                                </a:solidFill>
                              </a14:hiddenFill>
                            </a:ext>
                          </a:extLst>
                        </pic:spPr>
                      </pic:pic>
                      <wps:wsp>
                        <wps:cNvPr id="2814" name="Rectangle 2908"/>
                        <wps:cNvSpPr>
                          <a:spLocks noChangeArrowheads="1"/>
                        </wps:cNvSpPr>
                        <wps:spPr bwMode="auto">
                          <a:xfrm>
                            <a:off x="23840" y="18949"/>
                            <a:ext cx="4809" cy="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 xml:space="preserve">SME </w:t>
                              </w:r>
                            </w:p>
                          </w:txbxContent>
                        </wps:txbx>
                        <wps:bodyPr rot="0" vert="horz" wrap="square" lIns="0" tIns="0" rIns="0" bIns="0" anchor="t" anchorCtr="0" upright="1">
                          <a:noAutofit/>
                        </wps:bodyPr>
                      </wps:wsp>
                      <wps:wsp>
                        <wps:cNvPr id="2815" name="Rectangle 2909"/>
                        <wps:cNvSpPr>
                          <a:spLocks noChangeArrowheads="1"/>
                        </wps:cNvSpPr>
                        <wps:spPr bwMode="auto">
                          <a:xfrm>
                            <a:off x="22572" y="20900"/>
                            <a:ext cx="7668" cy="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 xml:space="preserve">Banking </w:t>
                              </w:r>
                            </w:p>
                          </w:txbxContent>
                        </wps:txbx>
                        <wps:bodyPr rot="0" vert="horz" wrap="square" lIns="0" tIns="0" rIns="0" bIns="0" anchor="t" anchorCtr="0" upright="1">
                          <a:noAutofit/>
                        </wps:bodyPr>
                      </wps:wsp>
                      <pic:pic xmlns:pic="http://schemas.openxmlformats.org/drawingml/2006/picture">
                        <pic:nvPicPr>
                          <pic:cNvPr id="2176" name="Picture 6073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6536" y="15845"/>
                            <a:ext cx="13843" cy="14129"/>
                          </a:xfrm>
                          <a:prstGeom prst="rect">
                            <a:avLst/>
                          </a:prstGeom>
                          <a:noFill/>
                          <a:extLst>
                            <a:ext uri="{909E8E84-426E-40DD-AFC4-6F175D3DCCD1}">
                              <a14:hiddenFill xmlns:a14="http://schemas.microsoft.com/office/drawing/2010/main">
                                <a:solidFill>
                                  <a:srgbClr val="FFFFFF"/>
                                </a:solidFill>
                              </a14:hiddenFill>
                            </a:ext>
                          </a:extLst>
                        </pic:spPr>
                      </pic:pic>
                      <wps:wsp>
                        <wps:cNvPr id="2177" name="Rectangle 2912"/>
                        <wps:cNvSpPr>
                          <a:spLocks noChangeArrowheads="1"/>
                        </wps:cNvSpPr>
                        <wps:spPr bwMode="auto">
                          <a:xfrm>
                            <a:off x="12338" y="17980"/>
                            <a:ext cx="8741" cy="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 xml:space="preserve">Treasury </w:t>
                              </w:r>
                            </w:p>
                          </w:txbxContent>
                        </wps:txbx>
                        <wps:bodyPr rot="0" vert="horz" wrap="square" lIns="0" tIns="0" rIns="0" bIns="0" anchor="t" anchorCtr="0" upright="1">
                          <a:noAutofit/>
                        </wps:bodyPr>
                      </wps:wsp>
                      <wps:wsp>
                        <wps:cNvPr id="2178" name="Rectangle 2913"/>
                        <wps:cNvSpPr>
                          <a:spLocks noChangeArrowheads="1"/>
                        </wps:cNvSpPr>
                        <wps:spPr bwMode="auto">
                          <a:xfrm>
                            <a:off x="12018" y="19931"/>
                            <a:ext cx="9621" cy="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 xml:space="preserve">&amp; Market </w:t>
                              </w:r>
                            </w:p>
                          </w:txbxContent>
                        </wps:txbx>
                        <wps:bodyPr rot="0" vert="horz" wrap="square" lIns="0" tIns="0" rIns="0" bIns="0" anchor="t" anchorCtr="0" upright="1">
                          <a:noAutofit/>
                        </wps:bodyPr>
                      </wps:wsp>
                      <wps:wsp>
                        <wps:cNvPr id="2179" name="Rectangle 2914"/>
                        <wps:cNvSpPr>
                          <a:spLocks noChangeArrowheads="1"/>
                        </wps:cNvSpPr>
                        <wps:spPr bwMode="auto">
                          <a:xfrm>
                            <a:off x="13983" y="21882"/>
                            <a:ext cx="3847" cy="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12E" w:rsidRDefault="0050212E">
                              <w:pPr>
                                <w:spacing w:line="276" w:lineRule="auto"/>
                                <w:ind w:left="0" w:firstLine="0"/>
                                <w:jc w:val="left"/>
                              </w:pPr>
                              <w:r>
                                <w:rPr>
                                  <w:rFonts w:ascii="Calibri" w:eastAsia="Calibri" w:hAnsi="Calibri" w:cs="Calibri"/>
                                  <w:sz w:val="28"/>
                                </w:rPr>
                                <w:t xml:space="preserve">Risk </w:t>
                              </w:r>
                            </w:p>
                          </w:txbxContent>
                        </wps:txbx>
                        <wps:bodyPr rot="0" vert="horz" wrap="square" lIns="0" tIns="0" rIns="0" bIns="0" anchor="t" anchorCtr="0" upright="1">
                          <a:noAutofit/>
                        </wps:bodyPr>
                      </wps:wsp>
                      <pic:pic xmlns:pic="http://schemas.openxmlformats.org/drawingml/2006/picture">
                        <pic:nvPicPr>
                          <pic:cNvPr id="2180" name="Picture 29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7757" y="12779"/>
                            <a:ext cx="5311" cy="27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1" name="Picture 607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17776" y="16258"/>
                            <a:ext cx="4984" cy="25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60664" o:spid="_x0000_s1074" style="width:379.1pt;height:251.4pt;mso-position-horizontal-relative:char;mso-position-vertical-relative:line" coordsize="48143,31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">
                <v:rect id="Rectangle 2810" o:spid="_x0000_s1075" style="position:absolute;left:47792;top:30373;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50212E" w:rsidRDefault="0050212E">
                        <w:pPr>
                          <w:spacing w:line="276" w:lineRule="auto"/>
                          <w:ind w:left="0" w:firstLine="0"/>
                          <w:jc w:val="left"/>
                        </w:pPr>
                      </w:p>
                    </w:txbxContent>
                  </v:textbox>
                </v:rect>
                <v:shape id="Shape 2857" o:spid="_x0000_s1076" style="position:absolute;left:25226;top:21283;width:15462;height:10016;visibility:visible;mso-wrap-style:square;v-text-anchor:top" coordsize="1546225,100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qc8MA&#10;AADbAAAADwAAAGRycy9kb3ducmV2LnhtbESPQWvCQBSE70L/w/IK3vSlgjWkboIVAl7V0l5fs69J&#10;aPZtyK4m7a/vCkKPw8x8w2yLyXbqyoNvnWh4WiagWCpnWqk1vJ3LRQrKBxJDnRPW8MMeivxhtqXM&#10;uFGOfD2FWkWI+Iw0NCH0GaKvGrbkl65nid6XGyyFKIcazUBjhNsOV0nyjJZaiQsN9bxvuPo+XayG&#10;83Qoj2X6mX68pr+79TtivR9R6/njtHsBFXgK/+F7+2A0bDZw+xJ/A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Vqc8MAAADbAAAADwAAAAAAAAAAAAAAAACYAgAAZHJzL2Rv&#10;d25yZXYueG1sUEsFBgAAAAAEAAQA9QAAAIgDAAAAAA==&#10;" path="m,100076c,44831,44831,,100203,l1446022,v55372,,100203,44831,100203,100076l1546225,901446v,55245,-44831,100076,-100203,100076l100203,1001522c44831,1001522,,956691,,901446l,100076xe" filled="f" strokecolor="#8064a2">
                  <v:path arrowok="t" o:connecttype="custom" o:connectlocs="0,10;10,0;145,0;155,10;155,90;145,100;10,100;0,90;0,10" o:connectangles="0,0,0,0,0,0,0,0,0" textboxrect="0,0,1546225,1001522"/>
                </v:shape>
                <v:rect id="Rectangle 2858" o:spid="_x0000_s1077" style="position:absolute;left:30399;top:24391;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59" o:spid="_x0000_s1078" style="position:absolute;left:31436;top:24391;width:7115;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SME Deposit </w:t>
                        </w:r>
                      </w:p>
                    </w:txbxContent>
                  </v:textbox>
                </v:rect>
                <v:rect id="Rectangle 2860" o:spid="_x0000_s1079" style="position:absolute;left:30399;top:25702;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61" o:spid="_x0000_s1080" style="position:absolute;left:30979;top:25702;width:5473;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SME Loan </w:t>
                        </w:r>
                      </w:p>
                    </w:txbxContent>
                  </v:textbox>
                </v:rect>
                <v:shape id="Shape 2863" o:spid="_x0000_s1081" style="position:absolute;top:21283;width:15460;height:10016;visibility:visible;mso-wrap-style:square;v-text-anchor:top" coordsize="1546098,100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s38MA&#10;AADbAAAADwAAAGRycy9kb3ducmV2LnhtbESPT4vCMBTE7wt+h/CEva2pHqRU0yLqgrAH8R96fDTP&#10;tti8dJto67c3Cwseh5n5DTPPelOLB7WusqxgPIpAEOdWV1woOB6+v2IQziNrrC2Tgic5yNLBxxwT&#10;bTve0WPvCxEg7BJUUHrfJFK6vCSDbmQb4uBdbWvQB9kWUrfYBbip5SSKptJgxWGhxIaWJeW3/d0o&#10;8M/Vcnf5wW57kr2Np836XPxGSn0O+8UMhKfev8P/7Y1WEE/g70v4AT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xs38MAAADbAAAADwAAAAAAAAAAAAAAAACYAgAAZHJzL2Rv&#10;d25yZXYueG1sUEsFBgAAAAAEAAQA9QAAAIgDAAAAAA==&#10;" path="m,100076c,44831,44831,,100076,l1446022,v55245,,100076,44831,100076,100076l1546098,901446v,55245,-44831,100076,-100076,100076l100076,1001522c44831,1001522,,956691,,901446l,100076xe" filled="f" strokecolor="#4bacc6">
                  <v:path arrowok="t" o:connecttype="custom" o:connectlocs="0,10;10,0;145,0;155,10;155,90;145,100;10,100;0,90;0,10" o:connectangles="0,0,0,0,0,0,0,0,0" textboxrect="0,0,1546098,1001522"/>
                </v:shape>
                <v:rect id="Rectangle 2864" o:spid="_x0000_s1082" style="position:absolute;left:527;top:24391;width:676;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65" o:spid="_x0000_s1083" style="position:absolute;left:1106;top:24391;width:454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Foreign </w:t>
                        </w:r>
                      </w:p>
                    </w:txbxContent>
                  </v:textbox>
                </v:rect>
                <v:rect id="Rectangle 2866" o:spid="_x0000_s1084" style="position:absolute;left:1106;top:25519;width:12113;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50212E" w:rsidRDefault="0050212E">
                        <w:pPr>
                          <w:spacing w:line="276" w:lineRule="auto"/>
                          <w:ind w:left="0" w:firstLine="0"/>
                          <w:jc w:val="left"/>
                        </w:pPr>
                        <w:r>
                          <w:rPr>
                            <w:rFonts w:ascii="Calibri" w:eastAsia="Calibri" w:hAnsi="Calibri" w:cs="Calibri"/>
                            <w:b/>
                            <w:sz w:val="16"/>
                          </w:rPr>
                          <w:t>Exchange(Local &amp; G7)</w:t>
                        </w:r>
                      </w:p>
                    </w:txbxContent>
                  </v:textbox>
                </v:rect>
                <v:rect id="Rectangle 2867" o:spid="_x0000_s1085" style="position:absolute;left:527;top:26814;width:676;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68" o:spid="_x0000_s1086" style="position:absolute;left:1106;top:26814;width:8411;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Money Market </w:t>
                        </w:r>
                      </w:p>
                    </w:txbxContent>
                  </v:textbox>
                </v:rect>
                <v:rect id="Rectangle 2869" o:spid="_x0000_s1087" style="position:absolute;left:527;top:28125;width:676;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70" o:spid="_x0000_s1088" style="position:absolute;left:1106;top:28125;width:8845;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Corporate Sales </w:t>
                        </w:r>
                      </w:p>
                    </w:txbxContent>
                  </v:textbox>
                </v:rect>
                <v:rect id="Rectangle 2871" o:spid="_x0000_s1089" style="position:absolute;left:527;top:29420;width:676;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72" o:spid="_x0000_s1090" style="position:absolute;left:1106;top:29420;width:8591;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ALM &amp; Market </w:t>
                        </w:r>
                      </w:p>
                    </w:txbxContent>
                  </v:textbox>
                </v:rect>
                <v:rect id="Rectangle 2873" o:spid="_x0000_s1091" style="position:absolute;left:1106;top:30533;width:5138;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b/>
                            <w:sz w:val="16"/>
                          </w:rPr>
                          <w:t>Research</w:t>
                        </w:r>
                      </w:p>
                    </w:txbxContent>
                  </v:textbox>
                </v:rect>
                <v:shape id="Shape 2875" o:spid="_x0000_s1092" style="position:absolute;left:25226;width:15462;height:10016;visibility:visible;mso-wrap-style:square;v-text-anchor:top" coordsize="1546225,100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M6MYA&#10;AADdAAAADwAAAGRycy9kb3ducmV2LnhtbESPQWvCQBSE7wX/w/KE3urG0BhJXUWkgRZP2lLx9pp9&#10;JsHdtyG71fTfdwWhx2FmvmEWq8EacaHet44VTCcJCOLK6ZZrBZ8f5dMchA/IGo1jUvBLHlbL0cMC&#10;C+2uvKPLPtQiQtgXqKAJoSuk9FVDFv3EdcTRO7neYoiyr6Xu8Rrh1sg0SWbSYstxocGONg1V5/2P&#10;VfCF9PzO021mvltTHuj1mM+GTKnH8bB+ARFoCP/he/tNK0jzeQa3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ZM6MYAAADdAAAADwAAAAAAAAAAAAAAAACYAgAAZHJz&#10;L2Rvd25yZXYueG1sUEsFBgAAAAAEAAQA9QAAAIsDAAAAAA==&#10;" path="m,100203c,44831,44831,,100203,l1446022,v55372,,100203,44831,100203,100203l1546225,901446v,55372,-44831,100203,-100203,100203l100203,1001649c44831,1001649,,956818,,901446l,100203xe" filled="f" strokecolor="#9bbb59">
                  <v:path arrowok="t" o:connecttype="custom" o:connectlocs="0,10;10,0;145,0;155,10;155,90;145,100;10,100;0,90;0,10" o:connectangles="0,0,0,0,0,0,0,0,0" textboxrect="0,0,1546225,1001649"/>
                </v:shape>
                <v:rect id="Rectangle 2876" o:spid="_x0000_s1093" style="position:absolute;left:30399;top:597;width:679;height:1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kSMUA&#10;AADdAAAADwAAAGRycy9kb3ducmV2LnhtbESPQYvCMBSE74L/ITxhb5rqwa3VKOKu6NFVQb09mmdb&#10;bF5KE213f71ZEDwOM/MNM1u0phQPql1hWcFwEIEgTq0uOFNwPKz7MQjnkTWWlknBLzlYzLudGSba&#10;NvxDj73PRICwS1BB7n2VSOnSnAy6ga2Ig3e1tUEfZJ1JXWMT4KaUoygaS4MFh4UcK1rllN72d6Ng&#10;E1fL89b+NVn5fdmcdqfJ12HilfrotcspCE+tf4df7a1WMPqMx/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SRIxQAAAN0AAAAPAAAAAAAAAAAAAAAAAJgCAABkcnMv&#10;ZG93bnJldi54bWxQSwUGAAAAAAQABAD1AAAAigM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77" o:spid="_x0000_s1094" style="position:absolute;left:30979;top:597;width:10394;height:1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B08cA&#10;AADdAAAADwAAAGRycy9kb3ducmV2LnhtbESPQWvCQBSE74L/YXlCb7rRQxOjawi2Yo6tFqy3R/Y1&#10;Cc2+DdnVpP313UKhx2FmvmG22WhacafeNZYVLBcRCOLS6oYrBW/nwzwB4TyyxtYyKfgiB9luOtli&#10;qu3Ar3Q/+UoECLsUFdTed6mUrqzJoFvYjjh4H7Y36IPsK6l7HALctHIVRY/SYMNhocaO9jWVn6eb&#10;UXBMuvy9sN9D1T5fj5eXy/rpvPZKPczGfAPC0+j/w3/tQitYxUkMv2/CE5C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RgdP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Structured finance </w:t>
                        </w:r>
                      </w:p>
                    </w:txbxContent>
                  </v:textbox>
                </v:rect>
                <v:rect id="Rectangle 2878" o:spid="_x0000_s1095" style="position:absolute;left:30399;top:1912;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4VocIA&#10;AADdAAAADwAAAGRycy9kb3ducmV2LnhtbERPTYvCMBC9C/6HMMLeNNWD1moU0RU9uiqot6EZ22Iz&#10;KU3Wdv315rDg8fG+58vWlOJJtSssKxgOIhDEqdUFZwrOp20/BuE8ssbSMin4IwfLRbczx0Tbhn/o&#10;efSZCCHsElSQe18lUro0J4NuYCviwN1tbdAHWGdS19iEcFPKURSNpcGCQ0OOFa1zSh/HX6NgF1er&#10;696+mqz8vu0uh8t0c5p6pb567WoGwlPrP+J/914rGE3i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hWhwgAAAN0AAAAPAAAAAAAAAAAAAAAAAJgCAABkcnMvZG93&#10;bnJldi54bWxQSwUGAAAAAAQABAD1AAAAhwM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79" o:spid="_x0000_s1096" style="position:absolute;left:30979;top:1912;width:6464;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KwOsYA&#10;AADdAAAADwAAAGRycy9kb3ducmV2LnhtbESPT2vCQBTE74LfYXlCb7rRg01SVxH/oEergu3tkX1N&#10;gtm3IbuatJ/eLQgeh5n5DTNbdKYSd2pcaVnBeBSBIM6sLjlXcD5thzEI55E1VpZJwS85WMz7vRmm&#10;2rb8Sfejz0WAsEtRQeF9nUrpsoIMupGtiYP3YxuDPsgml7rBNsBNJSdRNJUGSw4LBda0Kii7Hm9G&#10;wS6ul197+9fm1eZ7dzlckvUp8Uq9DbrlBwhPnX+Fn+29VjB5jx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KwOs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b/>
                            <w:sz w:val="16"/>
                          </w:rPr>
                          <w:t>syndication</w:t>
                        </w:r>
                      </w:p>
                    </w:txbxContent>
                  </v:textbox>
                </v:rect>
                <v:rect id="Rectangle 2880" o:spid="_x0000_s1097" style="position:absolute;left:30399;top:3208;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esIA&#10;AADdAAAADwAAAGRycy9kb3ducmV2LnhtbERPTYvCMBC9C/6HMMLeNNWD2moU0RU9uiqot6EZ22Iz&#10;KU3Wdv315rDg8fG+58vWlOJJtSssKxgOIhDEqdUFZwrOp21/CsJ5ZI2lZVLwRw6Wi25njom2Df/Q&#10;8+gzEULYJagg975KpHRpTgbdwFbEgbvb2qAPsM6krrEJ4aaUoygaS4MFh4YcK1rnlD6Ov0bBblqt&#10;rnv7arLy+7a7HC7x5hR7pb567WoGwlPrP+J/914rGE3i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Y96wgAAAN0AAAAPAAAAAAAAAAAAAAAAAJgCAABkcnMvZG93&#10;bnJldi54bWxQSwUGAAAAAAQABAD1AAAAhwM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81" o:spid="_x0000_s1098" style="position:absolute;left:30979;top:3208;width:1025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q4ccA&#10;AADdAAAADwAAAGRycy9kb3ducmV2LnhtbESPQWvCQBSE7wX/w/KE3upGD62JriFoix5bI0Rvj+wz&#10;CWbfhuzWpP313UKhx2FmvmHW6WhacafeNZYVzGcRCOLS6oYrBaf87WkJwnlkja1lUvBFDtLN5GGN&#10;ibYDf9D96CsRIOwSVFB73yVSurImg25mO+LgXW1v0AfZV1L3OAS4aeUiip6lwYbDQo0dbWsqb8dP&#10;o2C/7LLzwX4PVft62RfvRbzLY6/U43TMViA8jf4//Nc+aAWLl3g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tKuH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Equity investment </w:t>
                        </w:r>
                      </w:p>
                    </w:txbxContent>
                  </v:textbox>
                </v:rect>
                <v:rect id="Rectangle 2882" o:spid="_x0000_s1099" style="position:absolute;left:30399;top:4518;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s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X5IY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tJb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83" o:spid="_x0000_s1100" style="position:absolute;left:30979;top:4518;width:755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RDcYA&#10;AADdAAAADwAAAGRycy9kb3ducmV2LnhtbESPQWvCQBSE74L/YXkFb7qpQj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MRDc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Foreign trade </w:t>
                        </w:r>
                      </w:p>
                    </w:txbxContent>
                  </v:textbox>
                </v:rect>
                <v:rect id="Rectangle 2884" o:spid="_x0000_s1101" style="position:absolute;left:30399;top:5814;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qJecYA&#10;AADdAAAADwAAAGRycy9kb3ducmV2LnhtbESPQWvCQBSE74L/YXkFb7qpSD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qJec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85" o:spid="_x0000_s1102" style="position:absolute;left:30979;top:5814;width:8525;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Ys4sYA&#10;AADdAAAADwAAAGRycy9kb3ducmV2LnhtbESPQWvCQBSE74L/YXkFb7qpYD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BYs4s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Islamic Finance </w:t>
                        </w:r>
                      </w:p>
                    </w:txbxContent>
                  </v:textbox>
                </v:rect>
                <v:rect id="Rectangle 2886" o:spid="_x0000_s1103" style="position:absolute;left:30399;top:7124;width:6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ylcUA&#10;AADdAAAADwAAAGRycy9kb3ducmV2LnhtbESPQYvCMBSE74L/ITxhb5rqQW01irgrenRVUG+P5tkW&#10;m5fSRNv115uFhT0OM/MNM1+2phRPql1hWcFwEIEgTq0uOFNwOm76UxDOI2ssLZOCH3KwXHQ7c0y0&#10;bfibngefiQBhl6CC3PsqkdKlORl0A1sRB+9ma4M+yDqTusYmwE0pR1E0lgYLDgs5VrTOKb0fHkbB&#10;dlqtLjv7arLy67o978/x5zH2Sn302tUMhKfW/4f/2jutYDSJx/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LKVxQAAAN0AAAAPAAAAAAAAAAAAAAAAAJgCAABkcnMv&#10;ZG93bnJldi54bWxQSwUGAAAAAAQABAD1AAAAigMAAAAA&#10;" filled="f" stroked="f">
                  <v:textbox inset="0,0,0,0">
                    <w:txbxContent>
                      <w:p w:rsidR="0050212E" w:rsidRDefault="0050212E">
                        <w:pPr>
                          <w:spacing w:line="276" w:lineRule="auto"/>
                          <w:ind w:left="0" w:firstLine="0"/>
                          <w:jc w:val="left"/>
                        </w:pPr>
                        <w:r>
                          <w:rPr>
                            <w:rFonts w:ascii="Calibri" w:eastAsia="Calibri" w:hAnsi="Calibri" w:cs="Calibri"/>
                            <w:sz w:val="16"/>
                          </w:rPr>
                          <w:t>•</w:t>
                        </w:r>
                      </w:p>
                    </w:txbxContent>
                  </v:textbox>
                </v:rect>
                <v:rect id="Rectangle 2887" o:spid="_x0000_s1104" style="position:absolute;left:32122;top:7124;width:416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gXDsUA&#10;AADdAAAADwAAAGRycy9kb3ducmV2LnhtbESPT4vCMBTE7wv7HcJb8Lam60FtNYqsLnr0H6i3R/Ns&#10;i81LabK2+umNIHgcZuY3zHjamlJcqXaFZQU/3QgEcWp1wZmC/e7vewjCeWSNpWVScCMH08nnxxgT&#10;bRve0HXrMxEg7BJUkHtfJVK6NCeDrmsr4uCdbW3QB1lnUtfYBLgpZS+K+tJgwWEhx4p+c0ov23+j&#10;YDmsZseVvTdZuTgtD+tDPN/FXqnOVzsbgfDU+nf41V5pBb1BPID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iBcOxQAAAN0AAAAPAAAAAAAAAAAAAAAAAJgCAABkcnMv&#10;ZG93bnJldi54bWxQSwUGAAAAAAQABAD1AAAAigMAAAAA&#10;" filled="f" stroked="f">
                  <v:textbox inset="0,0,0,0">
                    <w:txbxContent>
                      <w:p w:rsidR="0050212E" w:rsidRDefault="0050212E">
                        <w:pPr>
                          <w:spacing w:line="276" w:lineRule="auto"/>
                          <w:ind w:left="0" w:firstLine="0"/>
                          <w:jc w:val="left"/>
                        </w:pPr>
                        <w:r>
                          <w:rPr>
                            <w:rFonts w:ascii="Calibri" w:eastAsia="Calibri" w:hAnsi="Calibri" w:cs="Calibri"/>
                            <w:b/>
                            <w:sz w:val="16"/>
                          </w:rPr>
                          <w:t xml:space="preserve">Leasing </w:t>
                        </w:r>
                      </w:p>
                    </w:txbxContent>
                  </v:textbox>
                </v:rect>
                <v:shape id="Shape 2889" o:spid="_x0000_s1105" style="position:absolute;width:15460;height:10016;visibility:visible;mso-wrap-style:square;v-text-anchor:top" coordsize="1546098,100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F08AA&#10;AADdAAAADwAAAGRycy9kb3ducmV2LnhtbERPy4rCMBTdD/gP4QruxlQXjlajiDDg4IjPD7g016ba&#10;3JQm2vr3ZiG4PJz3bNHaUjyo9oVjBYN+AoI4c7rgXMH59Ps9BuEDssbSMSl4kofFvPM1w1S7hg/0&#10;OIZcxBD2KSowIVSplD4zZNH3XUUcuYurLYYI61zqGpsYbks5TJKRtFhwbDBY0cpQdjverYJ/uVsH&#10;c91vyd5Pmz9b4a4Zo1K9brucggjUho/47V5rBcOfSZwb38Qn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VF08AAAADdAAAADwAAAAAAAAAAAAAAAACYAgAAZHJzL2Rvd25y&#10;ZXYueG1sUEsFBgAAAAAEAAQA9QAAAIUDAAAAAA==&#10;" path="m,100203c,44831,44831,,100076,l1446022,v55245,,100076,44831,100076,100203l1546098,901446v,55372,-44831,100203,-100076,100203l100076,1001649c44831,1001649,,956818,,901446l,100203xe" filled="f" strokecolor="#c0504d">
                  <v:path arrowok="t" o:connecttype="custom" o:connectlocs="0,10;10,0;145,0;155,10;155,90;145,100;10,100;0,90;0,10" o:connectangles="0,0,0,0,0,0,0,0,0" textboxrect="0,0,1546098,1001649"/>
                </v:shape>
                <v:rect id="Rectangle 2890" o:spid="_x0000_s1106" style="position:absolute;left:642;top:749;width:888;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m58cA&#10;AADdAAAADwAAAGRycy9kb3ducmV2LnhtbESPQWvCQBSE70L/w/IK3nTTHFoTXUVaS3KssWB7e2Sf&#10;SWj2bciuJvbXdwWhx2FmvmFWm9G04kK9aywreJpHIIhLqxuuFHwe3mcLEM4ja2wtk4IrOdisHyYr&#10;TLUdeE+XwlciQNilqKD2vkuldGVNBt3cdsTBO9neoA+yr6TucQhw08o4ip6lwYbDQo0dvdZU/hRn&#10;oyBbdNuv3P4OVbv7zo4fx+TtkHilpo/jdgnC0+j/w/d2rhXEL0kCt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bJuf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1"/>
                          </w:rPr>
                          <w:t>•</w:t>
                        </w:r>
                      </w:p>
                    </w:txbxContent>
                  </v:textbox>
                </v:rect>
                <v:rect id="Rectangle 2891" o:spid="_x0000_s1107" style="position:absolute;left:1313;top:695;width:5694;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q8EA&#10;AADdAAAADwAAAGRycy9kb3ducmV2LnhtbERPy4rCMBTdD/gP4QruxlQXUqtRRGfQpS9Qd5fm2hab&#10;m9JEW/16sxBcHs57Om9NKR5Uu8KygkE/AkGcWl1wpuB4+P+NQTiPrLG0TAqe5GA+6/xMMdG24R09&#10;9j4TIYRdggpy76tESpfmZND1bUUcuKutDfoA60zqGpsQbko5jKKRNFhwaMixomVO6W1/NwrWcbU4&#10;b+yrycq/y/q0PY1Xh7FXqtdtFxMQnlr/FX/cG61gGEdhf3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fjqvBAAAA3QAAAA8AAAAAAAAAAAAAAAAAmAIAAGRycy9kb3du&#10;cmV2LnhtbFBLBQYAAAAABAAEAPUAAACGAwAAAAA=&#10;" filled="f" stroked="f">
                  <v:textbox inset="0,0,0,0">
                    <w:txbxContent>
                      <w:p w:rsidR="0050212E" w:rsidRDefault="0050212E">
                        <w:pPr>
                          <w:spacing w:line="276" w:lineRule="auto"/>
                          <w:ind w:left="0" w:firstLine="0"/>
                          <w:jc w:val="left"/>
                        </w:pPr>
                        <w:r>
                          <w:rPr>
                            <w:rFonts w:ascii="Calibri" w:eastAsia="Calibri" w:hAnsi="Calibri" w:cs="Calibri"/>
                            <w:b/>
                            <w:sz w:val="14"/>
                          </w:rPr>
                          <w:t>Retail loans</w:t>
                        </w:r>
                      </w:p>
                    </w:txbxContent>
                  </v:textbox>
                </v:rect>
                <v:rect id="Rectangle 2892" o:spid="_x0000_s1108" style="position:absolute;left:642;top:2456;width:888;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rMMYA&#10;AADdAAAADwAAAGRycy9kb3ducmV2LnhtbESPQWvCQBSE70L/w/IKvZmNHkqSZhVpFT1aU0h7e2Sf&#10;STD7NmS3JvXXdwsFj8PMfMPk68l04kqDay0rWEQxCOLK6pZrBR/Fbp6AcB5ZY2eZFPyQg/XqYZZj&#10;pu3I73Q9+VoECLsMFTTe95mUrmrIoItsTxy8sx0M+iCHWuoBxwA3nVzG8bM02HJYaLCn14aqy+nb&#10;KNgn/ebzYG9j3W2/9uWxTN+K1Cv19DhtXkB4mvw9/N8+aAXLJF7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MrMM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sz w:val="21"/>
                          </w:rPr>
                          <w:t xml:space="preserve">• </w:t>
                        </w:r>
                      </w:p>
                    </w:txbxContent>
                  </v:textbox>
                </v:rect>
                <v:rect id="Rectangle 2893" o:spid="_x0000_s1109" style="position:absolute;left:1313;top:2402;width:5065;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1R8UA&#10;AADdAAAADwAAAGRycy9kb3ducmV2LnhtbESPQYvCMBSE74L/ITzBm6b2ILUaRXQXPbq6oN4ezbMt&#10;Ni+libb66zcLC3scZuYbZrHqTCWe1LjSsoLJOAJBnFldcq7g+/Q5SkA4j6yxskwKXuRgtez3Fphq&#10;2/IXPY8+FwHCLkUFhfd1KqXLCjLoxrYmDt7NNgZ9kE0udYNtgJtKxlE0lQZLDgsF1rQpKLsfH0bB&#10;LqnXl719t3n1cd2dD+fZ9jTzSg0H3XoOwlPn/8N/7b1WECdR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QbVHxQAAAN0AAAAPAAAAAAAAAAAAAAAAAJgCAABkcnMv&#10;ZG93bnJldi54bWxQSwUGAAAAAAQABAD1AAAAigMAAAAA&#10;" filled="f" stroked="f">
                  <v:textbox inset="0,0,0,0">
                    <w:txbxContent>
                      <w:p w:rsidR="0050212E" w:rsidRDefault="0050212E">
                        <w:pPr>
                          <w:spacing w:line="276" w:lineRule="auto"/>
                          <w:ind w:left="0" w:firstLine="0"/>
                          <w:jc w:val="left"/>
                        </w:pPr>
                        <w:r>
                          <w:rPr>
                            <w:rFonts w:ascii="Calibri" w:eastAsia="Calibri" w:hAnsi="Calibri" w:cs="Calibri"/>
                            <w:b/>
                            <w:sz w:val="14"/>
                          </w:rPr>
                          <w:t>Debit card</w:t>
                        </w:r>
                      </w:p>
                    </w:txbxContent>
                  </v:textbox>
                </v:rect>
                <v:rect id="Rectangle 2894" o:spid="_x0000_s1110" style="position:absolute;left:642;top:4163;width:888;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0Q3MYA&#10;AADdAAAADwAAAGRycy9kb3ducmV2LnhtbESPQWvCQBSE7wX/w/KE3uqmEUqMrhK0Eo+tCra3R/aZ&#10;hGbfhuw2SfvruwXB4zAz3zCrzWga0VPnassKnmcRCOLC6ppLBefT/ikB4TyyxsYyKfghB5v15GGF&#10;qbYDv1N/9KUIEHYpKqi8b1MpXVGRQTezLXHwrrYz6IPsSqk7HALcNDKOohdpsOawUGFL24qKr+O3&#10;UZAnbfZxsL9D2bx+5pe3y2J3WnilHqdjtgThafT38K190AriJJ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0Q3M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sz w:val="21"/>
                          </w:rPr>
                          <w:t>•</w:t>
                        </w:r>
                      </w:p>
                    </w:txbxContent>
                  </v:textbox>
                </v:rect>
                <v:rect id="Rectangle 2895" o:spid="_x0000_s1111" style="position:absolute;left:1313;top:4109;width:5368;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IqMYA&#10;AADdAAAADwAAAGRycy9kb3ducmV2LnhtbESPQWvCQBSE7wX/w/KE3uqmQUqMrhK0Eo+tCra3R/aZ&#10;hGbfhuw2SfvruwXB4zAz3zCrzWga0VPnassKnmcRCOLC6ppLBefT/ikB4TyyxsYyKfghB5v15GGF&#10;qbYDv1N/9KUIEHYpKqi8b1MpXVGRQTezLXHwrrYz6IPsSqk7HALcNDKOohdpsOawUGFL24qKr+O3&#10;UZAnbfZxsL9D2bx+5pe3y2J3WnilHqdjtgThafT38K190AriJJ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SIqM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b/>
                            <w:sz w:val="14"/>
                          </w:rPr>
                          <w:t>Credit card</w:t>
                        </w:r>
                      </w:p>
                    </w:txbxContent>
                  </v:textbox>
                </v:rect>
                <v:rect id="Rectangle 2896" o:spid="_x0000_s1112" style="position:absolute;left:642;top:5869;width:888;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gtM8YA&#10;AADdAAAADwAAAGRycy9kb3ducmV2LnhtbESPQWvCQBSE7wX/w/KE3uqmAUuMrhK0Eo+tCra3R/aZ&#10;hGbfhuw2SfvruwXB4zAz3zCrzWga0VPnassKnmcRCOLC6ppLBefT/ikB4TyyxsYyKfghB5v15GGF&#10;qbYDv1N/9KUIEHYpKqi8b1MpXVGRQTezLXHwrrYz6IPsSqk7HALcNDKOohdpsOawUGFL24qKr+O3&#10;UZAnbfZxsL9D2bx+5pe3y2J3WnilHqdjtgThafT38K190AriJJ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gtM8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sz w:val="21"/>
                          </w:rPr>
                          <w:t>•</w:t>
                        </w:r>
                      </w:p>
                    </w:txbxContent>
                  </v:textbox>
                </v:rect>
                <v:rect id="Rectangle 2897" o:spid="_x0000_s1113" style="position:absolute;left:1313;top:5816;width:2536;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zRMYA&#10;AADdAAAADwAAAGRycy9kb3ducmV2LnhtbESPQWvCQBSE74L/YXlCb7qph5CkriLVYo6tEbS3R/aZ&#10;BLNvQ3Zr0v76bqHgcZiZb5jVZjStuFPvGssKnhcRCOLS6oYrBafibZ6AcB5ZY2uZFHyTg816Ollh&#10;pu3AH3Q/+koECLsMFdTed5mUrqzJoFvYjjh4V9sb9EH2ldQ9DgFuWrmMolgabDgs1NjRa03l7fhl&#10;FBySbnvJ7c9QtfvPw/n9nO6K1Cv1NBu3LyA8jf4R/m/nWsEyiW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qzRM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b/>
                            <w:sz w:val="14"/>
                          </w:rPr>
                          <w:t>Atms</w:t>
                        </w:r>
                      </w:p>
                    </w:txbxContent>
                  </v:textbox>
                </v:rect>
                <v:rect id="Rectangle 2898" o:spid="_x0000_s1114" style="position:absolute;left:642;top:7592;width:888;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W38cA&#10;AADdAAAADwAAAGRycy9kb3ducmV2LnhtbESPQWvCQBSE7wX/w/KE3uqmOdgYXSVoJR5bFWxvj+wz&#10;Cc2+DdltkvbXdwuCx2FmvmFWm9E0oqfO1ZYVPM8iEMSF1TWXCs6n/VMCwnlkjY1lUvBDDjbrycMK&#10;U20Hfqf+6EsRIOxSVFB536ZSuqIig25mW+LgXW1n0AfZlVJ3OAS4aWQcRXNpsOawUGFL24qKr+O3&#10;UZAnbfZxsL9D2bx+5pe3y2J3WnilHqdjtgThafT38K190AriJHqB/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2Ft/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1"/>
                          </w:rPr>
                          <w:t xml:space="preserve">• </w:t>
                        </w:r>
                      </w:p>
                    </w:txbxContent>
                  </v:textbox>
                </v:rect>
                <v:rect id="Rectangle 2899" o:spid="_x0000_s1115" style="position:absolute;left:1313;top:7538;width:11670;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CrcEA&#10;AADdAAAADwAAAGRycy9kb3ducmV2LnhtbERPy4rCMBTdD/gP4QruxlQXUqtRRGfQpS9Qd5fm2hab&#10;m9JEW/16sxBcHs57Om9NKR5Uu8KygkE/AkGcWl1wpuB4+P+NQTiPrLG0TAqe5GA+6/xMMdG24R09&#10;9j4TIYRdggpy76tESpfmZND1bUUcuKutDfoA60zqGpsQbko5jKKRNFhwaMixomVO6W1/NwrWcbU4&#10;b+yrycq/y/q0PY1Xh7FXqtdtFxMQnlr/FX/cG61gGEdhbn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pgq3BAAAA3QAAAA8AAAAAAAAAAAAAAAAAmAIAAGRycy9kb3du&#10;cmV2LnhtbFBLBQYAAAAABAAEAPUAAACGAwAAAAA=&#10;" filled="f" stroked="f">
                  <v:textbox inset="0,0,0,0">
                    <w:txbxContent>
                      <w:p w:rsidR="0050212E" w:rsidRDefault="0050212E">
                        <w:pPr>
                          <w:spacing w:line="276" w:lineRule="auto"/>
                          <w:ind w:left="0" w:firstLine="0"/>
                          <w:jc w:val="left"/>
                        </w:pPr>
                        <w:r>
                          <w:rPr>
                            <w:rFonts w:ascii="Calibri" w:eastAsia="Calibri" w:hAnsi="Calibri" w:cs="Calibri"/>
                            <w:b/>
                            <w:sz w:val="14"/>
                          </w:rPr>
                          <w:t>NRB Foreign remittence</w:t>
                        </w:r>
                      </w:p>
                    </w:txbxContent>
                  </v:textbox>
                </v:rect>
                <v:shape id="Picture 60730" o:spid="_x0000_s1116" type="#_x0000_t75" style="position:absolute;left:6441;top:1717;width:14192;height:14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A+yLHAAAA3QAAAA8AAABkcnMvZG93bnJldi54bWxEj0FrwkAUhO8F/8PyCt7qph6spq4iYqsn&#10;wVRovT2yzySYfRt3VxP7612h0OMwM98w03lnanEl5yvLCl4HCQji3OqKCwX7r4+XMQgfkDXWlknB&#10;jTzMZ72nKabatryjaxYKESHsU1RQhtCkUvq8JIN+YBvi6B2tMxiidIXUDtsIN7UcJslIGqw4LpTY&#10;0LKk/JRdjIKJ27dv2/VtJc+/x+znszusv8NBqf5zt3gHEagL/+G/9kYrGI6TCTzexCcgZ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qA+yLHAAAA3QAAAA8AAAAAAAAAAAAA&#10;AAAAnwIAAGRycy9kb3ducmV2LnhtbFBLBQYAAAAABAAEAPcAAACTAwAAAAA=&#10;">
                  <v:imagedata r:id="rId64" o:title=""/>
                </v:shape>
                <v:rect id="Rectangle 2902" o:spid="_x0000_s1117" style="position:absolute;left:13522;top:9796;width:5410;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YdsMA&#10;AADdAAAADwAAAGRycy9kb3ducmV2LnhtbERPy4rCMBTdC/5DuMLsNNWF1GpaxAe6nFFB3V2aO22Z&#10;5qY00Xbm6ycLweXhvFdZb2rxpNZVlhVMJxEI4tzqigsFl/N+HINwHlljbZkU/JKDLB0OVpho2/EX&#10;PU++ECGEXYIKSu+bREqXl2TQTWxDHLhv2xr0AbaF1C12IdzUchZFc2mw4tBQYkObkvKf08MoOMTN&#10;+na0f11R7+6H6+d1sT0vvFIfo369BOGp92/xy33UCmbxNOwPb8IT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YYdsMAAADdAAAADwAAAAAAAAAAAAAAAACYAgAAZHJzL2Rv&#10;d25yZXYueG1sUEsFBgAAAAAEAAQA9QAAAIgDAAAAAA==&#10;" filled="f" stroked="f">
                  <v:textbox inset="0,0,0,0">
                    <w:txbxContent>
                      <w:p w:rsidR="0050212E" w:rsidRDefault="0050212E">
                        <w:pPr>
                          <w:spacing w:line="276" w:lineRule="auto"/>
                          <w:ind w:left="0" w:firstLine="0"/>
                          <w:jc w:val="left"/>
                        </w:pPr>
                        <w:r>
                          <w:rPr>
                            <w:rFonts w:ascii="Calibri" w:eastAsia="Calibri" w:hAnsi="Calibri" w:cs="Calibri"/>
                            <w:sz w:val="28"/>
                          </w:rPr>
                          <w:t>Retail</w:t>
                        </w:r>
                      </w:p>
                    </w:txbxContent>
                  </v:textbox>
                </v:rect>
                <v:shape id="Picture 2904" o:spid="_x0000_s1118" type="#_x0000_t75" style="position:absolute;left:20226;top:1548;width:14394;height:14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tzXFAAAA3QAAAA8AAABkcnMvZG93bnJldi54bWxEj0FrwkAUhO+C/2F5gjfdREKR6CqiCOlF&#10;qBXx+Mw+k+Du25Ddauyv7xYKPQ4z8w2zXPfWiAd1vnGsIJ0mIIhLpxuuFJw+95M5CB+QNRrHpOBF&#10;Htar4WCJuXZP/qDHMVQiQtjnqKAOoc2l9GVNFv3UtcTRu7nOYoiyq6Tu8Bnh1shZkrxJiw3HhRpb&#10;2tZU3o9fVkHw32dTJO+ZPGyvqTkXl90hy5Qaj/rNAkSgPvyH/9qFVjCbpyn8volP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P7c1xQAAAN0AAAAPAAAAAAAAAAAAAAAA&#10;AJ8CAABkcnMvZG93bnJldi54bWxQSwUGAAAAAAQABAD3AAAAkQMAAAAA&#10;">
                  <v:imagedata r:id="rId65" o:title=""/>
                </v:shape>
                <v:rect id="Rectangle 2905" o:spid="_x0000_s1119" style="position:absolute;left:21813;top:9714;width:9690;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mscA&#10;AADdAAAADwAAAGRycy9kb3ducmV2LnhtbESPzWrDMBCE74W+g9hCb7UcH4rjRgmhTYiP+Sm4vS3W&#10;1ja1VsZSbTdPHwUCOQ4z8w2zWE2mFQP1rrGsYBbFIIhLqxuuFHyeti8pCOeRNbaWScE/OVgtHx8W&#10;mGk78oGGo69EgLDLUEHtfZdJ6cqaDLrIdsTB+7G9QR9kX0nd4xjgppVJHL9Kgw2HhRo7eq+p/D3+&#10;GQW7tFt/5fY8Vu3me1fsi/nHae6Ven6a1m8gPE3+Hr61c60gSWcJ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YI5r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8"/>
                          </w:rPr>
                          <w:t xml:space="preserve">Corporate </w:t>
                        </w:r>
                      </w:p>
                    </w:txbxContent>
                  </v:textbox>
                </v:rect>
                <v:shape id="Picture 2907" o:spid="_x0000_s1120" type="#_x0000_t75" style="position:absolute;left:20226;top:15721;width:14394;height:14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IixLGAAAA3QAAAA8AAABkcnMvZG93bnJldi54bWxEj91qAjEUhO8LvkM4Qu9qVqVFV6OUUktr&#10;RfzD68PmuFncnGyTVNe3bwqFXg4z8w0znbe2FhfyoXKsoN/LQBAXTldcKjjsFw8jECEia6wdk4Ib&#10;BZjPOndTzLW78pYuu1iKBOGQowITY5NLGQpDFkPPNcTJOzlvMSbpS6k9XhPc1nKQZU/SYsVpwWBD&#10;L4aK8+7bKliuHtdH/2G+TrfXt+UGP4uxzIJS9932eQIiUhv/w3/td61gMOoP4fdNegJy9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0iLEsYAAADdAAAADwAAAAAAAAAAAAAA&#10;AACfAgAAZHJzL2Rvd25yZXYueG1sUEsFBgAAAAAEAAQA9wAAAJIDAAAAAA==&#10;">
                  <v:imagedata r:id="rId66" o:title=""/>
                </v:shape>
                <v:rect id="Rectangle 2908" o:spid="_x0000_s1121" style="position:absolute;left:23840;top:18949;width:4809;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edccA&#10;AADdAAAADwAAAGRycy9kb3ducmV2LnhtbESPQWvCQBSE7wX/w/KE3upGKSVG1xC0JTm2Kqi3R/aZ&#10;BLNvQ3Zr0v76bqHQ4zAz3zDrdDStuFPvGssK5rMIBHFpdcOVguPh7SkG4TyyxtYyKfgiB+lm8rDG&#10;RNuBP+i+95UIEHYJKqi97xIpXVmTQTezHXHwrrY36IPsK6l7HALctHIRRS/SYMNhocaOtjWVt/2n&#10;UZDHXXYu7PdQta+X/PR+Wu4OS6/U43TMViA8jf4//NcutIJFPH+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9HnX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8"/>
                          </w:rPr>
                          <w:t xml:space="preserve">SME </w:t>
                        </w:r>
                      </w:p>
                    </w:txbxContent>
                  </v:textbox>
                </v:rect>
                <v:rect id="Rectangle 2909" o:spid="_x0000_s1122" style="position:absolute;left:22572;top:20900;width:7668;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G77scA&#10;AADdAAAADwAAAGRycy9kb3ducmV2LnhtbESPQWvCQBSE7wX/w/KE3upGoSVG1xC0JTm2Kqi3R/aZ&#10;BLNvQ3Zr0v76bqHQ4zAz3zDrdDStuFPvGssK5rMIBHFpdcOVguPh7SkG4TyyxtYyKfgiB+lm8rDG&#10;RNuBP+i+95UIEHYJKqi97xIpXVmTQTezHXHwrrY36IPsK6l7HALctHIRRS/SYMNhocaOtjWVt/2n&#10;UZDHXXYu7PdQta+X/PR+Wu4OS6/U43TMViA8jf4//NcutIJFPH+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xu+7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8"/>
                          </w:rPr>
                          <w:t xml:space="preserve">Banking </w:t>
                        </w:r>
                      </w:p>
                    </w:txbxContent>
                  </v:textbox>
                </v:rect>
                <v:shape id="Picture 60731" o:spid="_x0000_s1123" type="#_x0000_t75" style="position:absolute;left:6536;top:15845;width:13843;height:14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3pWHFAAAA3QAAAA8AAABkcnMvZG93bnJldi54bWxEj9FqwkAURN8L/sNyhb7VTUKwEl1FLIW8&#10;lLbqB1yy12wwezdkNybt13cFoY/DzJxhNrvJtuJGvW8cK0gXCQjiyumGawXn0/vLCoQPyBpbx6Tg&#10;hzzstrOnDRbajfxNt2OoRYSwL1CBCaErpPSVIYt+4Tri6F1cbzFE2ddS9zhGuG1lliRLabHhuGCw&#10;o4Oh6nocrIIpzT+T39SdB1N6P7Rv7utD5ko9z6f9GkSgKfyHH+1SK8jS1yXc38QnIL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N6VhxQAAAN0AAAAPAAAAAAAAAAAAAAAA&#10;AJ8CAABkcnMvZG93bnJldi54bWxQSwUGAAAAAAQABAD3AAAAkQMAAAAA&#10;">
                  <v:imagedata r:id="rId67" o:title=""/>
                </v:shape>
                <v:rect id="Rectangle 2912" o:spid="_x0000_s1124" style="position:absolute;left:12338;top:17980;width:874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zDMYA&#10;AADdAAAADwAAAGRycy9kb3ducmV2LnhtbESPQWvCQBSE70L/w/KE3swmHqpGVwltRY+tFqK3R/aZ&#10;BLNvQ3Y1aX99tyD0OMzMN8xqM5hG3KlztWUFSRSDIC6srrlU8HXcTuYgnEfW2FgmBd/kYLN+Gq0w&#10;1bbnT7offCkChF2KCirv21RKV1Rk0EW2JQ7exXYGfZBdKXWHfYCbRk7j+EUarDksVNjSa0XF9XAz&#10;CnbzNjvt7U9fNu/nXf6RL96OC6/U83jIliA8Df4//GjvtYJpMpvB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8zDMYAAADdAAAADwAAAAAAAAAAAAAAAACYAgAAZHJz&#10;L2Rvd25yZXYueG1sUEsFBgAAAAAEAAQA9QAAAIsDAAAAAA==&#10;" filled="f" stroked="f">
                  <v:textbox inset="0,0,0,0">
                    <w:txbxContent>
                      <w:p w:rsidR="0050212E" w:rsidRDefault="0050212E">
                        <w:pPr>
                          <w:spacing w:line="276" w:lineRule="auto"/>
                          <w:ind w:left="0" w:firstLine="0"/>
                          <w:jc w:val="left"/>
                        </w:pPr>
                        <w:r>
                          <w:rPr>
                            <w:rFonts w:ascii="Calibri" w:eastAsia="Calibri" w:hAnsi="Calibri" w:cs="Calibri"/>
                            <w:sz w:val="28"/>
                          </w:rPr>
                          <w:t xml:space="preserve">Treasury </w:t>
                        </w:r>
                      </w:p>
                    </w:txbxContent>
                  </v:textbox>
                </v:rect>
                <v:rect id="Rectangle 2913" o:spid="_x0000_s1125" style="position:absolute;left:12018;top:19931;width:9621;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nfsEA&#10;AADdAAAADwAAAGRycy9kb3ducmV2LnhtbERPy4rCMBTdC/5DuMLsNNWFj2oU0RFd+gJ1d2mubbG5&#10;KU3Gdvx6sxBcHs57tmhMIZ5Uudyygn4vAkGcWJ1zquB82nTHIJxH1lhYJgX/5GAxb7dmGGtb84Ge&#10;R5+KEMIuRgWZ92UspUsyMuh6tiQO3N1WBn2AVSp1hXUIN4UcRNFQGsw5NGRY0iqj5HH8Mwq243J5&#10;3dlXnRa/t+1lf5msTxOv1E+nWU5BeGr8V/xx77SCQX8U5oY34Qn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Qp37BAAAA3QAAAA8AAAAAAAAAAAAAAAAAmAIAAGRycy9kb3du&#10;cmV2LnhtbFBLBQYAAAAABAAEAPUAAACGAwAAAAA=&#10;" filled="f" stroked="f">
                  <v:textbox inset="0,0,0,0">
                    <w:txbxContent>
                      <w:p w:rsidR="0050212E" w:rsidRDefault="0050212E">
                        <w:pPr>
                          <w:spacing w:line="276" w:lineRule="auto"/>
                          <w:ind w:left="0" w:firstLine="0"/>
                          <w:jc w:val="left"/>
                        </w:pPr>
                        <w:r>
                          <w:rPr>
                            <w:rFonts w:ascii="Calibri" w:eastAsia="Calibri" w:hAnsi="Calibri" w:cs="Calibri"/>
                            <w:sz w:val="28"/>
                          </w:rPr>
                          <w:t xml:space="preserve">&amp; Market </w:t>
                        </w:r>
                      </w:p>
                    </w:txbxContent>
                  </v:textbox>
                </v:rect>
                <v:rect id="Rectangle 2914" o:spid="_x0000_s1126" style="position:absolute;left:13983;top:21882;width:3847;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C5ccA&#10;AADdAAAADwAAAGRycy9kb3ducmV2LnhtbESPQWvCQBSE7wX/w/KE3upGD62JriFoix5bI0Rvj+wz&#10;CWbfhuzWpP313UKhx2FmvmHW6WhacafeNZYVzGcRCOLS6oYrBaf87WkJwnlkja1lUvBFDtLN5GGN&#10;ibYDf9D96CsRIOwSVFB73yVSurImg25mO+LgXW1v0AfZV1L3OAS4aeUiip6lwYbDQo0dbWsqb8dP&#10;o2C/7LLzwX4PVft62RfvRbzLY6/U43TMViA8jf4//Nc+aAWL+UsM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cAuXHAAAA3QAAAA8AAAAAAAAAAAAAAAAAmAIAAGRy&#10;cy9kb3ducmV2LnhtbFBLBQYAAAAABAAEAPUAAACMAwAAAAA=&#10;" filled="f" stroked="f">
                  <v:textbox inset="0,0,0,0">
                    <w:txbxContent>
                      <w:p w:rsidR="0050212E" w:rsidRDefault="0050212E">
                        <w:pPr>
                          <w:spacing w:line="276" w:lineRule="auto"/>
                          <w:ind w:left="0" w:firstLine="0"/>
                          <w:jc w:val="left"/>
                        </w:pPr>
                        <w:r>
                          <w:rPr>
                            <w:rFonts w:ascii="Calibri" w:eastAsia="Calibri" w:hAnsi="Calibri" w:cs="Calibri"/>
                            <w:sz w:val="28"/>
                          </w:rPr>
                          <w:t xml:space="preserve">Risk </w:t>
                        </w:r>
                      </w:p>
                    </w:txbxContent>
                  </v:textbox>
                </v:rect>
                <v:shape id="Picture 2916" o:spid="_x0000_s1127" type="#_x0000_t75" style="position:absolute;left:17757;top:12779;width:5311;height:2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M3pnCAAAA3QAAAA8AAABkcnMvZG93bnJldi54bWxET02LwjAQvQv7H8Is7E1Tu6ClGkV2VTzo&#10;wbrseWjGttpMShNr/ffmIHh8vO/5sje16Kh1lWUF41EEgji3uuJCwd9pM0xAOI+ssbZMCh7kYLn4&#10;GMwx1fbOR+oyX4gQwi5FBaX3TSqly0sy6Ea2IQ7c2bYGfYBtIXWL9xBuahlH0UQarDg0lNjQT0n5&#10;NbsZBdxfutv1sO6+99n/djrNfuP96qLU12e/moHw1Pu3+OXeaQXxOAn7w5vwBO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zN6ZwgAAAN0AAAAPAAAAAAAAAAAAAAAAAJ8C&#10;AABkcnMvZG93bnJldi54bWxQSwUGAAAAAAQABAD3AAAAjgMAAAAA&#10;">
                  <v:imagedata r:id="rId68" o:title=""/>
                </v:shape>
                <v:shape id="Picture 60729" o:spid="_x0000_s1128" type="#_x0000_t75" style="position:absolute;left:17776;top:16258;width:4984;height:2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t8jzFAAAA3QAAAA8AAABkcnMvZG93bnJldi54bWxEj0+LwjAUxO8L+x3CW/C2phVcSjWKCoLo&#10;xe3+AW+P5tkUk5fSRK3ffrOwsMdhZn7DzJeDs+JGfWg9K8jHGQji2uuWGwWfH9vXAkSIyBqtZ1Lw&#10;oADLxfPTHEvt7/xOtyo2IkE4lKjAxNiVUobakMMw9h1x8s6+dxiT7Bupe7wnuLNykmVv0mHLacFg&#10;RxtD9aW6OgXHsDPrqTkW1dfqtDfx2x6ytVVq9DKsZiAiDfE//NfeaQWTvMjh9016AnL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bfI8xQAAAN0AAAAPAAAAAAAAAAAAAAAA&#10;AJ8CAABkcnMvZG93bnJldi54bWxQSwUGAAAAAAQABAD3AAAAkQMAAAAA&#10;">
                  <v:imagedata r:id="rId69" o:title=""/>
                </v:shape>
                <w10:anchorlock/>
              </v:group>
            </w:pict>
          </mc:Fallback>
        </mc:AlternateContent>
      </w:r>
    </w:p>
    <w:p w:rsidR="00222762" w:rsidRDefault="00222762">
      <w:pPr>
        <w:spacing w:after="236" w:line="240" w:lineRule="auto"/>
        <w:ind w:left="91" w:firstLine="0"/>
        <w:jc w:val="left"/>
      </w:pPr>
    </w:p>
    <w:p w:rsidR="00222762" w:rsidRDefault="00F44942">
      <w:pPr>
        <w:spacing w:after="236"/>
        <w:ind w:right="514"/>
      </w:pPr>
      <w:r>
        <w:t xml:space="preserve">Under a real-time online banking platform, these 4 business divisions are supported at the back by a robust service delivery and also a smart IT Backbone. Such centralized business segment based business &amp; operating model ensure specialized treatment and services to the bank’s different customer segments. </w:t>
      </w:r>
    </w:p>
    <w:p w:rsidR="00222762" w:rsidRDefault="00F44942" w:rsidP="00401C1D">
      <w:pPr>
        <w:pStyle w:val="Heading2"/>
      </w:pPr>
      <w:bookmarkStart w:id="21" w:name="_Toc524821000"/>
      <w:r>
        <w:t>2.10 Product of CBL</w:t>
      </w:r>
      <w:bookmarkEnd w:id="21"/>
    </w:p>
    <w:p w:rsidR="00222762" w:rsidRDefault="00F44942">
      <w:pPr>
        <w:spacing w:after="233"/>
      </w:pPr>
      <w:r>
        <w:t>As it is a Bank the products are embedded with all the services,</w:t>
      </w:r>
    </w:p>
    <w:p w:rsidR="00222762" w:rsidRDefault="00F44942" w:rsidP="00401C1D">
      <w:pPr>
        <w:pStyle w:val="Heading3"/>
      </w:pPr>
      <w:bookmarkStart w:id="22" w:name="_Toc524821001"/>
      <w:r>
        <w:t>Credit Cards</w:t>
      </w:r>
      <w:bookmarkEnd w:id="22"/>
    </w:p>
    <w:p w:rsidR="00222762" w:rsidRDefault="00F44942">
      <w:pPr>
        <w:numPr>
          <w:ilvl w:val="0"/>
          <w:numId w:val="7"/>
        </w:numPr>
        <w:ind w:hanging="360"/>
      </w:pPr>
      <w:r>
        <w:t>American Express: From 2010 CBL has franchise the AMEX into the Bangladesh through 3 categories and also available in dual currency mode 1. Silver 2. Gold 3. Platinum</w:t>
      </w:r>
    </w:p>
    <w:p w:rsidR="00222762" w:rsidRDefault="00F44942" w:rsidP="00AD581D">
      <w:pPr>
        <w:numPr>
          <w:ilvl w:val="0"/>
          <w:numId w:val="7"/>
        </w:numPr>
        <w:spacing w:after="234"/>
        <w:ind w:hanging="360"/>
      </w:pPr>
      <w:r>
        <w:t>VISA: An international and it issues in both Local Currency (Taka) &amp; Foreign Currency (US Dollar) in 2 categories and also available in dual currency mode,1. Silver 2. Gold</w:t>
      </w:r>
    </w:p>
    <w:p w:rsidR="00222762" w:rsidRDefault="00F44942" w:rsidP="00401C1D">
      <w:pPr>
        <w:pStyle w:val="Heading3"/>
      </w:pPr>
      <w:bookmarkStart w:id="23" w:name="_Toc524821002"/>
      <w:r>
        <w:t>Debit Cards or ATM Cards</w:t>
      </w:r>
      <w:bookmarkEnd w:id="23"/>
    </w:p>
    <w:p w:rsidR="00222762" w:rsidRDefault="00F44942">
      <w:pPr>
        <w:numPr>
          <w:ilvl w:val="0"/>
          <w:numId w:val="8"/>
        </w:numPr>
        <w:ind w:right="399" w:hanging="360"/>
      </w:pPr>
      <w:r>
        <w:t xml:space="preserve">Master Card: CBL issued the master card as default card for any account holder, so there for it has no specific categories as compare to credit cards. </w:t>
      </w:r>
    </w:p>
    <w:p w:rsidR="00222762" w:rsidRDefault="00F44942">
      <w:pPr>
        <w:numPr>
          <w:ilvl w:val="0"/>
          <w:numId w:val="8"/>
        </w:numPr>
        <w:spacing w:after="232"/>
        <w:ind w:right="399" w:hanging="360"/>
      </w:pPr>
      <w:r>
        <w:t>VISA Electron: This is also others debit card issued by the CBL with some special privileges. Recently this VISA electron restricted by CBL.</w:t>
      </w:r>
    </w:p>
    <w:p w:rsidR="00222762" w:rsidRDefault="00222762">
      <w:pPr>
        <w:spacing w:after="241" w:line="240" w:lineRule="auto"/>
        <w:ind w:left="91" w:firstLine="0"/>
        <w:jc w:val="left"/>
      </w:pPr>
    </w:p>
    <w:p w:rsidR="00222762" w:rsidRDefault="00F44942" w:rsidP="00401C1D">
      <w:pPr>
        <w:pStyle w:val="Heading3"/>
      </w:pPr>
      <w:bookmarkStart w:id="24" w:name="_Toc524821003"/>
      <w:r>
        <w:lastRenderedPageBreak/>
        <w:t>Special Cards</w:t>
      </w:r>
      <w:bookmarkEnd w:id="24"/>
    </w:p>
    <w:p w:rsidR="00222762" w:rsidRDefault="00F44942" w:rsidP="00AD581D">
      <w:pPr>
        <w:spacing w:after="232"/>
        <w:ind w:left="811" w:hanging="360"/>
      </w:pPr>
      <w:r>
        <w:rPr>
          <w:rFonts w:ascii="Wingdings" w:eastAsia="Wingdings" w:hAnsi="Wingdings" w:cs="Wingdings"/>
          <w:sz w:val="24"/>
        </w:rPr>
        <w:t>➢</w:t>
      </w:r>
      <w:r>
        <w:t xml:space="preserve">City Maxx American Express Card: It’s a totally a specialized card which can be </w:t>
      </w:r>
      <w:proofErr w:type="spellStart"/>
      <w:r>
        <w:t>use</w:t>
      </w:r>
      <w:proofErr w:type="spellEnd"/>
      <w:r>
        <w:t xml:space="preserve"> as American Express but as debit card system.</w:t>
      </w:r>
    </w:p>
    <w:p w:rsidR="00222762" w:rsidRDefault="00F44942" w:rsidP="00401C1D">
      <w:pPr>
        <w:pStyle w:val="Heading3"/>
      </w:pPr>
      <w:bookmarkStart w:id="25" w:name="_Toc524821004"/>
      <w:r>
        <w:t>Retail Banking Service</w:t>
      </w:r>
      <w:bookmarkEnd w:id="25"/>
    </w:p>
    <w:p w:rsidR="00222762" w:rsidRDefault="00F44942">
      <w:pPr>
        <w:numPr>
          <w:ilvl w:val="0"/>
          <w:numId w:val="9"/>
        </w:numPr>
        <w:ind w:hanging="360"/>
      </w:pPr>
      <w:r>
        <w:t xml:space="preserve">All the general banking services, like Bank Accounts, Student Accounts etc. </w:t>
      </w:r>
    </w:p>
    <w:p w:rsidR="00222762" w:rsidRDefault="00F44942">
      <w:pPr>
        <w:numPr>
          <w:ilvl w:val="0"/>
          <w:numId w:val="9"/>
        </w:numPr>
        <w:ind w:hanging="360"/>
      </w:pPr>
      <w:r>
        <w:t xml:space="preserve">Various types of Schemes are also offered by retail baking, like Deposits, Savings and RMG Accounts etc. </w:t>
      </w:r>
    </w:p>
    <w:p w:rsidR="00222762" w:rsidRDefault="00F44942" w:rsidP="00AD581D">
      <w:pPr>
        <w:numPr>
          <w:ilvl w:val="0"/>
          <w:numId w:val="9"/>
        </w:numPr>
        <w:spacing w:after="235"/>
        <w:ind w:hanging="360"/>
      </w:pPr>
      <w:r>
        <w:t>Various type of Loans, like Consumer loan, Education loan, Heath Loan etc.</w:t>
      </w:r>
    </w:p>
    <w:p w:rsidR="00222762" w:rsidRDefault="00F44942" w:rsidP="00401C1D">
      <w:pPr>
        <w:pStyle w:val="Heading3"/>
      </w:pPr>
      <w:bookmarkStart w:id="26" w:name="_Toc524821005"/>
      <w:r>
        <w:t>SME Banking Service</w:t>
      </w:r>
      <w:bookmarkEnd w:id="26"/>
    </w:p>
    <w:p w:rsidR="00222762" w:rsidRDefault="00F44942" w:rsidP="00AD581D">
      <w:pPr>
        <w:spacing w:after="234"/>
      </w:pPr>
      <w:r>
        <w:t xml:space="preserve">CBL have wide range of SME banking services through 3 individual wings Medium Segment SME Service, Small Segment SME Service and Agro SME Service. </w:t>
      </w:r>
    </w:p>
    <w:p w:rsidR="00222762" w:rsidRDefault="00F44942" w:rsidP="00401C1D">
      <w:pPr>
        <w:pStyle w:val="Heading3"/>
      </w:pPr>
      <w:bookmarkStart w:id="27" w:name="_Toc524821006"/>
      <w:r>
        <w:t>Wholesale Banking Service</w:t>
      </w:r>
      <w:bookmarkEnd w:id="27"/>
    </w:p>
    <w:p w:rsidR="00222762" w:rsidRDefault="00F44942" w:rsidP="00AD581D">
      <w:pPr>
        <w:spacing w:after="231"/>
        <w:ind w:right="514"/>
      </w:pPr>
      <w:r>
        <w:t xml:space="preserve">CBL also offered wide range of services under the wholesale banking service, those are define as, Lon term Finance, Midterm Finance, Structured Finance, Cash Management, Project Management Despites all those services there are lot of servicers also offered by CBL which can be listed as Priority Banking Service, Corporate Banking Servicer, City Touch (Advance Internet Banking), Trade Services (Foreign and Local). </w:t>
      </w:r>
    </w:p>
    <w:p w:rsidR="00222762" w:rsidRDefault="00F44942" w:rsidP="00401C1D">
      <w:pPr>
        <w:pStyle w:val="Heading3"/>
      </w:pPr>
      <w:bookmarkStart w:id="28" w:name="_Toc524821007"/>
      <w:r>
        <w:t>CBL Subsidiaries</w:t>
      </w:r>
      <w:bookmarkEnd w:id="28"/>
    </w:p>
    <w:p w:rsidR="00222762" w:rsidRDefault="00F44942">
      <w:pPr>
        <w:spacing w:after="222" w:line="454" w:lineRule="auto"/>
        <w:ind w:right="931"/>
      </w:pPr>
      <w:r>
        <w:t xml:space="preserve">The City Bank limited have subsidies two different individual business organizations, those </w:t>
      </w:r>
      <w:proofErr w:type="gramStart"/>
      <w:r>
        <w:t>are  1</w:t>
      </w:r>
      <w:proofErr w:type="gramEnd"/>
      <w:r>
        <w:t xml:space="preserve">. City Capital Resource </w:t>
      </w:r>
    </w:p>
    <w:p w:rsidR="00222762" w:rsidRDefault="00F44942">
      <w:pPr>
        <w:spacing w:after="236"/>
      </w:pPr>
      <w:r>
        <w:t xml:space="preserve"> 2. City Brokerage. </w:t>
      </w:r>
    </w:p>
    <w:p w:rsidR="00222762" w:rsidRDefault="00222762">
      <w:pPr>
        <w:spacing w:after="239" w:line="240" w:lineRule="auto"/>
        <w:ind w:left="91" w:firstLine="0"/>
        <w:jc w:val="left"/>
      </w:pPr>
    </w:p>
    <w:p w:rsidR="00222762" w:rsidRDefault="00222762">
      <w:pPr>
        <w:spacing w:after="259" w:line="240" w:lineRule="auto"/>
        <w:ind w:left="91" w:firstLine="0"/>
        <w:jc w:val="left"/>
      </w:pPr>
    </w:p>
    <w:p w:rsidR="00222762" w:rsidRDefault="00222762">
      <w:pPr>
        <w:spacing w:line="240" w:lineRule="auto"/>
        <w:ind w:left="91" w:firstLine="0"/>
        <w:jc w:val="left"/>
      </w:pPr>
    </w:p>
    <w:p w:rsidR="00222762" w:rsidRDefault="00222762">
      <w:pPr>
        <w:spacing w:after="259" w:line="240" w:lineRule="auto"/>
        <w:ind w:left="4604" w:firstLine="0"/>
      </w:pPr>
    </w:p>
    <w:p w:rsidR="00222762" w:rsidRDefault="00222762">
      <w:pPr>
        <w:spacing w:after="256" w:line="240" w:lineRule="auto"/>
        <w:ind w:left="4604" w:firstLine="0"/>
      </w:pPr>
    </w:p>
    <w:p w:rsidR="00222762" w:rsidRDefault="00222762">
      <w:pPr>
        <w:spacing w:after="259" w:line="240" w:lineRule="auto"/>
        <w:ind w:left="4604" w:firstLine="0"/>
      </w:pPr>
    </w:p>
    <w:p w:rsidR="00222762" w:rsidRDefault="00222762">
      <w:pPr>
        <w:spacing w:after="259" w:line="240" w:lineRule="auto"/>
        <w:ind w:left="4604" w:firstLine="0"/>
      </w:pPr>
    </w:p>
    <w:p w:rsidR="00222762" w:rsidRDefault="00222762">
      <w:pPr>
        <w:spacing w:after="256" w:line="240" w:lineRule="auto"/>
        <w:ind w:left="4604" w:firstLine="0"/>
      </w:pPr>
    </w:p>
    <w:p w:rsidR="00222762" w:rsidRDefault="00222762">
      <w:pPr>
        <w:spacing w:after="259" w:line="240" w:lineRule="auto"/>
        <w:ind w:left="4604" w:firstLine="0"/>
      </w:pPr>
    </w:p>
    <w:p w:rsidR="00222762" w:rsidRDefault="00222762">
      <w:pPr>
        <w:spacing w:after="259" w:line="240" w:lineRule="auto"/>
        <w:ind w:left="4604" w:firstLine="0"/>
      </w:pPr>
    </w:p>
    <w:p w:rsidR="00222762" w:rsidRDefault="00222762">
      <w:pPr>
        <w:spacing w:line="240" w:lineRule="auto"/>
        <w:ind w:left="0" w:firstLine="0"/>
        <w:jc w:val="center"/>
        <w:rPr>
          <w:rFonts w:ascii="Calibri" w:eastAsia="Calibri" w:hAnsi="Calibri" w:cs="Calibri"/>
          <w:noProof/>
        </w:rPr>
      </w:pPr>
    </w:p>
    <w:p w:rsidR="00401C1D" w:rsidRDefault="00401C1D">
      <w:pPr>
        <w:spacing w:line="240" w:lineRule="auto"/>
        <w:ind w:left="0" w:firstLine="0"/>
        <w:jc w:val="center"/>
      </w:pPr>
    </w:p>
    <w:p w:rsidR="00401C1D" w:rsidRP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Default="00401C1D" w:rsidP="00401C1D"/>
    <w:p w:rsidR="00401C1D" w:rsidRPr="00401C1D" w:rsidRDefault="00401C1D" w:rsidP="00401C1D"/>
    <w:p w:rsidR="00401C1D" w:rsidRPr="00401C1D" w:rsidRDefault="00401C1D" w:rsidP="00401C1D"/>
    <w:p w:rsidR="00401C1D" w:rsidRPr="00401C1D" w:rsidRDefault="00401C1D" w:rsidP="00401C1D"/>
    <w:p w:rsidR="00401C1D" w:rsidRPr="00401C1D" w:rsidRDefault="00401C1D" w:rsidP="00401C1D">
      <w:pPr>
        <w:pStyle w:val="Heading1"/>
        <w:rPr>
          <w:sz w:val="72"/>
          <w:szCs w:val="44"/>
        </w:rPr>
      </w:pPr>
      <w:bookmarkStart w:id="29" w:name="_Toc524821008"/>
      <w:r w:rsidRPr="00401C1D">
        <w:rPr>
          <w:rFonts w:eastAsia="Calibri"/>
          <w:w w:val="80"/>
          <w:sz w:val="72"/>
          <w:szCs w:val="44"/>
        </w:rPr>
        <w:t>Chapter 3: Internship Experience</w:t>
      </w:r>
      <w:bookmarkEnd w:id="29"/>
    </w:p>
    <w:p w:rsidR="00AD581D" w:rsidRPr="00401C1D" w:rsidRDefault="00401C1D" w:rsidP="00401C1D">
      <w:pPr>
        <w:tabs>
          <w:tab w:val="left" w:pos="2383"/>
        </w:tabs>
        <w:sectPr w:rsidR="00AD581D" w:rsidRPr="00401C1D" w:rsidSect="00F6772C">
          <w:footerReference w:type="default" r:id="rId70"/>
          <w:pgSz w:w="11906" w:h="16838"/>
          <w:pgMar w:top="1440" w:right="869" w:bottom="1456" w:left="1349" w:header="288" w:footer="720" w:gutter="0"/>
          <w:pgNumType w:start="5"/>
          <w:cols w:space="720"/>
        </w:sectPr>
      </w:pPr>
      <w:r>
        <w:tab/>
      </w:r>
    </w:p>
    <w:p w:rsidR="00AD581D" w:rsidRDefault="00AD581D">
      <w:pPr>
        <w:spacing w:line="240" w:lineRule="auto"/>
        <w:ind w:left="0" w:firstLine="0"/>
        <w:jc w:val="center"/>
      </w:pPr>
    </w:p>
    <w:p w:rsidR="00222762" w:rsidRDefault="00F44942" w:rsidP="00401C1D">
      <w:pPr>
        <w:pStyle w:val="Heading2"/>
      </w:pPr>
      <w:bookmarkStart w:id="30" w:name="_Toc524821009"/>
      <w:r>
        <w:t>3.1 Introduction</w:t>
      </w:r>
      <w:bookmarkEnd w:id="30"/>
    </w:p>
    <w:p w:rsidR="00222762" w:rsidRDefault="003944DC" w:rsidP="00401C1D">
      <w:pPr>
        <w:spacing w:after="238"/>
        <w:ind w:left="76" w:right="514" w:firstLine="0"/>
      </w:pPr>
      <w:r>
        <w:t xml:space="preserve"> In </w:t>
      </w:r>
      <w:proofErr w:type="spellStart"/>
      <w:proofErr w:type="gramStart"/>
      <w:r>
        <w:t>january</w:t>
      </w:r>
      <w:proofErr w:type="spellEnd"/>
      <w:proofErr w:type="gramEnd"/>
      <w:r w:rsidR="00F72D67">
        <w:t xml:space="preserve"> 2018</w:t>
      </w:r>
      <w:r w:rsidR="00F44942">
        <w:t xml:space="preserve">, I was assigned by The City </w:t>
      </w:r>
      <w:r w:rsidR="00F72D67">
        <w:t xml:space="preserve">Bank HR personnel’s as an </w:t>
      </w:r>
      <w:proofErr w:type="spellStart"/>
      <w:r w:rsidR="00F72D67">
        <w:t>inter</w:t>
      </w:r>
      <w:proofErr w:type="spellEnd"/>
      <w:r w:rsidR="00F72D67">
        <w:t xml:space="preserve"> n in the Foreign exchange </w:t>
      </w:r>
      <w:r w:rsidR="00F44942">
        <w:t>Branch. Aft</w:t>
      </w:r>
      <w:r w:rsidR="00F72D67">
        <w:t xml:space="preserve">er that a schedule of the inter </w:t>
      </w:r>
      <w:proofErr w:type="spellStart"/>
      <w:r w:rsidR="00F72D67">
        <w:t>n</w:t>
      </w:r>
      <w:r w:rsidR="00F44942">
        <w:t>ship</w:t>
      </w:r>
      <w:proofErr w:type="spellEnd"/>
      <w:r w:rsidR="00F44942">
        <w:t xml:space="preserve"> program was given to me consist of the working schedule along with the job responsibilities. Basically, a branch has 3 sections; Teller service, Customer service and Relationship Management. I worked under the Customer service</w:t>
      </w:r>
      <w:r w:rsidR="00F72D67">
        <w:t xml:space="preserve"> section of the Foreign exchange branch</w:t>
      </w:r>
      <w:r w:rsidR="00F44942">
        <w:t xml:space="preserve">. </w:t>
      </w:r>
    </w:p>
    <w:p w:rsidR="00222762" w:rsidRDefault="00F44942" w:rsidP="00401C1D">
      <w:pPr>
        <w:pStyle w:val="Heading2"/>
      </w:pPr>
      <w:bookmarkStart w:id="31" w:name="_Toc524821010"/>
      <w:r>
        <w:t>3.2 Job Description</w:t>
      </w:r>
      <w:bookmarkEnd w:id="31"/>
    </w:p>
    <w:p w:rsidR="00222762" w:rsidRDefault="00F44942" w:rsidP="00401C1D">
      <w:pPr>
        <w:spacing w:after="234"/>
        <w:ind w:right="514"/>
      </w:pPr>
      <w:r>
        <w:t xml:space="preserve"> I worked in the retail or general banking division in The City Bank Limited. I got the opportunity to work in customer service which is consist of card division, remittance &amp; clearing segment of the branch. A CBL intern is responsible for the EQM Machine Management. When a customer enters in the bank it’s an intern’s duty to guide him or her to the right service area with the right token. This EQM service helps to improve the operational efficiency. The Customer Service area is divided into few sections such as, </w:t>
      </w:r>
      <w:proofErr w:type="spellStart"/>
      <w:r>
        <w:t>Cheque</w:t>
      </w:r>
      <w:proofErr w:type="spellEnd"/>
      <w:r>
        <w:t xml:space="preserve">, pin, cards, loan, remittance, pay order etc. On the first day of my work in the Customer Service department, the CSM (Customer Service Manager) of the department explained all the things related to the operations to me. He showed me how the total customer service department works in the branch. He also made me familiarized with the various terms and tools like different application form, procedure, that are used by that department to make the life of employees easier. He also gave a brief description that how an account can be open and the rules regulations for opening any kind of account in The City Bank Limited. Some activities that were performed by me are discussed below. </w:t>
      </w:r>
    </w:p>
    <w:p w:rsidR="00222762" w:rsidRDefault="00F44942" w:rsidP="00401C1D">
      <w:pPr>
        <w:pStyle w:val="Heading3"/>
      </w:pPr>
      <w:bookmarkStart w:id="32" w:name="_Toc524821011"/>
      <w:r>
        <w:t>Account Opening Form Fill Up</w:t>
      </w:r>
      <w:bookmarkEnd w:id="32"/>
    </w:p>
    <w:p w:rsidR="00222762" w:rsidRDefault="00F44942">
      <w:pPr>
        <w:spacing w:after="231"/>
        <w:ind w:right="518"/>
      </w:pPr>
      <w:r>
        <w:t xml:space="preserve">Account opening form fill up are part of the one the tasks assigned to a CBL intern. There are different kinds of bank accounts starting from current, savings, proprietorship, partnership etc. Every form has different rules for maintain. These rules are declared by Bangladesh. </w:t>
      </w:r>
    </w:p>
    <w:p w:rsidR="00222762" w:rsidRDefault="00F44942" w:rsidP="00401C1D">
      <w:pPr>
        <w:pStyle w:val="Heading3"/>
      </w:pPr>
      <w:bookmarkStart w:id="33" w:name="_Toc524821012"/>
      <w:r>
        <w:t>Destruction</w:t>
      </w:r>
      <w:bookmarkEnd w:id="33"/>
    </w:p>
    <w:p w:rsidR="00222762" w:rsidRDefault="00F44942" w:rsidP="00401C1D">
      <w:pPr>
        <w:spacing w:after="232"/>
        <w:ind w:right="516"/>
      </w:pPr>
      <w:r>
        <w:t xml:space="preserve">Bank </w:t>
      </w:r>
      <w:proofErr w:type="spellStart"/>
      <w:r>
        <w:t>cheque</w:t>
      </w:r>
      <w:proofErr w:type="spellEnd"/>
      <w:r>
        <w:t xml:space="preserve"> book, cards, pins expires after a certain period of time. When the time of expirations comes closer bank sent letters and phone calls to the customers for collecting their products. If customers fail to collect bank end the existence of that product. This process is known as destruction. An intern of CBL plays an important role in destruction. His / Her task is divided into three steps. </w:t>
      </w:r>
    </w:p>
    <w:p w:rsidR="00222762" w:rsidRDefault="00F44942">
      <w:pPr>
        <w:spacing w:after="235"/>
        <w:ind w:right="79"/>
      </w:pPr>
      <w:r>
        <w:rPr>
          <w:b/>
        </w:rPr>
        <w:t>Step 1:</w:t>
      </w:r>
      <w:r>
        <w:t xml:space="preserve"> Find out which check, card or pin is close to destruction and list down the names categorizing them based on months.  </w:t>
      </w:r>
    </w:p>
    <w:p w:rsidR="00222762" w:rsidRDefault="00F44942">
      <w:pPr>
        <w:spacing w:after="234"/>
      </w:pPr>
      <w:r>
        <w:rPr>
          <w:b/>
        </w:rPr>
        <w:t>Step 2:</w:t>
      </w:r>
      <w:r>
        <w:t xml:space="preserve"> After letter sent from the bank call the listed customers and tell them to collect within upcoming week.  </w:t>
      </w:r>
    </w:p>
    <w:p w:rsidR="00222762" w:rsidRDefault="00F44942" w:rsidP="00AD581D">
      <w:pPr>
        <w:spacing w:after="233"/>
      </w:pPr>
      <w:r>
        <w:rPr>
          <w:b/>
        </w:rPr>
        <w:t>Step 3:</w:t>
      </w:r>
      <w:r>
        <w:t xml:space="preserve"> After the check, card or pin is destroyed systematically, destroy them manually. </w:t>
      </w:r>
    </w:p>
    <w:p w:rsidR="00222762" w:rsidRDefault="00F44942">
      <w:r>
        <w:t xml:space="preserve">There are more activities related to Accounts:   </w:t>
      </w:r>
    </w:p>
    <w:p w:rsidR="00222762" w:rsidRDefault="00F44942">
      <w:pPr>
        <w:pStyle w:val="Heading6"/>
      </w:pPr>
      <w:bookmarkStart w:id="34" w:name="_Toc524821013"/>
      <w:r>
        <w:t>Dormant Accou</w:t>
      </w:r>
      <w:r w:rsidRPr="00401C1D">
        <w:rPr>
          <w:rStyle w:val="Heading3Char"/>
        </w:rPr>
        <w:t>n</w:t>
      </w:r>
      <w:r>
        <w:t>t and Activation Process of Dormant Account</w:t>
      </w:r>
      <w:bookmarkEnd w:id="34"/>
    </w:p>
    <w:p w:rsidR="00222762" w:rsidRDefault="00F44942">
      <w:pPr>
        <w:spacing w:after="232"/>
        <w:ind w:right="514"/>
      </w:pPr>
      <w:r>
        <w:t xml:space="preserve">Dormant account is an account which is inactive. Under the City bank policy, if an account remains inactive for 3 months then accounts will be considered as a dormant account. If the account becomes dormant then account holder won’t be able to use it for transactions. For transactions customer needs go to the branch where he or she had opened that account and with certain process account can be </w:t>
      </w:r>
      <w:r>
        <w:lastRenderedPageBreak/>
        <w:t xml:space="preserve">active again. At first account holder needs to come to the mother branch and then has to fill up a form named dormant account reactivation. Account holder needs to sign and fill up the form and submit it to the customer service officer. Customer service officer will verify the signature and sent the request to the head office through centralized system to reactivate the account. Then it takes 2 to 3 days for reactivate the account and then account holder can transact with this account. To active dormant accounts charges are applicable. </w:t>
      </w:r>
    </w:p>
    <w:p w:rsidR="00222762" w:rsidRDefault="00F44942" w:rsidP="00401C1D">
      <w:pPr>
        <w:pStyle w:val="Heading2"/>
      </w:pPr>
      <w:bookmarkStart w:id="35" w:name="_Toc524821014"/>
      <w:r>
        <w:t>Nominee, Signature or Address Change of Existing Account</w:t>
      </w:r>
      <w:bookmarkEnd w:id="35"/>
    </w:p>
    <w:p w:rsidR="00222762" w:rsidRDefault="00F44942" w:rsidP="00401C1D">
      <w:pPr>
        <w:spacing w:after="234"/>
        <w:ind w:left="76" w:right="514" w:firstLine="0"/>
      </w:pPr>
      <w:r>
        <w:t xml:space="preserve">There are several issues like nominee change, signature change, and address change etc. work regarding existing account. Nominee is the person who is the authorize person in behalf of the account holder. Basically after the death or any such cases nominee will have the right to take any kind of decision regarding that account. To change the nominee customer needs to come to the mother branch of the account and then fill up a form named nominee change form. In the nominee form, one copy of nominee photograph is needed and account holder has to sign the form that he or she wants to change his or her accounts nominee. Then files need to submit to the responsible officer and responsible person will verify the information and sign. This whole process takes 2 to 3 days. For signature change, account holder need to fill up the signature change form and then needs to submit to the customer service department. Customer service officer verify the signature and the information with photograph change, in some cases account holder needs to provide a photograph of his or her own if the previous photograph is not match with the present photograph. This whole process also takes 2 to 3 days. Again for name change, address change, and many other factors works as almost in the same process, except the address change process. For address change, account holder needs to provide the NID, which has to match with his present address then the account holder can change the address. The remaining process is same as other like has to fill up a form then submit it to the customer service department and then responsible officer will verify the account and signature passed to the head office. This process also takes 2 to 3 days as well.   </w:t>
      </w:r>
    </w:p>
    <w:p w:rsidR="00222762" w:rsidRDefault="00F44942" w:rsidP="00401C1D">
      <w:pPr>
        <w:pStyle w:val="Heading3"/>
      </w:pPr>
      <w:bookmarkStart w:id="36" w:name="_Toc524821015"/>
      <w:r>
        <w:t>Account Closure</w:t>
      </w:r>
      <w:bookmarkEnd w:id="36"/>
    </w:p>
    <w:p w:rsidR="00222762" w:rsidRDefault="00F44942" w:rsidP="00AD581D">
      <w:pPr>
        <w:spacing w:after="236"/>
        <w:ind w:right="517"/>
      </w:pPr>
      <w:r>
        <w:t xml:space="preserve"> If an account holder request to close his or her account, it can be closed. After receiving an application from the customer to close an account, some procedures are followed by a banker. The customer should be asked to draw the final check for the amount standing to the credit of his account less the amount of closing and other incidental charges and submit the unused </w:t>
      </w:r>
      <w:proofErr w:type="spellStart"/>
      <w:r>
        <w:t>cheque</w:t>
      </w:r>
      <w:proofErr w:type="spellEnd"/>
      <w:r>
        <w:t xml:space="preserve"> leaves. The A/C should be debited for the account closing charges etc. and an authorized officer of the bank should destroy unused </w:t>
      </w:r>
      <w:proofErr w:type="spellStart"/>
      <w:r>
        <w:t>chequeleaves</w:t>
      </w:r>
      <w:proofErr w:type="spellEnd"/>
      <w:r>
        <w:t xml:space="preserve">. In case of Joint A/C, the applicant for closing the A/C should be signed by all the joint holders.  </w:t>
      </w:r>
    </w:p>
    <w:p w:rsidR="00222762" w:rsidRDefault="00F44942" w:rsidP="00401C1D">
      <w:pPr>
        <w:pStyle w:val="Heading2"/>
      </w:pPr>
      <w:bookmarkStart w:id="37" w:name="_Toc524821016"/>
      <w:r>
        <w:t>3.3 Learning Outcome from this Internship Experience</w:t>
      </w:r>
      <w:bookmarkEnd w:id="37"/>
    </w:p>
    <w:p w:rsidR="00222762" w:rsidRDefault="00F44942" w:rsidP="00401C1D">
      <w:pPr>
        <w:spacing w:after="235"/>
        <w:ind w:right="514"/>
      </w:pPr>
      <w:r>
        <w:t xml:space="preserve">I have learned lots of new job that is done by a bank. Till now I have visited a bank as a customer. When I joined as an intern, I learned that how each and every work is done by the officers systematically as well as very carefully. My learning outcomes from this internship experience are discussed below: </w:t>
      </w:r>
    </w:p>
    <w:p w:rsidR="00222762" w:rsidRDefault="00F44942">
      <w:pPr>
        <w:numPr>
          <w:ilvl w:val="0"/>
          <w:numId w:val="10"/>
        </w:numPr>
        <w:ind w:hanging="360"/>
      </w:pPr>
      <w:r>
        <w:t xml:space="preserve">Experienced the picture of corporate life which makes a person work for 8 hours continuously observed how a branch does plays its role in banking. </w:t>
      </w:r>
    </w:p>
    <w:p w:rsidR="00222762" w:rsidRDefault="00F44942">
      <w:pPr>
        <w:numPr>
          <w:ilvl w:val="0"/>
          <w:numId w:val="10"/>
        </w:numPr>
        <w:ind w:hanging="360"/>
      </w:pPr>
      <w:r>
        <w:t xml:space="preserve">Learned how to deal with customers, how to talk to them and understand </w:t>
      </w:r>
      <w:proofErr w:type="spellStart"/>
      <w:r>
        <w:t>customers</w:t>
      </w:r>
      <w:proofErr w:type="spellEnd"/>
      <w:r>
        <w:t xml:space="preserve"> needs and demands </w:t>
      </w:r>
    </w:p>
    <w:p w:rsidR="00222762" w:rsidRDefault="00F44942">
      <w:pPr>
        <w:numPr>
          <w:ilvl w:val="0"/>
          <w:numId w:val="10"/>
        </w:numPr>
        <w:ind w:hanging="360"/>
      </w:pPr>
      <w:r>
        <w:t xml:space="preserve">Learned How to build strong business relationship and continue it for long term. </w:t>
      </w:r>
    </w:p>
    <w:p w:rsidR="00222762" w:rsidRDefault="00F44942">
      <w:pPr>
        <w:numPr>
          <w:ilvl w:val="0"/>
          <w:numId w:val="10"/>
        </w:numPr>
        <w:ind w:hanging="360"/>
      </w:pPr>
      <w:r>
        <w:t xml:space="preserve">Working with colleagues and how to cooperate with them while doing a work together. </w:t>
      </w:r>
    </w:p>
    <w:p w:rsidR="00222762" w:rsidRDefault="00F44942">
      <w:pPr>
        <w:numPr>
          <w:ilvl w:val="0"/>
          <w:numId w:val="10"/>
        </w:numPr>
        <w:ind w:hanging="360"/>
      </w:pPr>
      <w:r>
        <w:t xml:space="preserve">Giving full concentration on work to complete it on due time. </w:t>
      </w:r>
    </w:p>
    <w:p w:rsidR="00222762" w:rsidRDefault="00F44942">
      <w:pPr>
        <w:numPr>
          <w:ilvl w:val="0"/>
          <w:numId w:val="10"/>
        </w:numPr>
        <w:spacing w:after="236"/>
        <w:ind w:hanging="360"/>
      </w:pPr>
      <w:r>
        <w:t xml:space="preserve">Learned how to work under pressure and tackle the critical situations. </w:t>
      </w:r>
    </w:p>
    <w:p w:rsidR="00222762" w:rsidRDefault="00222762" w:rsidP="00AD581D">
      <w:pPr>
        <w:spacing w:after="236" w:line="240" w:lineRule="auto"/>
        <w:ind w:left="0" w:right="5029" w:firstLine="0"/>
      </w:pPr>
    </w:p>
    <w:p w:rsidR="00222762" w:rsidRDefault="00222762">
      <w:pPr>
        <w:spacing w:after="188" w:line="240" w:lineRule="auto"/>
        <w:ind w:left="97" w:firstLine="0"/>
        <w:jc w:val="left"/>
      </w:pPr>
    </w:p>
    <w:p w:rsidR="00222762" w:rsidRDefault="00222762">
      <w:pPr>
        <w:spacing w:after="241" w:line="240" w:lineRule="auto"/>
        <w:ind w:left="91" w:firstLine="0"/>
        <w:jc w:val="left"/>
      </w:pPr>
    </w:p>
    <w:p w:rsidR="00222762" w:rsidRDefault="00222762">
      <w:pPr>
        <w:spacing w:after="256" w:line="240" w:lineRule="auto"/>
        <w:ind w:left="91" w:firstLine="0"/>
        <w:jc w:val="left"/>
      </w:pPr>
    </w:p>
    <w:p w:rsidR="00401C1D" w:rsidRDefault="00401C1D">
      <w:pPr>
        <w:spacing w:line="240" w:lineRule="auto"/>
        <w:ind w:left="91" w:firstLine="0"/>
        <w:jc w:val="left"/>
        <w:rPr>
          <w:b/>
          <w:color w:val="1F497D"/>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pStyle w:val="Heading1"/>
        <w:rPr>
          <w:sz w:val="56"/>
          <w:szCs w:val="44"/>
        </w:rPr>
      </w:pPr>
      <w:bookmarkStart w:id="38" w:name="_Toc524821017"/>
      <w:r w:rsidRPr="00401C1D">
        <w:rPr>
          <w:rFonts w:eastAsia="Calibri"/>
          <w:w w:val="80"/>
          <w:sz w:val="72"/>
          <w:szCs w:val="44"/>
        </w:rPr>
        <w:t>Chapter 4: Analysis and Compliance</w:t>
      </w:r>
      <w:bookmarkEnd w:id="38"/>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jc w:val="center"/>
        <w:rPr>
          <w:sz w:val="32"/>
        </w:rPr>
      </w:pPr>
    </w:p>
    <w:p w:rsidR="00401C1D" w:rsidRPr="00401C1D" w:rsidRDefault="00401C1D" w:rsidP="00401C1D">
      <w:pPr>
        <w:rPr>
          <w:sz w:val="32"/>
        </w:rPr>
      </w:pPr>
    </w:p>
    <w:p w:rsidR="00401C1D" w:rsidRPr="00401C1D" w:rsidRDefault="00401C1D" w:rsidP="00401C1D">
      <w:pPr>
        <w:rPr>
          <w:sz w:val="32"/>
        </w:rPr>
      </w:pPr>
    </w:p>
    <w:p w:rsidR="00401C1D" w:rsidRPr="00401C1D" w:rsidRDefault="00401C1D" w:rsidP="00401C1D">
      <w:pPr>
        <w:rPr>
          <w:sz w:val="32"/>
        </w:rPr>
      </w:pPr>
    </w:p>
    <w:p w:rsidR="00AD581D" w:rsidRPr="00401C1D" w:rsidRDefault="00AD581D" w:rsidP="00401C1D">
      <w:pPr>
        <w:ind w:left="0" w:firstLine="0"/>
        <w:rPr>
          <w:sz w:val="32"/>
        </w:rPr>
        <w:sectPr w:rsidR="00AD581D" w:rsidRPr="00401C1D" w:rsidSect="00F6772C">
          <w:footerReference w:type="default" r:id="rId71"/>
          <w:pgSz w:w="11906" w:h="16838"/>
          <w:pgMar w:top="1440" w:right="869" w:bottom="1456" w:left="1349" w:header="288" w:footer="720" w:gutter="0"/>
          <w:pgNumType w:start="13"/>
          <w:cols w:space="720"/>
        </w:sectPr>
      </w:pPr>
    </w:p>
    <w:p w:rsidR="00222762" w:rsidRDefault="00222762" w:rsidP="00AD581D">
      <w:pPr>
        <w:spacing w:line="240" w:lineRule="auto"/>
        <w:ind w:left="0" w:firstLine="0"/>
        <w:jc w:val="left"/>
      </w:pPr>
    </w:p>
    <w:p w:rsidR="00AD581D" w:rsidRDefault="00AD581D" w:rsidP="00AF203D">
      <w:pPr>
        <w:pStyle w:val="Heading2"/>
      </w:pPr>
      <w:bookmarkStart w:id="39" w:name="_Toc524821018"/>
      <w:r>
        <w:t>4.1 Analysis as per Classification</w:t>
      </w:r>
      <w:bookmarkEnd w:id="39"/>
    </w:p>
    <w:p w:rsidR="00AD581D" w:rsidRPr="00EB70A7" w:rsidRDefault="00AD581D" w:rsidP="00AD581D">
      <w:pPr>
        <w:rPr>
          <w:sz w:val="24"/>
          <w:szCs w:val="24"/>
        </w:rPr>
      </w:pPr>
      <w:r w:rsidRPr="00EB70A7">
        <w:rPr>
          <w:sz w:val="24"/>
          <w:szCs w:val="24"/>
        </w:rPr>
        <w:t xml:space="preserve">Here, CBL is showing its investment in financial assets by some descriptive classification. </w:t>
      </w:r>
      <w:proofErr w:type="gramStart"/>
      <w:r w:rsidRPr="00EB70A7">
        <w:rPr>
          <w:sz w:val="24"/>
          <w:szCs w:val="24"/>
        </w:rPr>
        <w:t>Because classification of investment is necessary to assess the quality of Investment of the bank, to establish discipline in banking sector and to assess the level of Risk.</w:t>
      </w:r>
      <w:proofErr w:type="gramEnd"/>
      <w:r w:rsidRPr="00EB70A7">
        <w:rPr>
          <w:sz w:val="24"/>
          <w:szCs w:val="24"/>
        </w:rPr>
        <w:t xml:space="preserve"> </w:t>
      </w:r>
    </w:p>
    <w:p w:rsidR="00AD581D" w:rsidRDefault="00AD581D" w:rsidP="00AF203D">
      <w:pPr>
        <w:pStyle w:val="Heading3"/>
      </w:pPr>
      <w:bookmarkStart w:id="40" w:name="_Toc524821019"/>
      <w:r>
        <w:t>4.1.1 Investment Classified as per Bangladesh Bank Circular</w:t>
      </w:r>
      <w:bookmarkEnd w:id="40"/>
    </w:p>
    <w:p w:rsidR="00AD581D" w:rsidRPr="00EB70A7" w:rsidRDefault="00AD581D" w:rsidP="00AD581D">
      <w:pPr>
        <w:rPr>
          <w:sz w:val="24"/>
          <w:szCs w:val="24"/>
        </w:rPr>
      </w:pPr>
      <w:r w:rsidRPr="00EB70A7">
        <w:rPr>
          <w:sz w:val="24"/>
          <w:szCs w:val="24"/>
        </w:rPr>
        <w:t xml:space="preserve">Classification of investment as per Bangladesh Bank circular is normally means to segregate the merit of an investment in accordance with Bangladesh bank circular. Classified investments as per Bangladesh Bank are those investments where bank is unclear whether it will be able to recoup the investment proceeds from the customer or not. Here the investments of CBL are classified as per Bangladesh Bank circular as follow: </w:t>
      </w:r>
    </w:p>
    <w:p w:rsidR="00AD581D" w:rsidRDefault="00AD581D" w:rsidP="00AF203D">
      <w:pPr>
        <w:pStyle w:val="Heading4"/>
      </w:pPr>
      <w:bookmarkStart w:id="41" w:name="_Toc524821020"/>
      <w:r>
        <w:t>4.1.1.1 Investment in Held for Trading (HFT)</w:t>
      </w:r>
      <w:bookmarkEnd w:id="41"/>
    </w:p>
    <w:p w:rsidR="00AD581D" w:rsidRPr="00EB70A7" w:rsidRDefault="00AD581D" w:rsidP="00AD581D">
      <w:pPr>
        <w:rPr>
          <w:sz w:val="24"/>
          <w:szCs w:val="24"/>
        </w:rPr>
      </w:pPr>
      <w:r w:rsidRPr="00EB70A7">
        <w:rPr>
          <w:sz w:val="24"/>
          <w:szCs w:val="24"/>
        </w:rPr>
        <w:t xml:space="preserve">Debt and equity investments that are purchased with the intent of selling them within a short period of time, usually less than one year called investment in held for trading (HFT).For measurement, government Treasury bill and Bonds are designated as HFT in CBL.  </w:t>
      </w:r>
    </w:p>
    <w:p w:rsidR="00AD581D" w:rsidRDefault="00AD581D" w:rsidP="00AD581D">
      <w:pPr>
        <w:rPr>
          <w:sz w:val="24"/>
          <w:szCs w:val="24"/>
        </w:rPr>
      </w:pPr>
      <w:r w:rsidRPr="00EB70A7">
        <w:rPr>
          <w:sz w:val="24"/>
          <w:szCs w:val="24"/>
        </w:rPr>
        <w:t>The percentages of investment in HTF are calculated by dividing the amount of investment in HTF with the total amount of investment in financial assets.</w:t>
      </w:r>
    </w:p>
    <w:tbl>
      <w:tblPr>
        <w:tblW w:w="5000" w:type="pct"/>
        <w:tblLook w:val="04A0" w:firstRow="1" w:lastRow="0" w:firstColumn="1" w:lastColumn="0" w:noHBand="0" w:noVBand="1"/>
      </w:tblPr>
      <w:tblGrid>
        <w:gridCol w:w="4016"/>
        <w:gridCol w:w="1063"/>
        <w:gridCol w:w="1063"/>
        <w:gridCol w:w="1019"/>
        <w:gridCol w:w="1063"/>
        <w:gridCol w:w="1019"/>
      </w:tblGrid>
      <w:tr w:rsidR="00AD581D" w:rsidRPr="00EB70A7" w:rsidTr="00AD581D">
        <w:trPr>
          <w:trHeight w:val="300"/>
        </w:trPr>
        <w:tc>
          <w:tcPr>
            <w:tcW w:w="2202" w:type="pct"/>
            <w:noWrap/>
            <w:hideMark/>
          </w:tcPr>
          <w:p w:rsidR="00AD581D" w:rsidRPr="00EB70A7" w:rsidRDefault="00AD581D" w:rsidP="00AD581D">
            <w:pPr>
              <w:rPr>
                <w:rFonts w:ascii="Calibri" w:hAnsi="Calibri" w:cs="Calibri"/>
                <w:lang w:bidi="bn-BD"/>
              </w:rPr>
            </w:pPr>
            <w:r w:rsidRPr="00EB70A7">
              <w:rPr>
                <w:rFonts w:ascii="Calibri" w:hAnsi="Calibri" w:cs="Calibri"/>
                <w:lang w:bidi="bn-BD"/>
              </w:rPr>
              <w:t>Year</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2013</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2014</w:t>
            </w:r>
          </w:p>
        </w:tc>
        <w:tc>
          <w:tcPr>
            <w:tcW w:w="550"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2015</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2016</w:t>
            </w:r>
          </w:p>
        </w:tc>
        <w:tc>
          <w:tcPr>
            <w:tcW w:w="550"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2017</w:t>
            </w:r>
          </w:p>
        </w:tc>
      </w:tr>
      <w:tr w:rsidR="00AD581D" w:rsidRPr="00EB70A7" w:rsidTr="00AD581D">
        <w:trPr>
          <w:trHeight w:val="300"/>
        </w:trPr>
        <w:tc>
          <w:tcPr>
            <w:tcW w:w="2202" w:type="pct"/>
            <w:noWrap/>
            <w:hideMark/>
          </w:tcPr>
          <w:p w:rsidR="00AD581D" w:rsidRPr="00EB70A7" w:rsidRDefault="00AD581D" w:rsidP="00AD581D">
            <w:pPr>
              <w:rPr>
                <w:rFonts w:ascii="Calibri" w:hAnsi="Calibri" w:cs="Calibri"/>
                <w:lang w:bidi="bn-BD"/>
              </w:rPr>
            </w:pPr>
            <w:r w:rsidRPr="00EB70A7">
              <w:rPr>
                <w:rFonts w:ascii="Calibri" w:hAnsi="Calibri" w:cs="Calibri"/>
                <w:lang w:bidi="bn-BD"/>
              </w:rPr>
              <w:t>Percentage of Investment</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14.72%</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33.45%</w:t>
            </w:r>
          </w:p>
        </w:tc>
        <w:tc>
          <w:tcPr>
            <w:tcW w:w="550"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14.09%</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30.81%</w:t>
            </w:r>
          </w:p>
        </w:tc>
        <w:tc>
          <w:tcPr>
            <w:tcW w:w="550"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9.47%</w:t>
            </w:r>
          </w:p>
        </w:tc>
      </w:tr>
      <w:tr w:rsidR="00AD581D" w:rsidRPr="00EB70A7" w:rsidTr="00AD581D">
        <w:trPr>
          <w:trHeight w:val="300"/>
        </w:trPr>
        <w:tc>
          <w:tcPr>
            <w:tcW w:w="2202" w:type="pct"/>
            <w:noWrap/>
            <w:hideMark/>
          </w:tcPr>
          <w:p w:rsidR="00AD581D" w:rsidRPr="00EB70A7" w:rsidRDefault="00AD581D" w:rsidP="00AD581D">
            <w:pPr>
              <w:rPr>
                <w:rFonts w:ascii="Calibri" w:hAnsi="Calibri" w:cs="Calibri"/>
                <w:lang w:bidi="bn-BD"/>
              </w:rPr>
            </w:pPr>
            <w:r w:rsidRPr="00EB70A7">
              <w:rPr>
                <w:rFonts w:ascii="Calibri" w:hAnsi="Calibri" w:cs="Calibri"/>
                <w:lang w:bidi="bn-BD"/>
              </w:rPr>
              <w:t>Growth Rate</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458.09%</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146.17%</w:t>
            </w:r>
          </w:p>
        </w:tc>
        <w:tc>
          <w:tcPr>
            <w:tcW w:w="550"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-63.87%</w:t>
            </w:r>
          </w:p>
        </w:tc>
        <w:tc>
          <w:tcPr>
            <w:tcW w:w="566"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117.01%</w:t>
            </w:r>
          </w:p>
        </w:tc>
        <w:tc>
          <w:tcPr>
            <w:tcW w:w="550" w:type="pct"/>
            <w:noWrap/>
            <w:hideMark/>
          </w:tcPr>
          <w:p w:rsidR="00AD581D" w:rsidRPr="00EB70A7" w:rsidRDefault="00AD581D" w:rsidP="00AD581D">
            <w:pPr>
              <w:jc w:val="right"/>
              <w:rPr>
                <w:rFonts w:ascii="Calibri" w:hAnsi="Calibri" w:cs="Calibri"/>
                <w:lang w:bidi="bn-BD"/>
              </w:rPr>
            </w:pPr>
            <w:r w:rsidRPr="00EB70A7">
              <w:rPr>
                <w:rFonts w:ascii="Calibri" w:hAnsi="Calibri" w:cs="Calibri"/>
                <w:lang w:bidi="bn-BD"/>
              </w:rPr>
              <w:t>-67.91%</w:t>
            </w:r>
          </w:p>
        </w:tc>
      </w:tr>
    </w:tbl>
    <w:p w:rsidR="00AD581D" w:rsidRDefault="00AD581D" w:rsidP="00AD581D">
      <w:pPr>
        <w:rPr>
          <w:sz w:val="24"/>
          <w:szCs w:val="24"/>
        </w:rPr>
      </w:pPr>
      <w:r>
        <w:rPr>
          <w:noProof/>
        </w:rPr>
        <w:drawing>
          <wp:anchor distT="0" distB="0" distL="114300" distR="114300" simplePos="0" relativeHeight="251542528" behindDoc="0" locked="0" layoutInCell="1" allowOverlap="1">
            <wp:simplePos x="0" y="0"/>
            <wp:positionH relativeFrom="margin">
              <wp:align>right</wp:align>
            </wp:positionH>
            <wp:positionV relativeFrom="paragraph">
              <wp:posOffset>301625</wp:posOffset>
            </wp:positionV>
            <wp:extent cx="5943600" cy="2209800"/>
            <wp:effectExtent l="0" t="0" r="0" b="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rsidR="00AD581D" w:rsidRDefault="00AD581D" w:rsidP="00AD581D">
      <w:pPr>
        <w:rPr>
          <w:sz w:val="24"/>
          <w:szCs w:val="24"/>
        </w:rPr>
      </w:pPr>
    </w:p>
    <w:p w:rsidR="00AD581D" w:rsidRDefault="00AD581D" w:rsidP="00AD581D">
      <w:pPr>
        <w:rPr>
          <w:sz w:val="24"/>
          <w:szCs w:val="24"/>
        </w:rPr>
      </w:pPr>
      <w:r w:rsidRPr="001D3D28">
        <w:rPr>
          <w:sz w:val="24"/>
          <w:szCs w:val="24"/>
        </w:rPr>
        <w:t>In the investment in HTF the pe</w:t>
      </w:r>
      <w:r>
        <w:rPr>
          <w:sz w:val="24"/>
          <w:szCs w:val="24"/>
        </w:rPr>
        <w:t>rcentage rate of investment are 14.72</w:t>
      </w:r>
      <w:r w:rsidRPr="001D3D28">
        <w:rPr>
          <w:sz w:val="24"/>
          <w:szCs w:val="24"/>
        </w:rPr>
        <w:t>%</w:t>
      </w:r>
      <w:proofErr w:type="gramStart"/>
      <w:r w:rsidRPr="001D3D28">
        <w:rPr>
          <w:sz w:val="24"/>
          <w:szCs w:val="24"/>
        </w:rPr>
        <w:t>,33.45</w:t>
      </w:r>
      <w:proofErr w:type="gramEnd"/>
      <w:r w:rsidRPr="001D3D28">
        <w:rPr>
          <w:sz w:val="24"/>
          <w:szCs w:val="24"/>
        </w:rPr>
        <w:t>%,</w:t>
      </w:r>
      <w:r>
        <w:rPr>
          <w:sz w:val="24"/>
          <w:szCs w:val="24"/>
        </w:rPr>
        <w:t xml:space="preserve"> 14.09%, </w:t>
      </w:r>
      <w:r w:rsidRPr="001D3D28">
        <w:rPr>
          <w:sz w:val="24"/>
          <w:szCs w:val="24"/>
        </w:rPr>
        <w:t>30.81%</w:t>
      </w:r>
      <w:r>
        <w:rPr>
          <w:sz w:val="24"/>
          <w:szCs w:val="24"/>
        </w:rPr>
        <w:t xml:space="preserve"> and 9.47% from year 2013 to 2017</w:t>
      </w:r>
      <w:r w:rsidRPr="001D3D28">
        <w:rPr>
          <w:sz w:val="24"/>
          <w:szCs w:val="24"/>
        </w:rPr>
        <w:t>.</w:t>
      </w:r>
      <w:r>
        <w:rPr>
          <w:sz w:val="24"/>
          <w:szCs w:val="24"/>
        </w:rPr>
        <w:t xml:space="preserve"> T</w:t>
      </w:r>
      <w:r w:rsidRPr="001D3D28">
        <w:rPr>
          <w:sz w:val="24"/>
          <w:szCs w:val="24"/>
        </w:rPr>
        <w:t>his is indicating that the investment of CBL in HTF growth is increasing year to year except 2015</w:t>
      </w:r>
      <w:r>
        <w:rPr>
          <w:sz w:val="24"/>
          <w:szCs w:val="24"/>
        </w:rPr>
        <w:t xml:space="preserve"> and 2017</w:t>
      </w:r>
      <w:r w:rsidRPr="001D3D28">
        <w:rPr>
          <w:sz w:val="24"/>
          <w:szCs w:val="24"/>
        </w:rPr>
        <w:t>.In the annual growth rate it is being notified that in 2015</w:t>
      </w:r>
      <w:r>
        <w:rPr>
          <w:sz w:val="24"/>
          <w:szCs w:val="24"/>
        </w:rPr>
        <w:t xml:space="preserve"> and 2017</w:t>
      </w:r>
      <w:r w:rsidRPr="001D3D28">
        <w:rPr>
          <w:sz w:val="24"/>
          <w:szCs w:val="24"/>
        </w:rPr>
        <w:t xml:space="preserve"> there is a negative investment growth in HTF. The growth rate of investment in HTF is clearly mentioned in the given chart that is showing that the highest number of investment in HTF is on 2013 and there is a negative investment in 2015</w:t>
      </w:r>
      <w:r>
        <w:rPr>
          <w:sz w:val="24"/>
          <w:szCs w:val="24"/>
        </w:rPr>
        <w:t xml:space="preserve"> and 2017</w:t>
      </w:r>
      <w:r w:rsidRPr="001D3D28">
        <w:rPr>
          <w:sz w:val="24"/>
          <w:szCs w:val="24"/>
        </w:rPr>
        <w:t xml:space="preserve">. </w:t>
      </w:r>
    </w:p>
    <w:p w:rsidR="00AD581D" w:rsidRPr="001D3D28" w:rsidRDefault="00AD581D" w:rsidP="00AF203D">
      <w:pPr>
        <w:pStyle w:val="Heading4"/>
      </w:pPr>
      <w:bookmarkStart w:id="42" w:name="_Toc524821021"/>
      <w:r w:rsidRPr="001D3D28">
        <w:t>4.1.1.2 Investment in Held to Maturity (HTM)</w:t>
      </w:r>
      <w:bookmarkEnd w:id="42"/>
    </w:p>
    <w:p w:rsidR="00AD581D" w:rsidRPr="001D3D28" w:rsidRDefault="00AD581D" w:rsidP="00AD581D">
      <w:pPr>
        <w:rPr>
          <w:sz w:val="24"/>
          <w:szCs w:val="24"/>
        </w:rPr>
      </w:pPr>
      <w:r w:rsidRPr="001D3D28">
        <w:rPr>
          <w:sz w:val="24"/>
          <w:szCs w:val="24"/>
        </w:rPr>
        <w:t xml:space="preserve">Securities which are purchased with the intention of holding the investment to maturity called investment in Held to Maturity securities. This type of security is reported at </w:t>
      </w:r>
      <w:r w:rsidRPr="001D3D28">
        <w:rPr>
          <w:sz w:val="24"/>
          <w:szCs w:val="24"/>
        </w:rPr>
        <w:lastRenderedPageBreak/>
        <w:t xml:space="preserve">amortized cost on a company's financial statements and is usually in the form of a debt security with a specific maturity date. Government Treasury Bills and Bonds designated as 'Held to Maturity (HTM)' in CBL. </w:t>
      </w:r>
    </w:p>
    <w:p w:rsidR="00AD581D" w:rsidRPr="001D3D28" w:rsidRDefault="00AD581D" w:rsidP="00AD581D">
      <w:pPr>
        <w:rPr>
          <w:sz w:val="24"/>
          <w:szCs w:val="24"/>
        </w:rPr>
      </w:pPr>
      <w:r w:rsidRPr="001D3D28">
        <w:rPr>
          <w:sz w:val="24"/>
          <w:szCs w:val="24"/>
        </w:rPr>
        <w:t>Here, the percentage numbers of investment in HTM are calculated by dividing the total amount of investment in HTM with the total amount of investment in financial assets.</w:t>
      </w:r>
    </w:p>
    <w:tbl>
      <w:tblPr>
        <w:tblW w:w="5000" w:type="pct"/>
        <w:tblLook w:val="04A0" w:firstRow="1" w:lastRow="0" w:firstColumn="1" w:lastColumn="0" w:noHBand="0" w:noVBand="1"/>
      </w:tblPr>
      <w:tblGrid>
        <w:gridCol w:w="4107"/>
        <w:gridCol w:w="1028"/>
        <w:gridCol w:w="1028"/>
        <w:gridCol w:w="1028"/>
        <w:gridCol w:w="1028"/>
        <w:gridCol w:w="1024"/>
      </w:tblGrid>
      <w:tr w:rsidR="00AD581D" w:rsidRPr="001D3D28" w:rsidTr="00AD581D">
        <w:trPr>
          <w:trHeight w:val="300"/>
        </w:trPr>
        <w:tc>
          <w:tcPr>
            <w:tcW w:w="2222" w:type="pct"/>
            <w:noWrap/>
            <w:hideMark/>
          </w:tcPr>
          <w:p w:rsidR="00AD581D" w:rsidRPr="001D3D28" w:rsidRDefault="00AD581D" w:rsidP="00AD581D">
            <w:pPr>
              <w:rPr>
                <w:rFonts w:ascii="Calibri" w:hAnsi="Calibri" w:cs="Calibri"/>
                <w:lang w:bidi="bn-BD"/>
              </w:rPr>
            </w:pPr>
            <w:r w:rsidRPr="001D3D28">
              <w:rPr>
                <w:rFonts w:ascii="Calibri" w:hAnsi="Calibri" w:cs="Calibri"/>
                <w:lang w:bidi="bn-BD"/>
              </w:rPr>
              <w:t>Year</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2013</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2014</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2015</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2016</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2017</w:t>
            </w:r>
          </w:p>
        </w:tc>
      </w:tr>
      <w:tr w:rsidR="00AD581D" w:rsidRPr="001D3D28" w:rsidTr="00AD581D">
        <w:trPr>
          <w:trHeight w:val="300"/>
        </w:trPr>
        <w:tc>
          <w:tcPr>
            <w:tcW w:w="2222" w:type="pct"/>
            <w:noWrap/>
            <w:hideMark/>
          </w:tcPr>
          <w:p w:rsidR="00AD581D" w:rsidRPr="001D3D28" w:rsidRDefault="00AD581D" w:rsidP="00AD581D">
            <w:pPr>
              <w:rPr>
                <w:rFonts w:ascii="Calibri" w:hAnsi="Calibri" w:cs="Calibri"/>
                <w:lang w:bidi="bn-BD"/>
              </w:rPr>
            </w:pPr>
            <w:r w:rsidRPr="001D3D28">
              <w:rPr>
                <w:rFonts w:ascii="Calibri" w:hAnsi="Calibri" w:cs="Calibri"/>
                <w:lang w:bidi="bn-BD"/>
              </w:rPr>
              <w:t>Percentage of Investment</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46.32%</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42.65%</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65.18%</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59.43%</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77.16%</w:t>
            </w:r>
          </w:p>
        </w:tc>
      </w:tr>
      <w:tr w:rsidR="00AD581D" w:rsidRPr="001D3D28" w:rsidTr="00AD581D">
        <w:trPr>
          <w:trHeight w:val="300"/>
        </w:trPr>
        <w:tc>
          <w:tcPr>
            <w:tcW w:w="2222" w:type="pct"/>
            <w:noWrap/>
            <w:hideMark/>
          </w:tcPr>
          <w:p w:rsidR="00AD581D" w:rsidRPr="001D3D28" w:rsidRDefault="00AD581D" w:rsidP="00AD581D">
            <w:pPr>
              <w:rPr>
                <w:rFonts w:ascii="Calibri" w:hAnsi="Calibri" w:cs="Calibri"/>
                <w:lang w:bidi="bn-BD"/>
              </w:rPr>
            </w:pPr>
            <w:r w:rsidRPr="001D3D28">
              <w:rPr>
                <w:rFonts w:ascii="Calibri" w:hAnsi="Calibri" w:cs="Calibri"/>
                <w:lang w:bidi="bn-BD"/>
              </w:rPr>
              <w:t>Growth Rate</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-1.30%</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-0.21%</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31.01%</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-9.49%</w:t>
            </w:r>
          </w:p>
        </w:tc>
        <w:tc>
          <w:tcPr>
            <w:tcW w:w="556" w:type="pct"/>
            <w:noWrap/>
            <w:hideMark/>
          </w:tcPr>
          <w:p w:rsidR="00AD581D" w:rsidRPr="001D3D28" w:rsidRDefault="00AD581D" w:rsidP="00AD581D">
            <w:pPr>
              <w:jc w:val="right"/>
              <w:rPr>
                <w:rFonts w:ascii="Calibri" w:hAnsi="Calibri" w:cs="Calibri"/>
                <w:lang w:bidi="bn-BD"/>
              </w:rPr>
            </w:pPr>
            <w:r w:rsidRPr="001D3D28">
              <w:rPr>
                <w:rFonts w:ascii="Calibri" w:hAnsi="Calibri" w:cs="Calibri"/>
                <w:lang w:bidi="bn-BD"/>
              </w:rPr>
              <w:t>35.56%</w:t>
            </w:r>
          </w:p>
        </w:tc>
      </w:tr>
    </w:tbl>
    <w:p w:rsidR="00AD581D" w:rsidRDefault="00AD581D" w:rsidP="00AD581D">
      <w:pPr>
        <w:rPr>
          <w:sz w:val="24"/>
          <w:szCs w:val="24"/>
        </w:rPr>
      </w:pPr>
      <w:r>
        <w:rPr>
          <w:noProof/>
        </w:rPr>
        <w:drawing>
          <wp:anchor distT="0" distB="0" distL="114300" distR="114300" simplePos="0" relativeHeight="251545600" behindDoc="0" locked="0" layoutInCell="1" allowOverlap="1">
            <wp:simplePos x="0" y="0"/>
            <wp:positionH relativeFrom="margin">
              <wp:align>right</wp:align>
            </wp:positionH>
            <wp:positionV relativeFrom="paragraph">
              <wp:posOffset>299085</wp:posOffset>
            </wp:positionV>
            <wp:extent cx="5734050" cy="2590800"/>
            <wp:effectExtent l="0" t="0" r="0" b="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rsidR="00AD581D" w:rsidRDefault="00AD581D" w:rsidP="00AD581D">
      <w:pPr>
        <w:rPr>
          <w:sz w:val="24"/>
          <w:szCs w:val="24"/>
        </w:rPr>
      </w:pPr>
    </w:p>
    <w:p w:rsidR="00AD581D" w:rsidRDefault="00AD581D" w:rsidP="00AD581D">
      <w:pPr>
        <w:rPr>
          <w:sz w:val="24"/>
          <w:szCs w:val="24"/>
        </w:rPr>
      </w:pPr>
      <w:r w:rsidRPr="00E048EB">
        <w:rPr>
          <w:sz w:val="24"/>
          <w:szCs w:val="24"/>
        </w:rPr>
        <w:t>Here the investment rates are 46.32%, 42.65%, 65.18%</w:t>
      </w:r>
      <w:r>
        <w:rPr>
          <w:sz w:val="24"/>
          <w:szCs w:val="24"/>
        </w:rPr>
        <w:t xml:space="preserve">, </w:t>
      </w:r>
      <w:r w:rsidRPr="00E048EB">
        <w:rPr>
          <w:sz w:val="24"/>
          <w:szCs w:val="24"/>
        </w:rPr>
        <w:t>59.43% and</w:t>
      </w:r>
      <w:r w:rsidRPr="001D3D28">
        <w:rPr>
          <w:rFonts w:ascii="Calibri" w:hAnsi="Calibri" w:cs="Calibri"/>
          <w:lang w:bidi="bn-BD"/>
        </w:rPr>
        <w:t>77.16%</w:t>
      </w:r>
      <w:r w:rsidRPr="00E048EB">
        <w:rPr>
          <w:sz w:val="24"/>
          <w:szCs w:val="24"/>
        </w:rPr>
        <w:t>.This is indicating that the percentage of investment in HTM is floating year to year. From the percentage of annual growth rate it is clearly understood that there is negative growth rate of invest of CBL in HTM in all the year except 2015</w:t>
      </w:r>
      <w:r>
        <w:rPr>
          <w:sz w:val="24"/>
          <w:szCs w:val="24"/>
        </w:rPr>
        <w:t xml:space="preserve"> and 2017. Only in 2017</w:t>
      </w:r>
      <w:r w:rsidRPr="00E048EB">
        <w:rPr>
          <w:sz w:val="24"/>
          <w:szCs w:val="24"/>
        </w:rPr>
        <w:t>, CBL have invested the highest amount in HTF. This is showing in the given chart very clearly.</w:t>
      </w:r>
    </w:p>
    <w:p w:rsidR="00AD581D" w:rsidRPr="00E048EB" w:rsidRDefault="00AD581D" w:rsidP="00AF203D">
      <w:pPr>
        <w:pStyle w:val="Heading4"/>
      </w:pPr>
      <w:bookmarkStart w:id="43" w:name="_Toc524821022"/>
      <w:r w:rsidRPr="00E048EB">
        <w:t>4.1.1.3 Investment in Reverse Repo</w:t>
      </w:r>
      <w:bookmarkEnd w:id="43"/>
    </w:p>
    <w:p w:rsidR="00AD581D" w:rsidRPr="00E048EB" w:rsidRDefault="00AD581D" w:rsidP="00AD581D">
      <w:pPr>
        <w:rPr>
          <w:sz w:val="24"/>
          <w:szCs w:val="24"/>
        </w:rPr>
      </w:pPr>
      <w:r w:rsidRPr="00E048EB">
        <w:rPr>
          <w:sz w:val="24"/>
          <w:szCs w:val="24"/>
        </w:rPr>
        <w:t xml:space="preserve">Reverse Repo is the purchase of securities with the agreement to sell them at a higher price at a specific future date. Reverse repo rate is the rate at which the central bank of a country borrows money from commercial banks within the country. It is a monetary policy instrument which can be used to control the money supply in the country. An increase in Repos is classified as a money-market instrument, and they are usually used to raise short-term capital.  </w:t>
      </w:r>
    </w:p>
    <w:p w:rsidR="00AD581D" w:rsidRPr="00E048EB" w:rsidRDefault="00AD581D" w:rsidP="00AD581D">
      <w:pPr>
        <w:rPr>
          <w:sz w:val="24"/>
          <w:szCs w:val="24"/>
        </w:rPr>
      </w:pPr>
    </w:p>
    <w:p w:rsidR="00AD581D" w:rsidRDefault="00AD581D" w:rsidP="00AD581D">
      <w:pPr>
        <w:rPr>
          <w:sz w:val="24"/>
          <w:szCs w:val="24"/>
        </w:rPr>
      </w:pPr>
      <w:r w:rsidRPr="00E048EB">
        <w:rPr>
          <w:sz w:val="24"/>
          <w:szCs w:val="24"/>
        </w:rPr>
        <w:t>Here the percentage of investment in Reverse Repo is calculated by dividing the total amount of investment in reverse repo with the total amount of investment in financial assets.</w:t>
      </w:r>
    </w:p>
    <w:tbl>
      <w:tblPr>
        <w:tblW w:w="5000" w:type="pct"/>
        <w:tblLook w:val="04A0" w:firstRow="1" w:lastRow="0" w:firstColumn="1" w:lastColumn="0" w:noHBand="0" w:noVBand="1"/>
      </w:tblPr>
      <w:tblGrid>
        <w:gridCol w:w="4059"/>
        <w:gridCol w:w="1063"/>
        <w:gridCol w:w="1019"/>
        <w:gridCol w:w="1019"/>
        <w:gridCol w:w="1130"/>
        <w:gridCol w:w="953"/>
      </w:tblGrid>
      <w:tr w:rsidR="00AD581D" w:rsidRPr="00E048EB" w:rsidTr="00AD581D">
        <w:trPr>
          <w:trHeight w:val="300"/>
        </w:trPr>
        <w:tc>
          <w:tcPr>
            <w:tcW w:w="2208" w:type="pct"/>
            <w:noWrap/>
            <w:hideMark/>
          </w:tcPr>
          <w:p w:rsidR="00AD581D" w:rsidRPr="00E048EB" w:rsidRDefault="00AD581D" w:rsidP="00AD581D">
            <w:pPr>
              <w:rPr>
                <w:rFonts w:ascii="Calibri" w:hAnsi="Calibri" w:cs="Calibri"/>
                <w:lang w:bidi="bn-BD"/>
              </w:rPr>
            </w:pPr>
            <w:r w:rsidRPr="00E048EB">
              <w:rPr>
                <w:rFonts w:ascii="Calibri" w:hAnsi="Calibri" w:cs="Calibri"/>
                <w:lang w:bidi="bn-BD"/>
              </w:rPr>
              <w:t>Year</w:t>
            </w:r>
          </w:p>
        </w:tc>
        <w:tc>
          <w:tcPr>
            <w:tcW w:w="568"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2013</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2014</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2015</w:t>
            </w:r>
          </w:p>
        </w:tc>
        <w:tc>
          <w:tcPr>
            <w:tcW w:w="568"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2016</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2017</w:t>
            </w:r>
          </w:p>
        </w:tc>
      </w:tr>
      <w:tr w:rsidR="00AD581D" w:rsidRPr="00E048EB" w:rsidTr="00AD581D">
        <w:trPr>
          <w:trHeight w:val="300"/>
        </w:trPr>
        <w:tc>
          <w:tcPr>
            <w:tcW w:w="2208" w:type="pct"/>
            <w:noWrap/>
            <w:hideMark/>
          </w:tcPr>
          <w:p w:rsidR="00AD581D" w:rsidRPr="00E048EB" w:rsidRDefault="00AD581D" w:rsidP="00AD581D">
            <w:pPr>
              <w:rPr>
                <w:rFonts w:ascii="Calibri" w:hAnsi="Calibri" w:cs="Calibri"/>
                <w:lang w:bidi="bn-BD"/>
              </w:rPr>
            </w:pPr>
            <w:r w:rsidRPr="00E048EB">
              <w:rPr>
                <w:rFonts w:ascii="Calibri" w:hAnsi="Calibri" w:cs="Calibri"/>
                <w:lang w:bidi="bn-BD"/>
              </w:rPr>
              <w:t>Percentage of Investment</w:t>
            </w:r>
          </w:p>
        </w:tc>
        <w:tc>
          <w:tcPr>
            <w:tcW w:w="568"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21.94%</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6.21%</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0.73%</w:t>
            </w:r>
          </w:p>
        </w:tc>
        <w:tc>
          <w:tcPr>
            <w:tcW w:w="568"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0.00%</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0.00%</w:t>
            </w:r>
          </w:p>
        </w:tc>
      </w:tr>
      <w:tr w:rsidR="00AD581D" w:rsidRPr="00E048EB" w:rsidTr="00AD581D">
        <w:trPr>
          <w:trHeight w:val="300"/>
        </w:trPr>
        <w:tc>
          <w:tcPr>
            <w:tcW w:w="2208" w:type="pct"/>
            <w:noWrap/>
            <w:hideMark/>
          </w:tcPr>
          <w:p w:rsidR="00AD581D" w:rsidRPr="00E048EB" w:rsidRDefault="00AD581D" w:rsidP="00AD581D">
            <w:pPr>
              <w:rPr>
                <w:rFonts w:ascii="Calibri" w:hAnsi="Calibri" w:cs="Calibri"/>
                <w:lang w:bidi="bn-BD"/>
              </w:rPr>
            </w:pPr>
            <w:r w:rsidRPr="00E048EB">
              <w:rPr>
                <w:rFonts w:ascii="Calibri" w:hAnsi="Calibri" w:cs="Calibri"/>
                <w:lang w:bidi="bn-BD"/>
              </w:rPr>
              <w:t>Growth Rate</w:t>
            </w:r>
          </w:p>
        </w:tc>
        <w:tc>
          <w:tcPr>
            <w:tcW w:w="568"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126.61%</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-69.34%</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-89.97%</w:t>
            </w:r>
          </w:p>
        </w:tc>
        <w:tc>
          <w:tcPr>
            <w:tcW w:w="568"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-100.00%</w:t>
            </w:r>
          </w:p>
        </w:tc>
        <w:tc>
          <w:tcPr>
            <w:tcW w:w="552" w:type="pct"/>
            <w:noWrap/>
            <w:hideMark/>
          </w:tcPr>
          <w:p w:rsidR="00AD581D" w:rsidRPr="00E048EB" w:rsidRDefault="00AD581D" w:rsidP="00AD581D">
            <w:pPr>
              <w:jc w:val="right"/>
              <w:rPr>
                <w:rFonts w:ascii="Calibri" w:hAnsi="Calibri" w:cs="Calibri"/>
                <w:lang w:bidi="bn-BD"/>
              </w:rPr>
            </w:pPr>
            <w:r w:rsidRPr="00E048EB">
              <w:rPr>
                <w:rFonts w:ascii="Calibri" w:hAnsi="Calibri" w:cs="Calibri"/>
                <w:lang w:bidi="bn-BD"/>
              </w:rPr>
              <w:t>0.00%</w:t>
            </w:r>
          </w:p>
        </w:tc>
      </w:tr>
    </w:tbl>
    <w:p w:rsidR="00AD581D" w:rsidRDefault="00AD581D" w:rsidP="00AD581D">
      <w:pPr>
        <w:rPr>
          <w:sz w:val="24"/>
          <w:szCs w:val="24"/>
        </w:rPr>
      </w:pPr>
      <w:r>
        <w:rPr>
          <w:noProof/>
        </w:rPr>
        <w:lastRenderedPageBreak/>
        <w:drawing>
          <wp:anchor distT="0" distB="0" distL="114300" distR="114300" simplePos="0" relativeHeight="251548672" behindDoc="0" locked="0" layoutInCell="1" allowOverlap="1">
            <wp:simplePos x="0" y="0"/>
            <wp:positionH relativeFrom="margin">
              <wp:align>right</wp:align>
            </wp:positionH>
            <wp:positionV relativeFrom="paragraph">
              <wp:posOffset>300355</wp:posOffset>
            </wp:positionV>
            <wp:extent cx="5734050" cy="274320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rsidR="00AD581D" w:rsidRDefault="00AD581D" w:rsidP="00AD581D">
      <w:pPr>
        <w:rPr>
          <w:sz w:val="24"/>
          <w:szCs w:val="24"/>
        </w:rPr>
      </w:pPr>
    </w:p>
    <w:p w:rsidR="00AD581D" w:rsidRPr="00911BB2" w:rsidRDefault="00AD581D" w:rsidP="00AD581D">
      <w:pPr>
        <w:rPr>
          <w:sz w:val="24"/>
          <w:szCs w:val="24"/>
        </w:rPr>
      </w:pPr>
      <w:r w:rsidRPr="00911BB2">
        <w:rPr>
          <w:sz w:val="24"/>
          <w:szCs w:val="24"/>
        </w:rPr>
        <w:t xml:space="preserve">Here the percentages of investment of CBL in Reverse Repo are </w:t>
      </w:r>
      <w:r>
        <w:rPr>
          <w:sz w:val="24"/>
          <w:szCs w:val="24"/>
        </w:rPr>
        <w:t>21.94%, 6.21%, 0.</w:t>
      </w:r>
      <w:r w:rsidRPr="00911BB2">
        <w:rPr>
          <w:sz w:val="24"/>
          <w:szCs w:val="24"/>
        </w:rPr>
        <w:t>73%</w:t>
      </w:r>
      <w:r>
        <w:rPr>
          <w:sz w:val="24"/>
          <w:szCs w:val="24"/>
        </w:rPr>
        <w:t xml:space="preserve">, </w:t>
      </w:r>
      <w:r w:rsidRPr="00911BB2">
        <w:rPr>
          <w:sz w:val="24"/>
          <w:szCs w:val="24"/>
        </w:rPr>
        <w:t>0%</w:t>
      </w:r>
      <w:r>
        <w:rPr>
          <w:sz w:val="24"/>
          <w:szCs w:val="24"/>
        </w:rPr>
        <w:t xml:space="preserve"> and 0% from the year 2013 to 2017</w:t>
      </w:r>
      <w:r w:rsidRPr="00911BB2">
        <w:rPr>
          <w:sz w:val="24"/>
          <w:szCs w:val="24"/>
        </w:rPr>
        <w:t>. In 2016</w:t>
      </w:r>
      <w:r>
        <w:rPr>
          <w:sz w:val="24"/>
          <w:szCs w:val="24"/>
        </w:rPr>
        <w:t xml:space="preserve"> and 2017</w:t>
      </w:r>
      <w:r w:rsidRPr="00911BB2">
        <w:rPr>
          <w:sz w:val="24"/>
          <w:szCs w:val="24"/>
        </w:rPr>
        <w:t xml:space="preserve"> CBL have no investment in Reverse Repo for that th</w:t>
      </w:r>
      <w:r>
        <w:rPr>
          <w:sz w:val="24"/>
          <w:szCs w:val="24"/>
        </w:rPr>
        <w:t xml:space="preserve">ere is showing 0% of </w:t>
      </w:r>
      <w:proofErr w:type="spellStart"/>
      <w:r>
        <w:rPr>
          <w:sz w:val="24"/>
          <w:szCs w:val="24"/>
        </w:rPr>
        <w:t>investment</w:t>
      </w:r>
      <w:r w:rsidRPr="00911BB2">
        <w:rPr>
          <w:sz w:val="24"/>
          <w:szCs w:val="24"/>
        </w:rPr>
        <w:t>.Other</w:t>
      </w:r>
      <w:proofErr w:type="spellEnd"/>
      <w:r w:rsidRPr="00911BB2">
        <w:rPr>
          <w:sz w:val="24"/>
          <w:szCs w:val="24"/>
        </w:rPr>
        <w:t xml:space="preserve"> years are some floating number of percentage rate of investment in Reverse Repo. From the calculation of annual growth rate of percentage it is showing that there is </w:t>
      </w:r>
      <w:r>
        <w:rPr>
          <w:sz w:val="24"/>
          <w:szCs w:val="24"/>
        </w:rPr>
        <w:t>positive</w:t>
      </w:r>
      <w:r w:rsidRPr="00911BB2">
        <w:rPr>
          <w:sz w:val="24"/>
          <w:szCs w:val="24"/>
        </w:rPr>
        <w:t xml:space="preserve"> growth rat</w:t>
      </w:r>
      <w:r>
        <w:rPr>
          <w:sz w:val="24"/>
          <w:szCs w:val="24"/>
        </w:rPr>
        <w:t>e in 2013</w:t>
      </w:r>
      <w:r w:rsidRPr="00911BB2">
        <w:rPr>
          <w:sz w:val="24"/>
          <w:szCs w:val="24"/>
        </w:rPr>
        <w:t xml:space="preserve">.So it can be said that the highest investment of CBL in reverse Repo is on 2013.Others year there is showing the negative growth rate. The charts are also showing the things very clearly. </w:t>
      </w:r>
    </w:p>
    <w:p w:rsidR="00AD581D" w:rsidRPr="00911BB2" w:rsidRDefault="00AD581D" w:rsidP="00AF203D">
      <w:pPr>
        <w:pStyle w:val="Heading4"/>
      </w:pPr>
      <w:bookmarkStart w:id="44" w:name="_Toc524821023"/>
      <w:r w:rsidRPr="00911BB2">
        <w:t>4.1.1.4 Investment in Other Securities</w:t>
      </w:r>
      <w:bookmarkEnd w:id="44"/>
    </w:p>
    <w:p w:rsidR="00AD581D" w:rsidRDefault="00AD581D" w:rsidP="00AD581D">
      <w:pPr>
        <w:rPr>
          <w:sz w:val="24"/>
          <w:szCs w:val="24"/>
        </w:rPr>
      </w:pPr>
      <w:r w:rsidRPr="00911BB2">
        <w:rPr>
          <w:sz w:val="24"/>
          <w:szCs w:val="24"/>
        </w:rPr>
        <w:t>Here, the investment in other securities of CBL is indicating that the investment in securities as per Bangladesh Bank classification which are not included with HTD, HTM and Reverse Repo. Securities which are purchased in order to be held for investment and for quick resale are classified as investment in other securities as per Bangladesh Bank. The percentage of investment is calculated by dividing the total amount of other investment with the total amount of investment in financial assets.</w:t>
      </w:r>
    </w:p>
    <w:tbl>
      <w:tblPr>
        <w:tblW w:w="5000" w:type="pct"/>
        <w:tblLook w:val="04A0" w:firstRow="1" w:lastRow="0" w:firstColumn="1" w:lastColumn="0" w:noHBand="0" w:noVBand="1"/>
      </w:tblPr>
      <w:tblGrid>
        <w:gridCol w:w="4107"/>
        <w:gridCol w:w="1028"/>
        <w:gridCol w:w="1028"/>
        <w:gridCol w:w="1028"/>
        <w:gridCol w:w="1028"/>
        <w:gridCol w:w="1024"/>
      </w:tblGrid>
      <w:tr w:rsidR="00AD581D" w:rsidRPr="00911BB2" w:rsidTr="00AD581D">
        <w:trPr>
          <w:trHeight w:val="300"/>
        </w:trPr>
        <w:tc>
          <w:tcPr>
            <w:tcW w:w="2222" w:type="pct"/>
            <w:noWrap/>
            <w:hideMark/>
          </w:tcPr>
          <w:p w:rsidR="00AD581D" w:rsidRPr="00911BB2" w:rsidRDefault="00AD581D" w:rsidP="00AD581D">
            <w:pPr>
              <w:rPr>
                <w:rFonts w:ascii="Calibri" w:hAnsi="Calibri" w:cs="Calibri"/>
                <w:lang w:bidi="bn-BD"/>
              </w:rPr>
            </w:pPr>
            <w:r w:rsidRPr="00911BB2">
              <w:rPr>
                <w:rFonts w:ascii="Calibri" w:hAnsi="Calibri" w:cs="Calibri"/>
                <w:lang w:bidi="bn-BD"/>
              </w:rPr>
              <w:t>Year</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2013</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2014</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2015</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2016</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2017</w:t>
            </w:r>
          </w:p>
        </w:tc>
      </w:tr>
      <w:tr w:rsidR="00AD581D" w:rsidRPr="00911BB2" w:rsidTr="00AD581D">
        <w:trPr>
          <w:trHeight w:val="300"/>
        </w:trPr>
        <w:tc>
          <w:tcPr>
            <w:tcW w:w="2222" w:type="pct"/>
            <w:noWrap/>
            <w:hideMark/>
          </w:tcPr>
          <w:p w:rsidR="00AD581D" w:rsidRPr="00911BB2" w:rsidRDefault="00AD581D" w:rsidP="00AD581D">
            <w:pPr>
              <w:rPr>
                <w:rFonts w:ascii="Calibri" w:hAnsi="Calibri" w:cs="Calibri"/>
                <w:lang w:bidi="bn-BD"/>
              </w:rPr>
            </w:pPr>
            <w:r w:rsidRPr="00911BB2">
              <w:rPr>
                <w:rFonts w:ascii="Calibri" w:hAnsi="Calibri" w:cs="Calibri"/>
                <w:lang w:bidi="bn-BD"/>
              </w:rPr>
              <w:t>Percentage of Investment</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17.01%</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17.69%</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20.00%</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9.75%</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13.36%</w:t>
            </w:r>
          </w:p>
        </w:tc>
      </w:tr>
      <w:tr w:rsidR="00AD581D" w:rsidRPr="00911BB2" w:rsidTr="00AD581D">
        <w:trPr>
          <w:trHeight w:val="300"/>
        </w:trPr>
        <w:tc>
          <w:tcPr>
            <w:tcW w:w="2222" w:type="pct"/>
            <w:noWrap/>
            <w:hideMark/>
          </w:tcPr>
          <w:p w:rsidR="00AD581D" w:rsidRPr="00911BB2" w:rsidRDefault="00AD581D" w:rsidP="00AD581D">
            <w:pPr>
              <w:rPr>
                <w:rFonts w:ascii="Calibri" w:hAnsi="Calibri" w:cs="Calibri"/>
                <w:lang w:bidi="bn-BD"/>
              </w:rPr>
            </w:pPr>
            <w:r w:rsidRPr="00911BB2">
              <w:rPr>
                <w:rFonts w:ascii="Calibri" w:hAnsi="Calibri" w:cs="Calibri"/>
                <w:lang w:bidi="bn-BD"/>
              </w:rPr>
              <w:t>Growth Rate</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-1.91%</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12.71%</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-3.07%</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-51.59%</w:t>
            </w:r>
          </w:p>
        </w:tc>
        <w:tc>
          <w:tcPr>
            <w:tcW w:w="556" w:type="pct"/>
            <w:noWrap/>
            <w:hideMark/>
          </w:tcPr>
          <w:p w:rsidR="00AD581D" w:rsidRPr="00911BB2" w:rsidRDefault="00AD581D" w:rsidP="00AD581D">
            <w:pPr>
              <w:jc w:val="right"/>
              <w:rPr>
                <w:rFonts w:ascii="Calibri" w:hAnsi="Calibri" w:cs="Calibri"/>
                <w:lang w:bidi="bn-BD"/>
              </w:rPr>
            </w:pPr>
            <w:r w:rsidRPr="00911BB2">
              <w:rPr>
                <w:rFonts w:ascii="Calibri" w:hAnsi="Calibri" w:cs="Calibri"/>
                <w:lang w:bidi="bn-BD"/>
              </w:rPr>
              <w:t>43.04%</w:t>
            </w:r>
          </w:p>
        </w:tc>
      </w:tr>
    </w:tbl>
    <w:p w:rsidR="00AD581D" w:rsidRDefault="00AD581D" w:rsidP="00AD581D">
      <w:pPr>
        <w:rPr>
          <w:sz w:val="24"/>
          <w:szCs w:val="24"/>
        </w:rPr>
      </w:pPr>
      <w:r>
        <w:rPr>
          <w:noProof/>
        </w:rPr>
        <w:lastRenderedPageBreak/>
        <w:drawing>
          <wp:anchor distT="0" distB="0" distL="114300" distR="114300" simplePos="0" relativeHeight="251551744" behindDoc="0" locked="0" layoutInCell="1" allowOverlap="1">
            <wp:simplePos x="0" y="0"/>
            <wp:positionH relativeFrom="margin">
              <wp:align>right</wp:align>
            </wp:positionH>
            <wp:positionV relativeFrom="paragraph">
              <wp:posOffset>0</wp:posOffset>
            </wp:positionV>
            <wp:extent cx="5734050" cy="2743200"/>
            <wp:effectExtent l="0" t="0" r="0" b="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p>
    <w:p w:rsidR="00AD581D" w:rsidRPr="00A16600" w:rsidRDefault="00AD581D" w:rsidP="00AD581D">
      <w:pPr>
        <w:rPr>
          <w:sz w:val="24"/>
          <w:szCs w:val="24"/>
        </w:rPr>
      </w:pPr>
      <w:r w:rsidRPr="00A16600">
        <w:rPr>
          <w:sz w:val="24"/>
          <w:szCs w:val="24"/>
        </w:rPr>
        <w:t>Here, the per</w:t>
      </w:r>
      <w:r>
        <w:rPr>
          <w:sz w:val="24"/>
          <w:szCs w:val="24"/>
        </w:rPr>
        <w:t xml:space="preserve">centage </w:t>
      </w:r>
      <w:proofErr w:type="gramStart"/>
      <w:r>
        <w:rPr>
          <w:sz w:val="24"/>
          <w:szCs w:val="24"/>
        </w:rPr>
        <w:t>rate of investments are</w:t>
      </w:r>
      <w:proofErr w:type="gramEnd"/>
      <w:r>
        <w:rPr>
          <w:sz w:val="24"/>
          <w:szCs w:val="24"/>
        </w:rPr>
        <w:t xml:space="preserve"> </w:t>
      </w:r>
      <w:r w:rsidRPr="00A16600">
        <w:rPr>
          <w:sz w:val="24"/>
          <w:szCs w:val="24"/>
        </w:rPr>
        <w:t>17.01%, 17.69%, 20.00%</w:t>
      </w:r>
      <w:r>
        <w:rPr>
          <w:sz w:val="24"/>
          <w:szCs w:val="24"/>
        </w:rPr>
        <w:t>,</w:t>
      </w:r>
      <w:r w:rsidRPr="00A16600">
        <w:rPr>
          <w:sz w:val="24"/>
          <w:szCs w:val="24"/>
        </w:rPr>
        <w:t xml:space="preserve"> 9.75% and</w:t>
      </w:r>
      <w:r>
        <w:rPr>
          <w:sz w:val="24"/>
          <w:szCs w:val="24"/>
        </w:rPr>
        <w:t xml:space="preserve"> 13.36%</w:t>
      </w:r>
      <w:r w:rsidRPr="00A16600">
        <w:rPr>
          <w:sz w:val="24"/>
          <w:szCs w:val="24"/>
        </w:rPr>
        <w:t xml:space="preserve"> from the year 201</w:t>
      </w:r>
      <w:r>
        <w:rPr>
          <w:sz w:val="24"/>
          <w:szCs w:val="24"/>
        </w:rPr>
        <w:t>3</w:t>
      </w:r>
      <w:r w:rsidRPr="00A16600">
        <w:rPr>
          <w:sz w:val="24"/>
          <w:szCs w:val="24"/>
        </w:rPr>
        <w:t xml:space="preserve"> to 201</w:t>
      </w:r>
      <w:r>
        <w:rPr>
          <w:sz w:val="24"/>
          <w:szCs w:val="24"/>
        </w:rPr>
        <w:t>7</w:t>
      </w:r>
      <w:r w:rsidRPr="00A16600">
        <w:rPr>
          <w:sz w:val="24"/>
          <w:szCs w:val="24"/>
        </w:rPr>
        <w:t>.</w:t>
      </w:r>
      <w:r>
        <w:rPr>
          <w:sz w:val="24"/>
          <w:szCs w:val="24"/>
        </w:rPr>
        <w:t xml:space="preserve"> T</w:t>
      </w:r>
      <w:r w:rsidRPr="00A16600">
        <w:rPr>
          <w:sz w:val="24"/>
          <w:szCs w:val="24"/>
        </w:rPr>
        <w:t>here are negative growth rate of investment of CBL in other investment in 201</w:t>
      </w:r>
      <w:r>
        <w:rPr>
          <w:sz w:val="24"/>
          <w:szCs w:val="24"/>
        </w:rPr>
        <w:t>3</w:t>
      </w:r>
      <w:r w:rsidRPr="00A16600">
        <w:rPr>
          <w:sz w:val="24"/>
          <w:szCs w:val="24"/>
        </w:rPr>
        <w:t>, 201</w:t>
      </w:r>
      <w:r>
        <w:rPr>
          <w:sz w:val="24"/>
          <w:szCs w:val="24"/>
        </w:rPr>
        <w:t>5</w:t>
      </w:r>
      <w:r w:rsidRPr="00A16600">
        <w:rPr>
          <w:sz w:val="24"/>
          <w:szCs w:val="24"/>
        </w:rPr>
        <w:t xml:space="preserve"> and 2016 but are the positive investment in 2014 and 201</w:t>
      </w:r>
      <w:r>
        <w:rPr>
          <w:sz w:val="24"/>
          <w:szCs w:val="24"/>
        </w:rPr>
        <w:t>7</w:t>
      </w:r>
      <w:r w:rsidRPr="00A16600">
        <w:rPr>
          <w:sz w:val="24"/>
          <w:szCs w:val="24"/>
        </w:rPr>
        <w:t xml:space="preserve">.The growth rate are showing in the given chart clearly that is indicating that the highest number of investment in other securities have happened in 2015. </w:t>
      </w:r>
    </w:p>
    <w:p w:rsidR="00AD581D" w:rsidRDefault="00AD581D" w:rsidP="00AF203D">
      <w:pPr>
        <w:pStyle w:val="Heading3"/>
      </w:pPr>
      <w:bookmarkStart w:id="45" w:name="_Toc524821024"/>
      <w:r w:rsidRPr="00A16600">
        <w:t>4.1.2 Investments Classified Generally</w:t>
      </w:r>
      <w:bookmarkEnd w:id="45"/>
    </w:p>
    <w:p w:rsidR="00AD581D" w:rsidRDefault="00AD581D" w:rsidP="00AD581D">
      <w:pPr>
        <w:rPr>
          <w:sz w:val="24"/>
          <w:szCs w:val="24"/>
        </w:rPr>
      </w:pPr>
      <w:r>
        <w:rPr>
          <w:noProof/>
          <w:sz w:val="24"/>
          <w:szCs w:val="24"/>
        </w:rPr>
        <w:drawing>
          <wp:anchor distT="0" distB="0" distL="114300" distR="114300" simplePos="0" relativeHeight="251554816" behindDoc="0" locked="0" layoutInCell="1" allowOverlap="1">
            <wp:simplePos x="0" y="0"/>
            <wp:positionH relativeFrom="margin">
              <wp:align>center</wp:align>
            </wp:positionH>
            <wp:positionV relativeFrom="paragraph">
              <wp:posOffset>299085</wp:posOffset>
            </wp:positionV>
            <wp:extent cx="4619625" cy="2694781"/>
            <wp:effectExtent l="0" t="0" r="0" b="10795"/>
            <wp:wrapTopAndBottom/>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anchor>
        </w:drawing>
      </w:r>
      <w:r w:rsidRPr="00A16600">
        <w:rPr>
          <w:sz w:val="24"/>
          <w:szCs w:val="24"/>
        </w:rPr>
        <w:t xml:space="preserve">In this classification of CBL there are mainly two parts. </w:t>
      </w:r>
    </w:p>
    <w:p w:rsidR="00AD581D" w:rsidRDefault="00AD581D" w:rsidP="00AD581D">
      <w:pPr>
        <w:rPr>
          <w:sz w:val="24"/>
          <w:szCs w:val="24"/>
        </w:rPr>
      </w:pPr>
    </w:p>
    <w:p w:rsidR="00AD581D" w:rsidRPr="007F30B7" w:rsidRDefault="00AD581D" w:rsidP="00AF203D">
      <w:pPr>
        <w:pStyle w:val="Heading4"/>
      </w:pPr>
      <w:bookmarkStart w:id="46" w:name="_Toc524821025"/>
      <w:r w:rsidRPr="007F30B7">
        <w:t>4.1.2.1 Investment in Government Securities</w:t>
      </w:r>
      <w:bookmarkEnd w:id="46"/>
    </w:p>
    <w:p w:rsidR="00AD581D" w:rsidRPr="007F30B7" w:rsidRDefault="00AD581D" w:rsidP="00AD581D">
      <w:pPr>
        <w:rPr>
          <w:sz w:val="24"/>
          <w:szCs w:val="24"/>
        </w:rPr>
      </w:pPr>
      <w:r w:rsidRPr="007F30B7">
        <w:rPr>
          <w:sz w:val="24"/>
          <w:szCs w:val="24"/>
        </w:rPr>
        <w:t xml:space="preserve">A government security is a bond or other type of debt obligation that is issued by a government with a promise of repayment upon the security's maturity date. Government securities are usually considered low-risk investments because they are backed by the taxing power of a government. Variation with the duration of the Treasury bill or bond holding, Investors in treasury securities earn interest income. The return on investments in </w:t>
      </w:r>
      <w:r w:rsidRPr="007F30B7">
        <w:rPr>
          <w:sz w:val="24"/>
          <w:szCs w:val="24"/>
        </w:rPr>
        <w:lastRenderedPageBreak/>
        <w:t xml:space="preserve">government securities is virtually guaranteed and assets are relatively easy to convert to cash. </w:t>
      </w:r>
    </w:p>
    <w:p w:rsidR="00AD581D" w:rsidRDefault="00AD581D" w:rsidP="00AD581D">
      <w:pPr>
        <w:rPr>
          <w:sz w:val="24"/>
          <w:szCs w:val="24"/>
        </w:rPr>
      </w:pPr>
      <w:r w:rsidRPr="007F30B7">
        <w:rPr>
          <w:sz w:val="24"/>
          <w:szCs w:val="24"/>
        </w:rPr>
        <w:t>There are two types of bond in which CBL invest.</w:t>
      </w:r>
    </w:p>
    <w:p w:rsidR="00AD581D" w:rsidRDefault="00AD581D" w:rsidP="00AD581D">
      <w:pPr>
        <w:rPr>
          <w:sz w:val="24"/>
          <w:szCs w:val="24"/>
        </w:rPr>
      </w:pPr>
      <w:r>
        <w:rPr>
          <w:noProof/>
          <w:sz w:val="24"/>
          <w:szCs w:val="24"/>
        </w:rPr>
        <w:drawing>
          <wp:inline distT="0" distB="0" distL="0" distR="0">
            <wp:extent cx="5486400" cy="1724025"/>
            <wp:effectExtent l="0" t="0" r="190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AD581D" w:rsidRPr="001D01B4" w:rsidRDefault="00AD581D" w:rsidP="00AD581D">
      <w:pPr>
        <w:rPr>
          <w:sz w:val="24"/>
          <w:szCs w:val="24"/>
        </w:rPr>
      </w:pPr>
      <w:r w:rsidRPr="001D01B4">
        <w:rPr>
          <w:sz w:val="24"/>
          <w:szCs w:val="24"/>
        </w:rPr>
        <w:t>The percentage rate of investment of CBL in government securities are calculated by dividing the total investment in Government securities with Total number of investment in financial assets.</w:t>
      </w:r>
    </w:p>
    <w:tbl>
      <w:tblPr>
        <w:tblpPr w:leftFromText="180" w:rightFromText="180" w:vertAnchor="text" w:tblpY="130"/>
        <w:tblW w:w="5000" w:type="pct"/>
        <w:tblLook w:val="04A0" w:firstRow="1" w:lastRow="0" w:firstColumn="1" w:lastColumn="0" w:noHBand="0" w:noVBand="1"/>
      </w:tblPr>
      <w:tblGrid>
        <w:gridCol w:w="4107"/>
        <w:gridCol w:w="1028"/>
        <w:gridCol w:w="1028"/>
        <w:gridCol w:w="1028"/>
        <w:gridCol w:w="1028"/>
        <w:gridCol w:w="1024"/>
      </w:tblGrid>
      <w:tr w:rsidR="00AD581D" w:rsidRPr="00BF3F97" w:rsidTr="00AD581D">
        <w:trPr>
          <w:trHeight w:val="300"/>
        </w:trPr>
        <w:tc>
          <w:tcPr>
            <w:tcW w:w="2221" w:type="pct"/>
            <w:noWrap/>
            <w:hideMark/>
          </w:tcPr>
          <w:p w:rsidR="00AD581D" w:rsidRPr="00BF3F97" w:rsidRDefault="00AD581D" w:rsidP="00AD581D">
            <w:pPr>
              <w:rPr>
                <w:rFonts w:ascii="Calibri" w:hAnsi="Calibri" w:cs="Calibri"/>
                <w:lang w:bidi="bn-BD"/>
              </w:rPr>
            </w:pPr>
            <w:r w:rsidRPr="00BF3F97">
              <w:rPr>
                <w:rFonts w:ascii="Calibri" w:hAnsi="Calibri" w:cs="Calibri"/>
                <w:lang w:bidi="bn-BD"/>
              </w:rPr>
              <w:t>Year</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2013</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2014</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2015</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2016</w:t>
            </w:r>
          </w:p>
        </w:tc>
        <w:tc>
          <w:tcPr>
            <w:tcW w:w="554"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2017</w:t>
            </w:r>
          </w:p>
        </w:tc>
      </w:tr>
      <w:tr w:rsidR="00AD581D" w:rsidRPr="00BF3F97" w:rsidTr="00AD581D">
        <w:trPr>
          <w:trHeight w:val="300"/>
        </w:trPr>
        <w:tc>
          <w:tcPr>
            <w:tcW w:w="2221" w:type="pct"/>
            <w:noWrap/>
            <w:hideMark/>
          </w:tcPr>
          <w:p w:rsidR="00AD581D" w:rsidRPr="00BF3F97" w:rsidRDefault="00AD581D" w:rsidP="00AD581D">
            <w:pPr>
              <w:rPr>
                <w:rFonts w:ascii="Calibri" w:hAnsi="Calibri" w:cs="Calibri"/>
                <w:lang w:bidi="bn-BD"/>
              </w:rPr>
            </w:pPr>
            <w:r w:rsidRPr="00BF3F97">
              <w:rPr>
                <w:rFonts w:ascii="Calibri" w:hAnsi="Calibri" w:cs="Calibri"/>
                <w:lang w:bidi="bn-BD"/>
              </w:rPr>
              <w:t>Percentage of Investment</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82.99%</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82.31%</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80.00%</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90.25%</w:t>
            </w:r>
          </w:p>
        </w:tc>
        <w:tc>
          <w:tcPr>
            <w:tcW w:w="554"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86.64%</w:t>
            </w:r>
          </w:p>
        </w:tc>
      </w:tr>
      <w:tr w:rsidR="00AD581D" w:rsidRPr="00BF3F97" w:rsidTr="00AD581D">
        <w:trPr>
          <w:trHeight w:val="300"/>
        </w:trPr>
        <w:tc>
          <w:tcPr>
            <w:tcW w:w="2221" w:type="pct"/>
            <w:noWrap/>
            <w:hideMark/>
          </w:tcPr>
          <w:p w:rsidR="00AD581D" w:rsidRPr="00BF3F97" w:rsidRDefault="00AD581D" w:rsidP="00AD581D">
            <w:pPr>
              <w:rPr>
                <w:rFonts w:ascii="Calibri" w:hAnsi="Calibri" w:cs="Calibri"/>
                <w:lang w:bidi="bn-BD"/>
              </w:rPr>
            </w:pPr>
            <w:r w:rsidRPr="00BF3F97">
              <w:rPr>
                <w:rFonts w:ascii="Calibri" w:hAnsi="Calibri" w:cs="Calibri"/>
                <w:lang w:bidi="bn-BD"/>
              </w:rPr>
              <w:t>Growth Rate</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40.06%</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7.48%</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-16.67%</w:t>
            </w:r>
          </w:p>
        </w:tc>
        <w:tc>
          <w:tcPr>
            <w:tcW w:w="556"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11.97%</w:t>
            </w:r>
          </w:p>
        </w:tc>
        <w:tc>
          <w:tcPr>
            <w:tcW w:w="554" w:type="pct"/>
            <w:noWrap/>
            <w:hideMark/>
          </w:tcPr>
          <w:p w:rsidR="00AD581D" w:rsidRPr="00BF3F97" w:rsidRDefault="00AD581D" w:rsidP="00AD581D">
            <w:pPr>
              <w:jc w:val="right"/>
              <w:rPr>
                <w:rFonts w:ascii="Calibri" w:hAnsi="Calibri" w:cs="Calibri"/>
                <w:lang w:bidi="bn-BD"/>
              </w:rPr>
            </w:pPr>
            <w:r w:rsidRPr="00BF3F97">
              <w:rPr>
                <w:rFonts w:ascii="Calibri" w:hAnsi="Calibri" w:cs="Calibri"/>
                <w:lang w:bidi="bn-BD"/>
              </w:rPr>
              <w:t>0.23%</w:t>
            </w:r>
          </w:p>
        </w:tc>
      </w:tr>
    </w:tbl>
    <w:p w:rsidR="00AD581D" w:rsidRDefault="00AD581D" w:rsidP="00AD581D">
      <w:pPr>
        <w:rPr>
          <w:sz w:val="24"/>
          <w:szCs w:val="24"/>
        </w:rPr>
      </w:pPr>
      <w:r>
        <w:rPr>
          <w:noProof/>
        </w:rPr>
        <w:drawing>
          <wp:anchor distT="0" distB="0" distL="114300" distR="114300" simplePos="0" relativeHeight="251557888" behindDoc="0" locked="0" layoutInCell="1" allowOverlap="1">
            <wp:simplePos x="0" y="0"/>
            <wp:positionH relativeFrom="margin">
              <wp:align>right</wp:align>
            </wp:positionH>
            <wp:positionV relativeFrom="paragraph">
              <wp:posOffset>984250</wp:posOffset>
            </wp:positionV>
            <wp:extent cx="5724525" cy="2581275"/>
            <wp:effectExtent l="0" t="0" r="9525" b="9525"/>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p>
    <w:p w:rsidR="00AD581D" w:rsidRDefault="00AD581D" w:rsidP="00AD581D">
      <w:pPr>
        <w:rPr>
          <w:sz w:val="24"/>
          <w:szCs w:val="24"/>
        </w:rPr>
      </w:pPr>
    </w:p>
    <w:p w:rsidR="00AD581D" w:rsidRPr="008B16DB" w:rsidRDefault="00AD581D" w:rsidP="00AD581D">
      <w:pPr>
        <w:rPr>
          <w:i/>
          <w:iCs/>
          <w:sz w:val="24"/>
          <w:szCs w:val="24"/>
        </w:rPr>
      </w:pPr>
      <w:r w:rsidRPr="00E92C28">
        <w:rPr>
          <w:sz w:val="24"/>
          <w:szCs w:val="24"/>
        </w:rPr>
        <w:t>The percentage rate of CBL in Government securities for the year 2013,2014,2015</w:t>
      </w:r>
      <w:r>
        <w:rPr>
          <w:sz w:val="24"/>
          <w:szCs w:val="24"/>
        </w:rPr>
        <w:t>,</w:t>
      </w:r>
      <w:r w:rsidRPr="00E92C28">
        <w:rPr>
          <w:sz w:val="24"/>
          <w:szCs w:val="24"/>
        </w:rPr>
        <w:t xml:space="preserve"> 2016and 2017are 82.99, 82.31, </w:t>
      </w:r>
      <w:r>
        <w:rPr>
          <w:sz w:val="24"/>
          <w:szCs w:val="24"/>
        </w:rPr>
        <w:t xml:space="preserve">80.00, </w:t>
      </w:r>
      <w:r w:rsidRPr="00E92C28">
        <w:rPr>
          <w:sz w:val="24"/>
          <w:szCs w:val="24"/>
        </w:rPr>
        <w:t>90.25and</w:t>
      </w:r>
      <w:r>
        <w:rPr>
          <w:sz w:val="24"/>
          <w:szCs w:val="24"/>
        </w:rPr>
        <w:t xml:space="preserve"> 86.64</w:t>
      </w:r>
      <w:r w:rsidRPr="00E92C28">
        <w:rPr>
          <w:sz w:val="24"/>
          <w:szCs w:val="24"/>
        </w:rPr>
        <w:t>.This is indicating that the growth rate of investing in Government sector is increasing year to year for the securities of guaranteed return. With the calculation of yearly growth and cha</w:t>
      </w:r>
      <w:r>
        <w:rPr>
          <w:sz w:val="24"/>
          <w:szCs w:val="24"/>
        </w:rPr>
        <w:t>r</w:t>
      </w:r>
      <w:r w:rsidRPr="00E92C28">
        <w:rPr>
          <w:sz w:val="24"/>
          <w:szCs w:val="24"/>
        </w:rPr>
        <w:t>t it is clearly showing that the highest number of percentage growth is in 201</w:t>
      </w:r>
      <w:r>
        <w:rPr>
          <w:sz w:val="24"/>
          <w:szCs w:val="24"/>
        </w:rPr>
        <w:t>3</w:t>
      </w:r>
      <w:r w:rsidRPr="00E92C28">
        <w:rPr>
          <w:sz w:val="24"/>
          <w:szCs w:val="24"/>
        </w:rPr>
        <w:t xml:space="preserve"> and there is also negative growth in 2015.</w:t>
      </w:r>
    </w:p>
    <w:p w:rsidR="00AD581D" w:rsidRDefault="00AD581D" w:rsidP="00AD581D">
      <w:pPr>
        <w:rPr>
          <w:sz w:val="24"/>
          <w:szCs w:val="24"/>
        </w:rPr>
      </w:pPr>
    </w:p>
    <w:p w:rsidR="00AD581D" w:rsidRDefault="00AD581D" w:rsidP="00AD581D">
      <w:pPr>
        <w:rPr>
          <w:sz w:val="24"/>
          <w:szCs w:val="24"/>
        </w:rPr>
      </w:pPr>
    </w:p>
    <w:p w:rsidR="00AD581D" w:rsidRPr="00E92C28" w:rsidRDefault="00AD581D" w:rsidP="00AF203D">
      <w:pPr>
        <w:pStyle w:val="Heading5"/>
      </w:pPr>
      <w:bookmarkStart w:id="47" w:name="_Toc524821026"/>
      <w:r w:rsidRPr="00E92C28">
        <w:t>Investment in Prize Bond</w:t>
      </w:r>
      <w:bookmarkEnd w:id="47"/>
    </w:p>
    <w:p w:rsidR="00AD581D" w:rsidRPr="00E92C28" w:rsidRDefault="00AD581D" w:rsidP="00AD581D">
      <w:pPr>
        <w:rPr>
          <w:sz w:val="24"/>
          <w:szCs w:val="24"/>
        </w:rPr>
      </w:pPr>
      <w:r w:rsidRPr="00E92C28">
        <w:rPr>
          <w:sz w:val="24"/>
          <w:szCs w:val="24"/>
        </w:rPr>
        <w:t xml:space="preserve">Prize Bond is a public savings scheme which was introduced by the government of Bangladesh in 1974.it is a non-interest bearing bond. But there is a system of regular prize draw with a certain period of intervals and on the basis of the results the prizes are given as </w:t>
      </w:r>
      <w:r w:rsidRPr="00E92C28">
        <w:rPr>
          <w:sz w:val="24"/>
          <w:szCs w:val="24"/>
        </w:rPr>
        <w:lastRenderedPageBreak/>
        <w:t xml:space="preserve">per the rules set for bonds concerned. All the activities of prize bond are conducted by Bangladesh Bank. </w:t>
      </w:r>
    </w:p>
    <w:p w:rsidR="00AD581D" w:rsidRDefault="00AD581D" w:rsidP="00AD581D">
      <w:pPr>
        <w:rPr>
          <w:sz w:val="24"/>
          <w:szCs w:val="24"/>
        </w:rPr>
      </w:pPr>
      <w:r>
        <w:rPr>
          <w:noProof/>
        </w:rPr>
        <w:drawing>
          <wp:anchor distT="0" distB="0" distL="114300" distR="114300" simplePos="0" relativeHeight="251769856" behindDoc="0" locked="0" layoutInCell="1" allowOverlap="1">
            <wp:simplePos x="0" y="0"/>
            <wp:positionH relativeFrom="margin">
              <wp:align>right</wp:align>
            </wp:positionH>
            <wp:positionV relativeFrom="paragraph">
              <wp:posOffset>1197610</wp:posOffset>
            </wp:positionV>
            <wp:extent cx="5734050" cy="2085975"/>
            <wp:effectExtent l="0" t="0" r="0" b="9525"/>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anchor>
        </w:drawing>
      </w:r>
      <w:r w:rsidRPr="00E92C28">
        <w:rPr>
          <w:sz w:val="24"/>
          <w:szCs w:val="24"/>
        </w:rPr>
        <w:t>The percentage rate of investment of CBL in prize bond is calculated by dividing the total amount of investment in prize bond with the total number of investment in financial asset.</w:t>
      </w:r>
    </w:p>
    <w:tbl>
      <w:tblPr>
        <w:tblW w:w="5000" w:type="pct"/>
        <w:tblLook w:val="04A0" w:firstRow="1" w:lastRow="0" w:firstColumn="1" w:lastColumn="0" w:noHBand="0" w:noVBand="1"/>
      </w:tblPr>
      <w:tblGrid>
        <w:gridCol w:w="4107"/>
        <w:gridCol w:w="1028"/>
        <w:gridCol w:w="1028"/>
        <w:gridCol w:w="1028"/>
        <w:gridCol w:w="1028"/>
        <w:gridCol w:w="1024"/>
      </w:tblGrid>
      <w:tr w:rsidR="00AD581D" w:rsidTr="00AD581D">
        <w:trPr>
          <w:trHeight w:val="300"/>
        </w:trPr>
        <w:tc>
          <w:tcPr>
            <w:tcW w:w="2222" w:type="pct"/>
            <w:noWrap/>
            <w:hideMark/>
          </w:tcPr>
          <w:p w:rsidR="00AD581D" w:rsidRDefault="00AD581D" w:rsidP="00AD581D">
            <w:pPr>
              <w:rPr>
                <w:rFonts w:ascii="Calibri" w:hAnsi="Calibri" w:cs="Calibri"/>
              </w:rPr>
            </w:pPr>
            <w:r>
              <w:rPr>
                <w:rFonts w:ascii="Calibri" w:hAnsi="Calibri" w:cs="Calibri"/>
              </w:rPr>
              <w:t>Year</w:t>
            </w:r>
          </w:p>
        </w:tc>
        <w:tc>
          <w:tcPr>
            <w:tcW w:w="556" w:type="pct"/>
            <w:noWrap/>
            <w:hideMark/>
          </w:tcPr>
          <w:p w:rsidR="00AD581D" w:rsidRDefault="00AD581D" w:rsidP="00AD581D">
            <w:pPr>
              <w:jc w:val="right"/>
              <w:rPr>
                <w:rFonts w:ascii="Calibri" w:hAnsi="Calibri" w:cs="Calibri"/>
              </w:rPr>
            </w:pPr>
            <w:r>
              <w:rPr>
                <w:rFonts w:ascii="Calibri" w:hAnsi="Calibri" w:cs="Calibri"/>
              </w:rPr>
              <w:t>2013</w:t>
            </w:r>
          </w:p>
        </w:tc>
        <w:tc>
          <w:tcPr>
            <w:tcW w:w="556" w:type="pct"/>
            <w:noWrap/>
            <w:hideMark/>
          </w:tcPr>
          <w:p w:rsidR="00AD581D" w:rsidRDefault="00AD581D" w:rsidP="00AD581D">
            <w:pPr>
              <w:jc w:val="right"/>
              <w:rPr>
                <w:rFonts w:ascii="Calibri" w:hAnsi="Calibri" w:cs="Calibri"/>
              </w:rPr>
            </w:pPr>
            <w:r>
              <w:rPr>
                <w:rFonts w:ascii="Calibri" w:hAnsi="Calibri" w:cs="Calibri"/>
              </w:rPr>
              <w:t>2014</w:t>
            </w:r>
          </w:p>
        </w:tc>
        <w:tc>
          <w:tcPr>
            <w:tcW w:w="556" w:type="pct"/>
            <w:noWrap/>
            <w:hideMark/>
          </w:tcPr>
          <w:p w:rsidR="00AD581D" w:rsidRDefault="00AD581D" w:rsidP="00AD581D">
            <w:pPr>
              <w:jc w:val="right"/>
              <w:rPr>
                <w:rFonts w:ascii="Calibri" w:hAnsi="Calibri" w:cs="Calibri"/>
              </w:rPr>
            </w:pPr>
            <w:r>
              <w:rPr>
                <w:rFonts w:ascii="Calibri" w:hAnsi="Calibri" w:cs="Calibri"/>
              </w:rPr>
              <w:t>2015</w:t>
            </w:r>
          </w:p>
        </w:tc>
        <w:tc>
          <w:tcPr>
            <w:tcW w:w="556" w:type="pct"/>
            <w:noWrap/>
            <w:hideMark/>
          </w:tcPr>
          <w:p w:rsidR="00AD581D" w:rsidRDefault="00AD581D" w:rsidP="00AD581D">
            <w:pPr>
              <w:jc w:val="right"/>
              <w:rPr>
                <w:rFonts w:ascii="Calibri" w:hAnsi="Calibri" w:cs="Calibri"/>
              </w:rPr>
            </w:pPr>
            <w:r>
              <w:rPr>
                <w:rFonts w:ascii="Calibri" w:hAnsi="Calibri" w:cs="Calibri"/>
              </w:rPr>
              <w:t>2016</w:t>
            </w:r>
          </w:p>
        </w:tc>
        <w:tc>
          <w:tcPr>
            <w:tcW w:w="556" w:type="pct"/>
            <w:noWrap/>
            <w:hideMark/>
          </w:tcPr>
          <w:p w:rsidR="00AD581D" w:rsidRDefault="00AD581D" w:rsidP="00AD581D">
            <w:pPr>
              <w:jc w:val="right"/>
              <w:rPr>
                <w:rFonts w:ascii="Calibri" w:hAnsi="Calibri" w:cs="Calibri"/>
              </w:rPr>
            </w:pPr>
            <w:r>
              <w:rPr>
                <w:rFonts w:ascii="Calibri" w:hAnsi="Calibri" w:cs="Calibri"/>
              </w:rPr>
              <w:t>2017</w:t>
            </w:r>
          </w:p>
        </w:tc>
      </w:tr>
      <w:tr w:rsidR="00AD581D" w:rsidTr="00AD581D">
        <w:trPr>
          <w:trHeight w:val="300"/>
        </w:trPr>
        <w:tc>
          <w:tcPr>
            <w:tcW w:w="2222" w:type="pct"/>
            <w:noWrap/>
            <w:hideMark/>
          </w:tcPr>
          <w:p w:rsidR="00AD581D" w:rsidRDefault="00AD581D" w:rsidP="00AD581D">
            <w:pPr>
              <w:rPr>
                <w:rFonts w:ascii="Calibri" w:hAnsi="Calibri" w:cs="Calibri"/>
              </w:rPr>
            </w:pPr>
            <w:r>
              <w:rPr>
                <w:rFonts w:ascii="Calibri" w:hAnsi="Calibri" w:cs="Calibri"/>
              </w:rPr>
              <w:t>Percentage of Investment</w:t>
            </w:r>
          </w:p>
        </w:tc>
        <w:tc>
          <w:tcPr>
            <w:tcW w:w="556" w:type="pct"/>
            <w:noWrap/>
            <w:hideMark/>
          </w:tcPr>
          <w:p w:rsidR="00AD581D" w:rsidRDefault="00AD581D" w:rsidP="00AD581D">
            <w:pPr>
              <w:jc w:val="right"/>
              <w:rPr>
                <w:rFonts w:ascii="Calibri" w:hAnsi="Calibri" w:cs="Calibri"/>
              </w:rPr>
            </w:pPr>
            <w:r>
              <w:rPr>
                <w:rFonts w:ascii="Calibri" w:hAnsi="Calibri" w:cs="Calibri"/>
              </w:rPr>
              <w:t>0.027%</w:t>
            </w:r>
          </w:p>
        </w:tc>
        <w:tc>
          <w:tcPr>
            <w:tcW w:w="556" w:type="pct"/>
            <w:noWrap/>
            <w:hideMark/>
          </w:tcPr>
          <w:p w:rsidR="00AD581D" w:rsidRDefault="00AD581D" w:rsidP="00AD581D">
            <w:pPr>
              <w:jc w:val="right"/>
              <w:rPr>
                <w:rFonts w:ascii="Calibri" w:hAnsi="Calibri" w:cs="Calibri"/>
              </w:rPr>
            </w:pPr>
            <w:r>
              <w:rPr>
                <w:rFonts w:ascii="Calibri" w:hAnsi="Calibri" w:cs="Calibri"/>
              </w:rPr>
              <w:t>0.026%</w:t>
            </w:r>
          </w:p>
        </w:tc>
        <w:tc>
          <w:tcPr>
            <w:tcW w:w="556" w:type="pct"/>
            <w:noWrap/>
            <w:hideMark/>
          </w:tcPr>
          <w:p w:rsidR="00AD581D" w:rsidRDefault="00AD581D" w:rsidP="00AD581D">
            <w:pPr>
              <w:jc w:val="right"/>
              <w:rPr>
                <w:rFonts w:ascii="Calibri" w:hAnsi="Calibri" w:cs="Calibri"/>
              </w:rPr>
            </w:pPr>
            <w:r>
              <w:rPr>
                <w:rFonts w:ascii="Calibri" w:hAnsi="Calibri" w:cs="Calibri"/>
              </w:rPr>
              <w:t>0.030%</w:t>
            </w:r>
          </w:p>
        </w:tc>
        <w:tc>
          <w:tcPr>
            <w:tcW w:w="556" w:type="pct"/>
            <w:noWrap/>
            <w:hideMark/>
          </w:tcPr>
          <w:p w:rsidR="00AD581D" w:rsidRDefault="00AD581D" w:rsidP="00AD581D">
            <w:pPr>
              <w:jc w:val="right"/>
              <w:rPr>
                <w:rFonts w:ascii="Calibri" w:hAnsi="Calibri" w:cs="Calibri"/>
              </w:rPr>
            </w:pPr>
            <w:r>
              <w:rPr>
                <w:rFonts w:ascii="Calibri" w:hAnsi="Calibri" w:cs="Calibri"/>
              </w:rPr>
              <w:t>0.015%</w:t>
            </w:r>
          </w:p>
        </w:tc>
        <w:tc>
          <w:tcPr>
            <w:tcW w:w="556" w:type="pct"/>
            <w:noWrap/>
            <w:hideMark/>
          </w:tcPr>
          <w:p w:rsidR="00AD581D" w:rsidRDefault="00AD581D" w:rsidP="00AD581D">
            <w:pPr>
              <w:jc w:val="right"/>
              <w:rPr>
                <w:rFonts w:ascii="Calibri" w:hAnsi="Calibri" w:cs="Calibri"/>
              </w:rPr>
            </w:pPr>
            <w:r>
              <w:rPr>
                <w:rFonts w:ascii="Calibri" w:hAnsi="Calibri" w:cs="Calibri"/>
              </w:rPr>
              <w:t>0.012%</w:t>
            </w:r>
          </w:p>
        </w:tc>
      </w:tr>
      <w:tr w:rsidR="00AD581D" w:rsidTr="00AD581D">
        <w:trPr>
          <w:trHeight w:val="300"/>
        </w:trPr>
        <w:tc>
          <w:tcPr>
            <w:tcW w:w="2222" w:type="pct"/>
            <w:noWrap/>
            <w:hideMark/>
          </w:tcPr>
          <w:p w:rsidR="00AD581D" w:rsidRDefault="00AD581D" w:rsidP="00AD581D">
            <w:pPr>
              <w:rPr>
                <w:rFonts w:ascii="Calibri" w:hAnsi="Calibri" w:cs="Calibri"/>
              </w:rPr>
            </w:pPr>
            <w:r>
              <w:rPr>
                <w:rFonts w:ascii="Calibri" w:hAnsi="Calibri" w:cs="Calibri"/>
              </w:rPr>
              <w:t>Growth Rate</w:t>
            </w:r>
          </w:p>
        </w:tc>
        <w:tc>
          <w:tcPr>
            <w:tcW w:w="556" w:type="pct"/>
            <w:noWrap/>
            <w:hideMark/>
          </w:tcPr>
          <w:p w:rsidR="00AD581D" w:rsidRDefault="00AD581D" w:rsidP="00AD581D">
            <w:pPr>
              <w:jc w:val="right"/>
              <w:rPr>
                <w:rFonts w:ascii="Calibri" w:hAnsi="Calibri" w:cs="Calibri"/>
              </w:rPr>
            </w:pPr>
            <w:r>
              <w:rPr>
                <w:rFonts w:ascii="Calibri" w:hAnsi="Calibri" w:cs="Calibri"/>
              </w:rPr>
              <w:t>18.12%</w:t>
            </w:r>
          </w:p>
        </w:tc>
        <w:tc>
          <w:tcPr>
            <w:tcW w:w="556" w:type="pct"/>
            <w:noWrap/>
            <w:hideMark/>
          </w:tcPr>
          <w:p w:rsidR="00AD581D" w:rsidRDefault="00AD581D" w:rsidP="00AD581D">
            <w:pPr>
              <w:jc w:val="right"/>
              <w:rPr>
                <w:rFonts w:ascii="Calibri" w:hAnsi="Calibri" w:cs="Calibri"/>
              </w:rPr>
            </w:pPr>
            <w:r>
              <w:rPr>
                <w:rFonts w:ascii="Calibri" w:hAnsi="Calibri" w:cs="Calibri"/>
              </w:rPr>
              <w:t>2.39%</w:t>
            </w:r>
          </w:p>
        </w:tc>
        <w:tc>
          <w:tcPr>
            <w:tcW w:w="556" w:type="pct"/>
            <w:noWrap/>
            <w:hideMark/>
          </w:tcPr>
          <w:p w:rsidR="00AD581D" w:rsidRDefault="00AD581D" w:rsidP="00AD581D">
            <w:pPr>
              <w:jc w:val="right"/>
              <w:rPr>
                <w:rFonts w:ascii="Calibri" w:hAnsi="Calibri" w:cs="Calibri"/>
              </w:rPr>
            </w:pPr>
            <w:r>
              <w:rPr>
                <w:rFonts w:ascii="Calibri" w:hAnsi="Calibri" w:cs="Calibri"/>
              </w:rPr>
              <w:t>-1.88%</w:t>
            </w:r>
          </w:p>
        </w:tc>
        <w:tc>
          <w:tcPr>
            <w:tcW w:w="556" w:type="pct"/>
            <w:noWrap/>
            <w:hideMark/>
          </w:tcPr>
          <w:p w:rsidR="00AD581D" w:rsidRDefault="00AD581D" w:rsidP="00AD581D">
            <w:pPr>
              <w:jc w:val="right"/>
              <w:rPr>
                <w:rFonts w:ascii="Calibri" w:hAnsi="Calibri" w:cs="Calibri"/>
              </w:rPr>
            </w:pPr>
            <w:r>
              <w:rPr>
                <w:rFonts w:ascii="Calibri" w:hAnsi="Calibri" w:cs="Calibri"/>
              </w:rPr>
              <w:t>-51.41%</w:t>
            </w:r>
          </w:p>
        </w:tc>
        <w:tc>
          <w:tcPr>
            <w:tcW w:w="556" w:type="pct"/>
            <w:noWrap/>
            <w:hideMark/>
          </w:tcPr>
          <w:p w:rsidR="00AD581D" w:rsidRDefault="00AD581D" w:rsidP="00AD581D">
            <w:pPr>
              <w:jc w:val="right"/>
              <w:rPr>
                <w:rFonts w:ascii="Calibri" w:hAnsi="Calibri" w:cs="Calibri"/>
              </w:rPr>
            </w:pPr>
            <w:r>
              <w:rPr>
                <w:rFonts w:ascii="Calibri" w:hAnsi="Calibri" w:cs="Calibri"/>
              </w:rPr>
              <w:t>-14.17%</w:t>
            </w:r>
          </w:p>
        </w:tc>
      </w:tr>
    </w:tbl>
    <w:p w:rsidR="00AD581D" w:rsidRDefault="00AD581D" w:rsidP="00AD581D">
      <w:pPr>
        <w:rPr>
          <w:sz w:val="24"/>
          <w:szCs w:val="24"/>
        </w:rPr>
      </w:pPr>
    </w:p>
    <w:p w:rsidR="00AD581D" w:rsidRPr="00894E39" w:rsidRDefault="00AD581D" w:rsidP="00AD581D">
      <w:pPr>
        <w:rPr>
          <w:sz w:val="24"/>
          <w:szCs w:val="24"/>
        </w:rPr>
      </w:pPr>
      <w:r w:rsidRPr="00894E39">
        <w:rPr>
          <w:sz w:val="24"/>
          <w:szCs w:val="24"/>
        </w:rPr>
        <w:t>Here the percentage rate of investment in prize bond is.027%</w:t>
      </w:r>
      <w:proofErr w:type="gramStart"/>
      <w:r w:rsidRPr="00894E39">
        <w:rPr>
          <w:sz w:val="24"/>
          <w:szCs w:val="24"/>
        </w:rPr>
        <w:t>,.</w:t>
      </w:r>
      <w:proofErr w:type="gramEnd"/>
      <w:r w:rsidRPr="00894E39">
        <w:rPr>
          <w:sz w:val="24"/>
          <w:szCs w:val="24"/>
        </w:rPr>
        <w:t>026%,.030%, .</w:t>
      </w:r>
      <w:r>
        <w:rPr>
          <w:sz w:val="24"/>
          <w:szCs w:val="24"/>
        </w:rPr>
        <w:t>0</w:t>
      </w:r>
      <w:r w:rsidRPr="00894E39">
        <w:rPr>
          <w:sz w:val="24"/>
          <w:szCs w:val="24"/>
        </w:rPr>
        <w:t>15%and</w:t>
      </w:r>
      <w:r>
        <w:rPr>
          <w:sz w:val="24"/>
          <w:szCs w:val="24"/>
        </w:rPr>
        <w:t xml:space="preserve"> .012%</w:t>
      </w:r>
      <w:r w:rsidRPr="00894E39">
        <w:rPr>
          <w:sz w:val="24"/>
          <w:szCs w:val="24"/>
        </w:rPr>
        <w:t>. Here the annual growth rate is negative all the year except 201</w:t>
      </w:r>
      <w:r>
        <w:rPr>
          <w:sz w:val="24"/>
          <w:szCs w:val="24"/>
        </w:rPr>
        <w:t>3</w:t>
      </w:r>
      <w:r w:rsidRPr="00894E39">
        <w:rPr>
          <w:sz w:val="24"/>
          <w:szCs w:val="24"/>
        </w:rPr>
        <w:t>. So it is indicating that the highest number of investment in prize bond of CBL in 2015.</w:t>
      </w:r>
      <w:r>
        <w:rPr>
          <w:sz w:val="24"/>
          <w:szCs w:val="24"/>
        </w:rPr>
        <w:t xml:space="preserve"> I</w:t>
      </w:r>
      <w:r w:rsidRPr="00894E39">
        <w:rPr>
          <w:sz w:val="24"/>
          <w:szCs w:val="24"/>
        </w:rPr>
        <w:t xml:space="preserve">t is also clearly showing in the given chart. </w:t>
      </w:r>
    </w:p>
    <w:p w:rsidR="00AD581D" w:rsidRPr="00894E39" w:rsidRDefault="00AD581D" w:rsidP="00AF203D">
      <w:pPr>
        <w:pStyle w:val="Heading5"/>
      </w:pPr>
      <w:bookmarkStart w:id="48" w:name="_Toc524821027"/>
      <w:r w:rsidRPr="00894E39">
        <w:t>Investment in Government Bond</w:t>
      </w:r>
      <w:bookmarkEnd w:id="48"/>
    </w:p>
    <w:p w:rsidR="00AD581D" w:rsidRDefault="00AD581D" w:rsidP="00AD581D">
      <w:pPr>
        <w:rPr>
          <w:sz w:val="24"/>
          <w:szCs w:val="24"/>
        </w:rPr>
      </w:pPr>
      <w:r w:rsidRPr="00894E39">
        <w:rPr>
          <w:sz w:val="24"/>
          <w:szCs w:val="24"/>
        </w:rPr>
        <w:t>A government bond is a debt security issued by a government to support government spending. Government bonds are considered risk-free and are traded in highly liquid markets. The percentage rate of investment of CBL in government bond is calculated by dividing the total amount of investment in government bond with the total number of investment in financial assets.</w:t>
      </w:r>
    </w:p>
    <w:tbl>
      <w:tblPr>
        <w:tblW w:w="5000" w:type="pct"/>
        <w:tblLook w:val="04A0" w:firstRow="1" w:lastRow="0" w:firstColumn="1" w:lastColumn="0" w:noHBand="0" w:noVBand="1"/>
      </w:tblPr>
      <w:tblGrid>
        <w:gridCol w:w="4107"/>
        <w:gridCol w:w="1028"/>
        <w:gridCol w:w="1028"/>
        <w:gridCol w:w="1028"/>
        <w:gridCol w:w="1028"/>
        <w:gridCol w:w="1024"/>
      </w:tblGrid>
      <w:tr w:rsidR="00AD581D" w:rsidRPr="00894E39" w:rsidTr="00AD581D">
        <w:trPr>
          <w:trHeight w:val="300"/>
        </w:trPr>
        <w:tc>
          <w:tcPr>
            <w:tcW w:w="2222" w:type="pct"/>
            <w:noWrap/>
            <w:hideMark/>
          </w:tcPr>
          <w:p w:rsidR="00AD581D" w:rsidRPr="00894E39" w:rsidRDefault="00AD581D" w:rsidP="00AD581D">
            <w:pPr>
              <w:rPr>
                <w:rFonts w:ascii="Calibri" w:hAnsi="Calibri" w:cs="Calibri"/>
                <w:lang w:bidi="bn-BD"/>
              </w:rPr>
            </w:pPr>
            <w:r w:rsidRPr="00894E39">
              <w:rPr>
                <w:rFonts w:ascii="Calibri" w:hAnsi="Calibri" w:cs="Calibri"/>
                <w:lang w:bidi="bn-BD"/>
              </w:rPr>
              <w:t>Year</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2013</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2014</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2015</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2016</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2017</w:t>
            </w:r>
          </w:p>
        </w:tc>
      </w:tr>
      <w:tr w:rsidR="00AD581D" w:rsidRPr="00894E39" w:rsidTr="00AD581D">
        <w:trPr>
          <w:trHeight w:val="300"/>
        </w:trPr>
        <w:tc>
          <w:tcPr>
            <w:tcW w:w="2222" w:type="pct"/>
            <w:noWrap/>
            <w:hideMark/>
          </w:tcPr>
          <w:p w:rsidR="00AD581D" w:rsidRPr="00894E39" w:rsidRDefault="00AD581D" w:rsidP="00AD581D">
            <w:pPr>
              <w:rPr>
                <w:rFonts w:ascii="Calibri" w:hAnsi="Calibri" w:cs="Calibri"/>
                <w:lang w:bidi="bn-BD"/>
              </w:rPr>
            </w:pPr>
            <w:r w:rsidRPr="00894E39">
              <w:rPr>
                <w:rFonts w:ascii="Calibri" w:hAnsi="Calibri" w:cs="Calibri"/>
                <w:lang w:bidi="bn-BD"/>
              </w:rPr>
              <w:t>Percentage of Investment</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82.96%</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82.28%</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79.97%</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90.23%</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86.62%</w:t>
            </w:r>
          </w:p>
        </w:tc>
      </w:tr>
      <w:tr w:rsidR="00AD581D" w:rsidRPr="00894E39" w:rsidTr="00AD581D">
        <w:trPr>
          <w:trHeight w:val="300"/>
        </w:trPr>
        <w:tc>
          <w:tcPr>
            <w:tcW w:w="2222" w:type="pct"/>
            <w:noWrap/>
            <w:hideMark/>
          </w:tcPr>
          <w:p w:rsidR="00AD581D" w:rsidRPr="00894E39" w:rsidRDefault="00AD581D" w:rsidP="00AD581D">
            <w:pPr>
              <w:rPr>
                <w:rFonts w:ascii="Calibri" w:hAnsi="Calibri" w:cs="Calibri"/>
                <w:lang w:bidi="bn-BD"/>
              </w:rPr>
            </w:pPr>
            <w:r w:rsidRPr="00894E39">
              <w:rPr>
                <w:rFonts w:ascii="Calibri" w:hAnsi="Calibri" w:cs="Calibri"/>
                <w:lang w:bidi="bn-BD"/>
              </w:rPr>
              <w:t>Growth Rate</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40.07%</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7.49%</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-16.67%</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12.00%</w:t>
            </w:r>
          </w:p>
        </w:tc>
        <w:tc>
          <w:tcPr>
            <w:tcW w:w="556" w:type="pct"/>
            <w:noWrap/>
            <w:hideMark/>
          </w:tcPr>
          <w:p w:rsidR="00AD581D" w:rsidRPr="00894E39" w:rsidRDefault="00AD581D" w:rsidP="00AD581D">
            <w:pPr>
              <w:jc w:val="right"/>
              <w:rPr>
                <w:rFonts w:ascii="Calibri" w:hAnsi="Calibri" w:cs="Calibri"/>
                <w:lang w:bidi="bn-BD"/>
              </w:rPr>
            </w:pPr>
            <w:r w:rsidRPr="00894E39">
              <w:rPr>
                <w:rFonts w:ascii="Calibri" w:hAnsi="Calibri" w:cs="Calibri"/>
                <w:lang w:bidi="bn-BD"/>
              </w:rPr>
              <w:t>0.23%</w:t>
            </w:r>
          </w:p>
        </w:tc>
      </w:tr>
    </w:tbl>
    <w:p w:rsidR="00AD581D" w:rsidRDefault="00AD581D" w:rsidP="00AD581D">
      <w:pPr>
        <w:rPr>
          <w:sz w:val="24"/>
          <w:szCs w:val="24"/>
        </w:rPr>
      </w:pPr>
    </w:p>
    <w:p w:rsidR="00AD581D" w:rsidRDefault="00AD581D" w:rsidP="00AD581D">
      <w:pPr>
        <w:rPr>
          <w:sz w:val="24"/>
          <w:szCs w:val="24"/>
        </w:rPr>
      </w:pPr>
      <w:r>
        <w:rPr>
          <w:noProof/>
        </w:rPr>
        <w:lastRenderedPageBreak/>
        <w:drawing>
          <wp:anchor distT="0" distB="0" distL="114300" distR="114300" simplePos="0" relativeHeight="251560960"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p>
    <w:p w:rsidR="00AD581D" w:rsidRPr="00894E39" w:rsidRDefault="00AD581D" w:rsidP="00AD581D">
      <w:pPr>
        <w:rPr>
          <w:sz w:val="24"/>
          <w:szCs w:val="24"/>
        </w:rPr>
      </w:pPr>
      <w:r w:rsidRPr="00894E39">
        <w:rPr>
          <w:sz w:val="24"/>
          <w:szCs w:val="24"/>
        </w:rPr>
        <w:t>Here the percentage rate of investment of CBL in government bond is 82.96%, 82.28%, 79.97%, 90.23%</w:t>
      </w:r>
      <w:r>
        <w:rPr>
          <w:sz w:val="24"/>
          <w:szCs w:val="24"/>
        </w:rPr>
        <w:t xml:space="preserve"> and 86.62% from 2013 to 2017</w:t>
      </w:r>
      <w:r w:rsidRPr="00894E39">
        <w:rPr>
          <w:sz w:val="24"/>
          <w:szCs w:val="24"/>
        </w:rPr>
        <w:t>.</w:t>
      </w:r>
      <w:r>
        <w:rPr>
          <w:sz w:val="24"/>
          <w:szCs w:val="24"/>
        </w:rPr>
        <w:t xml:space="preserve"> H</w:t>
      </w:r>
      <w:r w:rsidRPr="00894E39">
        <w:rPr>
          <w:sz w:val="24"/>
          <w:szCs w:val="24"/>
        </w:rPr>
        <w:t xml:space="preserve">ere it is seeing that the highest number of investment in government bond have happened in 2016.But the highest percentage of </w:t>
      </w:r>
      <w:r>
        <w:rPr>
          <w:sz w:val="24"/>
          <w:szCs w:val="24"/>
        </w:rPr>
        <w:t>growth rate has happened in 2013</w:t>
      </w:r>
      <w:r w:rsidRPr="00894E39">
        <w:rPr>
          <w:sz w:val="24"/>
          <w:szCs w:val="24"/>
        </w:rPr>
        <w:t xml:space="preserve">.The growth rate of investment in government bond is shown in the given chart in which there are negative growth rate in 2014 and 2015. </w:t>
      </w:r>
    </w:p>
    <w:p w:rsidR="00AD581D" w:rsidRDefault="00AD581D" w:rsidP="00AD581D">
      <w:pPr>
        <w:rPr>
          <w:sz w:val="24"/>
          <w:szCs w:val="24"/>
        </w:rPr>
      </w:pPr>
      <w:r w:rsidRPr="00894E39">
        <w:rPr>
          <w:sz w:val="24"/>
          <w:szCs w:val="24"/>
        </w:rPr>
        <w:t>There are some other types of government bond which are showed on their time of maturity are explained below:</w:t>
      </w:r>
    </w:p>
    <w:p w:rsidR="00AD581D" w:rsidRPr="00321E6D" w:rsidRDefault="00AD581D" w:rsidP="00AF203D">
      <w:pPr>
        <w:pStyle w:val="Heading6"/>
      </w:pPr>
      <w:bookmarkStart w:id="49" w:name="_Toc524821028"/>
      <w:r w:rsidRPr="00321E6D">
        <w:t>91 Days Treasury Bills</w:t>
      </w:r>
      <w:bookmarkEnd w:id="49"/>
    </w:p>
    <w:p w:rsidR="00AD581D" w:rsidRDefault="00AD581D" w:rsidP="00AD581D">
      <w:pPr>
        <w:rPr>
          <w:sz w:val="24"/>
          <w:szCs w:val="24"/>
        </w:rPr>
      </w:pPr>
      <w:r w:rsidRPr="00321E6D">
        <w:rPr>
          <w:sz w:val="24"/>
          <w:szCs w:val="24"/>
        </w:rPr>
        <w:t xml:space="preserve">The percentage of investment of CBL in 91 days treasury bills are calculated by dividing the total number of investment in 91 days treasury bills with the total number of investment in financial assets.  </w:t>
      </w:r>
    </w:p>
    <w:tbl>
      <w:tblPr>
        <w:tblW w:w="5000" w:type="pct"/>
        <w:tblLook w:val="04A0" w:firstRow="1" w:lastRow="0" w:firstColumn="1" w:lastColumn="0" w:noHBand="0" w:noVBand="1"/>
      </w:tblPr>
      <w:tblGrid>
        <w:gridCol w:w="4003"/>
        <w:gridCol w:w="1174"/>
        <w:gridCol w:w="978"/>
        <w:gridCol w:w="1130"/>
        <w:gridCol w:w="979"/>
        <w:gridCol w:w="979"/>
      </w:tblGrid>
      <w:tr w:rsidR="00AD581D" w:rsidRPr="00E85BF4" w:rsidTr="00AD581D">
        <w:trPr>
          <w:trHeight w:val="300"/>
        </w:trPr>
        <w:tc>
          <w:tcPr>
            <w:tcW w:w="218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62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6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18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62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1292.16%</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-1.01%</w:t>
            </w:r>
          </w:p>
        </w:tc>
        <w:tc>
          <w:tcPr>
            <w:tcW w:w="56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-100.00%</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r>
      <w:tr w:rsidR="00AD581D" w:rsidRPr="00E85BF4" w:rsidTr="00AD581D">
        <w:trPr>
          <w:trHeight w:val="300"/>
        </w:trPr>
        <w:tc>
          <w:tcPr>
            <w:tcW w:w="218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62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7.58%</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6.92%</w:t>
            </w:r>
          </w:p>
        </w:tc>
        <w:tc>
          <w:tcPr>
            <w:tcW w:w="56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11.68%</w:t>
            </w:r>
          </w:p>
        </w:tc>
      </w:tr>
      <w:tr w:rsidR="00AD581D" w:rsidRPr="00E85BF4" w:rsidTr="00AD581D">
        <w:trPr>
          <w:trHeight w:val="300"/>
        </w:trPr>
        <w:tc>
          <w:tcPr>
            <w:tcW w:w="218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62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9.13%</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8.41%</w:t>
            </w:r>
          </w:p>
        </w:tc>
        <w:tc>
          <w:tcPr>
            <w:tcW w:w="56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5"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13.48%</w:t>
            </w:r>
          </w:p>
        </w:tc>
      </w:tr>
    </w:tbl>
    <w:p w:rsidR="00AD581D" w:rsidRDefault="00AD581D" w:rsidP="00AD581D">
      <w:pPr>
        <w:rPr>
          <w:sz w:val="24"/>
          <w:szCs w:val="24"/>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p>
    <w:p w:rsidR="00AD581D" w:rsidRDefault="00AD581D" w:rsidP="00AD581D">
      <w:pPr>
        <w:rPr>
          <w:rFonts w:cs="Arial Unicode MS"/>
          <w:sz w:val="24"/>
          <w:szCs w:val="30"/>
          <w:lang w:bidi="bn-BD"/>
        </w:rPr>
      </w:pPr>
      <w:r>
        <w:rPr>
          <w:noProof/>
        </w:rPr>
        <w:lastRenderedPageBreak/>
        <w:drawing>
          <wp:anchor distT="0" distB="0" distL="114300" distR="114300" simplePos="0" relativeHeight="251567104" behindDoc="0" locked="0" layoutInCell="1" allowOverlap="1">
            <wp:simplePos x="0" y="0"/>
            <wp:positionH relativeFrom="margin">
              <wp:align>right</wp:align>
            </wp:positionH>
            <wp:positionV relativeFrom="paragraph">
              <wp:posOffset>2857500</wp:posOffset>
            </wp:positionV>
            <wp:extent cx="5734050" cy="2743200"/>
            <wp:effectExtent l="0" t="0" r="0"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Pr>
          <w:noProof/>
        </w:rPr>
        <w:drawing>
          <wp:anchor distT="0" distB="0" distL="114300" distR="114300" simplePos="0" relativeHeight="251564032" behindDoc="0" locked="0" layoutInCell="1" allowOverlap="1">
            <wp:simplePos x="0" y="0"/>
            <wp:positionH relativeFrom="margin">
              <wp:align>right</wp:align>
            </wp:positionH>
            <wp:positionV relativeFrom="paragraph">
              <wp:posOffset>0</wp:posOffset>
            </wp:positionV>
            <wp:extent cx="5734050" cy="2543175"/>
            <wp:effectExtent l="0" t="0" r="0" b="9525"/>
            <wp:wrapTopAndBottom/>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p>
    <w:p w:rsidR="00AD581D" w:rsidRPr="008770FA" w:rsidRDefault="00AD581D" w:rsidP="00AD581D">
      <w:pPr>
        <w:rPr>
          <w:rFonts w:cs="Arial Unicode MS"/>
          <w:sz w:val="24"/>
          <w:szCs w:val="30"/>
          <w:cs/>
          <w:lang w:bidi="bn-BD"/>
        </w:rPr>
      </w:pPr>
    </w:p>
    <w:p w:rsidR="00AD581D" w:rsidRPr="00321E6D" w:rsidRDefault="00AD581D" w:rsidP="00AD581D">
      <w:pPr>
        <w:rPr>
          <w:sz w:val="24"/>
          <w:szCs w:val="24"/>
        </w:rPr>
      </w:pPr>
      <w:r w:rsidRPr="00321E6D">
        <w:rPr>
          <w:sz w:val="24"/>
          <w:szCs w:val="24"/>
        </w:rPr>
        <w:t>Here, the investment rate in 91 days treasury bills are 7.58%</w:t>
      </w:r>
      <w:r>
        <w:rPr>
          <w:sz w:val="24"/>
          <w:szCs w:val="24"/>
        </w:rPr>
        <w:t xml:space="preserve">, </w:t>
      </w:r>
      <w:r w:rsidRPr="00321E6D">
        <w:rPr>
          <w:sz w:val="24"/>
          <w:szCs w:val="24"/>
        </w:rPr>
        <w:t xml:space="preserve">6.92% and </w:t>
      </w:r>
      <w:r>
        <w:rPr>
          <w:sz w:val="24"/>
          <w:szCs w:val="24"/>
        </w:rPr>
        <w:t xml:space="preserve">11.68% in 2013, </w:t>
      </w:r>
      <w:r w:rsidRPr="00321E6D">
        <w:rPr>
          <w:sz w:val="24"/>
          <w:szCs w:val="24"/>
        </w:rPr>
        <w:t xml:space="preserve">2014 </w:t>
      </w:r>
      <w:r>
        <w:rPr>
          <w:sz w:val="24"/>
          <w:szCs w:val="24"/>
        </w:rPr>
        <w:t xml:space="preserve">and 2017 accordingly </w:t>
      </w:r>
      <w:r w:rsidRPr="00321E6D">
        <w:rPr>
          <w:sz w:val="24"/>
          <w:szCs w:val="24"/>
        </w:rPr>
        <w:t>but there is no investment in 2015 to 2016.There is highest positive growth rate in 2013 and no growth rate in 2016</w:t>
      </w:r>
      <w:r>
        <w:rPr>
          <w:sz w:val="24"/>
          <w:szCs w:val="24"/>
        </w:rPr>
        <w:t xml:space="preserve"> and 2017</w:t>
      </w:r>
      <w:r w:rsidRPr="00321E6D">
        <w:rPr>
          <w:sz w:val="24"/>
          <w:szCs w:val="24"/>
        </w:rPr>
        <w:t>. The other year’s growth rate is negative which are be</w:t>
      </w:r>
      <w:r>
        <w:rPr>
          <w:sz w:val="24"/>
          <w:szCs w:val="24"/>
        </w:rPr>
        <w:t xml:space="preserve">ing showed in the given chart. </w:t>
      </w:r>
    </w:p>
    <w:p w:rsidR="00AD581D" w:rsidRPr="00E17051" w:rsidRDefault="00AD581D" w:rsidP="00AF203D">
      <w:pPr>
        <w:pStyle w:val="Heading6"/>
      </w:pPr>
      <w:bookmarkStart w:id="50" w:name="_Toc524821029"/>
      <w:r w:rsidRPr="00321E6D">
        <w:t>182 Days Treasury Bills</w:t>
      </w:r>
      <w:bookmarkEnd w:id="50"/>
    </w:p>
    <w:p w:rsidR="00AD581D" w:rsidRPr="00321E6D" w:rsidRDefault="00AD581D" w:rsidP="00AD581D">
      <w:pPr>
        <w:rPr>
          <w:sz w:val="24"/>
          <w:szCs w:val="24"/>
        </w:rPr>
      </w:pPr>
      <w:r w:rsidRPr="00321E6D">
        <w:rPr>
          <w:sz w:val="24"/>
          <w:szCs w:val="24"/>
        </w:rPr>
        <w:t>The percentage of investment of CBL in 182 days treasury bills are calculated by dividing the total number of investment in 182 days treasury bills with the total number of in</w:t>
      </w:r>
      <w:r>
        <w:rPr>
          <w:sz w:val="24"/>
          <w:szCs w:val="24"/>
        </w:rPr>
        <w:t xml:space="preserve">vestment in financial assets.  </w:t>
      </w:r>
    </w:p>
    <w:tbl>
      <w:tblPr>
        <w:tblW w:w="5000" w:type="pct"/>
        <w:tblLook w:val="04A0" w:firstRow="1" w:lastRow="0" w:firstColumn="1" w:lastColumn="0" w:noHBand="0" w:noVBand="1"/>
      </w:tblPr>
      <w:tblGrid>
        <w:gridCol w:w="4079"/>
        <w:gridCol w:w="1008"/>
        <w:gridCol w:w="1008"/>
        <w:gridCol w:w="1130"/>
        <w:gridCol w:w="1009"/>
        <w:gridCol w:w="1009"/>
      </w:tblGrid>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-4.51%</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-7.86%</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r>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1.17%</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0.99%</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15.74%</w:t>
            </w:r>
          </w:p>
        </w:tc>
      </w:tr>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1.41%</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1.21%</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18.17%</w:t>
            </w:r>
          </w:p>
        </w:tc>
      </w:tr>
    </w:tbl>
    <w:p w:rsidR="00AD581D" w:rsidRPr="00321E6D" w:rsidRDefault="00AD581D" w:rsidP="00AD581D">
      <w:pPr>
        <w:rPr>
          <w:sz w:val="24"/>
          <w:szCs w:val="24"/>
        </w:rPr>
      </w:pPr>
    </w:p>
    <w:p w:rsidR="00AD581D" w:rsidRDefault="00AD581D" w:rsidP="00AD581D">
      <w:pPr>
        <w:rPr>
          <w:sz w:val="24"/>
          <w:szCs w:val="24"/>
        </w:rPr>
      </w:pPr>
      <w:r>
        <w:rPr>
          <w:noProof/>
        </w:rPr>
        <w:lastRenderedPageBreak/>
        <w:drawing>
          <wp:anchor distT="0" distB="0" distL="114300" distR="114300" simplePos="0" relativeHeight="251573248" behindDoc="0" locked="0" layoutInCell="1" allowOverlap="1">
            <wp:simplePos x="0" y="0"/>
            <wp:positionH relativeFrom="margin">
              <wp:align>right</wp:align>
            </wp:positionH>
            <wp:positionV relativeFrom="paragraph">
              <wp:posOffset>3048000</wp:posOffset>
            </wp:positionV>
            <wp:extent cx="5724525" cy="2743200"/>
            <wp:effectExtent l="0" t="0" r="9525" b="0"/>
            <wp:wrapTopAndBottom/>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r>
        <w:rPr>
          <w:noProof/>
        </w:rPr>
        <w:drawing>
          <wp:anchor distT="0" distB="0" distL="114300" distR="114300" simplePos="0" relativeHeight="251570176"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 xml:space="preserve">Here, the percentage rate of investment of CBL in 182 days treasury bills are 1.17% .99% and </w:t>
      </w:r>
      <w:r>
        <w:rPr>
          <w:sz w:val="24"/>
          <w:szCs w:val="24"/>
        </w:rPr>
        <w:t xml:space="preserve">15.74% in 2013, </w:t>
      </w:r>
      <w:r w:rsidRPr="00321E6D">
        <w:rPr>
          <w:sz w:val="24"/>
          <w:szCs w:val="24"/>
        </w:rPr>
        <w:t>2014</w:t>
      </w:r>
      <w:r>
        <w:rPr>
          <w:sz w:val="24"/>
          <w:szCs w:val="24"/>
        </w:rPr>
        <w:t xml:space="preserve"> and 2017</w:t>
      </w:r>
      <w:r w:rsidRPr="00321E6D">
        <w:rPr>
          <w:sz w:val="24"/>
          <w:szCs w:val="24"/>
        </w:rPr>
        <w:t xml:space="preserve"> but there is no investment in 2015 and 2016.There is </w:t>
      </w:r>
      <w:r>
        <w:rPr>
          <w:sz w:val="24"/>
          <w:szCs w:val="24"/>
        </w:rPr>
        <w:t>no</w:t>
      </w:r>
      <w:r w:rsidRPr="00321E6D">
        <w:rPr>
          <w:sz w:val="24"/>
          <w:szCs w:val="24"/>
        </w:rPr>
        <w:t xml:space="preserve"> positive growth rate </w:t>
      </w:r>
      <w:r>
        <w:rPr>
          <w:sz w:val="24"/>
          <w:szCs w:val="24"/>
        </w:rPr>
        <w:t>from 2013 to 2015</w:t>
      </w:r>
      <w:r w:rsidRPr="00321E6D">
        <w:rPr>
          <w:sz w:val="24"/>
          <w:szCs w:val="24"/>
        </w:rPr>
        <w:t xml:space="preserve"> but no growth rate in 2016</w:t>
      </w:r>
      <w:r>
        <w:rPr>
          <w:sz w:val="24"/>
          <w:szCs w:val="24"/>
        </w:rPr>
        <w:t xml:space="preserve"> and 2017</w:t>
      </w:r>
      <w:r w:rsidRPr="00321E6D">
        <w:rPr>
          <w:sz w:val="24"/>
          <w:szCs w:val="24"/>
        </w:rPr>
        <w:t xml:space="preserve">. The all </w:t>
      </w:r>
      <w:r>
        <w:rPr>
          <w:sz w:val="24"/>
          <w:szCs w:val="24"/>
        </w:rPr>
        <w:t>over growth rate from 2013 to 2017</w:t>
      </w:r>
      <w:r w:rsidRPr="00321E6D">
        <w:rPr>
          <w:sz w:val="24"/>
          <w:szCs w:val="24"/>
        </w:rPr>
        <w:t xml:space="preserve"> are bein</w:t>
      </w:r>
      <w:r>
        <w:rPr>
          <w:sz w:val="24"/>
          <w:szCs w:val="24"/>
        </w:rPr>
        <w:t xml:space="preserve">g showed in the given chart. </w:t>
      </w:r>
    </w:p>
    <w:p w:rsidR="00AD581D" w:rsidRPr="00456BF0" w:rsidRDefault="00AD581D" w:rsidP="00AF203D">
      <w:pPr>
        <w:pStyle w:val="Heading6"/>
      </w:pPr>
      <w:bookmarkStart w:id="51" w:name="_Toc524821030"/>
      <w:r w:rsidRPr="00321E6D">
        <w:t>2 Years Islamic Bonds</w:t>
      </w:r>
      <w:bookmarkEnd w:id="51"/>
    </w:p>
    <w:p w:rsidR="00AD581D" w:rsidRPr="00321E6D" w:rsidRDefault="00AD581D" w:rsidP="00AD581D">
      <w:pPr>
        <w:rPr>
          <w:sz w:val="24"/>
          <w:szCs w:val="24"/>
        </w:rPr>
      </w:pPr>
      <w:r w:rsidRPr="00321E6D">
        <w:rPr>
          <w:sz w:val="24"/>
          <w:szCs w:val="24"/>
        </w:rPr>
        <w:t>Here, the percentage rate of investment of CBL in 2 years Islamic bond is calculated by dividing the total amount of invest of investment in 2 years Islamic bond with the total number of investment in</w:t>
      </w:r>
      <w:r>
        <w:rPr>
          <w:sz w:val="24"/>
          <w:szCs w:val="24"/>
        </w:rPr>
        <w:t xml:space="preserve"> financial assets. </w:t>
      </w:r>
    </w:p>
    <w:tbl>
      <w:tblPr>
        <w:tblW w:w="5000" w:type="pct"/>
        <w:tblLook w:val="04A0" w:firstRow="1" w:lastRow="0" w:firstColumn="1" w:lastColumn="0" w:noHBand="0" w:noVBand="1"/>
      </w:tblPr>
      <w:tblGrid>
        <w:gridCol w:w="4003"/>
        <w:gridCol w:w="1174"/>
        <w:gridCol w:w="978"/>
        <w:gridCol w:w="978"/>
        <w:gridCol w:w="1130"/>
        <w:gridCol w:w="980"/>
      </w:tblGrid>
      <w:tr w:rsidR="00AD581D" w:rsidRPr="00E85BF4" w:rsidTr="00AD581D">
        <w:trPr>
          <w:trHeight w:val="300"/>
        </w:trPr>
        <w:tc>
          <w:tcPr>
            <w:tcW w:w="2176"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61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8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41"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176"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61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1100.00%</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75.00%</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-4.76%</w:t>
            </w:r>
          </w:p>
        </w:tc>
        <w:tc>
          <w:tcPr>
            <w:tcW w:w="58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-100.00%</w:t>
            </w:r>
          </w:p>
        </w:tc>
        <w:tc>
          <w:tcPr>
            <w:tcW w:w="541"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r>
      <w:tr w:rsidR="00AD581D" w:rsidRPr="00E85BF4" w:rsidTr="00AD581D">
        <w:trPr>
          <w:trHeight w:val="300"/>
        </w:trPr>
        <w:tc>
          <w:tcPr>
            <w:tcW w:w="2176"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61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0.45%</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0.73%</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0.81%</w:t>
            </w:r>
          </w:p>
        </w:tc>
        <w:tc>
          <w:tcPr>
            <w:tcW w:w="58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1"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r>
      <w:tr w:rsidR="00AD581D" w:rsidRPr="00E85BF4" w:rsidTr="00AD581D">
        <w:trPr>
          <w:trHeight w:val="300"/>
        </w:trPr>
        <w:tc>
          <w:tcPr>
            <w:tcW w:w="2176"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61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0.55%</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0.89%</w:t>
            </w:r>
          </w:p>
        </w:tc>
        <w:tc>
          <w:tcPr>
            <w:tcW w:w="540"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1.02%</w:t>
            </w:r>
          </w:p>
        </w:tc>
        <w:tc>
          <w:tcPr>
            <w:tcW w:w="58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41"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r>
    </w:tbl>
    <w:p w:rsidR="00AD581D" w:rsidRDefault="00AD581D" w:rsidP="00AD581D">
      <w:pPr>
        <w:rPr>
          <w:sz w:val="24"/>
          <w:szCs w:val="24"/>
        </w:rPr>
      </w:pPr>
      <w:r>
        <w:rPr>
          <w:noProof/>
        </w:rPr>
        <w:lastRenderedPageBreak/>
        <w:drawing>
          <wp:anchor distT="0" distB="0" distL="114300" distR="114300" simplePos="0" relativeHeight="251579392" behindDoc="0" locked="0" layoutInCell="1" allowOverlap="1">
            <wp:simplePos x="0" y="0"/>
            <wp:positionH relativeFrom="margin">
              <wp:align>right</wp:align>
            </wp:positionH>
            <wp:positionV relativeFrom="paragraph">
              <wp:posOffset>3048000</wp:posOffset>
            </wp:positionV>
            <wp:extent cx="5724525" cy="2743200"/>
            <wp:effectExtent l="0" t="0" r="9525"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r>
        <w:rPr>
          <w:noProof/>
        </w:rPr>
        <w:drawing>
          <wp:anchor distT="0" distB="0" distL="114300" distR="114300" simplePos="0" relativeHeight="251576320"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Here, the percentage rate of investment of CBL in 2 years Islamic bond is.45%, .73%, .81%, 0%</w:t>
      </w:r>
      <w:r>
        <w:rPr>
          <w:sz w:val="24"/>
          <w:szCs w:val="24"/>
        </w:rPr>
        <w:t xml:space="preserve"> and 0% from 2013 to 2017</w:t>
      </w:r>
      <w:r w:rsidRPr="00321E6D">
        <w:rPr>
          <w:sz w:val="24"/>
          <w:szCs w:val="24"/>
        </w:rPr>
        <w:t>.There i</w:t>
      </w:r>
      <w:r>
        <w:rPr>
          <w:sz w:val="24"/>
          <w:szCs w:val="24"/>
        </w:rPr>
        <w:t>s highest positive growth rate of investment in 2013</w:t>
      </w:r>
      <w:r w:rsidRPr="00321E6D">
        <w:rPr>
          <w:sz w:val="24"/>
          <w:szCs w:val="24"/>
        </w:rPr>
        <w:t xml:space="preserve"> and negative growth rate in </w:t>
      </w:r>
      <w:r>
        <w:rPr>
          <w:sz w:val="24"/>
          <w:szCs w:val="24"/>
        </w:rPr>
        <w:t xml:space="preserve">2015 and </w:t>
      </w:r>
      <w:r w:rsidRPr="00321E6D">
        <w:rPr>
          <w:sz w:val="24"/>
          <w:szCs w:val="24"/>
        </w:rPr>
        <w:t>2016.</w:t>
      </w:r>
    </w:p>
    <w:p w:rsidR="00AD581D" w:rsidRPr="000833CE" w:rsidRDefault="00AD581D" w:rsidP="00AF203D">
      <w:pPr>
        <w:pStyle w:val="Heading6"/>
      </w:pPr>
      <w:bookmarkStart w:id="52" w:name="_Toc524821031"/>
      <w:r w:rsidRPr="00321E6D">
        <w:t>2 Years Treasury Bonds</w:t>
      </w:r>
      <w:bookmarkEnd w:id="52"/>
    </w:p>
    <w:p w:rsidR="00AD581D" w:rsidRDefault="00AD581D" w:rsidP="00AD581D">
      <w:pPr>
        <w:rPr>
          <w:sz w:val="24"/>
          <w:szCs w:val="24"/>
        </w:rPr>
      </w:pPr>
      <w:r w:rsidRPr="00321E6D">
        <w:rPr>
          <w:sz w:val="24"/>
          <w:szCs w:val="24"/>
        </w:rPr>
        <w:t xml:space="preserve">Here, the percentage rate of investment of CBL in 2 years Treasury bond is calculated by dividing the total amount of investment in 2 years Treasury bond with the total number of investment in financial assets. </w:t>
      </w:r>
    </w:p>
    <w:tbl>
      <w:tblPr>
        <w:tblW w:w="5000" w:type="pct"/>
        <w:tblLook w:val="04A0" w:firstRow="1" w:lastRow="0" w:firstColumn="1" w:lastColumn="0" w:noHBand="0" w:noVBand="1"/>
      </w:tblPr>
      <w:tblGrid>
        <w:gridCol w:w="4079"/>
        <w:gridCol w:w="1008"/>
        <w:gridCol w:w="1008"/>
        <w:gridCol w:w="1009"/>
        <w:gridCol w:w="1130"/>
        <w:gridCol w:w="1009"/>
      </w:tblGrid>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29.27%</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41.92%</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r>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0.60%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0.72%</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1.19%</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7.03%</w:t>
            </w:r>
          </w:p>
        </w:tc>
      </w:tr>
      <w:tr w:rsidR="00AD581D" w:rsidRPr="00E85BF4" w:rsidTr="00AD581D">
        <w:trPr>
          <w:trHeight w:val="300"/>
        </w:trPr>
        <w:tc>
          <w:tcPr>
            <w:tcW w:w="2215"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0.73%</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0.88%</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1.49%</w:t>
            </w:r>
          </w:p>
        </w:tc>
        <w:tc>
          <w:tcPr>
            <w:tcW w:w="569"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0.00%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8.11%</w:t>
            </w:r>
          </w:p>
        </w:tc>
      </w:tr>
    </w:tbl>
    <w:p w:rsidR="00AD581D" w:rsidRPr="00321E6D" w:rsidRDefault="00AD581D" w:rsidP="00AD581D">
      <w:pPr>
        <w:rPr>
          <w:sz w:val="24"/>
          <w:szCs w:val="24"/>
        </w:rPr>
      </w:pPr>
    </w:p>
    <w:p w:rsidR="00AD581D" w:rsidRDefault="00AD581D" w:rsidP="00AD581D">
      <w:pPr>
        <w:rPr>
          <w:sz w:val="24"/>
          <w:szCs w:val="24"/>
        </w:rPr>
      </w:pPr>
      <w:r>
        <w:rPr>
          <w:noProof/>
        </w:rPr>
        <w:lastRenderedPageBreak/>
        <w:drawing>
          <wp:anchor distT="0" distB="0" distL="114300" distR="114300" simplePos="0" relativeHeight="251585536" behindDoc="0" locked="0" layoutInCell="1" allowOverlap="1">
            <wp:simplePos x="0" y="0"/>
            <wp:positionH relativeFrom="margin">
              <wp:align>right</wp:align>
            </wp:positionH>
            <wp:positionV relativeFrom="paragraph">
              <wp:posOffset>3048000</wp:posOffset>
            </wp:positionV>
            <wp:extent cx="5724525" cy="2743200"/>
            <wp:effectExtent l="0" t="0" r="9525" b="0"/>
            <wp:wrapTopAndBottom/>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Pr>
          <w:noProof/>
        </w:rPr>
        <w:drawing>
          <wp:anchor distT="0" distB="0" distL="114300" distR="114300" simplePos="0" relativeHeight="251582464"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p>
    <w:p w:rsidR="00AD581D" w:rsidRDefault="00AD581D" w:rsidP="00AD581D">
      <w:pPr>
        <w:rPr>
          <w:sz w:val="24"/>
          <w:szCs w:val="24"/>
        </w:rPr>
      </w:pPr>
    </w:p>
    <w:p w:rsidR="00AD581D" w:rsidRPr="00321E6D" w:rsidRDefault="00AD581D" w:rsidP="00AD581D">
      <w:pPr>
        <w:rPr>
          <w:sz w:val="24"/>
          <w:szCs w:val="24"/>
        </w:rPr>
      </w:pPr>
      <w:r w:rsidRPr="00321E6D">
        <w:rPr>
          <w:sz w:val="24"/>
          <w:szCs w:val="24"/>
        </w:rPr>
        <w:t>The percentage rate</w:t>
      </w:r>
      <w:r>
        <w:rPr>
          <w:sz w:val="24"/>
          <w:szCs w:val="24"/>
        </w:rPr>
        <w:t>s of investment of CBL from 2013</w:t>
      </w:r>
      <w:r w:rsidRPr="00321E6D">
        <w:rPr>
          <w:sz w:val="24"/>
          <w:szCs w:val="24"/>
        </w:rPr>
        <w:t xml:space="preserve"> t</w:t>
      </w:r>
      <w:r>
        <w:rPr>
          <w:sz w:val="24"/>
          <w:szCs w:val="24"/>
        </w:rPr>
        <w:t>o 2017</w:t>
      </w:r>
      <w:r w:rsidRPr="00321E6D">
        <w:rPr>
          <w:sz w:val="24"/>
          <w:szCs w:val="24"/>
        </w:rPr>
        <w:t xml:space="preserve"> are.60%, .72%, 1.19%, 0%</w:t>
      </w:r>
      <w:r>
        <w:rPr>
          <w:sz w:val="24"/>
          <w:szCs w:val="24"/>
        </w:rPr>
        <w:t xml:space="preserve"> and 7.03%</w:t>
      </w:r>
      <w:r w:rsidRPr="00321E6D">
        <w:rPr>
          <w:sz w:val="24"/>
          <w:szCs w:val="24"/>
        </w:rPr>
        <w:t>.Here the highest number of percentage of inv</w:t>
      </w:r>
      <w:r>
        <w:rPr>
          <w:sz w:val="24"/>
          <w:szCs w:val="24"/>
        </w:rPr>
        <w:t>estment are being showed in 2017</w:t>
      </w:r>
      <w:r w:rsidRPr="00321E6D">
        <w:rPr>
          <w:sz w:val="24"/>
          <w:szCs w:val="24"/>
        </w:rPr>
        <w:t xml:space="preserve">.The growth rate of investment year to year are </w:t>
      </w:r>
      <w:r>
        <w:rPr>
          <w:sz w:val="24"/>
          <w:szCs w:val="24"/>
        </w:rPr>
        <w:t>positive in 2014 and 2015</w:t>
      </w:r>
      <w:r w:rsidRPr="00321E6D">
        <w:rPr>
          <w:sz w:val="24"/>
          <w:szCs w:val="24"/>
        </w:rPr>
        <w:t xml:space="preserve"> but </w:t>
      </w:r>
      <w:r>
        <w:rPr>
          <w:sz w:val="24"/>
          <w:szCs w:val="24"/>
        </w:rPr>
        <w:t>there is no growth in 2013 and 2017 and negative growth rate 2016</w:t>
      </w:r>
      <w:r w:rsidRPr="00321E6D">
        <w:rPr>
          <w:sz w:val="24"/>
          <w:szCs w:val="24"/>
        </w:rPr>
        <w:t>.The highest growth rate has happene</w:t>
      </w:r>
      <w:r>
        <w:rPr>
          <w:sz w:val="24"/>
          <w:szCs w:val="24"/>
        </w:rPr>
        <w:t>d in 2015</w:t>
      </w:r>
      <w:r w:rsidRPr="00321E6D">
        <w:rPr>
          <w:sz w:val="24"/>
          <w:szCs w:val="24"/>
        </w:rPr>
        <w:t>.The overall growth rates of investment are being show</w:t>
      </w:r>
      <w:r>
        <w:rPr>
          <w:sz w:val="24"/>
          <w:szCs w:val="24"/>
        </w:rPr>
        <w:t xml:space="preserve">ed in the given chart clearly. </w:t>
      </w:r>
    </w:p>
    <w:p w:rsidR="00AD581D" w:rsidRPr="00501359" w:rsidRDefault="00AD581D" w:rsidP="00AF203D">
      <w:pPr>
        <w:pStyle w:val="Heading6"/>
      </w:pPr>
      <w:bookmarkStart w:id="53" w:name="_Toc524821032"/>
      <w:r>
        <w:t>5 Years Treasury Bonds</w:t>
      </w:r>
      <w:bookmarkEnd w:id="53"/>
    </w:p>
    <w:tbl>
      <w:tblPr>
        <w:tblpPr w:leftFromText="180" w:rightFromText="180" w:vertAnchor="text" w:tblpY="963"/>
        <w:tblW w:w="5000" w:type="pct"/>
        <w:tblLook w:val="04A0" w:firstRow="1" w:lastRow="0" w:firstColumn="1" w:lastColumn="0" w:noHBand="0" w:noVBand="1"/>
      </w:tblPr>
      <w:tblGrid>
        <w:gridCol w:w="4107"/>
        <w:gridCol w:w="1028"/>
        <w:gridCol w:w="1028"/>
        <w:gridCol w:w="1028"/>
        <w:gridCol w:w="1028"/>
        <w:gridCol w:w="1024"/>
      </w:tblGrid>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-0.47%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24.12%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45.69%</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-3.19%</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-50.88%</w:t>
            </w:r>
          </w:p>
        </w:tc>
      </w:tr>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4.32%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4.95%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8.40%</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8.20%</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3.86%</w:t>
            </w:r>
          </w:p>
        </w:tc>
      </w:tr>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5.21%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6.01%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10.51%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9.09%</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4.45%</w:t>
            </w:r>
          </w:p>
        </w:tc>
      </w:tr>
    </w:tbl>
    <w:p w:rsidR="00AD581D" w:rsidRPr="00321E6D" w:rsidRDefault="00AD581D" w:rsidP="00AD581D">
      <w:pPr>
        <w:rPr>
          <w:sz w:val="24"/>
          <w:szCs w:val="24"/>
        </w:rPr>
      </w:pPr>
      <w:r w:rsidRPr="00321E6D">
        <w:rPr>
          <w:sz w:val="24"/>
          <w:szCs w:val="24"/>
        </w:rPr>
        <w:t>Here, the percentage rate of investment of CBL in 5 years Treasury bond is calculated by dividing the total amount of investment in 5 years Treasury bond with the total number of i</w:t>
      </w:r>
      <w:r>
        <w:rPr>
          <w:sz w:val="24"/>
          <w:szCs w:val="24"/>
        </w:rPr>
        <w:t>nvestment in financial assets.</w:t>
      </w:r>
    </w:p>
    <w:p w:rsidR="00AD581D" w:rsidRDefault="00AD581D" w:rsidP="00AD581D">
      <w:pPr>
        <w:rPr>
          <w:sz w:val="24"/>
          <w:szCs w:val="24"/>
        </w:rPr>
      </w:pPr>
      <w:r>
        <w:rPr>
          <w:noProof/>
        </w:rPr>
        <w:lastRenderedPageBreak/>
        <w:drawing>
          <wp:anchor distT="0" distB="0" distL="114300" distR="114300" simplePos="0" relativeHeight="251591680" behindDoc="0" locked="0" layoutInCell="1" allowOverlap="1">
            <wp:simplePos x="0" y="0"/>
            <wp:positionH relativeFrom="margin">
              <wp:align>right</wp:align>
            </wp:positionH>
            <wp:positionV relativeFrom="paragraph">
              <wp:posOffset>2644775</wp:posOffset>
            </wp:positionV>
            <wp:extent cx="5724525" cy="2743200"/>
            <wp:effectExtent l="0" t="0" r="9525" b="0"/>
            <wp:wrapTopAndBottom/>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r>
        <w:rPr>
          <w:noProof/>
        </w:rPr>
        <w:drawing>
          <wp:anchor distT="0" distB="0" distL="114300" distR="114300" simplePos="0" relativeHeight="251588608" behindDoc="0" locked="0" layoutInCell="1" allowOverlap="1">
            <wp:simplePos x="0" y="0"/>
            <wp:positionH relativeFrom="margin">
              <wp:posOffset>-1905</wp:posOffset>
            </wp:positionH>
            <wp:positionV relativeFrom="paragraph">
              <wp:posOffset>0</wp:posOffset>
            </wp:positionV>
            <wp:extent cx="5734050" cy="2495550"/>
            <wp:effectExtent l="0" t="0" r="0" b="0"/>
            <wp:wrapTopAndBottom/>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anchor>
        </w:drawing>
      </w:r>
    </w:p>
    <w:p w:rsidR="00AD581D" w:rsidRPr="00321E6D" w:rsidRDefault="00AD581D" w:rsidP="00AD581D">
      <w:pPr>
        <w:rPr>
          <w:sz w:val="24"/>
          <w:szCs w:val="24"/>
        </w:rPr>
      </w:pPr>
      <w:r w:rsidRPr="00321E6D">
        <w:rPr>
          <w:sz w:val="24"/>
          <w:szCs w:val="24"/>
        </w:rPr>
        <w:t xml:space="preserve">Here, the percentage rates of investment of CBL in 5 years Treasury bond are 4.32%, 4.95%, 8.40%, </w:t>
      </w:r>
      <w:proofErr w:type="gramStart"/>
      <w:r w:rsidRPr="00321E6D">
        <w:rPr>
          <w:sz w:val="24"/>
          <w:szCs w:val="24"/>
        </w:rPr>
        <w:t>8.20</w:t>
      </w:r>
      <w:proofErr w:type="gramEnd"/>
      <w:r>
        <w:rPr>
          <w:sz w:val="24"/>
          <w:szCs w:val="24"/>
        </w:rPr>
        <w:t>%</w:t>
      </w:r>
      <w:r w:rsidRPr="00321E6D">
        <w:rPr>
          <w:sz w:val="24"/>
          <w:szCs w:val="24"/>
        </w:rPr>
        <w:t>and</w:t>
      </w:r>
      <w:r>
        <w:rPr>
          <w:sz w:val="24"/>
          <w:szCs w:val="24"/>
        </w:rPr>
        <w:t xml:space="preserve"> 3.86%</w:t>
      </w:r>
      <w:r w:rsidRPr="00321E6D">
        <w:rPr>
          <w:sz w:val="24"/>
          <w:szCs w:val="24"/>
        </w:rPr>
        <w:t xml:space="preserve">.The growth rate of investment are being showed </w:t>
      </w:r>
      <w:r>
        <w:rPr>
          <w:sz w:val="24"/>
          <w:szCs w:val="24"/>
        </w:rPr>
        <w:t>45.69</w:t>
      </w:r>
      <w:r w:rsidRPr="00321E6D">
        <w:rPr>
          <w:sz w:val="24"/>
          <w:szCs w:val="24"/>
        </w:rPr>
        <w:t>% in 2015. There are some negative growth rate of investment in 201</w:t>
      </w:r>
      <w:r>
        <w:rPr>
          <w:sz w:val="24"/>
          <w:szCs w:val="24"/>
        </w:rPr>
        <w:t>3, 2016 and 2017</w:t>
      </w:r>
      <w:r w:rsidRPr="00321E6D">
        <w:rPr>
          <w:sz w:val="24"/>
          <w:szCs w:val="24"/>
        </w:rPr>
        <w:t xml:space="preserve">. The growth rates are being showed in the chart clearly. </w:t>
      </w:r>
    </w:p>
    <w:p w:rsidR="00AD581D" w:rsidRPr="00E85BF4" w:rsidRDefault="00AD581D" w:rsidP="00AF203D">
      <w:pPr>
        <w:pStyle w:val="Heading6"/>
      </w:pPr>
      <w:bookmarkStart w:id="54" w:name="_Toc524821033"/>
      <w:r w:rsidRPr="00321E6D">
        <w:t>10 Years Treasury Bonds</w:t>
      </w:r>
      <w:bookmarkEnd w:id="54"/>
    </w:p>
    <w:p w:rsidR="00AD581D" w:rsidRPr="00321E6D" w:rsidRDefault="00AD581D" w:rsidP="00AD581D">
      <w:pPr>
        <w:rPr>
          <w:sz w:val="24"/>
          <w:szCs w:val="24"/>
        </w:rPr>
      </w:pPr>
      <w:r w:rsidRPr="00321E6D">
        <w:rPr>
          <w:sz w:val="24"/>
          <w:szCs w:val="24"/>
        </w:rPr>
        <w:t>Here, the percentage rate of investment of CBL in 10 years Treasury bond is calculated by dividing the total amount of investment in 10 years Treasury bond with the total number of i</w:t>
      </w:r>
      <w:r>
        <w:rPr>
          <w:sz w:val="24"/>
          <w:szCs w:val="24"/>
        </w:rPr>
        <w:t xml:space="preserve">nvestment in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-13.47%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68.42%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-7.02%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16.76%</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-43.08%</w:t>
            </w:r>
          </w:p>
        </w:tc>
      </w:tr>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36.19%</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56.25%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61.00%</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71.75%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39.12%</w:t>
            </w:r>
          </w:p>
        </w:tc>
      </w:tr>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43.63%</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68.36%</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76.27%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79.52%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45.16%</w:t>
            </w:r>
          </w:p>
        </w:tc>
      </w:tr>
    </w:tbl>
    <w:p w:rsidR="00AD581D" w:rsidRDefault="00AD581D" w:rsidP="00AD581D">
      <w:pPr>
        <w:rPr>
          <w:sz w:val="24"/>
          <w:szCs w:val="24"/>
        </w:rPr>
      </w:pPr>
      <w:r>
        <w:rPr>
          <w:noProof/>
        </w:rPr>
        <w:lastRenderedPageBreak/>
        <w:drawing>
          <wp:anchor distT="0" distB="0" distL="114300" distR="114300" simplePos="0" relativeHeight="251594752"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anchor>
        </w:drawing>
      </w:r>
      <w:r>
        <w:rPr>
          <w:noProof/>
        </w:rPr>
        <w:drawing>
          <wp:anchor distT="0" distB="0" distL="114300" distR="114300" simplePos="0" relativeHeight="251597824" behindDoc="0" locked="0" layoutInCell="1" allowOverlap="1">
            <wp:simplePos x="0" y="0"/>
            <wp:positionH relativeFrom="margin">
              <wp:align>right</wp:align>
            </wp:positionH>
            <wp:positionV relativeFrom="paragraph">
              <wp:posOffset>3049905</wp:posOffset>
            </wp:positionV>
            <wp:extent cx="5724525" cy="2743200"/>
            <wp:effectExtent l="0" t="0" r="9525" b="0"/>
            <wp:wrapTopAndBottom/>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anchor>
        </w:drawing>
      </w:r>
    </w:p>
    <w:p w:rsidR="00AD581D" w:rsidRDefault="00AD581D" w:rsidP="00AD581D">
      <w:pPr>
        <w:rPr>
          <w:sz w:val="24"/>
          <w:szCs w:val="24"/>
        </w:rPr>
      </w:pPr>
    </w:p>
    <w:p w:rsidR="00AD581D" w:rsidRPr="00321E6D" w:rsidRDefault="00AD581D" w:rsidP="00AD581D">
      <w:pPr>
        <w:rPr>
          <w:sz w:val="24"/>
          <w:szCs w:val="24"/>
        </w:rPr>
      </w:pPr>
      <w:r w:rsidRPr="00321E6D">
        <w:rPr>
          <w:sz w:val="24"/>
          <w:szCs w:val="24"/>
        </w:rPr>
        <w:t xml:space="preserve">Here, the percentage rate of investment of CBL in 10 years treasury bonds are </w:t>
      </w:r>
      <w:r>
        <w:rPr>
          <w:sz w:val="24"/>
          <w:szCs w:val="24"/>
        </w:rPr>
        <w:t>36.19%, 56.25%, 61.00</w:t>
      </w:r>
      <w:r w:rsidRPr="00321E6D">
        <w:rPr>
          <w:sz w:val="24"/>
          <w:szCs w:val="24"/>
        </w:rPr>
        <w:t xml:space="preserve">%, 71.75% and </w:t>
      </w:r>
      <w:r>
        <w:rPr>
          <w:sz w:val="24"/>
          <w:szCs w:val="24"/>
        </w:rPr>
        <w:t>39.12% from year 2013 to 2017</w:t>
      </w:r>
      <w:r w:rsidRPr="00321E6D">
        <w:rPr>
          <w:sz w:val="24"/>
          <w:szCs w:val="24"/>
        </w:rPr>
        <w:t>.The highest investment rate is being showed in 2016.The growth rate of investment is being showed negative on 2013</w:t>
      </w:r>
      <w:r>
        <w:rPr>
          <w:sz w:val="24"/>
          <w:szCs w:val="24"/>
        </w:rPr>
        <w:t>, 2015 and 2017</w:t>
      </w:r>
      <w:r w:rsidRPr="00321E6D">
        <w:rPr>
          <w:sz w:val="24"/>
          <w:szCs w:val="24"/>
        </w:rPr>
        <w:t>. The highest growth rate is being showed on 2014.The growth rates of overall years are being show</w:t>
      </w:r>
      <w:r>
        <w:rPr>
          <w:sz w:val="24"/>
          <w:szCs w:val="24"/>
        </w:rPr>
        <w:t xml:space="preserve">ed on the given chart clearly. </w:t>
      </w:r>
    </w:p>
    <w:p w:rsidR="00AD581D" w:rsidRPr="00E85BF4" w:rsidRDefault="00AD581D" w:rsidP="00AF203D">
      <w:pPr>
        <w:pStyle w:val="Heading6"/>
      </w:pPr>
      <w:bookmarkStart w:id="55" w:name="_Toc524821034"/>
      <w:r w:rsidRPr="00321E6D">
        <w:t>15 Years Treasury Bonds</w:t>
      </w:r>
      <w:bookmarkEnd w:id="55"/>
    </w:p>
    <w:tbl>
      <w:tblPr>
        <w:tblpPr w:leftFromText="180" w:rightFromText="180" w:vertAnchor="text" w:tblpY="975"/>
        <w:tblW w:w="5000" w:type="pct"/>
        <w:tblLook w:val="04A0" w:firstRow="1" w:lastRow="0" w:firstColumn="1" w:lastColumn="0" w:noHBand="0" w:noVBand="1"/>
      </w:tblPr>
      <w:tblGrid>
        <w:gridCol w:w="4107"/>
        <w:gridCol w:w="1028"/>
        <w:gridCol w:w="1028"/>
        <w:gridCol w:w="1028"/>
        <w:gridCol w:w="1028"/>
        <w:gridCol w:w="1024"/>
      </w:tblGrid>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lastRenderedPageBreak/>
              <w:t>Year</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-18.96%</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65.23%</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-34.87%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5.14%</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9.15%</w:t>
            </w:r>
          </w:p>
        </w:tc>
      </w:tr>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6.21%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9.47%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7.20%</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7.62%</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7.97%</w:t>
            </w:r>
          </w:p>
        </w:tc>
      </w:tr>
      <w:tr w:rsidR="00AD581D" w:rsidRPr="00E85BF4" w:rsidTr="00AD581D">
        <w:trPr>
          <w:trHeight w:val="300"/>
        </w:trPr>
        <w:tc>
          <w:tcPr>
            <w:tcW w:w="2221"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7.49%</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11.51%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9.00%</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8.45%</w:t>
            </w:r>
          </w:p>
        </w:tc>
        <w:tc>
          <w:tcPr>
            <w:tcW w:w="554"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9.20%</w:t>
            </w:r>
          </w:p>
        </w:tc>
      </w:tr>
    </w:tbl>
    <w:p w:rsidR="00AD581D" w:rsidRPr="00321E6D" w:rsidRDefault="00AD581D" w:rsidP="00AD581D">
      <w:pPr>
        <w:rPr>
          <w:sz w:val="24"/>
          <w:szCs w:val="24"/>
        </w:rPr>
      </w:pPr>
      <w:r w:rsidRPr="00321E6D">
        <w:rPr>
          <w:sz w:val="24"/>
          <w:szCs w:val="24"/>
        </w:rPr>
        <w:t>Here, the percentage rate of investment of CBL in 15 years Treasury bond is calculated by dividing the total amount of investment in 15 years Treasury bond with the total number of i</w:t>
      </w:r>
      <w:r>
        <w:rPr>
          <w:sz w:val="24"/>
          <w:szCs w:val="24"/>
        </w:rPr>
        <w:t xml:space="preserve">nvestment in financial assets. </w:t>
      </w:r>
    </w:p>
    <w:p w:rsidR="00AD581D" w:rsidRDefault="00AD581D" w:rsidP="00AD581D">
      <w:pPr>
        <w:rPr>
          <w:sz w:val="24"/>
          <w:szCs w:val="24"/>
        </w:rPr>
      </w:pPr>
      <w:r>
        <w:rPr>
          <w:noProof/>
        </w:rPr>
        <w:drawing>
          <wp:anchor distT="0" distB="0" distL="114300" distR="114300" simplePos="0" relativeHeight="251600896" behindDoc="0" locked="0" layoutInCell="1" allowOverlap="1">
            <wp:simplePos x="0" y="0"/>
            <wp:positionH relativeFrom="margin">
              <wp:posOffset>-1905</wp:posOffset>
            </wp:positionH>
            <wp:positionV relativeFrom="paragraph">
              <wp:posOffset>0</wp:posOffset>
            </wp:positionV>
            <wp:extent cx="5724525" cy="2228850"/>
            <wp:effectExtent l="0" t="0" r="9525" b="0"/>
            <wp:wrapTopAndBottom/>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anchor>
        </w:drawing>
      </w:r>
      <w:r>
        <w:rPr>
          <w:noProof/>
        </w:rPr>
        <w:drawing>
          <wp:anchor distT="0" distB="0" distL="114300" distR="114300" simplePos="0" relativeHeight="251603968" behindDoc="0" locked="0" layoutInCell="1" allowOverlap="1">
            <wp:simplePos x="0" y="0"/>
            <wp:positionH relativeFrom="margin">
              <wp:posOffset>36195</wp:posOffset>
            </wp:positionH>
            <wp:positionV relativeFrom="paragraph">
              <wp:posOffset>2511425</wp:posOffset>
            </wp:positionV>
            <wp:extent cx="5686425" cy="2838450"/>
            <wp:effectExtent l="0" t="0" r="9525" b="0"/>
            <wp:wrapTopAndBottom/>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Here, the percentage rate of investment of CBL in 15 years treasury bonds are 6.21%, 9.47%, 7.20% 7.62% and</w:t>
      </w:r>
      <w:r>
        <w:rPr>
          <w:sz w:val="24"/>
          <w:szCs w:val="24"/>
        </w:rPr>
        <w:t xml:space="preserve"> 7.97%</w:t>
      </w:r>
      <w:r w:rsidRPr="00321E6D">
        <w:rPr>
          <w:sz w:val="24"/>
          <w:szCs w:val="24"/>
        </w:rPr>
        <w:t xml:space="preserve"> from 2</w:t>
      </w:r>
      <w:r>
        <w:rPr>
          <w:sz w:val="24"/>
          <w:szCs w:val="24"/>
        </w:rPr>
        <w:t>013 to 2017</w:t>
      </w:r>
      <w:r w:rsidRPr="00321E6D">
        <w:rPr>
          <w:sz w:val="24"/>
          <w:szCs w:val="24"/>
        </w:rPr>
        <w:t>.The highest number of</w:t>
      </w:r>
      <w:r>
        <w:rPr>
          <w:sz w:val="24"/>
          <w:szCs w:val="24"/>
        </w:rPr>
        <w:t xml:space="preserve"> investment has happened in 2014</w:t>
      </w:r>
      <w:r w:rsidRPr="00321E6D">
        <w:rPr>
          <w:sz w:val="24"/>
          <w:szCs w:val="24"/>
        </w:rPr>
        <w:t>.The highest positive number of percentage growth rate has happened on 2014.There is negative growth rate in 2013 and 2015.The growth rate of investment in 15 years treasury bonds are be</w:t>
      </w:r>
      <w:r>
        <w:rPr>
          <w:sz w:val="24"/>
          <w:szCs w:val="24"/>
        </w:rPr>
        <w:t xml:space="preserve">ing showed in the given chart. </w:t>
      </w:r>
    </w:p>
    <w:p w:rsidR="00AD581D" w:rsidRPr="00E85BF4" w:rsidRDefault="00AD581D" w:rsidP="00AF203D">
      <w:pPr>
        <w:pStyle w:val="Heading6"/>
      </w:pPr>
      <w:bookmarkStart w:id="56" w:name="_Toc524821035"/>
      <w:r w:rsidRPr="00321E6D">
        <w:t>20 Years Treasury Bonds</w:t>
      </w:r>
      <w:bookmarkEnd w:id="56"/>
    </w:p>
    <w:p w:rsidR="00AD581D" w:rsidRPr="00321E6D" w:rsidRDefault="00AD581D" w:rsidP="00AD581D">
      <w:pPr>
        <w:rPr>
          <w:sz w:val="24"/>
          <w:szCs w:val="24"/>
        </w:rPr>
      </w:pPr>
      <w:r w:rsidRPr="00321E6D">
        <w:rPr>
          <w:sz w:val="24"/>
          <w:szCs w:val="24"/>
        </w:rPr>
        <w:t>Here, the percentage rate of investment of CBL in 20 years Treasury bond is calculated by dividing the total amount of investment in 20 years Treasury bond with the total number of i</w:t>
      </w:r>
      <w:r>
        <w:rPr>
          <w:sz w:val="24"/>
          <w:szCs w:val="24"/>
        </w:rPr>
        <w:t xml:space="preserve">nvestment in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Year</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2013</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2014</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2016</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2017</w:t>
            </w:r>
          </w:p>
        </w:tc>
      </w:tr>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Growth Rate</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60.51%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38.05%</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62.22%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18.97%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-58.52%</w:t>
            </w:r>
          </w:p>
        </w:tc>
      </w:tr>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Investment</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0.57%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0.72%</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1.37%</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1.64%</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0.65%</w:t>
            </w:r>
          </w:p>
        </w:tc>
      </w:tr>
      <w:tr w:rsidR="00AD581D" w:rsidRPr="00E85BF4" w:rsidTr="00AD581D">
        <w:trPr>
          <w:trHeight w:val="300"/>
        </w:trPr>
        <w:tc>
          <w:tcPr>
            <w:tcW w:w="2222" w:type="pct"/>
            <w:noWrap/>
            <w:hideMark/>
          </w:tcPr>
          <w:p w:rsidR="00AD581D" w:rsidRPr="00E85BF4" w:rsidRDefault="00AD581D" w:rsidP="00AD581D">
            <w:pPr>
              <w:rPr>
                <w:rFonts w:ascii="Calibri" w:hAnsi="Calibri" w:cs="Calibri"/>
                <w:lang w:bidi="bn-BD"/>
              </w:rPr>
            </w:pPr>
            <w:r w:rsidRPr="00E85BF4">
              <w:rPr>
                <w:rFonts w:ascii="Calibri" w:hAnsi="Calibri" w:cs="Calibri"/>
                <w:lang w:bidi="bn-BD"/>
              </w:rPr>
              <w:t>Percentage of Government Bond</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0.68%</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0.88%</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1.71%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1.81%</w:t>
            </w:r>
          </w:p>
        </w:tc>
        <w:tc>
          <w:tcPr>
            <w:tcW w:w="556" w:type="pct"/>
            <w:noWrap/>
            <w:hideMark/>
          </w:tcPr>
          <w:p w:rsidR="00AD581D" w:rsidRPr="00E85BF4" w:rsidRDefault="00AD581D" w:rsidP="00AD581D">
            <w:pPr>
              <w:jc w:val="right"/>
              <w:rPr>
                <w:rFonts w:ascii="Calibri" w:hAnsi="Calibri" w:cs="Calibri"/>
                <w:lang w:bidi="bn-BD"/>
              </w:rPr>
            </w:pPr>
            <w:r w:rsidRPr="00E85BF4">
              <w:rPr>
                <w:rFonts w:ascii="Calibri" w:hAnsi="Calibri" w:cs="Calibri"/>
                <w:lang w:bidi="bn-BD"/>
              </w:rPr>
              <w:t>0.75%</w:t>
            </w:r>
          </w:p>
        </w:tc>
      </w:tr>
    </w:tbl>
    <w:p w:rsidR="00AD581D" w:rsidRPr="00321E6D" w:rsidRDefault="00AD581D" w:rsidP="00AD581D">
      <w:pPr>
        <w:rPr>
          <w:sz w:val="24"/>
          <w:szCs w:val="24"/>
        </w:rPr>
      </w:pPr>
      <w:r>
        <w:rPr>
          <w:noProof/>
        </w:rPr>
        <w:lastRenderedPageBreak/>
        <w:drawing>
          <wp:anchor distT="0" distB="0" distL="114300" distR="114300" simplePos="0" relativeHeight="251610112" behindDoc="0" locked="0" layoutInCell="1" allowOverlap="1">
            <wp:simplePos x="0" y="0"/>
            <wp:positionH relativeFrom="margin">
              <wp:align>right</wp:align>
            </wp:positionH>
            <wp:positionV relativeFrom="paragraph">
              <wp:posOffset>2606675</wp:posOffset>
            </wp:positionV>
            <wp:extent cx="5724525" cy="2781300"/>
            <wp:effectExtent l="0" t="0" r="9525" b="0"/>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anchor>
        </w:drawing>
      </w:r>
      <w:r>
        <w:rPr>
          <w:noProof/>
        </w:rPr>
        <w:drawing>
          <wp:anchor distT="0" distB="0" distL="114300" distR="114300" simplePos="0" relativeHeight="251607040" behindDoc="0" locked="0" layoutInCell="1" allowOverlap="1">
            <wp:simplePos x="0" y="0"/>
            <wp:positionH relativeFrom="margin">
              <wp:align>right</wp:align>
            </wp:positionH>
            <wp:positionV relativeFrom="paragraph">
              <wp:posOffset>0</wp:posOffset>
            </wp:positionV>
            <wp:extent cx="5724525" cy="2476500"/>
            <wp:effectExtent l="0" t="0" r="9525" b="0"/>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anchor>
        </w:drawing>
      </w:r>
    </w:p>
    <w:p w:rsidR="00AD581D" w:rsidRDefault="00AD581D" w:rsidP="00AD581D">
      <w:pPr>
        <w:rPr>
          <w:sz w:val="24"/>
          <w:szCs w:val="24"/>
        </w:rPr>
        <w:sectPr w:rsidR="00AD581D" w:rsidSect="00AD581D">
          <w:pgSz w:w="11907" w:h="16839" w:code="9"/>
          <w:pgMar w:top="1440" w:right="1440" w:bottom="1440" w:left="1440" w:header="720" w:footer="720" w:gutter="0"/>
          <w:cols w:space="720"/>
          <w:docGrid w:linePitch="360"/>
        </w:sectPr>
      </w:pPr>
      <w:r w:rsidRPr="00321E6D">
        <w:rPr>
          <w:sz w:val="24"/>
          <w:szCs w:val="24"/>
        </w:rPr>
        <w:t>Here, the percentage rate of investment of CBL in 20 years treasury bonds are.57%, .72%, 1.37%</w:t>
      </w:r>
      <w:r>
        <w:rPr>
          <w:sz w:val="24"/>
          <w:szCs w:val="24"/>
        </w:rPr>
        <w:t>,</w:t>
      </w:r>
      <w:r w:rsidRPr="00321E6D">
        <w:rPr>
          <w:sz w:val="24"/>
          <w:szCs w:val="24"/>
        </w:rPr>
        <w:t xml:space="preserve"> 1.64% and</w:t>
      </w:r>
      <w:r>
        <w:rPr>
          <w:sz w:val="24"/>
          <w:szCs w:val="24"/>
        </w:rPr>
        <w:t xml:space="preserve"> .65%</w:t>
      </w:r>
      <w:r w:rsidRPr="00321E6D">
        <w:rPr>
          <w:sz w:val="24"/>
          <w:szCs w:val="24"/>
        </w:rPr>
        <w:t xml:space="preserve"> from 2012 to 2016.The highest growth rate of investment in 20 years Treasury bill is in 2015.</w:t>
      </w:r>
      <w:r>
        <w:rPr>
          <w:sz w:val="24"/>
          <w:szCs w:val="24"/>
        </w:rPr>
        <w:t>There is positive growth through 2013 to 2016 but there is negative growth rate in 2017</w:t>
      </w:r>
      <w:r w:rsidRPr="00321E6D">
        <w:rPr>
          <w:sz w:val="24"/>
          <w:szCs w:val="24"/>
        </w:rPr>
        <w:t>.In the given chart total growth rat</w:t>
      </w:r>
      <w:r>
        <w:rPr>
          <w:sz w:val="24"/>
          <w:szCs w:val="24"/>
        </w:rPr>
        <w:t>es are summarized year to year.</w:t>
      </w:r>
    </w:p>
    <w:p w:rsidR="00AD581D" w:rsidRPr="00321E6D" w:rsidRDefault="00AD581D" w:rsidP="00AD581D">
      <w:pPr>
        <w:rPr>
          <w:sz w:val="24"/>
          <w:szCs w:val="24"/>
        </w:rPr>
      </w:pPr>
    </w:p>
    <w:p w:rsidR="00AD581D" w:rsidRPr="00321E6D" w:rsidRDefault="00AD581D" w:rsidP="00AF203D">
      <w:pPr>
        <w:pStyle w:val="Heading4"/>
      </w:pPr>
      <w:bookmarkStart w:id="57" w:name="_Toc524821036"/>
      <w:r w:rsidRPr="00321E6D">
        <w:t>4.1.2.2 Investment in Other</w:t>
      </w:r>
      <w:bookmarkEnd w:id="57"/>
    </w:p>
    <w:p w:rsidR="00AD581D" w:rsidRDefault="00AD581D" w:rsidP="00AD581D">
      <w:pPr>
        <w:rPr>
          <w:sz w:val="24"/>
          <w:szCs w:val="24"/>
        </w:rPr>
      </w:pPr>
      <w:r w:rsidRPr="00321E6D">
        <w:rPr>
          <w:sz w:val="24"/>
          <w:szCs w:val="24"/>
        </w:rPr>
        <w:t xml:space="preserve">The investment of CBL in other there are some </w:t>
      </w:r>
      <w:r>
        <w:rPr>
          <w:sz w:val="24"/>
          <w:szCs w:val="24"/>
        </w:rPr>
        <w:t xml:space="preserve">parts of investment which are: </w:t>
      </w:r>
    </w:p>
    <w:p w:rsidR="00AD581D" w:rsidRDefault="00AD581D" w:rsidP="00AD581D">
      <w:pPr>
        <w:rPr>
          <w:sz w:val="24"/>
          <w:szCs w:val="24"/>
        </w:rPr>
      </w:pPr>
      <w:r>
        <w:rPr>
          <w:noProof/>
          <w:sz w:val="24"/>
          <w:szCs w:val="24"/>
        </w:rPr>
        <w:drawing>
          <wp:anchor distT="0" distB="0" distL="114300" distR="114300" simplePos="0" relativeHeight="251613184" behindDoc="0" locked="0" layoutInCell="1" allowOverlap="1">
            <wp:simplePos x="0" y="0"/>
            <wp:positionH relativeFrom="column">
              <wp:posOffset>0</wp:posOffset>
            </wp:positionH>
            <wp:positionV relativeFrom="paragraph">
              <wp:posOffset>15875</wp:posOffset>
            </wp:positionV>
            <wp:extent cx="5486400" cy="2495550"/>
            <wp:effectExtent l="0" t="19050" r="19050" b="38100"/>
            <wp:wrapTopAndBottom/>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anchor>
        </w:drawing>
      </w:r>
    </w:p>
    <w:p w:rsidR="00AD581D" w:rsidRPr="00321E6D" w:rsidRDefault="00AD581D" w:rsidP="00AD581D">
      <w:pPr>
        <w:rPr>
          <w:sz w:val="24"/>
          <w:szCs w:val="24"/>
        </w:rPr>
      </w:pPr>
      <w:r w:rsidRPr="00321E6D">
        <w:rPr>
          <w:sz w:val="24"/>
          <w:szCs w:val="24"/>
        </w:rPr>
        <w:t xml:space="preserve">The percentage rate of investment of CBL in others is calculated by dividing the total amount of investment in other with the total number of investment in the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Year</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2014</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2015</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2016</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2017</w:t>
            </w:r>
          </w:p>
        </w:tc>
      </w:tr>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Pr>
                <w:rFonts w:ascii="Calibri" w:hAnsi="Calibri" w:cs="Calibri"/>
                <w:lang w:bidi="bn-BD"/>
              </w:rPr>
              <w:t>Growth Rate</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-1.91%</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12.71%</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-3.07%</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-51.59%</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43.04%</w:t>
            </w:r>
          </w:p>
        </w:tc>
      </w:tr>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Pr>
                <w:rFonts w:ascii="Calibri" w:hAnsi="Calibri" w:cs="Calibri"/>
                <w:lang w:bidi="bn-BD"/>
              </w:rPr>
              <w:t>Percentage of Total Investment</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17.01%</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17.69%</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20.00%</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9.75%</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13.36%</w:t>
            </w:r>
          </w:p>
        </w:tc>
      </w:tr>
    </w:tbl>
    <w:p w:rsidR="00AD581D" w:rsidRDefault="00AD581D" w:rsidP="00AD581D">
      <w:pPr>
        <w:rPr>
          <w:sz w:val="24"/>
          <w:szCs w:val="24"/>
        </w:rPr>
      </w:pPr>
      <w:r>
        <w:rPr>
          <w:noProof/>
        </w:rPr>
        <w:drawing>
          <wp:anchor distT="0" distB="0" distL="114300" distR="114300" simplePos="0" relativeHeight="251616256" behindDoc="0" locked="0" layoutInCell="1" allowOverlap="1">
            <wp:simplePos x="0" y="0"/>
            <wp:positionH relativeFrom="margin">
              <wp:align>right</wp:align>
            </wp:positionH>
            <wp:positionV relativeFrom="paragraph">
              <wp:posOffset>226695</wp:posOffset>
            </wp:positionV>
            <wp:extent cx="5724525" cy="2152650"/>
            <wp:effectExtent l="0" t="0" r="9525"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 xml:space="preserve">Here, the percentage rate of investment in others is </w:t>
      </w:r>
      <w:r>
        <w:rPr>
          <w:sz w:val="24"/>
          <w:szCs w:val="24"/>
        </w:rPr>
        <w:t>17.01</w:t>
      </w:r>
      <w:r w:rsidRPr="00321E6D">
        <w:rPr>
          <w:sz w:val="24"/>
          <w:szCs w:val="24"/>
        </w:rPr>
        <w:t>%, 17.69%, 20.00%</w:t>
      </w:r>
      <w:r>
        <w:rPr>
          <w:sz w:val="24"/>
          <w:szCs w:val="24"/>
        </w:rPr>
        <w:t>,</w:t>
      </w:r>
      <w:r w:rsidRPr="00321E6D">
        <w:rPr>
          <w:sz w:val="24"/>
          <w:szCs w:val="24"/>
        </w:rPr>
        <w:t xml:space="preserve"> 9.75%and</w:t>
      </w:r>
      <w:r>
        <w:rPr>
          <w:sz w:val="24"/>
          <w:szCs w:val="24"/>
        </w:rPr>
        <w:t xml:space="preserve"> 13.36%. H</w:t>
      </w:r>
      <w:r w:rsidRPr="00321E6D">
        <w:rPr>
          <w:sz w:val="24"/>
          <w:szCs w:val="24"/>
        </w:rPr>
        <w:t xml:space="preserve">ere it is </w:t>
      </w:r>
      <w:r>
        <w:rPr>
          <w:sz w:val="24"/>
          <w:szCs w:val="24"/>
        </w:rPr>
        <w:t>observed</w:t>
      </w:r>
      <w:r w:rsidRPr="00321E6D">
        <w:rPr>
          <w:sz w:val="24"/>
          <w:szCs w:val="24"/>
        </w:rPr>
        <w:t xml:space="preserve"> that the highest number of</w:t>
      </w:r>
      <w:r>
        <w:rPr>
          <w:sz w:val="24"/>
          <w:szCs w:val="24"/>
        </w:rPr>
        <w:t xml:space="preserve"> investment has happened in 2015</w:t>
      </w:r>
      <w:r w:rsidRPr="00321E6D">
        <w:rPr>
          <w:sz w:val="24"/>
          <w:szCs w:val="24"/>
        </w:rPr>
        <w:t>.</w:t>
      </w:r>
      <w:r>
        <w:rPr>
          <w:bCs/>
          <w:sz w:val="24"/>
          <w:szCs w:val="24"/>
        </w:rPr>
        <w:t>B</w:t>
      </w:r>
      <w:r w:rsidRPr="00321E6D">
        <w:rPr>
          <w:sz w:val="24"/>
          <w:szCs w:val="24"/>
        </w:rPr>
        <w:t>ut there is a negative growth rate of investment in 2013</w:t>
      </w:r>
      <w:r>
        <w:rPr>
          <w:sz w:val="24"/>
          <w:szCs w:val="24"/>
        </w:rPr>
        <w:t>, 2015</w:t>
      </w:r>
      <w:r w:rsidRPr="00321E6D">
        <w:rPr>
          <w:sz w:val="24"/>
          <w:szCs w:val="24"/>
        </w:rPr>
        <w:t xml:space="preserve"> and 2016.</w:t>
      </w:r>
      <w:r>
        <w:rPr>
          <w:sz w:val="24"/>
          <w:szCs w:val="24"/>
        </w:rPr>
        <w:t xml:space="preserve"> T</w:t>
      </w:r>
      <w:r w:rsidRPr="00321E6D">
        <w:rPr>
          <w:sz w:val="24"/>
          <w:szCs w:val="24"/>
        </w:rPr>
        <w:t xml:space="preserve">he positive growth </w:t>
      </w:r>
      <w:proofErr w:type="gramStart"/>
      <w:r>
        <w:rPr>
          <w:sz w:val="24"/>
          <w:szCs w:val="24"/>
        </w:rPr>
        <w:t>rate are</w:t>
      </w:r>
      <w:proofErr w:type="gramEnd"/>
      <w:r>
        <w:rPr>
          <w:sz w:val="24"/>
          <w:szCs w:val="24"/>
        </w:rPr>
        <w:t xml:space="preserve"> seeing in 2014 and 2017</w:t>
      </w:r>
      <w:r w:rsidRPr="00321E6D">
        <w:rPr>
          <w:sz w:val="24"/>
          <w:szCs w:val="24"/>
        </w:rPr>
        <w:t xml:space="preserve">.All growth rate are showed clearly in the given chart. </w:t>
      </w:r>
    </w:p>
    <w:p w:rsidR="00AD581D" w:rsidRPr="00321E6D" w:rsidRDefault="00AD581D" w:rsidP="00AD581D">
      <w:pPr>
        <w:rPr>
          <w:sz w:val="24"/>
          <w:szCs w:val="24"/>
        </w:rPr>
      </w:pPr>
    </w:p>
    <w:p w:rsidR="00AD581D" w:rsidRPr="006C1A2E" w:rsidRDefault="00AD581D" w:rsidP="00AF203D">
      <w:pPr>
        <w:pStyle w:val="Heading5"/>
      </w:pPr>
      <w:bookmarkStart w:id="58" w:name="_Toc524821037"/>
      <w:r w:rsidRPr="006C1A2E">
        <w:lastRenderedPageBreak/>
        <w:t>Debenture of Bangladesh Welding Electrodes Limited (</w:t>
      </w:r>
      <w:r w:rsidR="00AF203D">
        <w:t>DB</w:t>
      </w:r>
      <w:r w:rsidRPr="006C1A2E">
        <w:t>WEL)</w:t>
      </w:r>
      <w:bookmarkEnd w:id="58"/>
    </w:p>
    <w:p w:rsidR="00AD581D" w:rsidRPr="007741E9" w:rsidRDefault="00AD581D" w:rsidP="00AD581D">
      <w:pPr>
        <w:rPr>
          <w:rFonts w:cs="Arial Unicode MS"/>
          <w:sz w:val="24"/>
          <w:szCs w:val="30"/>
          <w:cs/>
          <w:lang w:bidi="bn-BD"/>
        </w:rPr>
      </w:pPr>
      <w:r w:rsidRPr="00321E6D">
        <w:rPr>
          <w:sz w:val="24"/>
          <w:szCs w:val="24"/>
        </w:rPr>
        <w:t>It is a listed company of Dhaka stock exchange. The percentage number of investment of CBL in debenture of BWEL is calculated by dividing the total amount of investment of CBL in debenture of BWEL with the total amount of investme</w:t>
      </w:r>
      <w:r>
        <w:rPr>
          <w:sz w:val="24"/>
          <w:szCs w:val="24"/>
        </w:rPr>
        <w:t xml:space="preserve">nt of CBL in financial assets. </w:t>
      </w:r>
    </w:p>
    <w:tbl>
      <w:tblPr>
        <w:tblW w:w="5000" w:type="pct"/>
        <w:tblLook w:val="04A0" w:firstRow="1" w:lastRow="0" w:firstColumn="1" w:lastColumn="0" w:noHBand="0" w:noVBand="1"/>
      </w:tblPr>
      <w:tblGrid>
        <w:gridCol w:w="3484"/>
        <w:gridCol w:w="1063"/>
        <w:gridCol w:w="1174"/>
        <w:gridCol w:w="1174"/>
        <w:gridCol w:w="1174"/>
        <w:gridCol w:w="1174"/>
      </w:tblGrid>
      <w:tr w:rsidR="00AD581D" w:rsidRPr="000B2C41" w:rsidTr="00AD581D">
        <w:trPr>
          <w:trHeight w:val="300"/>
        </w:trPr>
        <w:tc>
          <w:tcPr>
            <w:tcW w:w="2188"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Year</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2013</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2014</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2015</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2016</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2017</w:t>
            </w:r>
          </w:p>
        </w:tc>
      </w:tr>
      <w:tr w:rsidR="00AD581D" w:rsidRPr="000B2C41" w:rsidTr="00AD581D">
        <w:trPr>
          <w:trHeight w:val="300"/>
        </w:trPr>
        <w:tc>
          <w:tcPr>
            <w:tcW w:w="2188"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Growth Rate</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-66.77%</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w:t>
            </w:r>
          </w:p>
        </w:tc>
      </w:tr>
      <w:tr w:rsidR="00AD581D" w:rsidRPr="000B2C41" w:rsidTr="00AD581D">
        <w:trPr>
          <w:trHeight w:val="300"/>
        </w:trPr>
        <w:tc>
          <w:tcPr>
            <w:tcW w:w="2188"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Percentage of Investment</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0.0014%</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0.0004</w:t>
            </w:r>
            <w:r>
              <w:rPr>
                <w:rFonts w:ascii="Calibri" w:hAnsi="Calibri" w:cs="Calibri"/>
                <w:lang w:bidi="bn-BD"/>
              </w:rPr>
              <w:t>3</w:t>
            </w:r>
            <w:r w:rsidRPr="000B2C41">
              <w:rPr>
                <w:rFonts w:ascii="Calibri" w:hAnsi="Calibri" w:cs="Calibri"/>
                <w:lang w:bidi="bn-BD"/>
              </w:rPr>
              <w:t>%</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0.0005</w:t>
            </w:r>
            <w:r>
              <w:rPr>
                <w:rFonts w:ascii="Calibri" w:hAnsi="Calibri" w:cs="Calibri"/>
                <w:lang w:bidi="bn-BD"/>
              </w:rPr>
              <w:t>0</w:t>
            </w:r>
            <w:r w:rsidRPr="000B2C41">
              <w:rPr>
                <w:rFonts w:ascii="Calibri" w:hAnsi="Calibri" w:cs="Calibri"/>
                <w:lang w:bidi="bn-BD"/>
              </w:rPr>
              <w:t>%</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0.0005</w:t>
            </w:r>
            <w:r>
              <w:rPr>
                <w:rFonts w:ascii="Calibri" w:hAnsi="Calibri" w:cs="Calibri"/>
                <w:lang w:bidi="bn-BD"/>
              </w:rPr>
              <w:t>0</w:t>
            </w:r>
            <w:r w:rsidRPr="000B2C41">
              <w:rPr>
                <w:rFonts w:ascii="Calibri" w:hAnsi="Calibri" w:cs="Calibri"/>
                <w:lang w:bidi="bn-BD"/>
              </w:rPr>
              <w:t>%</w:t>
            </w:r>
          </w:p>
        </w:tc>
        <w:tc>
          <w:tcPr>
            <w:tcW w:w="562" w:type="pct"/>
            <w:noWrap/>
            <w:hideMark/>
          </w:tcPr>
          <w:p w:rsidR="00AD581D" w:rsidRPr="000B2C41" w:rsidRDefault="00AD581D" w:rsidP="00AD581D">
            <w:pPr>
              <w:jc w:val="right"/>
              <w:rPr>
                <w:rFonts w:ascii="Calibri" w:hAnsi="Calibri" w:cs="Calibri"/>
                <w:lang w:bidi="bn-BD"/>
              </w:rPr>
            </w:pPr>
            <w:r>
              <w:rPr>
                <w:rFonts w:ascii="Calibri" w:hAnsi="Calibri" w:cs="Calibri"/>
                <w:lang w:bidi="bn-BD"/>
              </w:rPr>
              <w:t>0.00048</w:t>
            </w:r>
            <w:r w:rsidRPr="000B2C41">
              <w:rPr>
                <w:rFonts w:ascii="Calibri" w:hAnsi="Calibri" w:cs="Calibri"/>
                <w:lang w:bidi="bn-BD"/>
              </w:rPr>
              <w:t>%</w:t>
            </w:r>
          </w:p>
        </w:tc>
      </w:tr>
      <w:tr w:rsidR="00AD581D" w:rsidRPr="000B2C41" w:rsidTr="00AD581D">
        <w:trPr>
          <w:trHeight w:val="300"/>
        </w:trPr>
        <w:tc>
          <w:tcPr>
            <w:tcW w:w="2188"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Percentage of Other Investment</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0.01%</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0.0024%</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0.0025%</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0.0051%</w:t>
            </w:r>
          </w:p>
        </w:tc>
        <w:tc>
          <w:tcPr>
            <w:tcW w:w="562"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0.0036%</w:t>
            </w:r>
          </w:p>
        </w:tc>
      </w:tr>
    </w:tbl>
    <w:p w:rsidR="00AD581D" w:rsidRDefault="00AD581D" w:rsidP="00AD581D">
      <w:pPr>
        <w:rPr>
          <w:sz w:val="24"/>
          <w:szCs w:val="24"/>
        </w:rPr>
      </w:pPr>
      <w:r>
        <w:rPr>
          <w:noProof/>
        </w:rPr>
        <w:drawing>
          <wp:anchor distT="0" distB="0" distL="114300" distR="114300" simplePos="0" relativeHeight="251619328" behindDoc="0" locked="0" layoutInCell="1" allowOverlap="1">
            <wp:simplePos x="0" y="0"/>
            <wp:positionH relativeFrom="margin">
              <wp:align>right</wp:align>
            </wp:positionH>
            <wp:positionV relativeFrom="paragraph">
              <wp:posOffset>299720</wp:posOffset>
            </wp:positionV>
            <wp:extent cx="5734050" cy="2171700"/>
            <wp:effectExtent l="0" t="0" r="0" b="0"/>
            <wp:wrapTopAndBottom/>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p>
    <w:p w:rsidR="00AD581D" w:rsidRPr="00321E6D" w:rsidRDefault="00AD581D" w:rsidP="00AD581D">
      <w:pPr>
        <w:rPr>
          <w:sz w:val="24"/>
          <w:szCs w:val="24"/>
        </w:rPr>
      </w:pPr>
      <w:r>
        <w:rPr>
          <w:noProof/>
        </w:rPr>
        <w:drawing>
          <wp:anchor distT="0" distB="0" distL="114300" distR="114300" simplePos="0" relativeHeight="251622400" behindDoc="0" locked="0" layoutInCell="1" allowOverlap="1">
            <wp:simplePos x="0" y="0"/>
            <wp:positionH relativeFrom="margin">
              <wp:align>right</wp:align>
            </wp:positionH>
            <wp:positionV relativeFrom="paragraph">
              <wp:posOffset>2359660</wp:posOffset>
            </wp:positionV>
            <wp:extent cx="5724525" cy="2743200"/>
            <wp:effectExtent l="0" t="0" r="9525" b="0"/>
            <wp:wrapTopAndBottom/>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Here the percentage rates of investment of CBL in debenture of BWEL are.0014%, .00043%, .00050% .00050% and</w:t>
      </w:r>
      <w:r>
        <w:rPr>
          <w:sz w:val="24"/>
          <w:szCs w:val="24"/>
        </w:rPr>
        <w:t xml:space="preserve"> .00048from 2013to 2017</w:t>
      </w:r>
      <w:r w:rsidRPr="00321E6D">
        <w:rPr>
          <w:sz w:val="24"/>
          <w:szCs w:val="24"/>
        </w:rPr>
        <w:t>.</w:t>
      </w:r>
      <w:r>
        <w:rPr>
          <w:sz w:val="24"/>
          <w:szCs w:val="24"/>
        </w:rPr>
        <w:t xml:space="preserve"> There is negative growth rate in 2014 but there is no growth in 2013 and through 2015 to 2017 as the amount was same all through the years. </w:t>
      </w:r>
      <w:r w:rsidRPr="00321E6D">
        <w:rPr>
          <w:sz w:val="24"/>
          <w:szCs w:val="24"/>
        </w:rPr>
        <w:t xml:space="preserve">The growth </w:t>
      </w:r>
      <w:proofErr w:type="gramStart"/>
      <w:r w:rsidRPr="00321E6D">
        <w:rPr>
          <w:sz w:val="24"/>
          <w:szCs w:val="24"/>
        </w:rPr>
        <w:t>rate are</w:t>
      </w:r>
      <w:proofErr w:type="gramEnd"/>
      <w:r w:rsidRPr="00321E6D">
        <w:rPr>
          <w:sz w:val="24"/>
          <w:szCs w:val="24"/>
        </w:rPr>
        <w:t xml:space="preserve"> shown in the given chart. </w:t>
      </w:r>
    </w:p>
    <w:p w:rsidR="00AD581D" w:rsidRPr="00321E6D" w:rsidRDefault="00AD581D" w:rsidP="00AD581D">
      <w:pPr>
        <w:rPr>
          <w:sz w:val="24"/>
          <w:szCs w:val="24"/>
        </w:rPr>
      </w:pPr>
    </w:p>
    <w:p w:rsidR="00AD581D" w:rsidRPr="006C1A2E" w:rsidRDefault="00AD581D" w:rsidP="00AF203D">
      <w:pPr>
        <w:pStyle w:val="Heading5"/>
      </w:pPr>
      <w:bookmarkStart w:id="59" w:name="_Toc524821038"/>
      <w:r w:rsidRPr="00321E6D">
        <w:lastRenderedPageBreak/>
        <w:t>Mutual Fund</w:t>
      </w:r>
      <w:bookmarkEnd w:id="59"/>
    </w:p>
    <w:p w:rsidR="00AD581D" w:rsidRDefault="00AD581D" w:rsidP="00AD581D">
      <w:pPr>
        <w:rPr>
          <w:sz w:val="24"/>
          <w:szCs w:val="24"/>
        </w:rPr>
      </w:pPr>
      <w:r w:rsidRPr="00321E6D">
        <w:rPr>
          <w:sz w:val="24"/>
          <w:szCs w:val="24"/>
        </w:rPr>
        <w:t xml:space="preserve">A mutual fund is an investment vehicle made up of a pool of moneys collected from many investors for the purpose of investing in securities such as stocks, bonds, money market </w:t>
      </w:r>
      <w:r>
        <w:rPr>
          <w:sz w:val="24"/>
          <w:szCs w:val="24"/>
        </w:rPr>
        <w:t>instruments and other assets.</w:t>
      </w:r>
    </w:p>
    <w:p w:rsidR="00AD581D" w:rsidRPr="00321E6D" w:rsidRDefault="00AD581D" w:rsidP="00AD581D">
      <w:pPr>
        <w:rPr>
          <w:sz w:val="24"/>
          <w:szCs w:val="24"/>
        </w:rPr>
      </w:pPr>
      <w:r w:rsidRPr="00321E6D">
        <w:rPr>
          <w:sz w:val="24"/>
          <w:szCs w:val="24"/>
        </w:rPr>
        <w:t xml:space="preserve">The percentage rate of investment of CBL in mutual fund is calculated by dividing the total amount of investment in mutual fund with the total amount of investment in financial assets. </w:t>
      </w:r>
    </w:p>
    <w:tbl>
      <w:tblPr>
        <w:tblpPr w:leftFromText="180" w:rightFromText="180" w:vertAnchor="text" w:horzAnchor="margin" w:tblpY="219"/>
        <w:tblW w:w="5000" w:type="pct"/>
        <w:tblLook w:val="04A0" w:firstRow="1" w:lastRow="0" w:firstColumn="1" w:lastColumn="0" w:noHBand="0" w:noVBand="1"/>
      </w:tblPr>
      <w:tblGrid>
        <w:gridCol w:w="4107"/>
        <w:gridCol w:w="1028"/>
        <w:gridCol w:w="1028"/>
        <w:gridCol w:w="1028"/>
        <w:gridCol w:w="1028"/>
        <w:gridCol w:w="1024"/>
      </w:tblGrid>
      <w:tr w:rsidR="00AD581D" w:rsidRPr="000B2C41" w:rsidTr="00AD581D">
        <w:trPr>
          <w:trHeight w:val="300"/>
        </w:trPr>
        <w:tc>
          <w:tcPr>
            <w:tcW w:w="2221"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Year</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2014</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2015</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2016</w:t>
            </w:r>
          </w:p>
        </w:tc>
        <w:tc>
          <w:tcPr>
            <w:tcW w:w="554"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2017</w:t>
            </w:r>
          </w:p>
        </w:tc>
      </w:tr>
      <w:tr w:rsidR="00AD581D" w:rsidRPr="000B2C41" w:rsidTr="00AD581D">
        <w:trPr>
          <w:trHeight w:val="300"/>
        </w:trPr>
        <w:tc>
          <w:tcPr>
            <w:tcW w:w="2221"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Growth Rate</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-23.11%</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-26.15%</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6.03%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31.60%</w:t>
            </w:r>
          </w:p>
        </w:tc>
        <w:tc>
          <w:tcPr>
            <w:tcW w:w="554"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19.50%</w:t>
            </w:r>
          </w:p>
        </w:tc>
      </w:tr>
      <w:tr w:rsidR="00AD581D" w:rsidRPr="000B2C41" w:rsidTr="00AD581D">
        <w:trPr>
          <w:trHeight w:val="300"/>
        </w:trPr>
        <w:tc>
          <w:tcPr>
            <w:tcW w:w="2221"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Percentage of Investment</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0.20%</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0.13%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0.17%</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0.22%</w:t>
            </w:r>
          </w:p>
        </w:tc>
        <w:tc>
          <w:tcPr>
            <w:tcW w:w="554"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0.25%</w:t>
            </w:r>
          </w:p>
        </w:tc>
      </w:tr>
      <w:tr w:rsidR="00AD581D" w:rsidRPr="000B2C41" w:rsidTr="00AD581D">
        <w:trPr>
          <w:trHeight w:val="300"/>
        </w:trPr>
        <w:tc>
          <w:tcPr>
            <w:tcW w:w="2221"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Percentage of Other Investment</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1.16%</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0.76%</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0.83%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2.26%</w:t>
            </w:r>
          </w:p>
        </w:tc>
        <w:tc>
          <w:tcPr>
            <w:tcW w:w="554"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1.89%</w:t>
            </w:r>
          </w:p>
        </w:tc>
      </w:tr>
    </w:tbl>
    <w:p w:rsidR="00AD581D" w:rsidRDefault="00AD581D" w:rsidP="00AD581D">
      <w:pPr>
        <w:rPr>
          <w:sz w:val="24"/>
          <w:szCs w:val="24"/>
        </w:rPr>
      </w:pPr>
      <w:r>
        <w:rPr>
          <w:noProof/>
        </w:rPr>
        <w:drawing>
          <wp:anchor distT="0" distB="0" distL="114300" distR="114300" simplePos="0" relativeHeight="251625472" behindDoc="0" locked="0" layoutInCell="1" allowOverlap="1">
            <wp:simplePos x="0" y="0"/>
            <wp:positionH relativeFrom="margin">
              <wp:align>right</wp:align>
            </wp:positionH>
            <wp:positionV relativeFrom="paragraph">
              <wp:posOffset>1237615</wp:posOffset>
            </wp:positionV>
            <wp:extent cx="5724525" cy="2171700"/>
            <wp:effectExtent l="0" t="0" r="9525" b="0"/>
            <wp:wrapTopAndBottom/>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anchor>
        </w:drawing>
      </w:r>
    </w:p>
    <w:p w:rsidR="00AD581D" w:rsidRPr="00321E6D" w:rsidRDefault="00AD581D" w:rsidP="00AD581D">
      <w:pPr>
        <w:rPr>
          <w:sz w:val="24"/>
          <w:szCs w:val="24"/>
        </w:rPr>
      </w:pPr>
      <w:r>
        <w:rPr>
          <w:noProof/>
        </w:rPr>
        <w:drawing>
          <wp:anchor distT="0" distB="0" distL="114300" distR="114300" simplePos="0" relativeHeight="251628544" behindDoc="0" locked="0" layoutInCell="1" allowOverlap="1">
            <wp:simplePos x="0" y="0"/>
            <wp:positionH relativeFrom="margin">
              <wp:align>right</wp:align>
            </wp:positionH>
            <wp:positionV relativeFrom="paragraph">
              <wp:posOffset>2421890</wp:posOffset>
            </wp:positionV>
            <wp:extent cx="5734050" cy="2552700"/>
            <wp:effectExtent l="0" t="0" r="0" b="0"/>
            <wp:wrapTopAndBottom/>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anchor>
        </w:drawing>
      </w:r>
    </w:p>
    <w:p w:rsidR="00AD581D" w:rsidRDefault="00AD581D" w:rsidP="00AD581D">
      <w:pPr>
        <w:rPr>
          <w:sz w:val="24"/>
          <w:szCs w:val="24"/>
        </w:rPr>
      </w:pPr>
    </w:p>
    <w:p w:rsidR="00AD581D" w:rsidRPr="00321E6D" w:rsidRDefault="00AD581D" w:rsidP="00AD581D">
      <w:pPr>
        <w:rPr>
          <w:sz w:val="24"/>
          <w:szCs w:val="24"/>
        </w:rPr>
      </w:pPr>
      <w:r w:rsidRPr="00321E6D">
        <w:rPr>
          <w:sz w:val="24"/>
          <w:szCs w:val="24"/>
        </w:rPr>
        <w:t xml:space="preserve">The investment percentage rates of CBL in mutual fund are.20%, .13%, .17%, .22% </w:t>
      </w:r>
      <w:r>
        <w:rPr>
          <w:sz w:val="24"/>
          <w:szCs w:val="24"/>
        </w:rPr>
        <w:t>and .25% from 2013 to 2017</w:t>
      </w:r>
      <w:r w:rsidRPr="00321E6D">
        <w:rPr>
          <w:sz w:val="24"/>
          <w:szCs w:val="24"/>
        </w:rPr>
        <w:t xml:space="preserve">.The highest investment rate in mutual fund is in </w:t>
      </w:r>
      <w:r>
        <w:rPr>
          <w:sz w:val="24"/>
          <w:szCs w:val="24"/>
        </w:rPr>
        <w:t>2017</w:t>
      </w:r>
      <w:r w:rsidRPr="00321E6D">
        <w:rPr>
          <w:sz w:val="24"/>
          <w:szCs w:val="24"/>
        </w:rPr>
        <w:t>.</w:t>
      </w:r>
      <w:r>
        <w:rPr>
          <w:sz w:val="24"/>
          <w:szCs w:val="24"/>
        </w:rPr>
        <w:t xml:space="preserve"> T</w:t>
      </w:r>
      <w:r w:rsidRPr="00321E6D">
        <w:rPr>
          <w:sz w:val="24"/>
          <w:szCs w:val="24"/>
        </w:rPr>
        <w:t>he growth rates of i</w:t>
      </w:r>
      <w:r>
        <w:rPr>
          <w:sz w:val="24"/>
          <w:szCs w:val="24"/>
        </w:rPr>
        <w:t>nvestment are negative from 2013</w:t>
      </w:r>
      <w:r w:rsidRPr="00321E6D">
        <w:rPr>
          <w:sz w:val="24"/>
          <w:szCs w:val="24"/>
        </w:rPr>
        <w:t xml:space="preserve"> to 2014 but posit</w:t>
      </w:r>
      <w:r>
        <w:rPr>
          <w:sz w:val="24"/>
          <w:szCs w:val="24"/>
        </w:rPr>
        <w:t>ive from 2015 to 2017</w:t>
      </w:r>
      <w:r w:rsidRPr="00321E6D">
        <w:rPr>
          <w:sz w:val="24"/>
          <w:szCs w:val="24"/>
        </w:rPr>
        <w:t xml:space="preserve">.The growth rate are shown in the given chart. </w:t>
      </w:r>
    </w:p>
    <w:p w:rsidR="00AD581D" w:rsidRPr="007D7782" w:rsidRDefault="00AD581D" w:rsidP="00AF203D">
      <w:pPr>
        <w:pStyle w:val="Heading5"/>
      </w:pPr>
      <w:bookmarkStart w:id="60" w:name="_Toc524821039"/>
      <w:r w:rsidRPr="00321E6D">
        <w:lastRenderedPageBreak/>
        <w:t>Shares</w:t>
      </w:r>
      <w:bookmarkEnd w:id="60"/>
    </w:p>
    <w:p w:rsidR="00AD581D" w:rsidRPr="00321E6D" w:rsidRDefault="00AD581D" w:rsidP="00AD581D">
      <w:pPr>
        <w:rPr>
          <w:sz w:val="24"/>
          <w:szCs w:val="24"/>
        </w:rPr>
      </w:pPr>
      <w:r w:rsidRPr="00321E6D">
        <w:rPr>
          <w:sz w:val="24"/>
          <w:szCs w:val="24"/>
        </w:rPr>
        <w:t xml:space="preserve">CBL invests in the following types of share which are, </w:t>
      </w:r>
    </w:p>
    <w:p w:rsidR="00AD581D" w:rsidRPr="00321E6D" w:rsidRDefault="00AD581D" w:rsidP="00AD581D">
      <w:pPr>
        <w:rPr>
          <w:sz w:val="24"/>
          <w:szCs w:val="24"/>
        </w:rPr>
      </w:pPr>
      <w:r>
        <w:rPr>
          <w:noProof/>
          <w:sz w:val="24"/>
          <w:szCs w:val="24"/>
        </w:rPr>
        <w:drawing>
          <wp:inline distT="0" distB="0" distL="0" distR="0">
            <wp:extent cx="5486400" cy="1095375"/>
            <wp:effectExtent l="19050" t="0" r="19050" b="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rsidR="00AD581D" w:rsidRPr="00321E6D" w:rsidRDefault="00AD581D" w:rsidP="00AD581D">
      <w:pPr>
        <w:rPr>
          <w:sz w:val="24"/>
          <w:szCs w:val="24"/>
        </w:rPr>
      </w:pPr>
      <w:r>
        <w:rPr>
          <w:noProof/>
        </w:rPr>
        <w:drawing>
          <wp:anchor distT="0" distB="0" distL="114300" distR="114300" simplePos="0" relativeHeight="251631616" behindDoc="0" locked="0" layoutInCell="1" allowOverlap="1">
            <wp:simplePos x="0" y="0"/>
            <wp:positionH relativeFrom="margin">
              <wp:align>right</wp:align>
            </wp:positionH>
            <wp:positionV relativeFrom="paragraph">
              <wp:posOffset>1464310</wp:posOffset>
            </wp:positionV>
            <wp:extent cx="5724525" cy="1943100"/>
            <wp:effectExtent l="0" t="0" r="9525" b="0"/>
            <wp:wrapTopAndBottom/>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r w:rsidRPr="00321E6D">
        <w:rPr>
          <w:sz w:val="24"/>
          <w:szCs w:val="24"/>
        </w:rPr>
        <w:t>Here, the total number of investment of CBL has calculated below by dividing the total amount of investment of CBL in shares with the total amount of i</w:t>
      </w:r>
      <w:r>
        <w:rPr>
          <w:sz w:val="24"/>
          <w:szCs w:val="24"/>
        </w:rPr>
        <w:t xml:space="preserve">nvestment in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Year</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2014</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2015</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2016</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2017</w:t>
            </w:r>
          </w:p>
        </w:tc>
      </w:tr>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Growth Rate</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-0.27%</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16.30%</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-3.14%</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-52.29%</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43.58%</w:t>
            </w:r>
          </w:p>
        </w:tc>
      </w:tr>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Percentage of Investment</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16.36%</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17.56%</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19.83%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9.53%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13.11%</w:t>
            </w:r>
          </w:p>
        </w:tc>
      </w:tr>
      <w:tr w:rsidR="00AD581D" w:rsidRPr="000B2C41" w:rsidTr="00AD581D">
        <w:trPr>
          <w:trHeight w:val="300"/>
        </w:trPr>
        <w:tc>
          <w:tcPr>
            <w:tcW w:w="2222" w:type="pct"/>
            <w:noWrap/>
            <w:hideMark/>
          </w:tcPr>
          <w:p w:rsidR="00AD581D" w:rsidRPr="000B2C41" w:rsidRDefault="00AD581D" w:rsidP="00AD581D">
            <w:pPr>
              <w:rPr>
                <w:rFonts w:ascii="Calibri" w:hAnsi="Calibri" w:cs="Calibri"/>
                <w:lang w:bidi="bn-BD"/>
              </w:rPr>
            </w:pPr>
            <w:r w:rsidRPr="000B2C41">
              <w:rPr>
                <w:rFonts w:ascii="Calibri" w:hAnsi="Calibri" w:cs="Calibri"/>
                <w:lang w:bidi="bn-BD"/>
              </w:rPr>
              <w:t>Percentage of Other Investment</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96.17%</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99.24%</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99.17%</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97.73%</w:t>
            </w:r>
          </w:p>
        </w:tc>
        <w:tc>
          <w:tcPr>
            <w:tcW w:w="556" w:type="pct"/>
            <w:noWrap/>
            <w:hideMark/>
          </w:tcPr>
          <w:p w:rsidR="00AD581D" w:rsidRPr="000B2C41" w:rsidRDefault="00AD581D" w:rsidP="00AD581D">
            <w:pPr>
              <w:jc w:val="right"/>
              <w:rPr>
                <w:rFonts w:ascii="Calibri" w:hAnsi="Calibri" w:cs="Calibri"/>
                <w:lang w:bidi="bn-BD"/>
              </w:rPr>
            </w:pPr>
            <w:r w:rsidRPr="000B2C41">
              <w:rPr>
                <w:rFonts w:ascii="Calibri" w:hAnsi="Calibri" w:cs="Calibri"/>
                <w:lang w:bidi="bn-BD"/>
              </w:rPr>
              <w:t>98.11%</w:t>
            </w:r>
          </w:p>
        </w:tc>
      </w:tr>
    </w:tbl>
    <w:p w:rsidR="00AD581D" w:rsidRDefault="00AD581D" w:rsidP="00AD581D">
      <w:pPr>
        <w:rPr>
          <w:sz w:val="24"/>
          <w:szCs w:val="24"/>
        </w:rPr>
      </w:pPr>
      <w:r>
        <w:rPr>
          <w:noProof/>
        </w:rPr>
        <w:drawing>
          <wp:anchor distT="0" distB="0" distL="114300" distR="114300" simplePos="0" relativeHeight="251634688" behindDoc="0" locked="0" layoutInCell="1" allowOverlap="1">
            <wp:simplePos x="0" y="0"/>
            <wp:positionH relativeFrom="margin">
              <wp:align>right</wp:align>
            </wp:positionH>
            <wp:positionV relativeFrom="paragraph">
              <wp:posOffset>2364105</wp:posOffset>
            </wp:positionV>
            <wp:extent cx="5734050" cy="2390775"/>
            <wp:effectExtent l="0" t="0" r="0" b="9525"/>
            <wp:wrapTopAndBottom/>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 xml:space="preserve">The percentage rates of investment of CBL in shares are 16.36%, 17.56%, 19.83% 9.53% and </w:t>
      </w:r>
      <w:r>
        <w:rPr>
          <w:sz w:val="24"/>
          <w:szCs w:val="24"/>
        </w:rPr>
        <w:t>13.11% from 2013 to 2017</w:t>
      </w:r>
      <w:r w:rsidRPr="00321E6D">
        <w:rPr>
          <w:sz w:val="24"/>
          <w:szCs w:val="24"/>
        </w:rPr>
        <w:t>.There are positive growth rate</w:t>
      </w:r>
      <w:r>
        <w:rPr>
          <w:sz w:val="24"/>
          <w:szCs w:val="24"/>
        </w:rPr>
        <w:t>s of investment in 2014 and 2017</w:t>
      </w:r>
      <w:r w:rsidRPr="00321E6D">
        <w:rPr>
          <w:sz w:val="24"/>
          <w:szCs w:val="24"/>
        </w:rPr>
        <w:t>.But there a</w:t>
      </w:r>
      <w:r>
        <w:rPr>
          <w:sz w:val="24"/>
          <w:szCs w:val="24"/>
        </w:rPr>
        <w:t>re negative growth rates in 2013, 2015</w:t>
      </w:r>
      <w:r w:rsidRPr="00321E6D">
        <w:rPr>
          <w:sz w:val="24"/>
          <w:szCs w:val="24"/>
        </w:rPr>
        <w:t xml:space="preserve"> and 2016.All the growth rate has been shown in the given chart graphically. </w:t>
      </w:r>
    </w:p>
    <w:p w:rsidR="00AD581D" w:rsidRPr="00491BD4" w:rsidRDefault="00AD581D" w:rsidP="00AF203D">
      <w:pPr>
        <w:pStyle w:val="Heading6"/>
      </w:pPr>
      <w:bookmarkStart w:id="61" w:name="_Toc524821040"/>
      <w:r w:rsidRPr="00321E6D">
        <w:lastRenderedPageBreak/>
        <w:t>Investment in Quoted Share</w:t>
      </w:r>
      <w:bookmarkEnd w:id="61"/>
    </w:p>
    <w:p w:rsidR="00AD581D" w:rsidRPr="00321E6D" w:rsidRDefault="00AD581D" w:rsidP="00AD581D">
      <w:pPr>
        <w:rPr>
          <w:sz w:val="24"/>
          <w:szCs w:val="24"/>
        </w:rPr>
      </w:pPr>
      <w:r w:rsidRPr="00321E6D">
        <w:rPr>
          <w:sz w:val="24"/>
          <w:szCs w:val="24"/>
        </w:rPr>
        <w:t>A quote is the last price at which a security or commodity traded, meaning the most recent price on which a buyer and seller agreed and at which some amount of the asset was transacted 2. The bid or ask quotes are the most current prices and quantities at which the shares can be bought or sold called quoted share. These securities are bought and held primarily for the purpose of selling them in future or held for dividend income. These are valued and reported at market price as per</w:t>
      </w:r>
      <w:r>
        <w:rPr>
          <w:sz w:val="24"/>
          <w:szCs w:val="24"/>
        </w:rPr>
        <w:t xml:space="preserve"> Bangladesh Bank’s guidelines. </w:t>
      </w:r>
    </w:p>
    <w:tbl>
      <w:tblPr>
        <w:tblpPr w:leftFromText="180" w:rightFromText="180" w:vertAnchor="text" w:tblpY="1003"/>
        <w:tblW w:w="5000" w:type="pct"/>
        <w:tblLook w:val="04A0" w:firstRow="1" w:lastRow="0" w:firstColumn="1" w:lastColumn="0" w:noHBand="0" w:noVBand="1"/>
      </w:tblPr>
      <w:tblGrid>
        <w:gridCol w:w="4107"/>
        <w:gridCol w:w="1028"/>
        <w:gridCol w:w="1028"/>
        <w:gridCol w:w="1028"/>
        <w:gridCol w:w="1028"/>
        <w:gridCol w:w="1024"/>
      </w:tblGrid>
      <w:tr w:rsidR="00AD581D" w:rsidRPr="00EA7A61" w:rsidTr="00AD581D">
        <w:trPr>
          <w:trHeight w:val="300"/>
        </w:trPr>
        <w:tc>
          <w:tcPr>
            <w:tcW w:w="2221"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Year</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2013</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2014</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2015</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2016</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2017</w:t>
            </w:r>
          </w:p>
        </w:tc>
      </w:tr>
      <w:tr w:rsidR="00AD581D" w:rsidRPr="00EA7A61" w:rsidTr="00AD581D">
        <w:trPr>
          <w:trHeight w:val="300"/>
        </w:trPr>
        <w:tc>
          <w:tcPr>
            <w:tcW w:w="2221"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Growth Rate</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-4.80%</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25.02%</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2.98%</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-52.62%</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45.07%</w:t>
            </w:r>
          </w:p>
        </w:tc>
      </w:tr>
      <w:tr w:rsidR="00AD581D" w:rsidRPr="00EA7A61" w:rsidTr="00AD581D">
        <w:trPr>
          <w:trHeight w:val="300"/>
        </w:trPr>
        <w:tc>
          <w:tcPr>
            <w:tcW w:w="2221"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Investment</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13.94%</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16.08%</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19.31%</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9.22%</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12.81%</w:t>
            </w:r>
          </w:p>
        </w:tc>
      </w:tr>
      <w:tr w:rsidR="00AD581D" w:rsidRPr="00EA7A61" w:rsidTr="00AD581D">
        <w:trPr>
          <w:trHeight w:val="300"/>
        </w:trPr>
        <w:tc>
          <w:tcPr>
            <w:tcW w:w="2221"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Other Investment</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81.93%</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90.88%</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96.56%</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94.51%</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95.86%</w:t>
            </w:r>
          </w:p>
        </w:tc>
      </w:tr>
      <w:tr w:rsidR="00AD581D" w:rsidRPr="00EA7A61" w:rsidTr="00AD581D">
        <w:trPr>
          <w:trHeight w:val="300"/>
        </w:trPr>
        <w:tc>
          <w:tcPr>
            <w:tcW w:w="2221"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Total Shares</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85.19%</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91.58%</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97.37%</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96.71%</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97.71%</w:t>
            </w:r>
          </w:p>
        </w:tc>
      </w:tr>
    </w:tbl>
    <w:p w:rsidR="00AD581D" w:rsidRPr="00321E6D" w:rsidRDefault="00AD581D" w:rsidP="00AD581D">
      <w:pPr>
        <w:rPr>
          <w:sz w:val="24"/>
          <w:szCs w:val="24"/>
        </w:rPr>
      </w:pPr>
      <w:r w:rsidRPr="00321E6D">
        <w:rPr>
          <w:sz w:val="24"/>
          <w:szCs w:val="24"/>
        </w:rPr>
        <w:t>The percentage number of investment of CBL in quoted share is calculated by dividing the total amount of investment in quoted shares with the total amount of i</w:t>
      </w:r>
      <w:r>
        <w:rPr>
          <w:sz w:val="24"/>
          <w:szCs w:val="24"/>
        </w:rPr>
        <w:t xml:space="preserve">nvestment in financial assets. </w:t>
      </w:r>
    </w:p>
    <w:p w:rsidR="00AD581D" w:rsidRDefault="0050212E" w:rsidP="00AD581D">
      <w:pPr>
        <w:rPr>
          <w:sz w:val="24"/>
          <w:szCs w:val="24"/>
        </w:rPr>
      </w:pPr>
      <w:r>
        <w:rPr>
          <w:noProof/>
        </w:rPr>
        <w:drawing>
          <wp:anchor distT="0" distB="0" distL="114300" distR="114300" simplePos="0" relativeHeight="251645952" behindDoc="0" locked="0" layoutInCell="1" allowOverlap="1">
            <wp:simplePos x="0" y="0"/>
            <wp:positionH relativeFrom="margin">
              <wp:posOffset>-11430</wp:posOffset>
            </wp:positionH>
            <wp:positionV relativeFrom="paragraph">
              <wp:posOffset>3586480</wp:posOffset>
            </wp:positionV>
            <wp:extent cx="5734050" cy="2495550"/>
            <wp:effectExtent l="0" t="0" r="0" b="0"/>
            <wp:wrapTopAndBottom/>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r w:rsidR="00AD581D">
        <w:rPr>
          <w:noProof/>
        </w:rPr>
        <w:drawing>
          <wp:anchor distT="0" distB="0" distL="114300" distR="114300" simplePos="0" relativeHeight="251638784" behindDoc="0" locked="0" layoutInCell="1" allowOverlap="1">
            <wp:simplePos x="0" y="0"/>
            <wp:positionH relativeFrom="margin">
              <wp:align>right</wp:align>
            </wp:positionH>
            <wp:positionV relativeFrom="paragraph">
              <wp:posOffset>1113155</wp:posOffset>
            </wp:positionV>
            <wp:extent cx="5734050" cy="2209800"/>
            <wp:effectExtent l="0" t="0" r="0" b="0"/>
            <wp:wrapTopAndBottom/>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The percentage rates of investment in shares are 13.94%, 16.08%, 19.31% 9.22% and</w:t>
      </w:r>
      <w:r>
        <w:rPr>
          <w:sz w:val="24"/>
          <w:szCs w:val="24"/>
        </w:rPr>
        <w:t xml:space="preserve"> 12.81%from 2013 to 2017</w:t>
      </w:r>
      <w:r w:rsidRPr="00321E6D">
        <w:rPr>
          <w:sz w:val="24"/>
          <w:szCs w:val="24"/>
        </w:rPr>
        <w:t>.The highest percentage rate o</w:t>
      </w:r>
      <w:r>
        <w:rPr>
          <w:sz w:val="24"/>
          <w:szCs w:val="24"/>
        </w:rPr>
        <w:t xml:space="preserve">f investment are showing in </w:t>
      </w:r>
      <w:r>
        <w:rPr>
          <w:sz w:val="24"/>
          <w:szCs w:val="24"/>
        </w:rPr>
        <w:lastRenderedPageBreak/>
        <w:t>2017</w:t>
      </w:r>
      <w:r w:rsidRPr="00321E6D">
        <w:rPr>
          <w:sz w:val="24"/>
          <w:szCs w:val="24"/>
        </w:rPr>
        <w:t>.The growth rates of investment in quoted shares are positive in 20</w:t>
      </w:r>
      <w:r>
        <w:rPr>
          <w:sz w:val="24"/>
          <w:szCs w:val="24"/>
        </w:rPr>
        <w:t>14, 2015 and 2017 but negative in</w:t>
      </w:r>
      <w:r w:rsidRPr="00321E6D">
        <w:rPr>
          <w:sz w:val="24"/>
          <w:szCs w:val="24"/>
        </w:rPr>
        <w:t xml:space="preserve"> 2013 and 2016.The growth chart has </w:t>
      </w:r>
      <w:proofErr w:type="gramStart"/>
      <w:r w:rsidRPr="00321E6D">
        <w:rPr>
          <w:sz w:val="24"/>
          <w:szCs w:val="24"/>
        </w:rPr>
        <w:t>given  for</w:t>
      </w:r>
      <w:proofErr w:type="gramEnd"/>
      <w:r w:rsidRPr="00321E6D">
        <w:rPr>
          <w:sz w:val="24"/>
          <w:szCs w:val="24"/>
        </w:rPr>
        <w:t xml:space="preserve"> better understanding. </w:t>
      </w:r>
    </w:p>
    <w:p w:rsidR="00AD581D" w:rsidRPr="006833FB" w:rsidRDefault="00AD581D" w:rsidP="00AF203D">
      <w:pPr>
        <w:pStyle w:val="Heading6"/>
      </w:pPr>
      <w:bookmarkStart w:id="62" w:name="_Toc524821041"/>
      <w:r w:rsidRPr="00321E6D">
        <w:t>Investment in Unquoted Ordinary Share</w:t>
      </w:r>
      <w:bookmarkEnd w:id="62"/>
    </w:p>
    <w:p w:rsidR="00AD581D" w:rsidRPr="00321E6D" w:rsidRDefault="00AD581D" w:rsidP="00AD581D">
      <w:pPr>
        <w:rPr>
          <w:sz w:val="24"/>
          <w:szCs w:val="24"/>
        </w:rPr>
      </w:pPr>
      <w:r>
        <w:rPr>
          <w:noProof/>
        </w:rPr>
        <w:drawing>
          <wp:anchor distT="0" distB="0" distL="114300" distR="114300" simplePos="0" relativeHeight="251652096" behindDoc="0" locked="0" layoutInCell="1" allowOverlap="1">
            <wp:simplePos x="0" y="0"/>
            <wp:positionH relativeFrom="margin">
              <wp:align>right</wp:align>
            </wp:positionH>
            <wp:positionV relativeFrom="paragraph">
              <wp:posOffset>2256790</wp:posOffset>
            </wp:positionV>
            <wp:extent cx="5724525" cy="2200275"/>
            <wp:effectExtent l="0" t="0" r="9525" b="9525"/>
            <wp:wrapTopAndBottom/>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anchor>
        </w:drawing>
      </w:r>
      <w:r w:rsidRPr="00321E6D">
        <w:rPr>
          <w:sz w:val="24"/>
          <w:szCs w:val="24"/>
        </w:rPr>
        <w:t xml:space="preserve">Unquoted ordinary shares are most common shares. Unquoted shares are shares which are not traded on stock exchanges or other organized financial markets. The percentage rate of investment of CBL in Unquoted ordinary shares is calculated by dividing the total amount of investment in unquoted ordinary shares with the total amount of investment in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EA7A61" w:rsidTr="00AD581D">
        <w:trPr>
          <w:trHeight w:val="300"/>
        </w:trPr>
        <w:tc>
          <w:tcPr>
            <w:tcW w:w="2222"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Year</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2013</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2014</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2015</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2016</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2017</w:t>
            </w:r>
          </w:p>
        </w:tc>
      </w:tr>
      <w:tr w:rsidR="00AD581D" w:rsidRPr="00EA7A61" w:rsidTr="00AD581D">
        <w:trPr>
          <w:trHeight w:val="300"/>
        </w:trPr>
        <w:tc>
          <w:tcPr>
            <w:tcW w:w="2222"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Growth Rate</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13.86%</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r>
      <w:tr w:rsidR="00AD581D" w:rsidRPr="00EA7A61" w:rsidTr="00AD581D">
        <w:trPr>
          <w:trHeight w:val="300"/>
        </w:trPr>
        <w:tc>
          <w:tcPr>
            <w:tcW w:w="2222"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Investment</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0.29%</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0.27%</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0.31%</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0.31%</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0.30%</w:t>
            </w:r>
          </w:p>
        </w:tc>
      </w:tr>
      <w:tr w:rsidR="00AD581D" w:rsidRPr="00EA7A61" w:rsidTr="00AD581D">
        <w:trPr>
          <w:trHeight w:val="300"/>
        </w:trPr>
        <w:tc>
          <w:tcPr>
            <w:tcW w:w="2222"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Other Investment</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1.70%</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1.51%</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1.56%</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3.22%</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2.25%</w:t>
            </w:r>
          </w:p>
        </w:tc>
      </w:tr>
      <w:tr w:rsidR="00AD581D" w:rsidRPr="00EA7A61" w:rsidTr="00AD581D">
        <w:trPr>
          <w:trHeight w:val="300"/>
        </w:trPr>
        <w:tc>
          <w:tcPr>
            <w:tcW w:w="2222"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Total Shares</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1.77%</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1.52%</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1.57%</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3.29%</w:t>
            </w:r>
          </w:p>
        </w:tc>
        <w:tc>
          <w:tcPr>
            <w:tcW w:w="556"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2.29%</w:t>
            </w:r>
          </w:p>
        </w:tc>
      </w:tr>
    </w:tbl>
    <w:p w:rsidR="00AD581D" w:rsidRPr="00321E6D" w:rsidRDefault="0050212E" w:rsidP="00AD581D">
      <w:pPr>
        <w:rPr>
          <w:sz w:val="24"/>
          <w:szCs w:val="24"/>
        </w:rPr>
      </w:pPr>
      <w:r>
        <w:rPr>
          <w:noProof/>
        </w:rPr>
        <w:drawing>
          <wp:anchor distT="0" distB="0" distL="114300" distR="114300" simplePos="0" relativeHeight="251662336" behindDoc="0" locked="0" layoutInCell="1" allowOverlap="1">
            <wp:simplePos x="0" y="0"/>
            <wp:positionH relativeFrom="margin">
              <wp:posOffset>-1905</wp:posOffset>
            </wp:positionH>
            <wp:positionV relativeFrom="paragraph">
              <wp:posOffset>274320</wp:posOffset>
            </wp:positionV>
            <wp:extent cx="5724525" cy="2743200"/>
            <wp:effectExtent l="0" t="0" r="9525" b="0"/>
            <wp:wrapTopAndBottom/>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anchor>
        </w:drawing>
      </w:r>
    </w:p>
    <w:p w:rsidR="0050212E" w:rsidRDefault="0050212E" w:rsidP="00AD581D">
      <w:pPr>
        <w:rPr>
          <w:sz w:val="24"/>
          <w:szCs w:val="24"/>
        </w:rPr>
      </w:pPr>
    </w:p>
    <w:p w:rsidR="00AD581D" w:rsidRPr="00321E6D" w:rsidRDefault="00AD581D" w:rsidP="00AD581D">
      <w:pPr>
        <w:rPr>
          <w:sz w:val="24"/>
          <w:szCs w:val="24"/>
        </w:rPr>
      </w:pPr>
      <w:r w:rsidRPr="00321E6D">
        <w:rPr>
          <w:sz w:val="24"/>
          <w:szCs w:val="24"/>
        </w:rPr>
        <w:t xml:space="preserve">The percentage rates of investment of CBL </w:t>
      </w:r>
      <w:r>
        <w:rPr>
          <w:sz w:val="24"/>
          <w:szCs w:val="24"/>
        </w:rPr>
        <w:t>in unquoted ordinary shares are .29%, .27</w:t>
      </w:r>
      <w:r w:rsidRPr="00321E6D">
        <w:rPr>
          <w:sz w:val="24"/>
          <w:szCs w:val="24"/>
        </w:rPr>
        <w:t xml:space="preserve">%, .31% .31% and </w:t>
      </w:r>
      <w:r>
        <w:rPr>
          <w:sz w:val="24"/>
          <w:szCs w:val="24"/>
        </w:rPr>
        <w:t>.30% from 2013 to 2017</w:t>
      </w:r>
      <w:r w:rsidRPr="00321E6D">
        <w:rPr>
          <w:sz w:val="24"/>
          <w:szCs w:val="24"/>
        </w:rPr>
        <w:t xml:space="preserve">. </w:t>
      </w:r>
      <w:r>
        <w:rPr>
          <w:sz w:val="24"/>
          <w:szCs w:val="24"/>
        </w:rPr>
        <w:t xml:space="preserve">There is positive growth in 2013 but no growth from 2014 to 2017 as the amount remained same. </w:t>
      </w:r>
    </w:p>
    <w:p w:rsidR="00AD581D" w:rsidRPr="00321E6D" w:rsidRDefault="00AD581D" w:rsidP="00AF203D">
      <w:pPr>
        <w:pStyle w:val="Heading6"/>
      </w:pPr>
      <w:bookmarkStart w:id="63" w:name="_Toc524821042"/>
      <w:r>
        <w:t>Unquoted redeemable preference</w:t>
      </w:r>
      <w:bookmarkEnd w:id="63"/>
    </w:p>
    <w:p w:rsidR="00AD581D" w:rsidRPr="00321E6D" w:rsidRDefault="00AD581D" w:rsidP="00AD581D">
      <w:pPr>
        <w:rPr>
          <w:sz w:val="24"/>
          <w:szCs w:val="24"/>
        </w:rPr>
      </w:pPr>
      <w:r w:rsidRPr="00321E6D">
        <w:rPr>
          <w:sz w:val="24"/>
          <w:szCs w:val="24"/>
        </w:rPr>
        <w:t xml:space="preserve">A Redeemable Preference Share is a preference share in a body corporate that is liable to be redeemed. It is generally considered that Redeemable Preference Shares (REDP) is hybrid securities because they have characteristics akin to both debt and equity.  REDP are also known as Convertible Preference Shares. The percentage rate of investment of CBL in REDP is calculating by dividing the total amount of investment in REDP with the total amount of investment in the financial assets. </w:t>
      </w:r>
    </w:p>
    <w:tbl>
      <w:tblPr>
        <w:tblW w:w="5000" w:type="pct"/>
        <w:tblLook w:val="04A0" w:firstRow="1" w:lastRow="0" w:firstColumn="1" w:lastColumn="0" w:noHBand="0" w:noVBand="1"/>
      </w:tblPr>
      <w:tblGrid>
        <w:gridCol w:w="4079"/>
        <w:gridCol w:w="1008"/>
        <w:gridCol w:w="1019"/>
        <w:gridCol w:w="1019"/>
        <w:gridCol w:w="1130"/>
        <w:gridCol w:w="988"/>
      </w:tblGrid>
      <w:tr w:rsidR="00AD581D" w:rsidRPr="00EA7A61" w:rsidTr="00AD581D">
        <w:trPr>
          <w:trHeight w:val="300"/>
        </w:trPr>
        <w:tc>
          <w:tcPr>
            <w:tcW w:w="2215"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Year</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2013</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2014</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2015</w:t>
            </w:r>
          </w:p>
        </w:tc>
        <w:tc>
          <w:tcPr>
            <w:tcW w:w="569"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2016</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2017</w:t>
            </w:r>
          </w:p>
        </w:tc>
      </w:tr>
      <w:tr w:rsidR="00AD581D" w:rsidRPr="00EA7A61" w:rsidTr="00AD581D">
        <w:trPr>
          <w:trHeight w:val="300"/>
        </w:trPr>
        <w:tc>
          <w:tcPr>
            <w:tcW w:w="2215"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Growth Rate</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41.25%</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-38.47%</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-85.14%</w:t>
            </w:r>
          </w:p>
        </w:tc>
        <w:tc>
          <w:tcPr>
            <w:tcW w:w="569"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-100.00%</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r>
      <w:tr w:rsidR="00AD581D" w:rsidRPr="00EA7A61" w:rsidTr="00AD581D">
        <w:trPr>
          <w:trHeight w:val="300"/>
        </w:trPr>
        <w:tc>
          <w:tcPr>
            <w:tcW w:w="2215"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Investment</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2.13%</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1.21%</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0.21%</w:t>
            </w:r>
          </w:p>
        </w:tc>
        <w:tc>
          <w:tcPr>
            <w:tcW w:w="569"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r>
      <w:tr w:rsidR="00AD581D" w:rsidRPr="00EA7A61" w:rsidTr="00AD581D">
        <w:trPr>
          <w:trHeight w:val="300"/>
        </w:trPr>
        <w:tc>
          <w:tcPr>
            <w:tcW w:w="2215"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Other Investment</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12.54%</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6.84%</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1.05%</w:t>
            </w:r>
          </w:p>
        </w:tc>
        <w:tc>
          <w:tcPr>
            <w:tcW w:w="569"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r>
      <w:tr w:rsidR="00AD581D" w:rsidRPr="00EA7A61" w:rsidTr="00AD581D">
        <w:trPr>
          <w:trHeight w:val="300"/>
        </w:trPr>
        <w:tc>
          <w:tcPr>
            <w:tcW w:w="2215" w:type="pct"/>
            <w:noWrap/>
            <w:hideMark/>
          </w:tcPr>
          <w:p w:rsidR="00AD581D" w:rsidRPr="00EA7A61" w:rsidRDefault="00AD581D" w:rsidP="00AD581D">
            <w:pPr>
              <w:rPr>
                <w:rFonts w:ascii="Calibri" w:hAnsi="Calibri" w:cs="Calibri"/>
                <w:lang w:bidi="bn-BD"/>
              </w:rPr>
            </w:pPr>
            <w:r w:rsidRPr="00EA7A61">
              <w:rPr>
                <w:rFonts w:ascii="Calibri" w:hAnsi="Calibri" w:cs="Calibri"/>
                <w:lang w:bidi="bn-BD"/>
              </w:rPr>
              <w:t>Percentage of Total Shares</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13.04%</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6.90%</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1.06%</w:t>
            </w:r>
          </w:p>
        </w:tc>
        <w:tc>
          <w:tcPr>
            <w:tcW w:w="569"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c>
          <w:tcPr>
            <w:tcW w:w="554" w:type="pct"/>
            <w:noWrap/>
            <w:hideMark/>
          </w:tcPr>
          <w:p w:rsidR="00AD581D" w:rsidRPr="00EA7A61" w:rsidRDefault="00AD581D" w:rsidP="00AD581D">
            <w:pPr>
              <w:jc w:val="right"/>
              <w:rPr>
                <w:rFonts w:ascii="Calibri" w:hAnsi="Calibri" w:cs="Calibri"/>
                <w:lang w:bidi="bn-BD"/>
              </w:rPr>
            </w:pPr>
            <w:r w:rsidRPr="00EA7A61">
              <w:rPr>
                <w:rFonts w:ascii="Calibri" w:hAnsi="Calibri" w:cs="Calibri"/>
                <w:lang w:bidi="bn-BD"/>
              </w:rPr>
              <w:t>0.00%</w:t>
            </w:r>
          </w:p>
        </w:tc>
      </w:tr>
    </w:tbl>
    <w:p w:rsidR="00AD581D" w:rsidRPr="00321E6D" w:rsidRDefault="00AD581D" w:rsidP="00AD581D">
      <w:pPr>
        <w:rPr>
          <w:sz w:val="24"/>
          <w:szCs w:val="24"/>
        </w:rPr>
      </w:pPr>
      <w:r>
        <w:rPr>
          <w:noProof/>
        </w:rPr>
        <w:lastRenderedPageBreak/>
        <w:drawing>
          <wp:anchor distT="0" distB="0" distL="114300" distR="114300" simplePos="0" relativeHeight="251668480" behindDoc="0" locked="0" layoutInCell="1" allowOverlap="1">
            <wp:simplePos x="0" y="0"/>
            <wp:positionH relativeFrom="margin">
              <wp:align>right</wp:align>
            </wp:positionH>
            <wp:positionV relativeFrom="paragraph">
              <wp:posOffset>2915920</wp:posOffset>
            </wp:positionV>
            <wp:extent cx="5734050" cy="2743200"/>
            <wp:effectExtent l="0" t="0" r="0" b="0"/>
            <wp:wrapTopAndBottom/>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anchor>
        </w:drawing>
      </w:r>
      <w:r>
        <w:rPr>
          <w:noProof/>
        </w:rPr>
        <w:drawing>
          <wp:anchor distT="0" distB="0" distL="114300" distR="114300" simplePos="0" relativeHeight="251665408" behindDoc="0" locked="0" layoutInCell="1" allowOverlap="1">
            <wp:simplePos x="0" y="0"/>
            <wp:positionH relativeFrom="margin">
              <wp:align>right</wp:align>
            </wp:positionH>
            <wp:positionV relativeFrom="paragraph">
              <wp:posOffset>303530</wp:posOffset>
            </wp:positionV>
            <wp:extent cx="5734050" cy="2457450"/>
            <wp:effectExtent l="0" t="0" r="0" b="0"/>
            <wp:wrapTopAndBottom/>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anchor>
        </w:drawing>
      </w:r>
    </w:p>
    <w:p w:rsidR="00AD581D" w:rsidRPr="00321E6D" w:rsidRDefault="00AD581D" w:rsidP="00AD581D">
      <w:pPr>
        <w:rPr>
          <w:sz w:val="24"/>
          <w:szCs w:val="24"/>
        </w:rPr>
      </w:pPr>
      <w:r w:rsidRPr="00321E6D">
        <w:rPr>
          <w:sz w:val="24"/>
          <w:szCs w:val="24"/>
        </w:rPr>
        <w:t>The percentage rates of investment of CBL in REDP are 2.13%, 1.21%, .21%</w:t>
      </w:r>
      <w:r>
        <w:rPr>
          <w:sz w:val="24"/>
          <w:szCs w:val="24"/>
        </w:rPr>
        <w:t>,</w:t>
      </w:r>
      <w:r w:rsidRPr="00321E6D">
        <w:rPr>
          <w:sz w:val="24"/>
          <w:szCs w:val="24"/>
        </w:rPr>
        <w:t xml:space="preserve"> 0% and</w:t>
      </w:r>
      <w:r>
        <w:rPr>
          <w:sz w:val="24"/>
          <w:szCs w:val="24"/>
        </w:rPr>
        <w:t xml:space="preserve"> 0%from 2013 to 2017</w:t>
      </w:r>
      <w:r w:rsidRPr="00321E6D">
        <w:rPr>
          <w:sz w:val="24"/>
          <w:szCs w:val="24"/>
        </w:rPr>
        <w:t>. The highe</w:t>
      </w:r>
      <w:r>
        <w:rPr>
          <w:sz w:val="24"/>
          <w:szCs w:val="24"/>
        </w:rPr>
        <w:t>st investment is showing in 2013</w:t>
      </w:r>
      <w:r w:rsidRPr="00321E6D">
        <w:rPr>
          <w:sz w:val="24"/>
          <w:szCs w:val="24"/>
        </w:rPr>
        <w:t xml:space="preserve"> in REDP. But the growth rates of investment year to year in REDP a</w:t>
      </w:r>
      <w:r>
        <w:rPr>
          <w:sz w:val="24"/>
          <w:szCs w:val="24"/>
        </w:rPr>
        <w:t xml:space="preserve">re negative from 2014 to 2016. </w:t>
      </w:r>
    </w:p>
    <w:p w:rsidR="00AD581D" w:rsidRPr="003F1A08" w:rsidRDefault="00AD581D" w:rsidP="00AF203D">
      <w:pPr>
        <w:pStyle w:val="Heading3"/>
      </w:pPr>
      <w:bookmarkStart w:id="64" w:name="_Toc524821043"/>
      <w:r w:rsidRPr="00321E6D">
        <w:t>4.1.3 Maturit</w:t>
      </w:r>
      <w:r>
        <w:t>y grouping of I</w:t>
      </w:r>
      <w:r w:rsidRPr="00321E6D">
        <w:t>nvestments</w:t>
      </w:r>
      <w:bookmarkEnd w:id="64"/>
    </w:p>
    <w:p w:rsidR="00AD581D" w:rsidRPr="00321E6D" w:rsidRDefault="00AD581D" w:rsidP="00AD581D">
      <w:pPr>
        <w:rPr>
          <w:sz w:val="24"/>
          <w:szCs w:val="24"/>
        </w:rPr>
      </w:pPr>
      <w:r>
        <w:rPr>
          <w:noProof/>
          <w:sz w:val="24"/>
          <w:szCs w:val="24"/>
        </w:rPr>
        <w:lastRenderedPageBreak/>
        <w:drawing>
          <wp:anchor distT="0" distB="0" distL="114300" distR="114300" simplePos="0" relativeHeight="251671552" behindDoc="0" locked="0" layoutInCell="1" allowOverlap="1">
            <wp:simplePos x="0" y="0"/>
            <wp:positionH relativeFrom="margin">
              <wp:align>center</wp:align>
            </wp:positionH>
            <wp:positionV relativeFrom="paragraph">
              <wp:posOffset>335915</wp:posOffset>
            </wp:positionV>
            <wp:extent cx="3362325" cy="2988945"/>
            <wp:effectExtent l="0" t="0" r="0" b="0"/>
            <wp:wrapTopAndBottom/>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anchor>
        </w:drawing>
      </w:r>
      <w:r w:rsidRPr="00321E6D">
        <w:rPr>
          <w:sz w:val="24"/>
          <w:szCs w:val="24"/>
        </w:rPr>
        <w:t>The classifications of matu</w:t>
      </w:r>
      <w:r>
        <w:rPr>
          <w:sz w:val="24"/>
          <w:szCs w:val="24"/>
        </w:rPr>
        <w:t xml:space="preserve">rity grouping investments are: </w:t>
      </w:r>
    </w:p>
    <w:p w:rsidR="00AD581D" w:rsidRPr="00321E6D" w:rsidRDefault="00AD581D" w:rsidP="00AF203D">
      <w:pPr>
        <w:pStyle w:val="Heading4"/>
      </w:pPr>
      <w:bookmarkStart w:id="65" w:name="_Toc524821044"/>
      <w:r w:rsidRPr="00321E6D">
        <w:t xml:space="preserve">4.1.3.1 </w:t>
      </w:r>
      <w:proofErr w:type="gramStart"/>
      <w:r w:rsidRPr="00321E6D">
        <w:t>On</w:t>
      </w:r>
      <w:proofErr w:type="gramEnd"/>
      <w:r w:rsidRPr="00321E6D">
        <w:t xml:space="preserve"> Demand</w:t>
      </w:r>
      <w:bookmarkEnd w:id="65"/>
    </w:p>
    <w:p w:rsidR="00AD581D" w:rsidRPr="00321E6D" w:rsidRDefault="00AD581D" w:rsidP="00AD581D">
      <w:pPr>
        <w:rPr>
          <w:sz w:val="24"/>
          <w:szCs w:val="24"/>
        </w:rPr>
      </w:pPr>
      <w:r>
        <w:rPr>
          <w:noProof/>
        </w:rPr>
        <w:drawing>
          <wp:anchor distT="0" distB="0" distL="114300" distR="114300" simplePos="0" relativeHeight="251674624" behindDoc="0" locked="0" layoutInCell="1" allowOverlap="1">
            <wp:simplePos x="0" y="0"/>
            <wp:positionH relativeFrom="margin">
              <wp:align>right</wp:align>
            </wp:positionH>
            <wp:positionV relativeFrom="paragraph">
              <wp:posOffset>1804035</wp:posOffset>
            </wp:positionV>
            <wp:extent cx="5734050" cy="2609850"/>
            <wp:effectExtent l="0" t="0" r="0" b="0"/>
            <wp:wrapTopAndBottom/>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anchor>
        </w:drawing>
      </w:r>
      <w:r w:rsidRPr="00321E6D">
        <w:rPr>
          <w:sz w:val="24"/>
          <w:szCs w:val="24"/>
        </w:rPr>
        <w:t>Investment demand refers to the demand by businesses for physical capital goods and services used to maintain or expand its operations. Think of it as the office and factory space, machinery, computers, desks, and so on that are used to operate a business. The percentage rate of investment of CBL in on demand is calculated by dividing the total amount of investment in on demand with total amount of inves</w:t>
      </w:r>
      <w:r>
        <w:rPr>
          <w:sz w:val="24"/>
          <w:szCs w:val="24"/>
        </w:rPr>
        <w:t xml:space="preserve">tment in the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1A67E7" w:rsidTr="00AD581D">
        <w:trPr>
          <w:trHeight w:val="300"/>
        </w:trPr>
        <w:tc>
          <w:tcPr>
            <w:tcW w:w="2222" w:type="pct"/>
            <w:noWrap/>
            <w:hideMark/>
          </w:tcPr>
          <w:p w:rsidR="00AD581D" w:rsidRPr="001A67E7" w:rsidRDefault="00AD581D" w:rsidP="00AD581D">
            <w:pPr>
              <w:rPr>
                <w:rFonts w:ascii="Calibri" w:hAnsi="Calibri" w:cs="Calibri"/>
                <w:lang w:bidi="bn-BD"/>
              </w:rPr>
            </w:pPr>
            <w:r w:rsidRPr="001A67E7">
              <w:rPr>
                <w:rFonts w:ascii="Calibri" w:hAnsi="Calibri" w:cs="Calibri"/>
                <w:lang w:bidi="bn-BD"/>
              </w:rPr>
              <w:t>Year</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2013</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2014</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2015</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2016</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2017</w:t>
            </w:r>
          </w:p>
        </w:tc>
      </w:tr>
      <w:tr w:rsidR="00AD581D" w:rsidRPr="001A67E7" w:rsidTr="00AD581D">
        <w:trPr>
          <w:trHeight w:val="300"/>
        </w:trPr>
        <w:tc>
          <w:tcPr>
            <w:tcW w:w="2222" w:type="pct"/>
            <w:noWrap/>
            <w:hideMark/>
          </w:tcPr>
          <w:p w:rsidR="00AD581D" w:rsidRPr="001A67E7" w:rsidRDefault="00AD581D" w:rsidP="00AD581D">
            <w:pPr>
              <w:rPr>
                <w:rFonts w:ascii="Calibri" w:hAnsi="Calibri" w:cs="Calibri"/>
                <w:lang w:bidi="bn-BD"/>
              </w:rPr>
            </w:pPr>
            <w:r w:rsidRPr="001A67E7">
              <w:rPr>
                <w:rFonts w:ascii="Calibri" w:hAnsi="Calibri" w:cs="Calibri"/>
                <w:lang w:bidi="bn-BD"/>
              </w:rPr>
              <w:t>Growth Rate</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18.12%</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2.39%</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-1.88%</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-51.41%</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-14.17%</w:t>
            </w:r>
          </w:p>
        </w:tc>
      </w:tr>
      <w:tr w:rsidR="00AD581D" w:rsidRPr="001A67E7" w:rsidTr="00AD581D">
        <w:trPr>
          <w:trHeight w:val="300"/>
        </w:trPr>
        <w:tc>
          <w:tcPr>
            <w:tcW w:w="2222" w:type="pct"/>
            <w:noWrap/>
            <w:hideMark/>
          </w:tcPr>
          <w:p w:rsidR="00AD581D" w:rsidRPr="001A67E7" w:rsidRDefault="00AD581D" w:rsidP="00AD581D">
            <w:pPr>
              <w:rPr>
                <w:rFonts w:ascii="Calibri" w:hAnsi="Calibri" w:cs="Calibri"/>
                <w:lang w:bidi="bn-BD"/>
              </w:rPr>
            </w:pPr>
            <w:r w:rsidRPr="001A67E7">
              <w:rPr>
                <w:rFonts w:ascii="Calibri" w:hAnsi="Calibri" w:cs="Calibri"/>
                <w:lang w:bidi="bn-BD"/>
              </w:rPr>
              <w:t>Percentage of Investment</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0.027%</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0.026%</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0.030%</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0.015%</w:t>
            </w:r>
          </w:p>
        </w:tc>
        <w:tc>
          <w:tcPr>
            <w:tcW w:w="556" w:type="pct"/>
            <w:noWrap/>
            <w:hideMark/>
          </w:tcPr>
          <w:p w:rsidR="00AD581D" w:rsidRPr="001A67E7" w:rsidRDefault="00AD581D" w:rsidP="00AD581D">
            <w:pPr>
              <w:jc w:val="right"/>
              <w:rPr>
                <w:rFonts w:ascii="Calibri" w:hAnsi="Calibri" w:cs="Calibri"/>
                <w:lang w:bidi="bn-BD"/>
              </w:rPr>
            </w:pPr>
            <w:r w:rsidRPr="001A67E7">
              <w:rPr>
                <w:rFonts w:ascii="Calibri" w:hAnsi="Calibri" w:cs="Calibri"/>
                <w:lang w:bidi="bn-BD"/>
              </w:rPr>
              <w:t>0.012%</w:t>
            </w:r>
          </w:p>
        </w:tc>
      </w:tr>
    </w:tbl>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The percentage rates of investment of CB</w:t>
      </w:r>
      <w:r>
        <w:rPr>
          <w:sz w:val="24"/>
          <w:szCs w:val="24"/>
        </w:rPr>
        <w:t xml:space="preserve">L in on demand are </w:t>
      </w:r>
      <w:r w:rsidRPr="00321E6D">
        <w:rPr>
          <w:sz w:val="24"/>
          <w:szCs w:val="24"/>
        </w:rPr>
        <w:t>.</w:t>
      </w:r>
      <w:r>
        <w:rPr>
          <w:sz w:val="24"/>
          <w:szCs w:val="24"/>
        </w:rPr>
        <w:t>027</w:t>
      </w:r>
      <w:r w:rsidRPr="00321E6D">
        <w:rPr>
          <w:sz w:val="24"/>
          <w:szCs w:val="24"/>
        </w:rPr>
        <w:t>%, .</w:t>
      </w:r>
      <w:r>
        <w:rPr>
          <w:sz w:val="24"/>
          <w:szCs w:val="24"/>
        </w:rPr>
        <w:t>026</w:t>
      </w:r>
      <w:r w:rsidRPr="00321E6D">
        <w:rPr>
          <w:sz w:val="24"/>
          <w:szCs w:val="24"/>
        </w:rPr>
        <w:t>%, .</w:t>
      </w:r>
      <w:r>
        <w:rPr>
          <w:sz w:val="24"/>
          <w:szCs w:val="24"/>
        </w:rPr>
        <w:t>0</w:t>
      </w:r>
      <w:r w:rsidRPr="00321E6D">
        <w:rPr>
          <w:sz w:val="24"/>
          <w:szCs w:val="24"/>
        </w:rPr>
        <w:t>30% and .</w:t>
      </w:r>
      <w:r>
        <w:rPr>
          <w:sz w:val="24"/>
          <w:szCs w:val="24"/>
        </w:rPr>
        <w:t>0</w:t>
      </w:r>
      <w:r w:rsidRPr="00321E6D">
        <w:rPr>
          <w:sz w:val="24"/>
          <w:szCs w:val="24"/>
        </w:rPr>
        <w:t>15%</w:t>
      </w:r>
      <w:r>
        <w:rPr>
          <w:sz w:val="24"/>
          <w:szCs w:val="24"/>
        </w:rPr>
        <w:t xml:space="preserve"> and .012% from 2013 to 2017</w:t>
      </w:r>
      <w:r w:rsidRPr="00321E6D">
        <w:rPr>
          <w:sz w:val="24"/>
          <w:szCs w:val="24"/>
        </w:rPr>
        <w:t xml:space="preserve">. The highest percentage of investment is showing in 2015.The growth rate is </w:t>
      </w:r>
      <w:r>
        <w:rPr>
          <w:sz w:val="24"/>
          <w:szCs w:val="24"/>
        </w:rPr>
        <w:t xml:space="preserve">negative from 2015 to 2017 and positive in 2013to 2014.  </w:t>
      </w:r>
    </w:p>
    <w:p w:rsidR="00AD581D" w:rsidRPr="00321E6D" w:rsidRDefault="00AD581D" w:rsidP="00AF203D">
      <w:pPr>
        <w:pStyle w:val="Heading4"/>
      </w:pPr>
      <w:bookmarkStart w:id="66" w:name="_Toc524821045"/>
      <w:r w:rsidRPr="00321E6D">
        <w:lastRenderedPageBreak/>
        <w:t>4.1.3.2 Over 1 Month but Not More Than 3 Months</w:t>
      </w:r>
      <w:bookmarkEnd w:id="66"/>
    </w:p>
    <w:p w:rsidR="00AD581D" w:rsidRPr="00321E6D" w:rsidRDefault="00AD581D" w:rsidP="00AD581D">
      <w:pPr>
        <w:rPr>
          <w:sz w:val="24"/>
          <w:szCs w:val="24"/>
        </w:rPr>
      </w:pPr>
      <w:r w:rsidRPr="00321E6D">
        <w:rPr>
          <w:sz w:val="24"/>
          <w:szCs w:val="24"/>
        </w:rPr>
        <w:t>The percentage rate of investment of CBL in over 1 month but not more than 3 months is calculated by dividing the total amount of investment in over 1 month but not more than 3 months with the total amount of inves</w:t>
      </w:r>
      <w:r>
        <w:rPr>
          <w:sz w:val="24"/>
          <w:szCs w:val="24"/>
        </w:rPr>
        <w:t xml:space="preserve">tment in the financial assets. </w:t>
      </w:r>
    </w:p>
    <w:tbl>
      <w:tblPr>
        <w:tblW w:w="5000" w:type="pct"/>
        <w:tblLook w:val="04A0" w:firstRow="1" w:lastRow="0" w:firstColumn="1" w:lastColumn="0" w:noHBand="0" w:noVBand="1"/>
      </w:tblPr>
      <w:tblGrid>
        <w:gridCol w:w="4016"/>
        <w:gridCol w:w="1063"/>
        <w:gridCol w:w="1019"/>
        <w:gridCol w:w="1019"/>
        <w:gridCol w:w="1063"/>
        <w:gridCol w:w="1063"/>
      </w:tblGrid>
      <w:tr w:rsidR="00AD581D" w:rsidRPr="00105305" w:rsidTr="00AD581D">
        <w:trPr>
          <w:trHeight w:val="300"/>
        </w:trPr>
        <w:tc>
          <w:tcPr>
            <w:tcW w:w="2202" w:type="pct"/>
            <w:noWrap/>
            <w:hideMark/>
          </w:tcPr>
          <w:p w:rsidR="00AD581D" w:rsidRPr="00105305" w:rsidRDefault="00AD581D" w:rsidP="00AD581D">
            <w:pPr>
              <w:rPr>
                <w:rFonts w:ascii="Calibri" w:hAnsi="Calibri" w:cs="Calibri"/>
                <w:lang w:bidi="bn-BD"/>
              </w:rPr>
            </w:pPr>
            <w:r w:rsidRPr="00105305">
              <w:rPr>
                <w:rFonts w:ascii="Calibri" w:hAnsi="Calibri" w:cs="Calibri"/>
                <w:lang w:bidi="bn-BD"/>
              </w:rPr>
              <w:t>Year</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2013</w:t>
            </w:r>
          </w:p>
        </w:tc>
        <w:tc>
          <w:tcPr>
            <w:tcW w:w="550"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2014</w:t>
            </w:r>
          </w:p>
        </w:tc>
        <w:tc>
          <w:tcPr>
            <w:tcW w:w="550"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2015</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2016</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2017</w:t>
            </w:r>
          </w:p>
        </w:tc>
      </w:tr>
      <w:tr w:rsidR="00AD581D" w:rsidRPr="00105305" w:rsidTr="00AD581D">
        <w:trPr>
          <w:trHeight w:val="300"/>
        </w:trPr>
        <w:tc>
          <w:tcPr>
            <w:tcW w:w="2202" w:type="pct"/>
            <w:noWrap/>
            <w:hideMark/>
          </w:tcPr>
          <w:p w:rsidR="00AD581D" w:rsidRPr="00105305" w:rsidRDefault="00AD581D" w:rsidP="00AD581D">
            <w:pPr>
              <w:rPr>
                <w:rFonts w:ascii="Calibri" w:hAnsi="Calibri" w:cs="Calibri"/>
                <w:lang w:bidi="bn-BD"/>
              </w:rPr>
            </w:pPr>
            <w:r w:rsidRPr="00105305">
              <w:rPr>
                <w:rFonts w:ascii="Calibri" w:hAnsi="Calibri" w:cs="Calibri"/>
                <w:lang w:bidi="bn-BD"/>
              </w:rPr>
              <w:t>Growth Rate</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150.22%</w:t>
            </w:r>
          </w:p>
        </w:tc>
        <w:tc>
          <w:tcPr>
            <w:tcW w:w="550"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-71.72%</w:t>
            </w:r>
          </w:p>
        </w:tc>
        <w:tc>
          <w:tcPr>
            <w:tcW w:w="550"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-92.09%</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614.29%</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540.30%</w:t>
            </w:r>
          </w:p>
        </w:tc>
      </w:tr>
      <w:tr w:rsidR="00AD581D" w:rsidRPr="00105305" w:rsidTr="00AD581D">
        <w:trPr>
          <w:trHeight w:val="300"/>
        </w:trPr>
        <w:tc>
          <w:tcPr>
            <w:tcW w:w="2202" w:type="pct"/>
            <w:noWrap/>
            <w:hideMark/>
          </w:tcPr>
          <w:p w:rsidR="00AD581D" w:rsidRPr="00105305" w:rsidRDefault="00AD581D" w:rsidP="00AD581D">
            <w:pPr>
              <w:rPr>
                <w:rFonts w:ascii="Calibri" w:hAnsi="Calibri" w:cs="Calibri"/>
                <w:lang w:bidi="bn-BD"/>
              </w:rPr>
            </w:pPr>
            <w:r w:rsidRPr="00105305">
              <w:rPr>
                <w:rFonts w:ascii="Calibri" w:hAnsi="Calibri" w:cs="Calibri"/>
                <w:lang w:bidi="bn-BD"/>
              </w:rPr>
              <w:t>Percentage of Investment</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30.16%</w:t>
            </w:r>
          </w:p>
        </w:tc>
        <w:tc>
          <w:tcPr>
            <w:tcW w:w="550"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7.87%</w:t>
            </w:r>
          </w:p>
        </w:tc>
        <w:tc>
          <w:tcPr>
            <w:tcW w:w="550"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0.73%</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5.22%</w:t>
            </w:r>
          </w:p>
        </w:tc>
        <w:tc>
          <w:tcPr>
            <w:tcW w:w="566"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32.04%</w:t>
            </w:r>
          </w:p>
        </w:tc>
      </w:tr>
    </w:tbl>
    <w:p w:rsidR="00AD581D" w:rsidRPr="00321E6D" w:rsidRDefault="00AD581D" w:rsidP="00AD581D">
      <w:pPr>
        <w:rPr>
          <w:sz w:val="24"/>
          <w:szCs w:val="24"/>
        </w:rPr>
      </w:pPr>
      <w:r>
        <w:rPr>
          <w:noProof/>
        </w:rPr>
        <w:drawing>
          <wp:anchor distT="0" distB="0" distL="114300" distR="114300" simplePos="0" relativeHeight="251677696" behindDoc="0" locked="0" layoutInCell="1" allowOverlap="1">
            <wp:simplePos x="0" y="0"/>
            <wp:positionH relativeFrom="margin">
              <wp:align>right</wp:align>
            </wp:positionH>
            <wp:positionV relativeFrom="paragraph">
              <wp:posOffset>178435</wp:posOffset>
            </wp:positionV>
            <wp:extent cx="5724525" cy="2581275"/>
            <wp:effectExtent l="0" t="0" r="9525" b="9525"/>
            <wp:wrapTopAndBottom/>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anchor>
        </w:drawing>
      </w:r>
    </w:p>
    <w:p w:rsidR="00AD581D" w:rsidRPr="00321E6D" w:rsidRDefault="00AD581D" w:rsidP="00AD581D">
      <w:pPr>
        <w:rPr>
          <w:sz w:val="24"/>
          <w:szCs w:val="24"/>
        </w:rPr>
      </w:pPr>
      <w:r w:rsidRPr="00321E6D">
        <w:rPr>
          <w:sz w:val="24"/>
          <w:szCs w:val="24"/>
        </w:rPr>
        <w:t>The percentage rate of investment of CBL in over 1 month but not more than 3 months are 30.16%, 7.87%, .73% 5.22% and</w:t>
      </w:r>
      <w:r>
        <w:rPr>
          <w:sz w:val="24"/>
          <w:szCs w:val="24"/>
        </w:rPr>
        <w:t xml:space="preserve"> 32.04%from 2013 to 2017</w:t>
      </w:r>
      <w:r w:rsidRPr="00321E6D">
        <w:rPr>
          <w:sz w:val="24"/>
          <w:szCs w:val="24"/>
        </w:rPr>
        <w:t>. The highest growth rates of investment are showing in 2016. The positive g</w:t>
      </w:r>
      <w:r>
        <w:rPr>
          <w:sz w:val="24"/>
          <w:szCs w:val="24"/>
        </w:rPr>
        <w:t>rowth rates are in 2013 and 2017</w:t>
      </w:r>
      <w:r w:rsidRPr="00321E6D">
        <w:rPr>
          <w:sz w:val="24"/>
          <w:szCs w:val="24"/>
        </w:rPr>
        <w:t xml:space="preserve"> also but negative </w:t>
      </w:r>
      <w:r>
        <w:rPr>
          <w:sz w:val="24"/>
          <w:szCs w:val="24"/>
        </w:rPr>
        <w:t xml:space="preserve">growth rate in 2014 and 2015.  </w:t>
      </w:r>
    </w:p>
    <w:p w:rsidR="00AD581D" w:rsidRPr="00321E6D" w:rsidRDefault="00AD581D" w:rsidP="00AF203D">
      <w:pPr>
        <w:pStyle w:val="Heading4"/>
      </w:pPr>
      <w:bookmarkStart w:id="67" w:name="_Toc524821046"/>
      <w:r w:rsidRPr="00321E6D">
        <w:t>4.1.3.3 Over 3 Months but Not More Than 1 Year</w:t>
      </w:r>
      <w:bookmarkEnd w:id="67"/>
    </w:p>
    <w:p w:rsidR="00AD581D" w:rsidRPr="00321E6D" w:rsidRDefault="00AD581D" w:rsidP="00AD581D">
      <w:pPr>
        <w:rPr>
          <w:sz w:val="24"/>
          <w:szCs w:val="24"/>
        </w:rPr>
      </w:pPr>
      <w:r w:rsidRPr="00321E6D">
        <w:rPr>
          <w:sz w:val="24"/>
          <w:szCs w:val="24"/>
        </w:rPr>
        <w:t>The percentage rate of investment of CBL in over 3 month but not more than 1 year is calculated by dividing the total amount of investment in over 3 month but not more than 1 year with the total amount of inves</w:t>
      </w:r>
      <w:r>
        <w:rPr>
          <w:sz w:val="24"/>
          <w:szCs w:val="24"/>
        </w:rPr>
        <w:t xml:space="preserve">tment in the financial assets. </w:t>
      </w:r>
    </w:p>
    <w:tbl>
      <w:tblPr>
        <w:tblW w:w="5000" w:type="pct"/>
        <w:tblLook w:val="04A0" w:firstRow="1" w:lastRow="0" w:firstColumn="1" w:lastColumn="0" w:noHBand="0" w:noVBand="1"/>
      </w:tblPr>
      <w:tblGrid>
        <w:gridCol w:w="4092"/>
        <w:gridCol w:w="1022"/>
        <w:gridCol w:w="1022"/>
        <w:gridCol w:w="1063"/>
        <w:gridCol w:w="1022"/>
        <w:gridCol w:w="1022"/>
      </w:tblGrid>
      <w:tr w:rsidR="00AD581D" w:rsidRPr="00105305" w:rsidTr="00AD581D">
        <w:trPr>
          <w:trHeight w:val="300"/>
        </w:trPr>
        <w:tc>
          <w:tcPr>
            <w:tcW w:w="2215" w:type="pct"/>
            <w:noWrap/>
            <w:hideMark/>
          </w:tcPr>
          <w:p w:rsidR="00AD581D" w:rsidRPr="00105305" w:rsidRDefault="00AD581D" w:rsidP="00AD581D">
            <w:pPr>
              <w:rPr>
                <w:rFonts w:ascii="Calibri" w:hAnsi="Calibri" w:cs="Calibri"/>
                <w:lang w:bidi="bn-BD"/>
              </w:rPr>
            </w:pPr>
            <w:r w:rsidRPr="00105305">
              <w:rPr>
                <w:rFonts w:ascii="Calibri" w:hAnsi="Calibri" w:cs="Calibri"/>
                <w:lang w:bidi="bn-BD"/>
              </w:rPr>
              <w:t>Year</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2013</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2014</w:t>
            </w:r>
          </w:p>
        </w:tc>
        <w:tc>
          <w:tcPr>
            <w:tcW w:w="569"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2015</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2016</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2017</w:t>
            </w:r>
          </w:p>
        </w:tc>
      </w:tr>
      <w:tr w:rsidR="00AD581D" w:rsidRPr="00105305" w:rsidTr="00AD581D">
        <w:trPr>
          <w:trHeight w:val="300"/>
        </w:trPr>
        <w:tc>
          <w:tcPr>
            <w:tcW w:w="2215" w:type="pct"/>
            <w:noWrap/>
            <w:hideMark/>
          </w:tcPr>
          <w:p w:rsidR="00AD581D" w:rsidRPr="00105305" w:rsidRDefault="00AD581D" w:rsidP="00AD581D">
            <w:pPr>
              <w:rPr>
                <w:rFonts w:ascii="Calibri" w:hAnsi="Calibri" w:cs="Calibri"/>
                <w:lang w:bidi="bn-BD"/>
              </w:rPr>
            </w:pPr>
            <w:r w:rsidRPr="00105305">
              <w:rPr>
                <w:rFonts w:ascii="Calibri" w:hAnsi="Calibri" w:cs="Calibri"/>
                <w:lang w:bidi="bn-BD"/>
              </w:rPr>
              <w:t>Growth Rate</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-23.95%</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39.26%</w:t>
            </w:r>
          </w:p>
        </w:tc>
        <w:tc>
          <w:tcPr>
            <w:tcW w:w="569"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190.56%</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-30.80%</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-71.84%</w:t>
            </w:r>
          </w:p>
        </w:tc>
      </w:tr>
      <w:tr w:rsidR="00AD581D" w:rsidRPr="00105305" w:rsidTr="00AD581D">
        <w:trPr>
          <w:trHeight w:val="300"/>
        </w:trPr>
        <w:tc>
          <w:tcPr>
            <w:tcW w:w="2215" w:type="pct"/>
            <w:noWrap/>
            <w:hideMark/>
          </w:tcPr>
          <w:p w:rsidR="00AD581D" w:rsidRPr="00105305" w:rsidRDefault="00AD581D" w:rsidP="00AD581D">
            <w:pPr>
              <w:rPr>
                <w:rFonts w:ascii="Calibri" w:hAnsi="Calibri" w:cs="Calibri"/>
                <w:lang w:bidi="bn-BD"/>
              </w:rPr>
            </w:pPr>
            <w:r w:rsidRPr="00105305">
              <w:rPr>
                <w:rFonts w:ascii="Calibri" w:hAnsi="Calibri" w:cs="Calibri"/>
                <w:lang w:bidi="bn-BD"/>
              </w:rPr>
              <w:t>Percentage of Investment</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4.87%</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6.26%</w:t>
            </w:r>
          </w:p>
        </w:tc>
        <w:tc>
          <w:tcPr>
            <w:tcW w:w="569"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21.22%</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14.79%</w:t>
            </w:r>
          </w:p>
        </w:tc>
        <w:tc>
          <w:tcPr>
            <w:tcW w:w="554" w:type="pct"/>
            <w:noWrap/>
            <w:hideMark/>
          </w:tcPr>
          <w:p w:rsidR="00AD581D" w:rsidRPr="00105305" w:rsidRDefault="00AD581D" w:rsidP="00AD581D">
            <w:pPr>
              <w:jc w:val="right"/>
              <w:rPr>
                <w:rFonts w:ascii="Calibri" w:hAnsi="Calibri" w:cs="Calibri"/>
                <w:lang w:bidi="bn-BD"/>
              </w:rPr>
            </w:pPr>
            <w:r w:rsidRPr="00105305">
              <w:rPr>
                <w:rFonts w:ascii="Calibri" w:hAnsi="Calibri" w:cs="Calibri"/>
                <w:lang w:bidi="bn-BD"/>
              </w:rPr>
              <w:t>3.99%</w:t>
            </w:r>
          </w:p>
        </w:tc>
      </w:tr>
    </w:tbl>
    <w:p w:rsidR="00AD581D" w:rsidRPr="00321E6D" w:rsidRDefault="00AD581D" w:rsidP="00AD581D">
      <w:pPr>
        <w:rPr>
          <w:sz w:val="24"/>
          <w:szCs w:val="24"/>
        </w:rPr>
      </w:pPr>
      <w:r>
        <w:rPr>
          <w:noProof/>
        </w:rPr>
        <w:lastRenderedPageBreak/>
        <w:drawing>
          <wp:anchor distT="0" distB="0" distL="114300" distR="114300" simplePos="0" relativeHeight="251680768" behindDoc="0" locked="0" layoutInCell="1" allowOverlap="1">
            <wp:simplePos x="0" y="0"/>
            <wp:positionH relativeFrom="margin">
              <wp:align>right</wp:align>
            </wp:positionH>
            <wp:positionV relativeFrom="paragraph">
              <wp:posOffset>0</wp:posOffset>
            </wp:positionV>
            <wp:extent cx="5724525" cy="2476500"/>
            <wp:effectExtent l="0" t="0" r="9525" b="0"/>
            <wp:wrapTopAndBottom/>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anchor>
        </w:drawing>
      </w:r>
    </w:p>
    <w:p w:rsidR="00AD581D" w:rsidRPr="00321E6D" w:rsidRDefault="00AD581D" w:rsidP="00AD581D">
      <w:pPr>
        <w:rPr>
          <w:sz w:val="24"/>
          <w:szCs w:val="24"/>
        </w:rPr>
      </w:pPr>
      <w:r w:rsidRPr="00321E6D">
        <w:rPr>
          <w:sz w:val="24"/>
          <w:szCs w:val="24"/>
        </w:rPr>
        <w:t>The percentage rates of investment of CBL in over 3 month but not more than 1 year are 4.87%, 6.26%, 21.21%</w:t>
      </w:r>
      <w:r>
        <w:rPr>
          <w:sz w:val="24"/>
          <w:szCs w:val="24"/>
        </w:rPr>
        <w:t>,</w:t>
      </w:r>
      <w:r w:rsidRPr="00321E6D">
        <w:rPr>
          <w:sz w:val="24"/>
          <w:szCs w:val="24"/>
        </w:rPr>
        <w:t xml:space="preserve"> 14.79% and</w:t>
      </w:r>
      <w:r>
        <w:rPr>
          <w:sz w:val="24"/>
          <w:szCs w:val="24"/>
        </w:rPr>
        <w:t xml:space="preserve"> 3.99% from 2013</w:t>
      </w:r>
      <w:r w:rsidRPr="00321E6D">
        <w:rPr>
          <w:sz w:val="24"/>
          <w:szCs w:val="24"/>
        </w:rPr>
        <w:t xml:space="preserve"> to </w:t>
      </w:r>
      <w:r>
        <w:rPr>
          <w:sz w:val="24"/>
          <w:szCs w:val="24"/>
        </w:rPr>
        <w:t>2017</w:t>
      </w:r>
      <w:r w:rsidRPr="00321E6D">
        <w:rPr>
          <w:sz w:val="24"/>
          <w:szCs w:val="24"/>
        </w:rPr>
        <w:t xml:space="preserve">. The highest positive investment growth has happened in 2015 </w:t>
      </w:r>
      <w:r>
        <w:rPr>
          <w:sz w:val="24"/>
          <w:szCs w:val="24"/>
        </w:rPr>
        <w:t>but negative growth rate in 2013, 2016 and 2017</w:t>
      </w:r>
      <w:r w:rsidRPr="00321E6D">
        <w:rPr>
          <w:sz w:val="24"/>
          <w:szCs w:val="24"/>
        </w:rPr>
        <w:t xml:space="preserve">.The year to Year growth rates are shown in the given chart clearly. </w:t>
      </w:r>
    </w:p>
    <w:p w:rsidR="00AD581D" w:rsidRPr="00321E6D" w:rsidRDefault="00AD581D" w:rsidP="00AF203D">
      <w:pPr>
        <w:pStyle w:val="Heading4"/>
      </w:pPr>
      <w:bookmarkStart w:id="68" w:name="_Toc524821047"/>
      <w:r w:rsidRPr="00321E6D">
        <w:t>4.1.3.4 Over 1 Year but Not More Than 5 Years</w:t>
      </w:r>
      <w:bookmarkEnd w:id="68"/>
    </w:p>
    <w:p w:rsidR="00AD581D" w:rsidRPr="00321E6D" w:rsidRDefault="00AD581D" w:rsidP="00AD581D">
      <w:pPr>
        <w:rPr>
          <w:sz w:val="24"/>
          <w:szCs w:val="24"/>
        </w:rPr>
      </w:pPr>
      <w:r>
        <w:rPr>
          <w:noProof/>
        </w:rPr>
        <w:drawing>
          <wp:anchor distT="0" distB="0" distL="114300" distR="114300" simplePos="0" relativeHeight="251683840" behindDoc="0" locked="0" layoutInCell="1" allowOverlap="1">
            <wp:simplePos x="0" y="0"/>
            <wp:positionH relativeFrom="margin">
              <wp:align>left</wp:align>
            </wp:positionH>
            <wp:positionV relativeFrom="paragraph">
              <wp:posOffset>1424305</wp:posOffset>
            </wp:positionV>
            <wp:extent cx="5686425" cy="2743200"/>
            <wp:effectExtent l="0" t="0" r="9525" b="0"/>
            <wp:wrapTopAndBottom/>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anchor>
        </w:drawing>
      </w:r>
      <w:r w:rsidRPr="00321E6D">
        <w:rPr>
          <w:sz w:val="24"/>
          <w:szCs w:val="24"/>
        </w:rPr>
        <w:t>The percentage rate of investment of CBL in over 1 year but not more than 5 years is calculated by dividing the total amount of investment in over 1 year but not more than 5 years with the total amount of inve</w:t>
      </w:r>
      <w:r>
        <w:rPr>
          <w:sz w:val="24"/>
          <w:szCs w:val="24"/>
        </w:rPr>
        <w:t>stment in the financial assets.</w:t>
      </w:r>
    </w:p>
    <w:tbl>
      <w:tblPr>
        <w:tblW w:w="5000" w:type="pct"/>
        <w:tblLook w:val="04A0" w:firstRow="1" w:lastRow="0" w:firstColumn="1" w:lastColumn="0" w:noHBand="0" w:noVBand="1"/>
      </w:tblPr>
      <w:tblGrid>
        <w:gridCol w:w="4060"/>
        <w:gridCol w:w="1019"/>
        <w:gridCol w:w="1063"/>
        <w:gridCol w:w="1019"/>
        <w:gridCol w:w="1019"/>
        <w:gridCol w:w="1063"/>
      </w:tblGrid>
      <w:tr w:rsidR="00AD581D" w:rsidRPr="00106C94" w:rsidTr="00AD581D">
        <w:trPr>
          <w:trHeight w:val="300"/>
        </w:trPr>
        <w:tc>
          <w:tcPr>
            <w:tcW w:w="2208"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Year</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2013</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2014</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2015</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2016</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2017</w:t>
            </w:r>
          </w:p>
        </w:tc>
      </w:tr>
      <w:tr w:rsidR="00AD581D" w:rsidRPr="00106C94" w:rsidTr="00AD581D">
        <w:trPr>
          <w:trHeight w:val="300"/>
        </w:trPr>
        <w:tc>
          <w:tcPr>
            <w:tcW w:w="2208"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Growth Rate</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-43.75%</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366.58%</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-46.25%</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-38.47%</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100.60%</w:t>
            </w:r>
          </w:p>
        </w:tc>
      </w:tr>
      <w:tr w:rsidR="00AD581D" w:rsidRPr="00106C94" w:rsidTr="00AD581D">
        <w:trPr>
          <w:trHeight w:val="300"/>
        </w:trPr>
        <w:tc>
          <w:tcPr>
            <w:tcW w:w="2208"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Percentage of Investment</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8.75%</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37.68%</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23.62%</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14.64%</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28.14%</w:t>
            </w:r>
          </w:p>
        </w:tc>
      </w:tr>
    </w:tbl>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The percentage rates of investment of CBL in over 1 yea</w:t>
      </w:r>
      <w:r>
        <w:rPr>
          <w:sz w:val="24"/>
          <w:szCs w:val="24"/>
        </w:rPr>
        <w:t xml:space="preserve">r but not more than 5 years are </w:t>
      </w:r>
      <w:r w:rsidRPr="00321E6D">
        <w:rPr>
          <w:sz w:val="24"/>
          <w:szCs w:val="24"/>
        </w:rPr>
        <w:t>8.75%, 37.68%</w:t>
      </w:r>
      <w:r>
        <w:rPr>
          <w:sz w:val="24"/>
          <w:szCs w:val="24"/>
        </w:rPr>
        <w:t>, 23.68%,</w:t>
      </w:r>
      <w:r w:rsidRPr="00321E6D">
        <w:rPr>
          <w:sz w:val="24"/>
          <w:szCs w:val="24"/>
        </w:rPr>
        <w:t xml:space="preserve"> 14.64% and </w:t>
      </w:r>
      <w:r>
        <w:rPr>
          <w:sz w:val="24"/>
          <w:szCs w:val="24"/>
        </w:rPr>
        <w:t xml:space="preserve">28.14% </w:t>
      </w:r>
      <w:r w:rsidRPr="00321E6D">
        <w:rPr>
          <w:sz w:val="24"/>
          <w:szCs w:val="24"/>
        </w:rPr>
        <w:t>from 2012 to 2016. The highest positive investment growth has happened in 2014 but negative growth rate in 2013, 2015 and 2016.The year to Year growth rates are sho</w:t>
      </w:r>
      <w:r>
        <w:rPr>
          <w:sz w:val="24"/>
          <w:szCs w:val="24"/>
        </w:rPr>
        <w:t xml:space="preserve">wn in the given chart clearly. </w:t>
      </w:r>
    </w:p>
    <w:p w:rsidR="00AD581D" w:rsidRPr="00321E6D" w:rsidRDefault="00AD581D" w:rsidP="00AF203D">
      <w:pPr>
        <w:pStyle w:val="Heading4"/>
      </w:pPr>
      <w:bookmarkStart w:id="69" w:name="_Toc524821048"/>
      <w:r w:rsidRPr="00321E6D">
        <w:lastRenderedPageBreak/>
        <w:t>4.1.3.5 Over 5 Years</w:t>
      </w:r>
      <w:bookmarkEnd w:id="69"/>
    </w:p>
    <w:p w:rsidR="00AD581D" w:rsidRPr="00321E6D" w:rsidRDefault="00AD581D" w:rsidP="00AD581D">
      <w:pPr>
        <w:rPr>
          <w:sz w:val="24"/>
          <w:szCs w:val="24"/>
        </w:rPr>
      </w:pPr>
      <w:r w:rsidRPr="00321E6D">
        <w:rPr>
          <w:sz w:val="24"/>
          <w:szCs w:val="24"/>
        </w:rPr>
        <w:t xml:space="preserve">The percentage rate of investment of CBL in over 5 years is calculated by dividing the total amount of investment in over 5 years with the total amount of investment in the financial assets.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106C94" w:rsidTr="00AD581D">
        <w:trPr>
          <w:trHeight w:val="300"/>
        </w:trPr>
        <w:tc>
          <w:tcPr>
            <w:tcW w:w="2222"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Year</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2013</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2014</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2015</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2016</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2017</w:t>
            </w:r>
          </w:p>
        </w:tc>
      </w:tr>
      <w:tr w:rsidR="00AD581D" w:rsidRPr="00106C94" w:rsidTr="00AD581D">
        <w:trPr>
          <w:trHeight w:val="300"/>
        </w:trPr>
        <w:tc>
          <w:tcPr>
            <w:tcW w:w="2222"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Growth Rate</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25.05%</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-7.10%</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-3.15%</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19.18%</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-42.75%</w:t>
            </w:r>
          </w:p>
        </w:tc>
      </w:tr>
      <w:tr w:rsidR="00AD581D" w:rsidRPr="00106C94" w:rsidTr="00AD581D">
        <w:trPr>
          <w:trHeight w:val="300"/>
        </w:trPr>
        <w:tc>
          <w:tcPr>
            <w:tcW w:w="2222"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Percentage of Investment</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56.18%</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48.16%</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54.40%</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65.33%</w:t>
            </w:r>
          </w:p>
        </w:tc>
        <w:tc>
          <w:tcPr>
            <w:tcW w:w="556"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35.82%</w:t>
            </w:r>
          </w:p>
        </w:tc>
      </w:tr>
    </w:tbl>
    <w:p w:rsidR="00AD581D" w:rsidRDefault="00AD581D" w:rsidP="00AD581D">
      <w:pPr>
        <w:rPr>
          <w:sz w:val="24"/>
          <w:szCs w:val="24"/>
        </w:rPr>
      </w:pPr>
      <w:r>
        <w:rPr>
          <w:noProof/>
        </w:rPr>
        <w:drawing>
          <wp:anchor distT="0" distB="0" distL="114300" distR="114300" simplePos="0" relativeHeight="251686912" behindDoc="0" locked="0" layoutInCell="1" allowOverlap="1">
            <wp:simplePos x="0" y="0"/>
            <wp:positionH relativeFrom="margin">
              <wp:align>right</wp:align>
            </wp:positionH>
            <wp:positionV relativeFrom="paragraph">
              <wp:posOffset>187325</wp:posOffset>
            </wp:positionV>
            <wp:extent cx="5734050" cy="2390775"/>
            <wp:effectExtent l="0" t="0" r="0" b="9525"/>
            <wp:wrapTopAndBottom/>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anchor>
        </w:drawing>
      </w:r>
    </w:p>
    <w:p w:rsidR="00AD581D" w:rsidRPr="00827954" w:rsidRDefault="00AD581D" w:rsidP="00AD581D">
      <w:pPr>
        <w:rPr>
          <w:sz w:val="24"/>
          <w:szCs w:val="24"/>
        </w:rPr>
      </w:pPr>
    </w:p>
    <w:p w:rsidR="00AD581D" w:rsidRPr="00321E6D" w:rsidRDefault="00AD581D" w:rsidP="00AD581D">
      <w:pPr>
        <w:rPr>
          <w:sz w:val="24"/>
          <w:szCs w:val="24"/>
        </w:rPr>
      </w:pPr>
      <w:r w:rsidRPr="00321E6D">
        <w:rPr>
          <w:sz w:val="24"/>
          <w:szCs w:val="24"/>
        </w:rPr>
        <w:t>The percentage rates of investment of CBL in over 5 years are 56.18%, 48.16%, 54.40%</w:t>
      </w:r>
      <w:r>
        <w:rPr>
          <w:sz w:val="24"/>
          <w:szCs w:val="24"/>
        </w:rPr>
        <w:t>,</w:t>
      </w:r>
      <w:r w:rsidRPr="00321E6D">
        <w:rPr>
          <w:sz w:val="24"/>
          <w:szCs w:val="24"/>
        </w:rPr>
        <w:t xml:space="preserve"> 65.33% and </w:t>
      </w:r>
      <w:r>
        <w:rPr>
          <w:sz w:val="24"/>
          <w:szCs w:val="24"/>
        </w:rPr>
        <w:t>35.82% from 2013 to 2017</w:t>
      </w:r>
      <w:r w:rsidRPr="00321E6D">
        <w:rPr>
          <w:sz w:val="24"/>
          <w:szCs w:val="24"/>
        </w:rPr>
        <w:t>. The highest positive invest</w:t>
      </w:r>
      <w:r>
        <w:rPr>
          <w:sz w:val="24"/>
          <w:szCs w:val="24"/>
        </w:rPr>
        <w:t>ment growth has happened in 2013but negative growth rate in 2014 and 2015</w:t>
      </w:r>
      <w:r w:rsidRPr="00321E6D">
        <w:rPr>
          <w:sz w:val="24"/>
          <w:szCs w:val="24"/>
        </w:rPr>
        <w:t>.The year to Year growth rates are sho</w:t>
      </w:r>
      <w:r>
        <w:rPr>
          <w:sz w:val="24"/>
          <w:szCs w:val="24"/>
        </w:rPr>
        <w:t xml:space="preserve">wn in the given chart clearly. </w:t>
      </w:r>
    </w:p>
    <w:p w:rsidR="00AD581D" w:rsidRPr="00321E6D" w:rsidRDefault="00AD581D" w:rsidP="00AD581D">
      <w:pPr>
        <w:rPr>
          <w:sz w:val="24"/>
          <w:szCs w:val="24"/>
        </w:rPr>
      </w:pPr>
      <w:r w:rsidRPr="00321E6D">
        <w:rPr>
          <w:sz w:val="24"/>
          <w:szCs w:val="24"/>
        </w:rPr>
        <w:t>From the above analytical discussion and its interpretation, it is clarified how much percentage of investment in which year among the 5 years of investment activities of CBL in financial assets. The year to year growth rate in each sector of investment already has shown with the Graphical chart. For this reason the overall investment amount of CBL in percent in each investment sector with different classification in all the five year have identified clearly. The year to year growth rate has added an extraordinary scenario to identify the growth rate of investment o</w:t>
      </w:r>
      <w:r>
        <w:rPr>
          <w:sz w:val="24"/>
          <w:szCs w:val="24"/>
        </w:rPr>
        <w:t xml:space="preserve">f CBL in the financial assets. </w:t>
      </w:r>
    </w:p>
    <w:p w:rsidR="00AD581D" w:rsidRDefault="00AD581D" w:rsidP="00AD581D">
      <w:pPr>
        <w:rPr>
          <w:sz w:val="24"/>
          <w:szCs w:val="24"/>
        </w:rPr>
        <w:sectPr w:rsidR="00AD581D" w:rsidSect="00AD581D">
          <w:pgSz w:w="11907" w:h="16839" w:code="9"/>
          <w:pgMar w:top="1440" w:right="1440" w:bottom="1440" w:left="1440" w:header="720" w:footer="720" w:gutter="0"/>
          <w:cols w:space="720"/>
          <w:docGrid w:linePitch="360"/>
        </w:sectPr>
      </w:pPr>
      <w:r w:rsidRPr="00321E6D">
        <w:rPr>
          <w:sz w:val="24"/>
          <w:szCs w:val="24"/>
        </w:rPr>
        <w:t xml:space="preserve">Now it is trying to show that with the overall classification of investment of CBL in financial assets in which sector the growth rate of investment of CBL increasing or decreasing year to year from the given discussion which is </w:t>
      </w:r>
      <w:r>
        <w:rPr>
          <w:sz w:val="24"/>
          <w:szCs w:val="24"/>
        </w:rPr>
        <w:t>our main focus of this report.</w:t>
      </w:r>
    </w:p>
    <w:p w:rsidR="00AD581D" w:rsidRPr="00321E6D" w:rsidRDefault="00AD581D" w:rsidP="00AD581D">
      <w:pPr>
        <w:rPr>
          <w:sz w:val="24"/>
          <w:szCs w:val="24"/>
        </w:rPr>
      </w:pPr>
    </w:p>
    <w:p w:rsidR="00AD581D" w:rsidRPr="00827954" w:rsidRDefault="00AD581D" w:rsidP="00AF203D">
      <w:pPr>
        <w:pStyle w:val="Heading3"/>
      </w:pPr>
      <w:bookmarkStart w:id="70" w:name="_Toc524821049"/>
      <w:r w:rsidRPr="00321E6D">
        <w:t>4.1.4 Investment in Subsidiary</w:t>
      </w:r>
      <w:bookmarkEnd w:id="70"/>
    </w:p>
    <w:p w:rsidR="00AD581D" w:rsidRPr="00321E6D" w:rsidRDefault="00AD581D" w:rsidP="00AD581D">
      <w:pPr>
        <w:rPr>
          <w:sz w:val="24"/>
          <w:szCs w:val="24"/>
        </w:rPr>
      </w:pPr>
      <w:r w:rsidRPr="00321E6D">
        <w:rPr>
          <w:sz w:val="24"/>
          <w:szCs w:val="24"/>
        </w:rPr>
        <w:t xml:space="preserve">There are two </w:t>
      </w:r>
      <w:r>
        <w:rPr>
          <w:sz w:val="24"/>
          <w:szCs w:val="24"/>
        </w:rPr>
        <w:t xml:space="preserve">subsidiaries where CBL invest. </w:t>
      </w:r>
    </w:p>
    <w:p w:rsidR="00AD581D" w:rsidRDefault="00AD581D" w:rsidP="00AD581D">
      <w:pPr>
        <w:rPr>
          <w:sz w:val="24"/>
          <w:szCs w:val="24"/>
        </w:rPr>
      </w:pPr>
      <w:r w:rsidRPr="00321E6D">
        <w:rPr>
          <w:sz w:val="24"/>
          <w:szCs w:val="24"/>
        </w:rPr>
        <w:t xml:space="preserve">1. The City Brokerage Limited </w:t>
      </w:r>
    </w:p>
    <w:p w:rsidR="00AD581D" w:rsidRPr="00321E6D" w:rsidRDefault="00AD581D" w:rsidP="00AD581D">
      <w:pPr>
        <w:rPr>
          <w:sz w:val="24"/>
          <w:szCs w:val="24"/>
        </w:rPr>
      </w:pPr>
      <w:r w:rsidRPr="00321E6D">
        <w:rPr>
          <w:sz w:val="24"/>
          <w:szCs w:val="24"/>
        </w:rPr>
        <w:t>2</w:t>
      </w:r>
      <w:r>
        <w:rPr>
          <w:sz w:val="24"/>
          <w:szCs w:val="24"/>
        </w:rPr>
        <w:t xml:space="preserve">. The city capital Limited </w:t>
      </w:r>
    </w:p>
    <w:p w:rsidR="00AD581D" w:rsidRPr="00321E6D" w:rsidRDefault="00AD581D" w:rsidP="00AD581D">
      <w:pPr>
        <w:rPr>
          <w:sz w:val="24"/>
          <w:szCs w:val="24"/>
        </w:rPr>
      </w:pPr>
      <w:r>
        <w:rPr>
          <w:noProof/>
        </w:rPr>
        <w:drawing>
          <wp:anchor distT="0" distB="0" distL="114300" distR="114300" simplePos="0" relativeHeight="251689984" behindDoc="0" locked="0" layoutInCell="1" allowOverlap="1">
            <wp:simplePos x="0" y="0"/>
            <wp:positionH relativeFrom="margin">
              <wp:align>right</wp:align>
            </wp:positionH>
            <wp:positionV relativeFrom="paragraph">
              <wp:posOffset>1238250</wp:posOffset>
            </wp:positionV>
            <wp:extent cx="5724525" cy="2647950"/>
            <wp:effectExtent l="0" t="0" r="9525" b="0"/>
            <wp:wrapTopAndBottom/>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anchor>
        </w:drawing>
      </w:r>
      <w:r w:rsidRPr="00321E6D">
        <w:rPr>
          <w:sz w:val="24"/>
          <w:szCs w:val="24"/>
        </w:rPr>
        <w:t xml:space="preserve">The percentage rate of investment of CBL in its subsidiary is calculated by dividing the total amount of investment in subsidiaries with the total amount of investment in financial assets. </w:t>
      </w:r>
    </w:p>
    <w:tbl>
      <w:tblPr>
        <w:tblW w:w="5000" w:type="pct"/>
        <w:tblLook w:val="04A0" w:firstRow="1" w:lastRow="0" w:firstColumn="1" w:lastColumn="0" w:noHBand="0" w:noVBand="1"/>
      </w:tblPr>
      <w:tblGrid>
        <w:gridCol w:w="4075"/>
        <w:gridCol w:w="1063"/>
        <w:gridCol w:w="1014"/>
        <w:gridCol w:w="1014"/>
        <w:gridCol w:w="1063"/>
        <w:gridCol w:w="1014"/>
      </w:tblGrid>
      <w:tr w:rsidR="00AD581D" w:rsidRPr="00106C94" w:rsidTr="00AD581D">
        <w:trPr>
          <w:trHeight w:val="300"/>
        </w:trPr>
        <w:tc>
          <w:tcPr>
            <w:tcW w:w="2208"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Year</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2013</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2014</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2015</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2016</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2017</w:t>
            </w:r>
          </w:p>
        </w:tc>
      </w:tr>
      <w:tr w:rsidR="00AD581D" w:rsidRPr="00106C94" w:rsidTr="00AD581D">
        <w:trPr>
          <w:trHeight w:val="300"/>
        </w:trPr>
        <w:tc>
          <w:tcPr>
            <w:tcW w:w="2208"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Growth Rate</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235.71%</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0.00%</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0.00%</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153.19%</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0.00%</w:t>
            </w:r>
          </w:p>
        </w:tc>
      </w:tr>
      <w:tr w:rsidR="00AD581D" w:rsidRPr="00106C94" w:rsidTr="00AD581D">
        <w:trPr>
          <w:trHeight w:val="300"/>
        </w:trPr>
        <w:tc>
          <w:tcPr>
            <w:tcW w:w="2208" w:type="pct"/>
            <w:noWrap/>
            <w:hideMark/>
          </w:tcPr>
          <w:p w:rsidR="00AD581D" w:rsidRPr="00106C94" w:rsidRDefault="00AD581D" w:rsidP="00AD581D">
            <w:pPr>
              <w:rPr>
                <w:rFonts w:ascii="Calibri" w:hAnsi="Calibri" w:cs="Calibri"/>
                <w:lang w:bidi="bn-BD"/>
              </w:rPr>
            </w:pPr>
            <w:r w:rsidRPr="00106C94">
              <w:rPr>
                <w:rFonts w:ascii="Calibri" w:hAnsi="Calibri" w:cs="Calibri"/>
                <w:lang w:bidi="bn-BD"/>
              </w:rPr>
              <w:t>Percentage of Investment</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8.87%</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8.19%</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9.55%</w:t>
            </w:r>
          </w:p>
        </w:tc>
        <w:tc>
          <w:tcPr>
            <w:tcW w:w="568"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24.35%</w:t>
            </w:r>
          </w:p>
        </w:tc>
        <w:tc>
          <w:tcPr>
            <w:tcW w:w="552" w:type="pct"/>
            <w:noWrap/>
            <w:hideMark/>
          </w:tcPr>
          <w:p w:rsidR="00AD581D" w:rsidRPr="00106C94" w:rsidRDefault="00AD581D" w:rsidP="00AD581D">
            <w:pPr>
              <w:jc w:val="right"/>
              <w:rPr>
                <w:rFonts w:ascii="Calibri" w:hAnsi="Calibri" w:cs="Calibri"/>
                <w:lang w:bidi="bn-BD"/>
              </w:rPr>
            </w:pPr>
            <w:r w:rsidRPr="00106C94">
              <w:rPr>
                <w:rFonts w:ascii="Calibri" w:hAnsi="Calibri" w:cs="Calibri"/>
                <w:lang w:bidi="bn-BD"/>
              </w:rPr>
              <w:t>23.33%</w:t>
            </w:r>
          </w:p>
        </w:tc>
      </w:tr>
    </w:tbl>
    <w:p w:rsidR="00AD581D" w:rsidRPr="00321E6D" w:rsidRDefault="00AD581D" w:rsidP="00AD581D">
      <w:pPr>
        <w:rPr>
          <w:sz w:val="24"/>
          <w:szCs w:val="24"/>
        </w:rPr>
      </w:pPr>
    </w:p>
    <w:p w:rsidR="00AD581D" w:rsidRDefault="00AD581D" w:rsidP="00AD581D">
      <w:pPr>
        <w:rPr>
          <w:sz w:val="24"/>
          <w:szCs w:val="24"/>
        </w:rPr>
      </w:pPr>
      <w:r w:rsidRPr="00321E6D">
        <w:rPr>
          <w:sz w:val="24"/>
          <w:szCs w:val="24"/>
        </w:rPr>
        <w:t xml:space="preserve">The percentage rate of investment in subsidiaries are </w:t>
      </w:r>
      <w:r>
        <w:rPr>
          <w:sz w:val="24"/>
          <w:szCs w:val="24"/>
        </w:rPr>
        <w:t>8.87%, 8.19%, 9.55%, 24.35% and 23.33% from 2013 to 2017</w:t>
      </w:r>
      <w:r w:rsidRPr="00321E6D">
        <w:rPr>
          <w:sz w:val="24"/>
          <w:szCs w:val="24"/>
        </w:rPr>
        <w:t>.There is highest positive growth rate of in</w:t>
      </w:r>
      <w:r>
        <w:rPr>
          <w:sz w:val="24"/>
          <w:szCs w:val="24"/>
        </w:rPr>
        <w:t>vestment in 2013</w:t>
      </w:r>
      <w:r w:rsidRPr="00321E6D">
        <w:rPr>
          <w:sz w:val="24"/>
          <w:szCs w:val="24"/>
        </w:rPr>
        <w:t>.The overall growth rate year to year</w:t>
      </w:r>
      <w:r>
        <w:rPr>
          <w:sz w:val="24"/>
          <w:szCs w:val="24"/>
        </w:rPr>
        <w:t xml:space="preserve"> are shown in the given chart. </w:t>
      </w:r>
    </w:p>
    <w:p w:rsidR="00AD581D" w:rsidRPr="003C20E8" w:rsidRDefault="00AD581D" w:rsidP="00AD581D">
      <w:pPr>
        <w:rPr>
          <w:sz w:val="24"/>
          <w:szCs w:val="24"/>
        </w:rPr>
      </w:pPr>
    </w:p>
    <w:p w:rsidR="00AD581D" w:rsidRPr="00321E6D" w:rsidRDefault="00AD581D" w:rsidP="00AF203D">
      <w:pPr>
        <w:pStyle w:val="Heading4"/>
      </w:pPr>
      <w:bookmarkStart w:id="71" w:name="_Toc524821050"/>
      <w:r w:rsidRPr="00321E6D">
        <w:t>4.1.4.1 City Brokerage Limited</w:t>
      </w:r>
      <w:bookmarkEnd w:id="71"/>
    </w:p>
    <w:p w:rsidR="00AD581D" w:rsidRDefault="00AD581D" w:rsidP="00AD581D">
      <w:pPr>
        <w:rPr>
          <w:sz w:val="24"/>
          <w:szCs w:val="24"/>
        </w:rPr>
      </w:pPr>
      <w:r w:rsidRPr="00321E6D">
        <w:rPr>
          <w:sz w:val="24"/>
          <w:szCs w:val="24"/>
        </w:rPr>
        <w:t>The City Brokerage Limited was incorporated in Bangladesh as a private limited company on 31 March 2010. The legal status of the Company has been converted into public limited company from private limited company in June2012 in compliance with Bangladesh Secu</w:t>
      </w:r>
      <w:r>
        <w:rPr>
          <w:sz w:val="24"/>
          <w:szCs w:val="24"/>
        </w:rPr>
        <w:t xml:space="preserve">rities and Exchange Commission </w:t>
      </w:r>
      <w:r w:rsidRPr="00321E6D">
        <w:rPr>
          <w:sz w:val="24"/>
          <w:szCs w:val="24"/>
        </w:rPr>
        <w:t>Rules 2000.The percentage rate of investment of CBL in City Brokerage Limited is calculated by dividing the total amount of investment in City Brokerage Limited with the total amount of in</w:t>
      </w:r>
      <w:r>
        <w:rPr>
          <w:sz w:val="24"/>
          <w:szCs w:val="24"/>
        </w:rPr>
        <w:t xml:space="preserve">vestment in financial assets.  </w:t>
      </w:r>
    </w:p>
    <w:p w:rsidR="0050212E" w:rsidRPr="00321E6D" w:rsidRDefault="0050212E" w:rsidP="00AD581D">
      <w:pPr>
        <w:rPr>
          <w:sz w:val="24"/>
          <w:szCs w:val="24"/>
        </w:rPr>
      </w:pPr>
    </w:p>
    <w:tbl>
      <w:tblPr>
        <w:tblW w:w="5000" w:type="pct"/>
        <w:tblLook w:val="04A0" w:firstRow="1" w:lastRow="0" w:firstColumn="1" w:lastColumn="0" w:noHBand="0" w:noVBand="1"/>
      </w:tblPr>
      <w:tblGrid>
        <w:gridCol w:w="4077"/>
        <w:gridCol w:w="1063"/>
        <w:gridCol w:w="1013"/>
        <w:gridCol w:w="1014"/>
        <w:gridCol w:w="1063"/>
        <w:gridCol w:w="1013"/>
      </w:tblGrid>
      <w:tr w:rsidR="00AD581D" w:rsidRPr="005D437A" w:rsidTr="00AD581D">
        <w:trPr>
          <w:trHeight w:val="300"/>
        </w:trPr>
        <w:tc>
          <w:tcPr>
            <w:tcW w:w="2209" w:type="pct"/>
            <w:noWrap/>
            <w:hideMark/>
          </w:tcPr>
          <w:p w:rsidR="00AD581D" w:rsidRPr="005D437A" w:rsidRDefault="00AD581D" w:rsidP="00AD581D">
            <w:pPr>
              <w:rPr>
                <w:rFonts w:ascii="Calibri" w:hAnsi="Calibri" w:cs="Calibri"/>
                <w:lang w:bidi="bn-BD"/>
              </w:rPr>
            </w:pPr>
            <w:r w:rsidRPr="005D437A">
              <w:rPr>
                <w:rFonts w:ascii="Calibri" w:hAnsi="Calibri" w:cs="Calibri"/>
                <w:lang w:bidi="bn-BD"/>
              </w:rPr>
              <w:t>Year</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2013</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2014</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2015</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2016</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2017</w:t>
            </w:r>
          </w:p>
        </w:tc>
      </w:tr>
      <w:tr w:rsidR="00AD581D" w:rsidRPr="005D437A" w:rsidTr="00AD581D">
        <w:trPr>
          <w:trHeight w:val="300"/>
        </w:trPr>
        <w:tc>
          <w:tcPr>
            <w:tcW w:w="2209" w:type="pct"/>
            <w:noWrap/>
            <w:hideMark/>
          </w:tcPr>
          <w:p w:rsidR="00AD581D" w:rsidRPr="005D437A" w:rsidRDefault="00AD581D" w:rsidP="00AD581D">
            <w:pPr>
              <w:rPr>
                <w:rFonts w:ascii="Calibri" w:hAnsi="Calibri" w:cs="Calibri"/>
                <w:lang w:bidi="bn-BD"/>
              </w:rPr>
            </w:pPr>
            <w:r w:rsidRPr="005D437A">
              <w:rPr>
                <w:rFonts w:ascii="Calibri" w:hAnsi="Calibri" w:cs="Calibri"/>
                <w:lang w:bidi="bn-BD"/>
              </w:rPr>
              <w:t>Growth Rate</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166.67%</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0.00%</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0.00%</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112.50%</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0.00%</w:t>
            </w:r>
          </w:p>
        </w:tc>
      </w:tr>
      <w:tr w:rsidR="00AD581D" w:rsidRPr="005D437A" w:rsidTr="00AD581D">
        <w:trPr>
          <w:trHeight w:val="300"/>
        </w:trPr>
        <w:tc>
          <w:tcPr>
            <w:tcW w:w="2209" w:type="pct"/>
            <w:noWrap/>
            <w:hideMark/>
          </w:tcPr>
          <w:p w:rsidR="00AD581D" w:rsidRPr="005D437A" w:rsidRDefault="00AD581D" w:rsidP="00AD581D">
            <w:pPr>
              <w:rPr>
                <w:rFonts w:ascii="Calibri" w:hAnsi="Calibri" w:cs="Calibri"/>
                <w:lang w:bidi="bn-BD"/>
              </w:rPr>
            </w:pPr>
            <w:r w:rsidRPr="005D437A">
              <w:rPr>
                <w:rFonts w:ascii="Calibri" w:hAnsi="Calibri" w:cs="Calibri"/>
                <w:lang w:bidi="bn-BD"/>
              </w:rPr>
              <w:t>Percentage of Investment</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6.04%</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5.57%</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6.50%</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13.92%</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13.33%</w:t>
            </w:r>
          </w:p>
        </w:tc>
      </w:tr>
    </w:tbl>
    <w:p w:rsidR="00AD581D" w:rsidRPr="00321E6D" w:rsidRDefault="00AD581D"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r>
        <w:rPr>
          <w:noProof/>
        </w:rPr>
        <w:drawing>
          <wp:anchor distT="0" distB="0" distL="114300" distR="114300" simplePos="0" relativeHeight="251773952" behindDoc="0" locked="0" layoutInCell="1" allowOverlap="1">
            <wp:simplePos x="0" y="0"/>
            <wp:positionH relativeFrom="margin">
              <wp:posOffset>0</wp:posOffset>
            </wp:positionH>
            <wp:positionV relativeFrom="paragraph">
              <wp:posOffset>180975</wp:posOffset>
            </wp:positionV>
            <wp:extent cx="5734050" cy="2743200"/>
            <wp:effectExtent l="0" t="0" r="0" b="0"/>
            <wp:wrapTopAndBottom/>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anchor>
        </w:drawing>
      </w:r>
    </w:p>
    <w:p w:rsidR="0050212E" w:rsidRDefault="0050212E" w:rsidP="00AD581D">
      <w:pPr>
        <w:rPr>
          <w:sz w:val="24"/>
          <w:szCs w:val="24"/>
        </w:rPr>
      </w:pPr>
    </w:p>
    <w:p w:rsidR="00AD581D" w:rsidRDefault="00AD581D" w:rsidP="00AD581D">
      <w:pPr>
        <w:rPr>
          <w:sz w:val="24"/>
          <w:szCs w:val="24"/>
        </w:rPr>
      </w:pPr>
      <w:r w:rsidRPr="00321E6D">
        <w:rPr>
          <w:sz w:val="24"/>
          <w:szCs w:val="24"/>
        </w:rPr>
        <w:t xml:space="preserve">The percentage rates of investment of CBL in City Brokerage Limited are </w:t>
      </w:r>
      <w:r>
        <w:rPr>
          <w:sz w:val="24"/>
          <w:szCs w:val="24"/>
        </w:rPr>
        <w:t>6.04%, 5.57%, 6.50%, 13.92% and 13.33% from 2013 to 2017</w:t>
      </w:r>
      <w:r w:rsidRPr="00321E6D">
        <w:rPr>
          <w:sz w:val="24"/>
          <w:szCs w:val="24"/>
        </w:rPr>
        <w:t>.Ther</w:t>
      </w:r>
      <w:r>
        <w:rPr>
          <w:sz w:val="24"/>
          <w:szCs w:val="24"/>
        </w:rPr>
        <w:t>e</w:t>
      </w:r>
      <w:r w:rsidRPr="00321E6D">
        <w:rPr>
          <w:sz w:val="24"/>
          <w:szCs w:val="24"/>
        </w:rPr>
        <w:t xml:space="preserve"> are </w:t>
      </w:r>
      <w:r>
        <w:rPr>
          <w:sz w:val="24"/>
          <w:szCs w:val="24"/>
        </w:rPr>
        <w:t>positive</w:t>
      </w:r>
      <w:r w:rsidRPr="00321E6D">
        <w:rPr>
          <w:sz w:val="24"/>
          <w:szCs w:val="24"/>
        </w:rPr>
        <w:t xml:space="preserve"> growth rate </w:t>
      </w:r>
      <w:r>
        <w:rPr>
          <w:sz w:val="24"/>
          <w:szCs w:val="24"/>
        </w:rPr>
        <w:t>in 2013and 2016</w:t>
      </w:r>
      <w:r w:rsidRPr="00321E6D">
        <w:rPr>
          <w:sz w:val="24"/>
          <w:szCs w:val="24"/>
        </w:rPr>
        <w:t xml:space="preserve"> and </w:t>
      </w:r>
      <w:r>
        <w:rPr>
          <w:sz w:val="24"/>
          <w:szCs w:val="24"/>
        </w:rPr>
        <w:t>no</w:t>
      </w:r>
      <w:r w:rsidRPr="00321E6D">
        <w:rPr>
          <w:sz w:val="24"/>
          <w:szCs w:val="24"/>
        </w:rPr>
        <w:t xml:space="preserve"> growth rate </w:t>
      </w:r>
      <w:r>
        <w:rPr>
          <w:sz w:val="24"/>
          <w:szCs w:val="24"/>
        </w:rPr>
        <w:t>in 2014, 2015 to 2017</w:t>
      </w:r>
      <w:r w:rsidRPr="00321E6D">
        <w:rPr>
          <w:sz w:val="24"/>
          <w:szCs w:val="24"/>
        </w:rPr>
        <w:t>. The highest positive growth rates are sh</w:t>
      </w:r>
      <w:r>
        <w:rPr>
          <w:sz w:val="24"/>
          <w:szCs w:val="24"/>
        </w:rPr>
        <w:t>own in 2013</w:t>
      </w:r>
      <w:r w:rsidRPr="00321E6D">
        <w:rPr>
          <w:sz w:val="24"/>
          <w:szCs w:val="24"/>
        </w:rPr>
        <w:t>.The overall yearly growth rate</w:t>
      </w:r>
      <w:r>
        <w:rPr>
          <w:sz w:val="24"/>
          <w:szCs w:val="24"/>
        </w:rPr>
        <w:t xml:space="preserve"> are shown in the given chart. </w:t>
      </w:r>
    </w:p>
    <w:p w:rsidR="0050212E" w:rsidRPr="00321E6D" w:rsidRDefault="0050212E" w:rsidP="00AD581D">
      <w:pPr>
        <w:rPr>
          <w:sz w:val="24"/>
          <w:szCs w:val="24"/>
        </w:rPr>
      </w:pPr>
    </w:p>
    <w:p w:rsidR="00AD581D" w:rsidRDefault="00AD581D" w:rsidP="00AF203D">
      <w:pPr>
        <w:pStyle w:val="Heading4"/>
      </w:pPr>
      <w:bookmarkStart w:id="72" w:name="_Toc524821051"/>
      <w:r w:rsidRPr="00321E6D">
        <w:t>4.1.4.2 City Bank Capital Resources Limited</w:t>
      </w:r>
      <w:bookmarkEnd w:id="72"/>
    </w:p>
    <w:p w:rsidR="00AD581D" w:rsidRDefault="00AD581D" w:rsidP="00AD581D">
      <w:pPr>
        <w:rPr>
          <w:sz w:val="24"/>
          <w:szCs w:val="24"/>
        </w:rPr>
      </w:pPr>
      <w:r w:rsidRPr="00321E6D">
        <w:rPr>
          <w:sz w:val="24"/>
          <w:szCs w:val="24"/>
        </w:rPr>
        <w:t>City Bank Capital Resources Limited (CBCRL) was incorporated in Bangladesh as a private limited company on 17 August 2009. CBCRL delivers a whole range of investment banking services including Merchant banking activities such as issue management, underwriting, portfolio management and corporate advisory. The percentage rate of investment of CBL in CBCRL is calculated by dividing the total amount of investment in CBCRL with the total amount of i</w:t>
      </w:r>
      <w:r>
        <w:rPr>
          <w:sz w:val="24"/>
          <w:szCs w:val="24"/>
        </w:rPr>
        <w:t xml:space="preserve">nvestment in financial assets. </w:t>
      </w:r>
    </w:p>
    <w:p w:rsidR="0050212E" w:rsidRPr="00321E6D" w:rsidRDefault="0050212E" w:rsidP="00AD581D">
      <w:pPr>
        <w:rPr>
          <w:sz w:val="24"/>
          <w:szCs w:val="24"/>
        </w:rPr>
      </w:pPr>
    </w:p>
    <w:tbl>
      <w:tblPr>
        <w:tblW w:w="5000" w:type="pct"/>
        <w:tblLook w:val="04A0" w:firstRow="1" w:lastRow="0" w:firstColumn="1" w:lastColumn="0" w:noHBand="0" w:noVBand="1"/>
      </w:tblPr>
      <w:tblGrid>
        <w:gridCol w:w="4075"/>
        <w:gridCol w:w="1063"/>
        <w:gridCol w:w="1014"/>
        <w:gridCol w:w="1014"/>
        <w:gridCol w:w="1063"/>
        <w:gridCol w:w="1014"/>
      </w:tblGrid>
      <w:tr w:rsidR="00AD581D" w:rsidRPr="005D437A" w:rsidTr="00AD581D">
        <w:trPr>
          <w:trHeight w:val="300"/>
        </w:trPr>
        <w:tc>
          <w:tcPr>
            <w:tcW w:w="2208" w:type="pct"/>
            <w:noWrap/>
            <w:hideMark/>
          </w:tcPr>
          <w:p w:rsidR="00AD581D" w:rsidRPr="005D437A" w:rsidRDefault="00AD581D" w:rsidP="00AD581D">
            <w:pPr>
              <w:rPr>
                <w:rFonts w:ascii="Calibri" w:hAnsi="Calibri" w:cs="Calibri"/>
                <w:lang w:bidi="bn-BD"/>
              </w:rPr>
            </w:pPr>
            <w:r w:rsidRPr="005D437A">
              <w:rPr>
                <w:rFonts w:ascii="Calibri" w:hAnsi="Calibri" w:cs="Calibri"/>
                <w:lang w:bidi="bn-BD"/>
              </w:rPr>
              <w:t>Year</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2013</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2014</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2015</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2016</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2017</w:t>
            </w:r>
          </w:p>
        </w:tc>
      </w:tr>
      <w:tr w:rsidR="00AD581D" w:rsidRPr="005D437A" w:rsidTr="00AD581D">
        <w:trPr>
          <w:trHeight w:val="300"/>
        </w:trPr>
        <w:tc>
          <w:tcPr>
            <w:tcW w:w="2208" w:type="pct"/>
            <w:noWrap/>
            <w:hideMark/>
          </w:tcPr>
          <w:p w:rsidR="00AD581D" w:rsidRPr="005D437A" w:rsidRDefault="00AD581D" w:rsidP="00AD581D">
            <w:pPr>
              <w:rPr>
                <w:rFonts w:ascii="Calibri" w:hAnsi="Calibri" w:cs="Calibri"/>
                <w:lang w:bidi="bn-BD"/>
              </w:rPr>
            </w:pPr>
            <w:r w:rsidRPr="005D437A">
              <w:rPr>
                <w:rFonts w:ascii="Calibri" w:hAnsi="Calibri" w:cs="Calibri"/>
                <w:lang w:bidi="bn-BD"/>
              </w:rPr>
              <w:t>Growth Rate</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650.00%</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0.00%</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0.00%</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240.00%</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0.00%</w:t>
            </w:r>
          </w:p>
        </w:tc>
      </w:tr>
      <w:tr w:rsidR="00AD581D" w:rsidRPr="005D437A" w:rsidTr="00AD581D">
        <w:trPr>
          <w:trHeight w:val="300"/>
        </w:trPr>
        <w:tc>
          <w:tcPr>
            <w:tcW w:w="2208" w:type="pct"/>
            <w:noWrap/>
            <w:hideMark/>
          </w:tcPr>
          <w:p w:rsidR="00AD581D" w:rsidRPr="005D437A" w:rsidRDefault="00AD581D" w:rsidP="00AD581D">
            <w:pPr>
              <w:rPr>
                <w:rFonts w:ascii="Calibri" w:hAnsi="Calibri" w:cs="Calibri"/>
                <w:lang w:bidi="bn-BD"/>
              </w:rPr>
            </w:pPr>
            <w:r w:rsidRPr="005D437A">
              <w:rPr>
                <w:rFonts w:ascii="Calibri" w:hAnsi="Calibri" w:cs="Calibri"/>
                <w:lang w:bidi="bn-BD"/>
              </w:rPr>
              <w:t>Percentage of Investment</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2.83%</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2.61%</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3.05%</w:t>
            </w:r>
          </w:p>
        </w:tc>
        <w:tc>
          <w:tcPr>
            <w:tcW w:w="568"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10.44%</w:t>
            </w:r>
          </w:p>
        </w:tc>
        <w:tc>
          <w:tcPr>
            <w:tcW w:w="552" w:type="pct"/>
            <w:noWrap/>
            <w:hideMark/>
          </w:tcPr>
          <w:p w:rsidR="00AD581D" w:rsidRPr="005D437A" w:rsidRDefault="00AD581D" w:rsidP="00AD581D">
            <w:pPr>
              <w:jc w:val="right"/>
              <w:rPr>
                <w:rFonts w:ascii="Calibri" w:hAnsi="Calibri" w:cs="Calibri"/>
                <w:lang w:bidi="bn-BD"/>
              </w:rPr>
            </w:pPr>
            <w:r w:rsidRPr="005D437A">
              <w:rPr>
                <w:rFonts w:ascii="Calibri" w:hAnsi="Calibri" w:cs="Calibri"/>
                <w:lang w:bidi="bn-BD"/>
              </w:rPr>
              <w:t>10.00%</w:t>
            </w:r>
          </w:p>
        </w:tc>
      </w:tr>
    </w:tbl>
    <w:p w:rsidR="00AD581D" w:rsidRPr="00321E6D" w:rsidRDefault="0050212E" w:rsidP="00AD581D">
      <w:pPr>
        <w:rPr>
          <w:sz w:val="24"/>
          <w:szCs w:val="24"/>
        </w:rPr>
      </w:pPr>
      <w:r>
        <w:rPr>
          <w:noProof/>
        </w:rPr>
        <w:drawing>
          <wp:anchor distT="0" distB="0" distL="114300" distR="114300" simplePos="0" relativeHeight="251709440" behindDoc="0" locked="0" layoutInCell="1" allowOverlap="1">
            <wp:simplePos x="0" y="0"/>
            <wp:positionH relativeFrom="margin">
              <wp:posOffset>0</wp:posOffset>
            </wp:positionH>
            <wp:positionV relativeFrom="paragraph">
              <wp:posOffset>177800</wp:posOffset>
            </wp:positionV>
            <wp:extent cx="5724525" cy="2009775"/>
            <wp:effectExtent l="0" t="0" r="0" b="0"/>
            <wp:wrapTopAndBottom/>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anchor>
        </w:drawing>
      </w:r>
    </w:p>
    <w:p w:rsidR="00AD581D" w:rsidRDefault="00AD581D" w:rsidP="00AD581D">
      <w:pPr>
        <w:rPr>
          <w:sz w:val="24"/>
          <w:szCs w:val="24"/>
        </w:rPr>
      </w:pPr>
      <w:r w:rsidRPr="00321E6D">
        <w:rPr>
          <w:sz w:val="24"/>
          <w:szCs w:val="24"/>
        </w:rPr>
        <w:lastRenderedPageBreak/>
        <w:t>The percentage rates of inve</w:t>
      </w:r>
      <w:r>
        <w:rPr>
          <w:sz w:val="24"/>
          <w:szCs w:val="24"/>
        </w:rPr>
        <w:t>stment of CBL in CBCRL are 2.83%, 2.61%, 3.05%, 10.44% and 10.00% from 2013 to 2017</w:t>
      </w:r>
      <w:r w:rsidRPr="00321E6D">
        <w:rPr>
          <w:sz w:val="24"/>
          <w:szCs w:val="24"/>
        </w:rPr>
        <w:t>.The highest percentage of</w:t>
      </w:r>
      <w:r>
        <w:rPr>
          <w:sz w:val="24"/>
          <w:szCs w:val="24"/>
        </w:rPr>
        <w:t xml:space="preserve"> investment has happened in 2016</w:t>
      </w:r>
      <w:r w:rsidRPr="00321E6D">
        <w:rPr>
          <w:sz w:val="24"/>
          <w:szCs w:val="24"/>
        </w:rPr>
        <w:t xml:space="preserve"> in CBCRL. The growth rate of investment is </w:t>
      </w:r>
      <w:r>
        <w:rPr>
          <w:sz w:val="24"/>
          <w:szCs w:val="24"/>
        </w:rPr>
        <w:t>positive</w:t>
      </w:r>
      <w:r w:rsidRPr="00321E6D">
        <w:rPr>
          <w:sz w:val="24"/>
          <w:szCs w:val="24"/>
        </w:rPr>
        <w:t xml:space="preserve"> in </w:t>
      </w:r>
      <w:r>
        <w:rPr>
          <w:sz w:val="24"/>
          <w:szCs w:val="24"/>
        </w:rPr>
        <w:t>2013 and 2016</w:t>
      </w:r>
      <w:r w:rsidRPr="00321E6D">
        <w:rPr>
          <w:sz w:val="24"/>
          <w:szCs w:val="24"/>
        </w:rPr>
        <w:t xml:space="preserve"> and there is no growth rate in 2014</w:t>
      </w:r>
      <w:r>
        <w:rPr>
          <w:sz w:val="24"/>
          <w:szCs w:val="24"/>
        </w:rPr>
        <w:t>, 2015 and 2017</w:t>
      </w:r>
      <w:r w:rsidRPr="00321E6D">
        <w:rPr>
          <w:sz w:val="24"/>
          <w:szCs w:val="24"/>
        </w:rPr>
        <w:t>.All the growths are s</w:t>
      </w:r>
      <w:r>
        <w:rPr>
          <w:sz w:val="24"/>
          <w:szCs w:val="24"/>
        </w:rPr>
        <w:t xml:space="preserve">hown in the chart graphically. </w:t>
      </w:r>
    </w:p>
    <w:p w:rsidR="0050212E" w:rsidRPr="00321E6D" w:rsidRDefault="0050212E" w:rsidP="00AD581D">
      <w:pPr>
        <w:rPr>
          <w:sz w:val="24"/>
          <w:szCs w:val="24"/>
        </w:rPr>
      </w:pPr>
    </w:p>
    <w:p w:rsidR="00AD581D" w:rsidRPr="00321E6D" w:rsidRDefault="00AD581D" w:rsidP="00AF203D">
      <w:pPr>
        <w:pStyle w:val="Heading2"/>
      </w:pPr>
      <w:bookmarkStart w:id="73" w:name="_Toc524821052"/>
      <w:r w:rsidRPr="00321E6D">
        <w:t>4.2 Comparisons among Investments as per Classification</w:t>
      </w:r>
      <w:bookmarkEnd w:id="73"/>
    </w:p>
    <w:p w:rsidR="00AD581D" w:rsidRPr="003862B4" w:rsidRDefault="00AD581D" w:rsidP="00AF203D">
      <w:pPr>
        <w:pStyle w:val="Heading3"/>
      </w:pPr>
      <w:bookmarkStart w:id="74" w:name="_Toc524821053"/>
      <w:r w:rsidRPr="00321E6D">
        <w:t>4.2.1 Investment Classified as per Bangladesh Bank Circular</w:t>
      </w:r>
      <w:bookmarkEnd w:id="74"/>
    </w:p>
    <w:p w:rsidR="00AD581D" w:rsidRPr="00321E6D" w:rsidRDefault="00AD581D" w:rsidP="00AD581D">
      <w:pPr>
        <w:rPr>
          <w:sz w:val="24"/>
          <w:szCs w:val="24"/>
        </w:rPr>
      </w:pPr>
      <w:r>
        <w:rPr>
          <w:noProof/>
        </w:rPr>
        <w:drawing>
          <wp:anchor distT="0" distB="0" distL="114300" distR="114300" simplePos="0" relativeHeight="251712512" behindDoc="0" locked="0" layoutInCell="1" allowOverlap="1">
            <wp:simplePos x="0" y="0"/>
            <wp:positionH relativeFrom="margin">
              <wp:align>right</wp:align>
            </wp:positionH>
            <wp:positionV relativeFrom="paragraph">
              <wp:posOffset>546100</wp:posOffset>
            </wp:positionV>
            <wp:extent cx="5724525" cy="2743200"/>
            <wp:effectExtent l="0" t="0" r="9525" b="0"/>
            <wp:wrapTopAndBottom/>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anchor>
        </w:drawing>
      </w:r>
      <w:r w:rsidRPr="00321E6D">
        <w:rPr>
          <w:sz w:val="24"/>
          <w:szCs w:val="24"/>
        </w:rPr>
        <w:t xml:space="preserve">As per Bangladesh Bank circular, the growth rates of investment of CBL in each sector are charted here. </w:t>
      </w:r>
    </w:p>
    <w:p w:rsidR="00AD581D" w:rsidRPr="00321E6D" w:rsidRDefault="00AD581D" w:rsidP="00AD581D">
      <w:pPr>
        <w:rPr>
          <w:sz w:val="24"/>
          <w:szCs w:val="24"/>
        </w:rPr>
      </w:pPr>
    </w:p>
    <w:p w:rsidR="00AD581D" w:rsidRPr="00321E6D" w:rsidRDefault="00AD581D" w:rsidP="00AD581D">
      <w:pPr>
        <w:rPr>
          <w:sz w:val="24"/>
          <w:szCs w:val="24"/>
        </w:rPr>
      </w:pPr>
      <w:r>
        <w:rPr>
          <w:sz w:val="24"/>
          <w:szCs w:val="24"/>
        </w:rPr>
        <w:t>Here, it is notified, i</w:t>
      </w:r>
      <w:r w:rsidRPr="00321E6D">
        <w:rPr>
          <w:sz w:val="24"/>
          <w:szCs w:val="24"/>
        </w:rPr>
        <w:t>n 2013 the significant positive growth of investment is showing in held for trading. It is indica</w:t>
      </w:r>
      <w:r>
        <w:rPr>
          <w:sz w:val="24"/>
          <w:szCs w:val="24"/>
        </w:rPr>
        <w:t xml:space="preserve">ting that CBL has invested more </w:t>
      </w:r>
      <w:r w:rsidRPr="00321E6D">
        <w:rPr>
          <w:sz w:val="24"/>
          <w:szCs w:val="24"/>
        </w:rPr>
        <w:t>in held for trading. After that positive growth rate is being shown at investment in reverse repo which also indicating the increasing rate of investment. There is negative growth rate at investment in held to mat</w:t>
      </w:r>
      <w:r>
        <w:rPr>
          <w:sz w:val="24"/>
          <w:szCs w:val="24"/>
        </w:rPr>
        <w:t xml:space="preserve">urity and in other securities. </w:t>
      </w:r>
    </w:p>
    <w:p w:rsidR="00AD581D" w:rsidRPr="00321E6D" w:rsidRDefault="00AD581D" w:rsidP="00AD581D">
      <w:pPr>
        <w:rPr>
          <w:sz w:val="24"/>
          <w:szCs w:val="24"/>
        </w:rPr>
      </w:pPr>
      <w:r w:rsidRPr="00321E6D">
        <w:rPr>
          <w:sz w:val="24"/>
          <w:szCs w:val="24"/>
        </w:rPr>
        <w:t>In 2014, the chart is showing that the highest growth has happened at investment of CBL in held for trading but it is less than previous year’s growth rate. So it is said that investment growth in held for trading has decreased from 2013 to 2014.But there is a positive growth rate at investment in other securities. There is negative growth rate at investment in held</w:t>
      </w:r>
      <w:r>
        <w:rPr>
          <w:sz w:val="24"/>
          <w:szCs w:val="24"/>
        </w:rPr>
        <w:t xml:space="preserve"> to maturity and reverse repo. </w:t>
      </w:r>
    </w:p>
    <w:p w:rsidR="00AD581D" w:rsidRPr="00321E6D" w:rsidRDefault="00AD581D" w:rsidP="00AD581D">
      <w:pPr>
        <w:rPr>
          <w:sz w:val="24"/>
          <w:szCs w:val="24"/>
        </w:rPr>
      </w:pPr>
      <w:r w:rsidRPr="00321E6D">
        <w:rPr>
          <w:sz w:val="24"/>
          <w:szCs w:val="24"/>
        </w:rPr>
        <w:t xml:space="preserve">In 2015, the growth rate in investment in held for trading has decreased and the highest growth rate has been seen at investment in held to maturity. There is negative growth rate in investment in reverse repo and </w:t>
      </w:r>
      <w:r>
        <w:rPr>
          <w:sz w:val="24"/>
          <w:szCs w:val="24"/>
        </w:rPr>
        <w:t xml:space="preserve">other securities. </w:t>
      </w:r>
    </w:p>
    <w:p w:rsidR="00AD581D" w:rsidRDefault="00AD581D" w:rsidP="00AD581D">
      <w:pPr>
        <w:rPr>
          <w:sz w:val="24"/>
          <w:szCs w:val="24"/>
        </w:rPr>
      </w:pPr>
      <w:r w:rsidRPr="00321E6D">
        <w:rPr>
          <w:sz w:val="24"/>
          <w:szCs w:val="24"/>
        </w:rPr>
        <w:t>In 2016, there is highly positive growth rate has been seen at investment in held for trading and it has been seen that the growth rate has highly increased in 2016 than previous year growth rate. There is negative growth rate in 2016 in al</w:t>
      </w:r>
      <w:r>
        <w:rPr>
          <w:sz w:val="24"/>
          <w:szCs w:val="24"/>
        </w:rPr>
        <w:t>l other sector of investment.</w:t>
      </w:r>
    </w:p>
    <w:p w:rsidR="00AD581D" w:rsidRPr="00321E6D" w:rsidRDefault="00AD581D" w:rsidP="00AD581D">
      <w:pPr>
        <w:rPr>
          <w:sz w:val="24"/>
          <w:szCs w:val="24"/>
        </w:rPr>
      </w:pPr>
      <w:r>
        <w:rPr>
          <w:sz w:val="24"/>
          <w:szCs w:val="24"/>
        </w:rPr>
        <w:t xml:space="preserve">In 2017, there is highly positive growth rate seen at the investment in other securities from any other investment in that year as well as previous year. The investment in held for trading significantly than previous year. There is no growth rate in 2017 for the investment in reverse repo.   </w:t>
      </w:r>
    </w:p>
    <w:p w:rsidR="00AD581D" w:rsidRPr="00321E6D" w:rsidRDefault="00AD581D" w:rsidP="00AD581D">
      <w:pPr>
        <w:rPr>
          <w:sz w:val="24"/>
          <w:szCs w:val="24"/>
        </w:rPr>
      </w:pPr>
      <w:r w:rsidRPr="00321E6D">
        <w:rPr>
          <w:sz w:val="24"/>
          <w:szCs w:val="24"/>
        </w:rPr>
        <w:t>From the above interpretation and discussion it is found that CBL has invested more in held for trading than other investment in all the year except 2015</w:t>
      </w:r>
      <w:r>
        <w:rPr>
          <w:sz w:val="24"/>
          <w:szCs w:val="24"/>
        </w:rPr>
        <w:t xml:space="preserve"> and 2017</w:t>
      </w:r>
      <w:r w:rsidRPr="00321E6D">
        <w:rPr>
          <w:sz w:val="24"/>
          <w:szCs w:val="24"/>
        </w:rPr>
        <w:t xml:space="preserve">.In 2015, the </w:t>
      </w:r>
      <w:r w:rsidRPr="00321E6D">
        <w:rPr>
          <w:sz w:val="24"/>
          <w:szCs w:val="24"/>
        </w:rPr>
        <w:lastRenderedPageBreak/>
        <w:t xml:space="preserve">investment in held for trading is showing the negative growth rate which is indicating that CBL invest less in held for trading than previous year. </w:t>
      </w:r>
      <w:r>
        <w:rPr>
          <w:sz w:val="24"/>
          <w:szCs w:val="24"/>
        </w:rPr>
        <w:t xml:space="preserve">The same is observed in 2017. </w:t>
      </w:r>
      <w:r w:rsidRPr="00321E6D">
        <w:rPr>
          <w:sz w:val="24"/>
          <w:szCs w:val="24"/>
        </w:rPr>
        <w:t xml:space="preserve">In 2015, the highest positive growth rate is being shown in held to maturity that is indicating that CBL invest more in held to maturity than other investment sectors. </w:t>
      </w:r>
      <w:r>
        <w:rPr>
          <w:sz w:val="24"/>
          <w:szCs w:val="24"/>
        </w:rPr>
        <w:t xml:space="preserve">In 2017, other </w:t>
      </w:r>
      <w:proofErr w:type="gramStart"/>
      <w:r>
        <w:rPr>
          <w:sz w:val="24"/>
          <w:szCs w:val="24"/>
        </w:rPr>
        <w:t>securities has</w:t>
      </w:r>
      <w:proofErr w:type="gramEnd"/>
      <w:r>
        <w:rPr>
          <w:sz w:val="24"/>
          <w:szCs w:val="24"/>
        </w:rPr>
        <w:t xml:space="preserve"> the highest growth than all other investment in that year. </w:t>
      </w:r>
      <w:r w:rsidRPr="00321E6D">
        <w:rPr>
          <w:sz w:val="24"/>
          <w:szCs w:val="24"/>
        </w:rPr>
        <w:t>With the overall discussion it has found that CBL has invested more in held for trading than invest in other sectors except 2015</w:t>
      </w:r>
      <w:r>
        <w:rPr>
          <w:sz w:val="24"/>
          <w:szCs w:val="24"/>
        </w:rPr>
        <w:t xml:space="preserve"> and 2017,</w:t>
      </w:r>
      <w:r w:rsidRPr="00321E6D">
        <w:rPr>
          <w:sz w:val="24"/>
          <w:szCs w:val="24"/>
        </w:rPr>
        <w:t xml:space="preserve"> that is the reason for the positive growth rate of i</w:t>
      </w:r>
      <w:r>
        <w:rPr>
          <w:sz w:val="24"/>
          <w:szCs w:val="24"/>
        </w:rPr>
        <w:t xml:space="preserve">nvestment in held for trading. </w:t>
      </w:r>
    </w:p>
    <w:p w:rsidR="00AD581D" w:rsidRPr="00AE10B8" w:rsidRDefault="00AD581D" w:rsidP="00AF203D">
      <w:pPr>
        <w:pStyle w:val="Heading3"/>
      </w:pPr>
      <w:bookmarkStart w:id="75" w:name="_Toc524821054"/>
      <w:r w:rsidRPr="00321E6D">
        <w:t>4.2.2</w:t>
      </w:r>
      <w:r w:rsidR="00AF203D">
        <w:t xml:space="preserve">. </w:t>
      </w:r>
      <w:r w:rsidRPr="00321E6D">
        <w:t>General Investment Classification</w:t>
      </w:r>
      <w:bookmarkEnd w:id="75"/>
    </w:p>
    <w:p w:rsidR="00AD581D" w:rsidRPr="00321E6D" w:rsidRDefault="00AD581D" w:rsidP="00AD581D">
      <w:pPr>
        <w:rPr>
          <w:sz w:val="24"/>
          <w:szCs w:val="24"/>
        </w:rPr>
      </w:pPr>
      <w:r w:rsidRPr="00321E6D">
        <w:rPr>
          <w:sz w:val="24"/>
          <w:szCs w:val="24"/>
        </w:rPr>
        <w:t xml:space="preserve">With the ordinary investment classification, the growth rates of investment of CBL in </w:t>
      </w:r>
      <w:r>
        <w:rPr>
          <w:sz w:val="24"/>
          <w:szCs w:val="24"/>
        </w:rPr>
        <w:t xml:space="preserve">each sector are charted below. </w:t>
      </w:r>
    </w:p>
    <w:p w:rsidR="00AD581D" w:rsidRPr="00321E6D" w:rsidRDefault="00AD581D" w:rsidP="00AD581D">
      <w:pPr>
        <w:rPr>
          <w:sz w:val="24"/>
          <w:szCs w:val="24"/>
        </w:rPr>
      </w:pPr>
      <w:r w:rsidRPr="00321E6D">
        <w:rPr>
          <w:sz w:val="24"/>
          <w:szCs w:val="24"/>
        </w:rPr>
        <w:t xml:space="preserve">From chart it is being showed that there is positive growth rate of investment of CBL in government securities except 2014 and 2015.At the same year there is negative growth rate of investment in other sector but has positive growth rate in 2014 and 2015.so from the interpretation it is clarified that CBL invest more in government securities than investment in others in 2012,2013and 2016 because government securities are low- risk  investment and they are backed by the taxing power of government. The very low negative growth rates are showing in 2014 and 2015. </w:t>
      </w:r>
    </w:p>
    <w:p w:rsidR="00AD581D" w:rsidRPr="00321E6D" w:rsidRDefault="00AD581D" w:rsidP="00AD581D">
      <w:pPr>
        <w:rPr>
          <w:sz w:val="24"/>
          <w:szCs w:val="24"/>
        </w:rPr>
      </w:pPr>
      <w:r>
        <w:rPr>
          <w:noProof/>
        </w:rPr>
        <w:drawing>
          <wp:anchor distT="0" distB="0" distL="114300" distR="114300" simplePos="0" relativeHeight="251715584" behindDoc="0" locked="0" layoutInCell="1" allowOverlap="1">
            <wp:simplePos x="0" y="0"/>
            <wp:positionH relativeFrom="margin">
              <wp:align>right</wp:align>
            </wp:positionH>
            <wp:positionV relativeFrom="paragraph">
              <wp:posOffset>0</wp:posOffset>
            </wp:positionV>
            <wp:extent cx="5734050" cy="2743200"/>
            <wp:effectExtent l="0" t="0" r="0" b="0"/>
            <wp:wrapTopAndBottom/>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anchor>
        </w:drawing>
      </w:r>
    </w:p>
    <w:p w:rsidR="00AD581D" w:rsidRPr="00321E6D" w:rsidRDefault="00AD581D" w:rsidP="00AD581D">
      <w:pPr>
        <w:rPr>
          <w:sz w:val="24"/>
          <w:szCs w:val="24"/>
        </w:rPr>
      </w:pPr>
      <w:r w:rsidRPr="00321E6D">
        <w:rPr>
          <w:sz w:val="24"/>
          <w:szCs w:val="24"/>
        </w:rPr>
        <w:t>On the other hand, there is negative growth rate of investment of CBL in other securities in 2012, 2013 and 2016.in 2014 and 2015 there is positive growth rate from previous year. It may be happened for some political reason that has attracted CBL to invest in other sectored more than invest in government securities. But in a word it can be said that CBL normally invest more in government securities than invest in other securities f</w:t>
      </w:r>
      <w:r>
        <w:rPr>
          <w:sz w:val="24"/>
          <w:szCs w:val="24"/>
        </w:rPr>
        <w:t xml:space="preserve">or the low risk of investment. </w:t>
      </w:r>
    </w:p>
    <w:p w:rsidR="00AD581D" w:rsidRPr="00EF164B" w:rsidRDefault="00AD581D" w:rsidP="00AF203D">
      <w:pPr>
        <w:pStyle w:val="Heading3"/>
      </w:pPr>
      <w:bookmarkStart w:id="76" w:name="_Toc524821055"/>
      <w:r w:rsidRPr="00321E6D">
        <w:t>4.2.3</w:t>
      </w:r>
      <w:r w:rsidR="00AF203D">
        <w:t xml:space="preserve">. </w:t>
      </w:r>
      <w:r w:rsidRPr="00321E6D">
        <w:t>Classification as Maturity Grouping Investment</w:t>
      </w:r>
      <w:bookmarkEnd w:id="76"/>
    </w:p>
    <w:p w:rsidR="00AD581D" w:rsidRDefault="00AD581D" w:rsidP="00AD581D">
      <w:pPr>
        <w:rPr>
          <w:sz w:val="24"/>
          <w:szCs w:val="24"/>
        </w:rPr>
      </w:pPr>
      <w:r>
        <w:rPr>
          <w:noProof/>
        </w:rPr>
        <w:lastRenderedPageBreak/>
        <w:drawing>
          <wp:anchor distT="0" distB="0" distL="114300" distR="114300" simplePos="0" relativeHeight="251718656" behindDoc="0" locked="0" layoutInCell="1" allowOverlap="1">
            <wp:simplePos x="0" y="0"/>
            <wp:positionH relativeFrom="margin">
              <wp:align>right</wp:align>
            </wp:positionH>
            <wp:positionV relativeFrom="paragraph">
              <wp:posOffset>297815</wp:posOffset>
            </wp:positionV>
            <wp:extent cx="5724525" cy="2552700"/>
            <wp:effectExtent l="0" t="0" r="9525" b="0"/>
            <wp:wrapTopAndBottom/>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anchor>
        </w:drawing>
      </w:r>
      <w:r w:rsidRPr="00321E6D">
        <w:rPr>
          <w:sz w:val="24"/>
          <w:szCs w:val="24"/>
        </w:rPr>
        <w:t>Depending on maturity grouping investment, there are fou</w:t>
      </w:r>
      <w:r>
        <w:rPr>
          <w:sz w:val="24"/>
          <w:szCs w:val="24"/>
        </w:rPr>
        <w:t xml:space="preserve">r types of investments of CBL. </w:t>
      </w:r>
    </w:p>
    <w:p w:rsidR="00AD581D" w:rsidRPr="00321E6D" w:rsidRDefault="00AD581D" w:rsidP="00AD581D">
      <w:pPr>
        <w:rPr>
          <w:sz w:val="24"/>
          <w:szCs w:val="24"/>
        </w:rPr>
      </w:pPr>
    </w:p>
    <w:p w:rsidR="00AD581D" w:rsidRPr="00321E6D" w:rsidRDefault="00AD581D" w:rsidP="00AD581D">
      <w:pPr>
        <w:rPr>
          <w:sz w:val="24"/>
          <w:szCs w:val="24"/>
        </w:rPr>
      </w:pPr>
      <w:r>
        <w:rPr>
          <w:sz w:val="24"/>
          <w:szCs w:val="24"/>
        </w:rPr>
        <w:t xml:space="preserve">Here it is to be </w:t>
      </w:r>
      <w:proofErr w:type="spellStart"/>
      <w:r>
        <w:rPr>
          <w:sz w:val="24"/>
          <w:szCs w:val="24"/>
        </w:rPr>
        <w:t>notiied</w:t>
      </w:r>
      <w:proofErr w:type="spellEnd"/>
      <w:r>
        <w:rPr>
          <w:sz w:val="24"/>
          <w:szCs w:val="24"/>
        </w:rPr>
        <w:t xml:space="preserve"> that </w:t>
      </w:r>
      <w:r w:rsidRPr="00321E6D">
        <w:rPr>
          <w:sz w:val="24"/>
          <w:szCs w:val="24"/>
        </w:rPr>
        <w:t xml:space="preserve">in 2013, the highest positive growth rate is also seeing at investment in over 1 month but not more than 3 month. There is </w:t>
      </w:r>
      <w:r>
        <w:rPr>
          <w:sz w:val="24"/>
          <w:szCs w:val="24"/>
        </w:rPr>
        <w:t>slight positive</w:t>
      </w:r>
      <w:r w:rsidRPr="00321E6D">
        <w:rPr>
          <w:sz w:val="24"/>
          <w:szCs w:val="24"/>
        </w:rPr>
        <w:t xml:space="preserve"> growth rate of investment on demand and</w:t>
      </w:r>
      <w:r>
        <w:rPr>
          <w:sz w:val="24"/>
          <w:szCs w:val="24"/>
        </w:rPr>
        <w:t xml:space="preserve"> over 5 years maturity but there is</w:t>
      </w:r>
      <w:r w:rsidRPr="00321E6D">
        <w:rPr>
          <w:sz w:val="24"/>
          <w:szCs w:val="24"/>
        </w:rPr>
        <w:t xml:space="preserve"> negative growth rate</w:t>
      </w:r>
      <w:r>
        <w:rPr>
          <w:sz w:val="24"/>
          <w:szCs w:val="24"/>
        </w:rPr>
        <w:t xml:space="preserve"> in other maturity investment. </w:t>
      </w:r>
    </w:p>
    <w:p w:rsidR="00AD581D" w:rsidRPr="00321E6D" w:rsidRDefault="00AD581D" w:rsidP="00AD581D">
      <w:pPr>
        <w:rPr>
          <w:sz w:val="24"/>
          <w:szCs w:val="24"/>
        </w:rPr>
      </w:pPr>
      <w:r w:rsidRPr="00321E6D">
        <w:rPr>
          <w:sz w:val="24"/>
          <w:szCs w:val="24"/>
        </w:rPr>
        <w:t xml:space="preserve">In 2014, the highest positive growth rate is being shown at investment in over 1 year but not more than 5 years but in 2015 the highest positive growth rate is being shown at investment in over 3 months but not more than 1 year. In 2016 the significant investment growth is being shown at investment in over 1 month but not more than 3 months. </w:t>
      </w:r>
      <w:r>
        <w:rPr>
          <w:sz w:val="24"/>
          <w:szCs w:val="24"/>
        </w:rPr>
        <w:t xml:space="preserve">In 2017, the growth is </w:t>
      </w:r>
      <w:proofErr w:type="spellStart"/>
      <w:r>
        <w:rPr>
          <w:sz w:val="24"/>
          <w:szCs w:val="24"/>
        </w:rPr>
        <w:t>beign</w:t>
      </w:r>
      <w:proofErr w:type="spellEnd"/>
      <w:r>
        <w:rPr>
          <w:sz w:val="24"/>
          <w:szCs w:val="24"/>
        </w:rPr>
        <w:t xml:space="preserve"> shown in over 1 month but not more than 3 months but less than previous year.</w:t>
      </w:r>
    </w:p>
    <w:p w:rsidR="00AD581D" w:rsidRPr="00321E6D" w:rsidRDefault="00AD581D" w:rsidP="00AD581D">
      <w:pPr>
        <w:rPr>
          <w:sz w:val="24"/>
          <w:szCs w:val="24"/>
        </w:rPr>
      </w:pPr>
      <w:r w:rsidRPr="00321E6D">
        <w:rPr>
          <w:sz w:val="24"/>
          <w:szCs w:val="24"/>
        </w:rPr>
        <w:t>So it can be said that CBL has invested significantly in different maturity grouping investment sector in different year from 201</w:t>
      </w:r>
      <w:r>
        <w:rPr>
          <w:sz w:val="24"/>
          <w:szCs w:val="24"/>
        </w:rPr>
        <w:t>3</w:t>
      </w:r>
      <w:r w:rsidRPr="00321E6D">
        <w:rPr>
          <w:sz w:val="24"/>
          <w:szCs w:val="24"/>
        </w:rPr>
        <w:t xml:space="preserve"> to 201</w:t>
      </w:r>
      <w:r>
        <w:rPr>
          <w:sz w:val="24"/>
          <w:szCs w:val="24"/>
        </w:rPr>
        <w:t>7</w:t>
      </w:r>
      <w:r w:rsidRPr="00321E6D">
        <w:rPr>
          <w:sz w:val="24"/>
          <w:szCs w:val="24"/>
        </w:rPr>
        <w:t>.But the investment amount in financial assets over maturity grouping is very poor than investment in other sector. For this reason year to year there is lots of negative growing rate of in</w:t>
      </w:r>
      <w:r>
        <w:rPr>
          <w:sz w:val="24"/>
          <w:szCs w:val="24"/>
        </w:rPr>
        <w:t xml:space="preserve">vestment in different sectors. </w:t>
      </w:r>
    </w:p>
    <w:p w:rsidR="00AD581D" w:rsidRPr="00321E6D" w:rsidRDefault="00AD581D" w:rsidP="00AF203D">
      <w:pPr>
        <w:pStyle w:val="Heading2"/>
      </w:pPr>
      <w:bookmarkStart w:id="77" w:name="_Toc524821056"/>
      <w:r w:rsidRPr="00321E6D">
        <w:t>4.3Proportion of Investment and Investment Income</w:t>
      </w:r>
      <w:bookmarkEnd w:id="77"/>
    </w:p>
    <w:p w:rsidR="00AD581D" w:rsidRPr="004645CB" w:rsidRDefault="00AD581D" w:rsidP="00AF203D">
      <w:pPr>
        <w:pStyle w:val="Heading3"/>
      </w:pPr>
      <w:bookmarkStart w:id="78" w:name="_Toc524821057"/>
      <w:r w:rsidRPr="00321E6D">
        <w:t>4.3.1 Proportion of Financial Assets in Terms of Total Assets</w:t>
      </w:r>
      <w:bookmarkEnd w:id="78"/>
    </w:p>
    <w:tbl>
      <w:tblPr>
        <w:tblpPr w:leftFromText="180" w:rightFromText="180" w:vertAnchor="text" w:tblpY="1415"/>
        <w:tblW w:w="5000" w:type="pct"/>
        <w:tblLook w:val="04A0" w:firstRow="1" w:lastRow="0" w:firstColumn="1" w:lastColumn="0" w:noHBand="0" w:noVBand="1"/>
      </w:tblPr>
      <w:tblGrid>
        <w:gridCol w:w="4107"/>
        <w:gridCol w:w="1028"/>
        <w:gridCol w:w="1028"/>
        <w:gridCol w:w="1028"/>
        <w:gridCol w:w="1028"/>
        <w:gridCol w:w="1024"/>
      </w:tblGrid>
      <w:tr w:rsidR="00AD581D" w:rsidTr="00AD581D">
        <w:trPr>
          <w:trHeight w:val="300"/>
        </w:trPr>
        <w:tc>
          <w:tcPr>
            <w:tcW w:w="2221" w:type="pct"/>
            <w:noWrap/>
            <w:hideMark/>
          </w:tcPr>
          <w:p w:rsidR="00AD581D" w:rsidRDefault="00AD581D" w:rsidP="00AD581D">
            <w:pPr>
              <w:rPr>
                <w:rFonts w:ascii="Calibri" w:hAnsi="Calibri" w:cs="Calibri"/>
              </w:rPr>
            </w:pPr>
            <w:r>
              <w:rPr>
                <w:rFonts w:ascii="Calibri" w:hAnsi="Calibri" w:cs="Calibri"/>
              </w:rPr>
              <w:t>Year</w:t>
            </w:r>
          </w:p>
        </w:tc>
        <w:tc>
          <w:tcPr>
            <w:tcW w:w="556" w:type="pct"/>
            <w:noWrap/>
            <w:hideMark/>
          </w:tcPr>
          <w:p w:rsidR="00AD581D" w:rsidRDefault="00AD581D" w:rsidP="00AD581D">
            <w:pPr>
              <w:jc w:val="right"/>
              <w:rPr>
                <w:rFonts w:ascii="Calibri" w:hAnsi="Calibri" w:cs="Calibri"/>
              </w:rPr>
            </w:pPr>
            <w:r>
              <w:rPr>
                <w:rFonts w:ascii="Calibri" w:hAnsi="Calibri" w:cs="Calibri"/>
              </w:rPr>
              <w:t>2013</w:t>
            </w:r>
          </w:p>
        </w:tc>
        <w:tc>
          <w:tcPr>
            <w:tcW w:w="556" w:type="pct"/>
            <w:noWrap/>
            <w:hideMark/>
          </w:tcPr>
          <w:p w:rsidR="00AD581D" w:rsidRDefault="00AD581D" w:rsidP="00AD581D">
            <w:pPr>
              <w:jc w:val="right"/>
              <w:rPr>
                <w:rFonts w:ascii="Calibri" w:hAnsi="Calibri" w:cs="Calibri"/>
              </w:rPr>
            </w:pPr>
            <w:r>
              <w:rPr>
                <w:rFonts w:ascii="Calibri" w:hAnsi="Calibri" w:cs="Calibri"/>
              </w:rPr>
              <w:t>2014</w:t>
            </w:r>
          </w:p>
        </w:tc>
        <w:tc>
          <w:tcPr>
            <w:tcW w:w="556" w:type="pct"/>
            <w:noWrap/>
            <w:hideMark/>
          </w:tcPr>
          <w:p w:rsidR="00AD581D" w:rsidRDefault="00AD581D" w:rsidP="00AD581D">
            <w:pPr>
              <w:jc w:val="right"/>
              <w:rPr>
                <w:rFonts w:ascii="Calibri" w:hAnsi="Calibri" w:cs="Calibri"/>
              </w:rPr>
            </w:pPr>
            <w:r>
              <w:rPr>
                <w:rFonts w:ascii="Calibri" w:hAnsi="Calibri" w:cs="Calibri"/>
              </w:rPr>
              <w:t>2015</w:t>
            </w:r>
          </w:p>
        </w:tc>
        <w:tc>
          <w:tcPr>
            <w:tcW w:w="556" w:type="pct"/>
            <w:noWrap/>
            <w:hideMark/>
          </w:tcPr>
          <w:p w:rsidR="00AD581D" w:rsidRDefault="00AD581D" w:rsidP="00AD581D">
            <w:pPr>
              <w:jc w:val="right"/>
              <w:rPr>
                <w:rFonts w:ascii="Calibri" w:hAnsi="Calibri" w:cs="Calibri"/>
              </w:rPr>
            </w:pPr>
            <w:r>
              <w:rPr>
                <w:rFonts w:ascii="Calibri" w:hAnsi="Calibri" w:cs="Calibri"/>
              </w:rPr>
              <w:t>2016</w:t>
            </w:r>
          </w:p>
        </w:tc>
        <w:tc>
          <w:tcPr>
            <w:tcW w:w="554" w:type="pct"/>
            <w:noWrap/>
            <w:hideMark/>
          </w:tcPr>
          <w:p w:rsidR="00AD581D" w:rsidRDefault="00AD581D" w:rsidP="00AD581D">
            <w:pPr>
              <w:jc w:val="right"/>
              <w:rPr>
                <w:rFonts w:ascii="Calibri" w:hAnsi="Calibri" w:cs="Calibri"/>
              </w:rPr>
            </w:pPr>
            <w:r>
              <w:rPr>
                <w:rFonts w:ascii="Calibri" w:hAnsi="Calibri" w:cs="Calibri"/>
              </w:rPr>
              <w:t>2017</w:t>
            </w:r>
          </w:p>
        </w:tc>
      </w:tr>
      <w:tr w:rsidR="00AD581D" w:rsidTr="00AD581D">
        <w:trPr>
          <w:trHeight w:val="300"/>
        </w:trPr>
        <w:tc>
          <w:tcPr>
            <w:tcW w:w="2221" w:type="pct"/>
            <w:noWrap/>
            <w:hideMark/>
          </w:tcPr>
          <w:p w:rsidR="00AD581D" w:rsidRDefault="00AD581D" w:rsidP="00AD581D">
            <w:pPr>
              <w:rPr>
                <w:rFonts w:ascii="Calibri" w:hAnsi="Calibri" w:cs="Calibri"/>
              </w:rPr>
            </w:pPr>
            <w:r>
              <w:rPr>
                <w:rFonts w:ascii="Calibri" w:hAnsi="Calibri" w:cs="Calibri"/>
              </w:rPr>
              <w:t>Growth Rate</w:t>
            </w:r>
          </w:p>
        </w:tc>
        <w:tc>
          <w:tcPr>
            <w:tcW w:w="556" w:type="pct"/>
            <w:noWrap/>
            <w:hideMark/>
          </w:tcPr>
          <w:p w:rsidR="00AD581D" w:rsidRDefault="00AD581D" w:rsidP="00AD581D">
            <w:pPr>
              <w:jc w:val="right"/>
              <w:rPr>
                <w:rFonts w:ascii="Calibri" w:hAnsi="Calibri" w:cs="Calibri"/>
              </w:rPr>
            </w:pPr>
            <w:r>
              <w:rPr>
                <w:rFonts w:ascii="Calibri" w:hAnsi="Calibri" w:cs="Calibri"/>
              </w:rPr>
              <w:t>13.28%</w:t>
            </w:r>
          </w:p>
        </w:tc>
        <w:tc>
          <w:tcPr>
            <w:tcW w:w="556" w:type="pct"/>
            <w:noWrap/>
            <w:hideMark/>
          </w:tcPr>
          <w:p w:rsidR="00AD581D" w:rsidRDefault="00AD581D" w:rsidP="00AD581D">
            <w:pPr>
              <w:jc w:val="right"/>
              <w:rPr>
                <w:rFonts w:ascii="Calibri" w:hAnsi="Calibri" w:cs="Calibri"/>
              </w:rPr>
            </w:pPr>
            <w:r>
              <w:rPr>
                <w:rFonts w:ascii="Calibri" w:hAnsi="Calibri" w:cs="Calibri"/>
              </w:rPr>
              <w:t>20.18%</w:t>
            </w:r>
          </w:p>
        </w:tc>
        <w:tc>
          <w:tcPr>
            <w:tcW w:w="556" w:type="pct"/>
            <w:noWrap/>
            <w:hideMark/>
          </w:tcPr>
          <w:p w:rsidR="00AD581D" w:rsidRDefault="00AD581D" w:rsidP="00AD581D">
            <w:pPr>
              <w:jc w:val="right"/>
              <w:rPr>
                <w:rFonts w:ascii="Calibri" w:hAnsi="Calibri" w:cs="Calibri"/>
              </w:rPr>
            </w:pPr>
            <w:r>
              <w:rPr>
                <w:rFonts w:ascii="Calibri" w:hAnsi="Calibri" w:cs="Calibri"/>
              </w:rPr>
              <w:t>21.22%</w:t>
            </w:r>
          </w:p>
        </w:tc>
        <w:tc>
          <w:tcPr>
            <w:tcW w:w="556" w:type="pct"/>
            <w:noWrap/>
            <w:hideMark/>
          </w:tcPr>
          <w:p w:rsidR="00AD581D" w:rsidRDefault="00AD581D" w:rsidP="00AD581D">
            <w:pPr>
              <w:jc w:val="right"/>
              <w:rPr>
                <w:rFonts w:ascii="Calibri" w:hAnsi="Calibri" w:cs="Calibri"/>
              </w:rPr>
            </w:pPr>
            <w:r>
              <w:rPr>
                <w:rFonts w:ascii="Calibri" w:hAnsi="Calibri" w:cs="Calibri"/>
              </w:rPr>
              <w:t>18.59%</w:t>
            </w:r>
          </w:p>
        </w:tc>
        <w:tc>
          <w:tcPr>
            <w:tcW w:w="554" w:type="pct"/>
            <w:noWrap/>
            <w:hideMark/>
          </w:tcPr>
          <w:p w:rsidR="00AD581D" w:rsidRDefault="00AD581D" w:rsidP="00AD581D">
            <w:pPr>
              <w:jc w:val="right"/>
              <w:rPr>
                <w:rFonts w:ascii="Calibri" w:hAnsi="Calibri" w:cs="Calibri"/>
              </w:rPr>
            </w:pPr>
            <w:r>
              <w:rPr>
                <w:rFonts w:ascii="Calibri" w:hAnsi="Calibri" w:cs="Calibri"/>
              </w:rPr>
              <w:t>8.15%</w:t>
            </w:r>
          </w:p>
        </w:tc>
      </w:tr>
      <w:tr w:rsidR="00AD581D" w:rsidTr="00AD581D">
        <w:trPr>
          <w:trHeight w:val="300"/>
        </w:trPr>
        <w:tc>
          <w:tcPr>
            <w:tcW w:w="2221" w:type="pct"/>
            <w:noWrap/>
            <w:hideMark/>
          </w:tcPr>
          <w:p w:rsidR="00AD581D" w:rsidRDefault="00AD581D" w:rsidP="00AD581D">
            <w:pPr>
              <w:rPr>
                <w:rFonts w:ascii="Calibri" w:hAnsi="Calibri" w:cs="Calibri"/>
              </w:rPr>
            </w:pPr>
            <w:r>
              <w:rPr>
                <w:rFonts w:ascii="Calibri" w:hAnsi="Calibri" w:cs="Calibri"/>
              </w:rPr>
              <w:t>Percentage of Investment</w:t>
            </w:r>
          </w:p>
        </w:tc>
        <w:tc>
          <w:tcPr>
            <w:tcW w:w="556" w:type="pct"/>
            <w:noWrap/>
            <w:hideMark/>
          </w:tcPr>
          <w:p w:rsidR="00AD581D" w:rsidRDefault="00AD581D" w:rsidP="00AD581D">
            <w:pPr>
              <w:jc w:val="right"/>
              <w:rPr>
                <w:rFonts w:ascii="Calibri" w:hAnsi="Calibri" w:cs="Calibri"/>
              </w:rPr>
            </w:pPr>
            <w:r>
              <w:rPr>
                <w:rFonts w:ascii="Calibri" w:hAnsi="Calibri" w:cs="Calibri"/>
              </w:rPr>
              <w:t>17.96%</w:t>
            </w:r>
          </w:p>
        </w:tc>
        <w:tc>
          <w:tcPr>
            <w:tcW w:w="556" w:type="pct"/>
            <w:noWrap/>
            <w:hideMark/>
          </w:tcPr>
          <w:p w:rsidR="00AD581D" w:rsidRDefault="00AD581D" w:rsidP="00AD581D">
            <w:pPr>
              <w:jc w:val="right"/>
              <w:rPr>
                <w:rFonts w:ascii="Calibri" w:hAnsi="Calibri" w:cs="Calibri"/>
              </w:rPr>
            </w:pPr>
            <w:r>
              <w:rPr>
                <w:rFonts w:ascii="Calibri" w:hAnsi="Calibri" w:cs="Calibri"/>
              </w:rPr>
              <w:t>16.20%</w:t>
            </w:r>
          </w:p>
        </w:tc>
        <w:tc>
          <w:tcPr>
            <w:tcW w:w="556" w:type="pct"/>
            <w:noWrap/>
            <w:hideMark/>
          </w:tcPr>
          <w:p w:rsidR="00AD581D" w:rsidRDefault="00AD581D" w:rsidP="00AD581D">
            <w:pPr>
              <w:jc w:val="right"/>
              <w:rPr>
                <w:rFonts w:ascii="Calibri" w:hAnsi="Calibri" w:cs="Calibri"/>
              </w:rPr>
            </w:pPr>
            <w:r>
              <w:rPr>
                <w:rFonts w:ascii="Calibri" w:hAnsi="Calibri" w:cs="Calibri"/>
              </w:rPr>
              <w:t>11.46%</w:t>
            </w:r>
          </w:p>
        </w:tc>
        <w:tc>
          <w:tcPr>
            <w:tcW w:w="556" w:type="pct"/>
            <w:noWrap/>
            <w:hideMark/>
          </w:tcPr>
          <w:p w:rsidR="00AD581D" w:rsidRDefault="00AD581D" w:rsidP="00AD581D">
            <w:pPr>
              <w:jc w:val="right"/>
              <w:rPr>
                <w:rFonts w:ascii="Calibri" w:hAnsi="Calibri" w:cs="Calibri"/>
              </w:rPr>
            </w:pPr>
            <w:r>
              <w:rPr>
                <w:rFonts w:ascii="Calibri" w:hAnsi="Calibri" w:cs="Calibri"/>
              </w:rPr>
              <w:t>9.59%</w:t>
            </w:r>
          </w:p>
        </w:tc>
        <w:tc>
          <w:tcPr>
            <w:tcW w:w="554" w:type="pct"/>
            <w:noWrap/>
            <w:hideMark/>
          </w:tcPr>
          <w:p w:rsidR="00AD581D" w:rsidRDefault="00AD581D" w:rsidP="00AD581D">
            <w:pPr>
              <w:jc w:val="right"/>
              <w:rPr>
                <w:rFonts w:ascii="Calibri" w:hAnsi="Calibri" w:cs="Calibri"/>
              </w:rPr>
            </w:pPr>
            <w:r>
              <w:rPr>
                <w:rFonts w:ascii="Calibri" w:hAnsi="Calibri" w:cs="Calibri"/>
              </w:rPr>
              <w:t>9.26%</w:t>
            </w:r>
          </w:p>
        </w:tc>
      </w:tr>
    </w:tbl>
    <w:p w:rsidR="00AD581D" w:rsidRPr="00321E6D" w:rsidRDefault="00AD581D" w:rsidP="00AD581D">
      <w:pPr>
        <w:rPr>
          <w:sz w:val="24"/>
          <w:szCs w:val="24"/>
        </w:rPr>
      </w:pPr>
      <w:r w:rsidRPr="00321E6D">
        <w:rPr>
          <w:sz w:val="24"/>
          <w:szCs w:val="24"/>
        </w:rPr>
        <w:t xml:space="preserve">Total assets of CBL refer to the total amount of assets owned by CBL. From the total investment of CBL in total assets, the proportion of investment of CBL in financial assets has been calculated by dividing the total investment in financial assets with the total investment in total assets. </w:t>
      </w:r>
    </w:p>
    <w:p w:rsidR="00AD581D" w:rsidRPr="00321E6D" w:rsidRDefault="00AD581D"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50212E" w:rsidRDefault="0050212E" w:rsidP="00AD581D">
      <w:pPr>
        <w:rPr>
          <w:sz w:val="24"/>
          <w:szCs w:val="24"/>
        </w:rPr>
      </w:pPr>
    </w:p>
    <w:p w:rsidR="00AD581D" w:rsidRDefault="0050212E" w:rsidP="00AD581D">
      <w:pPr>
        <w:rPr>
          <w:sz w:val="24"/>
          <w:szCs w:val="24"/>
        </w:rPr>
      </w:pPr>
      <w:r>
        <w:rPr>
          <w:noProof/>
        </w:rPr>
        <w:drawing>
          <wp:anchor distT="0" distB="0" distL="114300" distR="114300" simplePos="0" relativeHeight="251738112" behindDoc="0" locked="0" layoutInCell="1" allowOverlap="1">
            <wp:simplePos x="0" y="0"/>
            <wp:positionH relativeFrom="margin">
              <wp:posOffset>-1905</wp:posOffset>
            </wp:positionH>
            <wp:positionV relativeFrom="paragraph">
              <wp:posOffset>-635</wp:posOffset>
            </wp:positionV>
            <wp:extent cx="5724525" cy="2409825"/>
            <wp:effectExtent l="0" t="0" r="9525" b="9525"/>
            <wp:wrapTopAndBottom/>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anchor>
        </w:drawing>
      </w:r>
      <w:r w:rsidR="00AD581D" w:rsidRPr="00321E6D">
        <w:rPr>
          <w:sz w:val="24"/>
          <w:szCs w:val="24"/>
        </w:rPr>
        <w:t>Here, the proportions of investment in financia</w:t>
      </w:r>
      <w:r w:rsidR="00AD581D">
        <w:rPr>
          <w:sz w:val="24"/>
          <w:szCs w:val="24"/>
        </w:rPr>
        <w:t xml:space="preserve">l assets among total assets are </w:t>
      </w:r>
      <w:r w:rsidR="00AD581D" w:rsidRPr="00321E6D">
        <w:rPr>
          <w:sz w:val="24"/>
          <w:szCs w:val="24"/>
        </w:rPr>
        <w:t>17.96%, 16.</w:t>
      </w:r>
      <w:r w:rsidR="00AD581D">
        <w:rPr>
          <w:sz w:val="24"/>
          <w:szCs w:val="24"/>
        </w:rPr>
        <w:t>20</w:t>
      </w:r>
      <w:r w:rsidR="00AD581D" w:rsidRPr="00321E6D">
        <w:rPr>
          <w:sz w:val="24"/>
          <w:szCs w:val="24"/>
        </w:rPr>
        <w:t>%, 11.46%</w:t>
      </w:r>
      <w:r w:rsidR="00AD581D">
        <w:rPr>
          <w:sz w:val="24"/>
          <w:szCs w:val="24"/>
        </w:rPr>
        <w:t xml:space="preserve">, </w:t>
      </w:r>
      <w:r w:rsidR="00AD581D" w:rsidRPr="00321E6D">
        <w:rPr>
          <w:sz w:val="24"/>
          <w:szCs w:val="24"/>
        </w:rPr>
        <w:t>9.</w:t>
      </w:r>
      <w:r w:rsidR="00AD581D">
        <w:rPr>
          <w:sz w:val="24"/>
          <w:szCs w:val="24"/>
        </w:rPr>
        <w:t>59</w:t>
      </w:r>
      <w:r w:rsidR="00AD581D" w:rsidRPr="00321E6D">
        <w:rPr>
          <w:sz w:val="24"/>
          <w:szCs w:val="24"/>
        </w:rPr>
        <w:t>%and</w:t>
      </w:r>
      <w:r w:rsidR="00AD581D">
        <w:rPr>
          <w:sz w:val="24"/>
          <w:szCs w:val="24"/>
        </w:rPr>
        <w:t xml:space="preserve"> 9.26%</w:t>
      </w:r>
      <w:r w:rsidR="00AD581D" w:rsidRPr="00321E6D">
        <w:rPr>
          <w:sz w:val="24"/>
          <w:szCs w:val="24"/>
        </w:rPr>
        <w:t>. Among the total assets the highest proportion of investment in financial assets are showing in 2013.The growth rate are showing that the highest positive growth rate is in 201</w:t>
      </w:r>
      <w:r w:rsidR="00AD581D">
        <w:rPr>
          <w:sz w:val="24"/>
          <w:szCs w:val="24"/>
        </w:rPr>
        <w:t>5</w:t>
      </w:r>
      <w:r w:rsidR="00AD581D" w:rsidRPr="00321E6D">
        <w:rPr>
          <w:sz w:val="24"/>
          <w:szCs w:val="24"/>
        </w:rPr>
        <w:t xml:space="preserve"> but there is another positive growth rate in 201</w:t>
      </w:r>
      <w:r w:rsidR="00AD581D">
        <w:rPr>
          <w:sz w:val="24"/>
          <w:szCs w:val="24"/>
        </w:rPr>
        <w:t>4</w:t>
      </w:r>
      <w:r w:rsidR="00AD581D" w:rsidRPr="00321E6D">
        <w:rPr>
          <w:sz w:val="24"/>
          <w:szCs w:val="24"/>
        </w:rPr>
        <w:t xml:space="preserve">. There is </w:t>
      </w:r>
      <w:r w:rsidR="00AD581D">
        <w:rPr>
          <w:sz w:val="24"/>
          <w:szCs w:val="24"/>
        </w:rPr>
        <w:t xml:space="preserve">no </w:t>
      </w:r>
      <w:r w:rsidR="00AD581D" w:rsidRPr="00321E6D">
        <w:rPr>
          <w:sz w:val="24"/>
          <w:szCs w:val="24"/>
        </w:rPr>
        <w:t>negative growth rate</w:t>
      </w:r>
      <w:r w:rsidR="00AD581D">
        <w:rPr>
          <w:sz w:val="24"/>
          <w:szCs w:val="24"/>
        </w:rPr>
        <w:t xml:space="preserve"> but reduced from previous year</w:t>
      </w:r>
      <w:r w:rsidR="00AD581D" w:rsidRPr="00321E6D">
        <w:rPr>
          <w:sz w:val="24"/>
          <w:szCs w:val="24"/>
        </w:rPr>
        <w:t xml:space="preserve">. So the proportions of investment in financial assets among total assets are </w:t>
      </w:r>
      <w:r w:rsidR="00AD581D">
        <w:rPr>
          <w:sz w:val="24"/>
          <w:szCs w:val="24"/>
        </w:rPr>
        <w:t>positively</w:t>
      </w:r>
      <w:r w:rsidR="00AD581D" w:rsidRPr="00321E6D">
        <w:rPr>
          <w:sz w:val="24"/>
          <w:szCs w:val="24"/>
        </w:rPr>
        <w:t xml:space="preserve"> growing year to year. </w:t>
      </w:r>
    </w:p>
    <w:p w:rsidR="0050212E" w:rsidRPr="00321E6D" w:rsidRDefault="0050212E" w:rsidP="00AD581D">
      <w:pPr>
        <w:rPr>
          <w:sz w:val="24"/>
          <w:szCs w:val="24"/>
        </w:rPr>
      </w:pPr>
    </w:p>
    <w:p w:rsidR="00AD581D" w:rsidRPr="00ED2B91" w:rsidRDefault="00AD581D" w:rsidP="00AF203D">
      <w:pPr>
        <w:pStyle w:val="Heading3"/>
      </w:pPr>
      <w:bookmarkStart w:id="79" w:name="_Toc524821058"/>
      <w:r w:rsidRPr="00321E6D">
        <w:t>4.3.2</w:t>
      </w:r>
      <w:r>
        <w:t xml:space="preserve">. </w:t>
      </w:r>
      <w:r w:rsidRPr="00321E6D">
        <w:t>Proportion of Financial Assets In Terms Of Total Liabilities</w:t>
      </w:r>
      <w:bookmarkEnd w:id="79"/>
    </w:p>
    <w:p w:rsidR="00AD581D" w:rsidRPr="00321E6D" w:rsidRDefault="00AD581D" w:rsidP="00AD581D">
      <w:pPr>
        <w:rPr>
          <w:sz w:val="24"/>
          <w:szCs w:val="24"/>
        </w:rPr>
      </w:pPr>
      <w:r w:rsidRPr="00321E6D">
        <w:rPr>
          <w:sz w:val="24"/>
          <w:szCs w:val="24"/>
        </w:rPr>
        <w:t>The aggregate debt and financial obligation of CBL are the total liabilities of CBL. The proportions of investment in financial assets against the total liabilities are calculated by dividing the total investment in financial assets with the total am</w:t>
      </w:r>
      <w:r>
        <w:rPr>
          <w:sz w:val="24"/>
          <w:szCs w:val="24"/>
        </w:rPr>
        <w:t xml:space="preserve">ount of liabilities of CBL.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E655D2" w:rsidTr="00AD581D">
        <w:trPr>
          <w:trHeight w:val="300"/>
        </w:trPr>
        <w:tc>
          <w:tcPr>
            <w:tcW w:w="2222" w:type="pct"/>
            <w:noWrap/>
            <w:hideMark/>
          </w:tcPr>
          <w:p w:rsidR="00AD581D" w:rsidRPr="00E655D2" w:rsidRDefault="00AD581D" w:rsidP="00AD581D">
            <w:pPr>
              <w:rPr>
                <w:rFonts w:ascii="Calibri" w:hAnsi="Calibri" w:cs="Calibri"/>
                <w:lang w:bidi="bn-BD"/>
              </w:rPr>
            </w:pPr>
            <w:r w:rsidRPr="00E655D2">
              <w:rPr>
                <w:rFonts w:ascii="Calibri" w:hAnsi="Calibri" w:cs="Calibri"/>
                <w:lang w:bidi="bn-BD"/>
              </w:rPr>
              <w:t>Year</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2013</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2014</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2015</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2016</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2017</w:t>
            </w:r>
          </w:p>
        </w:tc>
      </w:tr>
      <w:tr w:rsidR="00AD581D" w:rsidRPr="00E655D2" w:rsidTr="00AD581D">
        <w:trPr>
          <w:trHeight w:val="300"/>
        </w:trPr>
        <w:tc>
          <w:tcPr>
            <w:tcW w:w="2222" w:type="pct"/>
            <w:noWrap/>
            <w:hideMark/>
          </w:tcPr>
          <w:p w:rsidR="00AD581D" w:rsidRPr="00E655D2" w:rsidRDefault="00AD581D" w:rsidP="00AD581D">
            <w:pPr>
              <w:rPr>
                <w:rFonts w:ascii="Calibri" w:hAnsi="Calibri" w:cs="Calibri"/>
                <w:lang w:bidi="bn-BD"/>
              </w:rPr>
            </w:pPr>
            <w:r w:rsidRPr="00E655D2">
              <w:rPr>
                <w:rFonts w:ascii="Calibri" w:hAnsi="Calibri" w:cs="Calibri"/>
                <w:lang w:bidi="bn-BD"/>
              </w:rPr>
              <w:t>Growth Rate</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14.90%</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19.51%</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22.85%</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23.66%</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7.06%</w:t>
            </w:r>
          </w:p>
        </w:tc>
      </w:tr>
      <w:tr w:rsidR="00AD581D" w:rsidRPr="00E655D2" w:rsidTr="00AD581D">
        <w:trPr>
          <w:trHeight w:val="300"/>
        </w:trPr>
        <w:tc>
          <w:tcPr>
            <w:tcW w:w="2222" w:type="pct"/>
            <w:noWrap/>
            <w:hideMark/>
          </w:tcPr>
          <w:p w:rsidR="00AD581D" w:rsidRPr="00E655D2" w:rsidRDefault="00AD581D" w:rsidP="00AD581D">
            <w:pPr>
              <w:rPr>
                <w:rFonts w:ascii="Calibri" w:hAnsi="Calibri" w:cs="Calibri"/>
                <w:lang w:bidi="bn-BD"/>
              </w:rPr>
            </w:pPr>
            <w:r w:rsidRPr="00E655D2">
              <w:rPr>
                <w:rFonts w:ascii="Calibri" w:hAnsi="Calibri" w:cs="Calibri"/>
                <w:lang w:bidi="bn-BD"/>
              </w:rPr>
              <w:t>Percentage of Investment</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20.54%</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18.63%</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13.00%</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10.44%</w:t>
            </w:r>
          </w:p>
        </w:tc>
        <w:tc>
          <w:tcPr>
            <w:tcW w:w="556" w:type="pct"/>
            <w:noWrap/>
            <w:hideMark/>
          </w:tcPr>
          <w:p w:rsidR="00AD581D" w:rsidRPr="00E655D2" w:rsidRDefault="00AD581D" w:rsidP="00AD581D">
            <w:pPr>
              <w:jc w:val="right"/>
              <w:rPr>
                <w:rFonts w:ascii="Calibri" w:hAnsi="Calibri" w:cs="Calibri"/>
                <w:lang w:bidi="bn-BD"/>
              </w:rPr>
            </w:pPr>
            <w:r w:rsidRPr="00E655D2">
              <w:rPr>
                <w:rFonts w:ascii="Calibri" w:hAnsi="Calibri" w:cs="Calibri"/>
                <w:lang w:bidi="bn-BD"/>
              </w:rPr>
              <w:t>10.18%</w:t>
            </w:r>
          </w:p>
        </w:tc>
      </w:tr>
    </w:tbl>
    <w:p w:rsidR="00AD581D" w:rsidRDefault="00AD581D" w:rsidP="00AD581D">
      <w:pPr>
        <w:rPr>
          <w:sz w:val="24"/>
          <w:szCs w:val="24"/>
        </w:rPr>
      </w:pPr>
      <w:r>
        <w:rPr>
          <w:noProof/>
        </w:rPr>
        <w:drawing>
          <wp:anchor distT="0" distB="0" distL="114300" distR="114300" simplePos="0" relativeHeight="251745280" behindDoc="0" locked="0" layoutInCell="1" allowOverlap="1">
            <wp:simplePos x="0" y="0"/>
            <wp:positionH relativeFrom="margin">
              <wp:align>right</wp:align>
            </wp:positionH>
            <wp:positionV relativeFrom="paragraph">
              <wp:posOffset>243840</wp:posOffset>
            </wp:positionV>
            <wp:extent cx="5724525" cy="2924175"/>
            <wp:effectExtent l="0" t="0" r="9525" b="9525"/>
            <wp:wrapTopAndBottom/>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lastRenderedPageBreak/>
        <w:t xml:space="preserve">Here, the proportions of investment in financial assets against total liabilities are </w:t>
      </w:r>
      <w:r>
        <w:rPr>
          <w:sz w:val="24"/>
          <w:szCs w:val="24"/>
        </w:rPr>
        <w:t xml:space="preserve">20.54%, 18.63%, 13.00%, </w:t>
      </w:r>
      <w:r w:rsidRPr="00321E6D">
        <w:rPr>
          <w:sz w:val="24"/>
          <w:szCs w:val="24"/>
        </w:rPr>
        <w:t>10.44%and</w:t>
      </w:r>
      <w:r>
        <w:rPr>
          <w:sz w:val="24"/>
          <w:szCs w:val="24"/>
        </w:rPr>
        <w:t xml:space="preserve"> 10.18%</w:t>
      </w:r>
      <w:r w:rsidRPr="00321E6D">
        <w:rPr>
          <w:sz w:val="24"/>
          <w:szCs w:val="24"/>
        </w:rPr>
        <w:t>. Here the growth rates of investment in finan</w:t>
      </w:r>
      <w:r>
        <w:rPr>
          <w:sz w:val="24"/>
          <w:szCs w:val="24"/>
        </w:rPr>
        <w:t>cial assets are positive in 2013 to 2016</w:t>
      </w:r>
      <w:r w:rsidRPr="00321E6D">
        <w:rPr>
          <w:sz w:val="24"/>
          <w:szCs w:val="24"/>
        </w:rPr>
        <w:t xml:space="preserve"> but </w:t>
      </w:r>
      <w:r>
        <w:rPr>
          <w:sz w:val="24"/>
          <w:szCs w:val="24"/>
        </w:rPr>
        <w:t>in 2017 it was reduced</w:t>
      </w:r>
      <w:r w:rsidRPr="00321E6D">
        <w:rPr>
          <w:sz w:val="24"/>
          <w:szCs w:val="24"/>
        </w:rPr>
        <w:t xml:space="preserve">. The growths rates of investment in financial assets against total liability are not very significant in CBL. </w:t>
      </w:r>
    </w:p>
    <w:p w:rsidR="00AD581D" w:rsidRPr="00FC6500" w:rsidRDefault="00AD581D" w:rsidP="00AF203D">
      <w:pPr>
        <w:pStyle w:val="Heading3"/>
      </w:pPr>
      <w:bookmarkStart w:id="80" w:name="_Toc524821059"/>
      <w:r w:rsidRPr="00321E6D">
        <w:t>4.3.3 Investment Income on Treasury Bills/Reverse Repo/Bonds</w:t>
      </w:r>
      <w:bookmarkEnd w:id="80"/>
    </w:p>
    <w:p w:rsidR="00AD581D" w:rsidRPr="00321E6D" w:rsidRDefault="00AD581D" w:rsidP="00AD581D">
      <w:pPr>
        <w:rPr>
          <w:sz w:val="24"/>
          <w:szCs w:val="24"/>
        </w:rPr>
      </w:pPr>
      <w:r w:rsidRPr="00321E6D">
        <w:rPr>
          <w:sz w:val="24"/>
          <w:szCs w:val="24"/>
        </w:rPr>
        <w:t>The percentage rate of income on Treasury bills / Reverse Repo / Bonds among the total investment incomes are calculated by dividing the investment income on treasury bills/ Reverse repo /Bonds with the t</w:t>
      </w:r>
      <w:r>
        <w:rPr>
          <w:sz w:val="24"/>
          <w:szCs w:val="24"/>
        </w:rPr>
        <w:t xml:space="preserve">otal investment income of CBL.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Year</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2013</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2015</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2016</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2017</w:t>
            </w:r>
          </w:p>
        </w:tc>
      </w:tr>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Growth Rate</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9.44%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50.93%</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12.95%</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4.17%</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-33.88%</w:t>
            </w:r>
          </w:p>
        </w:tc>
      </w:tr>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Investment</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5.12%</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7.13%</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9.39%</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9.86%</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6.24%</w:t>
            </w:r>
          </w:p>
        </w:tc>
      </w:tr>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Total Investment Income</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81.99%</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73.36%</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52.65%</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50.75%</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57.05%</w:t>
            </w:r>
          </w:p>
        </w:tc>
      </w:tr>
    </w:tbl>
    <w:p w:rsidR="00AD581D" w:rsidRPr="00321E6D" w:rsidRDefault="00AD581D" w:rsidP="00AD581D">
      <w:pPr>
        <w:rPr>
          <w:sz w:val="24"/>
          <w:szCs w:val="24"/>
        </w:rPr>
      </w:pPr>
    </w:p>
    <w:p w:rsidR="00AD581D" w:rsidRPr="00321E6D" w:rsidRDefault="00AD581D" w:rsidP="00AD581D">
      <w:pPr>
        <w:rPr>
          <w:sz w:val="24"/>
          <w:szCs w:val="24"/>
        </w:rPr>
      </w:pPr>
    </w:p>
    <w:p w:rsidR="00AD581D" w:rsidRPr="00321E6D" w:rsidRDefault="00AD581D" w:rsidP="00AD581D">
      <w:pPr>
        <w:rPr>
          <w:sz w:val="24"/>
          <w:szCs w:val="24"/>
        </w:rPr>
      </w:pPr>
    </w:p>
    <w:p w:rsidR="00AD581D" w:rsidRDefault="00AD581D" w:rsidP="00AD581D">
      <w:pPr>
        <w:rPr>
          <w:sz w:val="24"/>
          <w:szCs w:val="24"/>
        </w:rPr>
      </w:pPr>
      <w:r>
        <w:rPr>
          <w:noProof/>
        </w:rPr>
        <w:drawing>
          <wp:anchor distT="0" distB="0" distL="114300" distR="114300" simplePos="0" relativeHeight="251748352"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anchor>
        </w:drawing>
      </w:r>
    </w:p>
    <w:p w:rsidR="00AD581D" w:rsidRPr="00321E6D" w:rsidRDefault="00AD581D" w:rsidP="00AD581D">
      <w:pPr>
        <w:rPr>
          <w:sz w:val="24"/>
          <w:szCs w:val="24"/>
        </w:rPr>
      </w:pPr>
      <w:r w:rsidRPr="00321E6D">
        <w:rPr>
          <w:sz w:val="24"/>
          <w:szCs w:val="24"/>
        </w:rPr>
        <w:t xml:space="preserve">Here, the percentage rate of investment income on treasury bills/ Reverse repo / Bonds are 81.99%, 73.36%, 52.65%, 50.74% and </w:t>
      </w:r>
      <w:r>
        <w:rPr>
          <w:sz w:val="24"/>
          <w:szCs w:val="24"/>
        </w:rPr>
        <w:t>57.05% from 2013 to 2017</w:t>
      </w:r>
      <w:r w:rsidRPr="00321E6D">
        <w:rPr>
          <w:sz w:val="24"/>
          <w:szCs w:val="24"/>
        </w:rPr>
        <w:t>. The highest growth r</w:t>
      </w:r>
      <w:r>
        <w:rPr>
          <w:sz w:val="24"/>
          <w:szCs w:val="24"/>
        </w:rPr>
        <w:t>ate of income is showing in 2014</w:t>
      </w:r>
      <w:r w:rsidRPr="00321E6D">
        <w:rPr>
          <w:sz w:val="24"/>
          <w:szCs w:val="24"/>
        </w:rPr>
        <w:t xml:space="preserve">. There is also a positive growth rate </w:t>
      </w:r>
      <w:r>
        <w:rPr>
          <w:sz w:val="24"/>
          <w:szCs w:val="24"/>
        </w:rPr>
        <w:t>from 2013 to 2016</w:t>
      </w:r>
      <w:r w:rsidRPr="00321E6D">
        <w:rPr>
          <w:sz w:val="24"/>
          <w:szCs w:val="24"/>
        </w:rPr>
        <w:t xml:space="preserve"> but negative income growth </w:t>
      </w:r>
      <w:r>
        <w:rPr>
          <w:sz w:val="24"/>
          <w:szCs w:val="24"/>
        </w:rPr>
        <w:t>in 2017</w:t>
      </w:r>
      <w:r w:rsidRPr="00321E6D">
        <w:rPr>
          <w:sz w:val="24"/>
          <w:szCs w:val="24"/>
        </w:rPr>
        <w:t>.Here, the investment income is</w:t>
      </w:r>
      <w:r>
        <w:rPr>
          <w:sz w:val="24"/>
          <w:szCs w:val="24"/>
        </w:rPr>
        <w:t xml:space="preserve"> not very significant for CBL. </w:t>
      </w:r>
    </w:p>
    <w:p w:rsidR="00AD581D" w:rsidRPr="00321E6D" w:rsidRDefault="00AD581D" w:rsidP="00AF203D">
      <w:pPr>
        <w:pStyle w:val="Heading3"/>
      </w:pPr>
      <w:bookmarkStart w:id="81" w:name="_Toc524821060"/>
      <w:r w:rsidRPr="00321E6D">
        <w:t>4.3.4 Interest on Debentures</w:t>
      </w:r>
      <w:bookmarkEnd w:id="81"/>
    </w:p>
    <w:p w:rsidR="00AD581D" w:rsidRPr="00321E6D" w:rsidRDefault="00AD581D" w:rsidP="00AD581D">
      <w:pPr>
        <w:rPr>
          <w:sz w:val="24"/>
          <w:szCs w:val="24"/>
        </w:rPr>
      </w:pPr>
      <w:r w:rsidRPr="00321E6D">
        <w:rPr>
          <w:sz w:val="24"/>
          <w:szCs w:val="24"/>
        </w:rPr>
        <w:t xml:space="preserve">The percentage rates of interest income on debentures are calculated here by dividing the interest income on debentures with the total investment income. </w:t>
      </w:r>
    </w:p>
    <w:tbl>
      <w:tblPr>
        <w:tblW w:w="5000" w:type="pct"/>
        <w:tblLook w:val="04A0" w:firstRow="1" w:lastRow="0" w:firstColumn="1" w:lastColumn="0" w:noHBand="0" w:noVBand="1"/>
      </w:tblPr>
      <w:tblGrid>
        <w:gridCol w:w="4041"/>
        <w:gridCol w:w="1019"/>
        <w:gridCol w:w="1019"/>
        <w:gridCol w:w="1063"/>
        <w:gridCol w:w="1130"/>
        <w:gridCol w:w="971"/>
      </w:tblGrid>
      <w:tr w:rsidR="00AD581D" w:rsidRPr="00CA07D6" w:rsidTr="00AD581D">
        <w:trPr>
          <w:trHeight w:val="300"/>
        </w:trPr>
        <w:tc>
          <w:tcPr>
            <w:tcW w:w="221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Year</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2013</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2014</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2015</w:t>
            </w:r>
          </w:p>
        </w:tc>
        <w:tc>
          <w:tcPr>
            <w:tcW w:w="58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2016</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2017</w:t>
            </w:r>
          </w:p>
        </w:tc>
      </w:tr>
      <w:tr w:rsidR="00AD581D" w:rsidRPr="00CA07D6" w:rsidTr="00AD581D">
        <w:trPr>
          <w:trHeight w:val="300"/>
        </w:trPr>
        <w:tc>
          <w:tcPr>
            <w:tcW w:w="221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Growth Rate</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-32.97%</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-47.44%</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-59.64%</w:t>
            </w:r>
          </w:p>
        </w:tc>
        <w:tc>
          <w:tcPr>
            <w:tcW w:w="58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-100.00%</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r>
      <w:tr w:rsidR="00AD581D" w:rsidRPr="00CA07D6" w:rsidTr="00AD581D">
        <w:trPr>
          <w:trHeight w:val="300"/>
        </w:trPr>
        <w:tc>
          <w:tcPr>
            <w:tcW w:w="221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Investment</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c>
          <w:tcPr>
            <w:tcW w:w="58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r>
      <w:tr w:rsidR="00AD581D" w:rsidRPr="00CA07D6" w:rsidTr="00AD581D">
        <w:trPr>
          <w:trHeight w:val="300"/>
        </w:trPr>
        <w:tc>
          <w:tcPr>
            <w:tcW w:w="221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Total Investment Income</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0.03</w:t>
            </w:r>
            <w:r>
              <w:rPr>
                <w:rFonts w:ascii="Calibri" w:hAnsi="Calibri" w:cs="Calibri"/>
                <w:lang w:bidi="bn-BD"/>
              </w:rPr>
              <w:t>4</w:t>
            </w:r>
            <w:r w:rsidRPr="00CA07D6">
              <w:rPr>
                <w:rFonts w:ascii="Calibri" w:hAnsi="Calibri" w:cs="Calibri"/>
                <w:lang w:bidi="bn-BD"/>
              </w:rPr>
              <w:t>%</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0.01</w:t>
            </w:r>
            <w:r>
              <w:rPr>
                <w:rFonts w:ascii="Calibri" w:hAnsi="Calibri" w:cs="Calibri"/>
                <w:lang w:bidi="bn-BD"/>
              </w:rPr>
              <w:t>0</w:t>
            </w:r>
            <w:r w:rsidRPr="00CA07D6">
              <w:rPr>
                <w:rFonts w:ascii="Calibri" w:hAnsi="Calibri" w:cs="Calibri"/>
                <w:lang w:bidi="bn-BD"/>
              </w:rPr>
              <w:t>%</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r>
              <w:rPr>
                <w:rFonts w:ascii="Calibri" w:hAnsi="Calibri" w:cs="Calibri"/>
                <w:lang w:bidi="bn-BD"/>
              </w:rPr>
              <w:t>27</w:t>
            </w:r>
            <w:r w:rsidRPr="00CA07D6">
              <w:rPr>
                <w:rFonts w:ascii="Calibri" w:hAnsi="Calibri" w:cs="Calibri"/>
                <w:lang w:bidi="bn-BD"/>
              </w:rPr>
              <w:t>%</w:t>
            </w:r>
          </w:p>
        </w:tc>
        <w:tc>
          <w:tcPr>
            <w:tcW w:w="58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c>
          <w:tcPr>
            <w:tcW w:w="551"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0.00%</w:t>
            </w:r>
          </w:p>
        </w:tc>
      </w:tr>
    </w:tbl>
    <w:p w:rsidR="00AD581D" w:rsidRPr="00321E6D" w:rsidRDefault="00AD581D" w:rsidP="00AD581D">
      <w:pPr>
        <w:rPr>
          <w:sz w:val="24"/>
          <w:szCs w:val="24"/>
        </w:rPr>
      </w:pPr>
      <w:r>
        <w:rPr>
          <w:noProof/>
        </w:rPr>
        <w:lastRenderedPageBreak/>
        <w:drawing>
          <wp:anchor distT="0" distB="0" distL="114300" distR="114300" simplePos="0" relativeHeight="251751424" behindDoc="0" locked="0" layoutInCell="1" allowOverlap="1">
            <wp:simplePos x="0" y="0"/>
            <wp:positionH relativeFrom="margin">
              <wp:align>right</wp:align>
            </wp:positionH>
            <wp:positionV relativeFrom="paragraph">
              <wp:posOffset>220980</wp:posOffset>
            </wp:positionV>
            <wp:extent cx="5734050" cy="2609850"/>
            <wp:effectExtent l="0" t="0" r="0" b="0"/>
            <wp:wrapTopAndBottom/>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Here, the percentage rates of interest income on debentures are.034%, .</w:t>
      </w:r>
      <w:r>
        <w:rPr>
          <w:sz w:val="24"/>
          <w:szCs w:val="24"/>
        </w:rPr>
        <w:t>0</w:t>
      </w:r>
      <w:r w:rsidRPr="00321E6D">
        <w:rPr>
          <w:sz w:val="24"/>
          <w:szCs w:val="24"/>
        </w:rPr>
        <w:t xml:space="preserve">10%, .0027%, 0% and </w:t>
      </w:r>
      <w:r>
        <w:rPr>
          <w:sz w:val="24"/>
          <w:szCs w:val="24"/>
        </w:rPr>
        <w:t>0% from 2013 to 2017</w:t>
      </w:r>
      <w:r w:rsidRPr="00321E6D">
        <w:rPr>
          <w:sz w:val="24"/>
          <w:szCs w:val="24"/>
        </w:rPr>
        <w:t>. The growth rate of interest income on debentures of CBL are showin</w:t>
      </w:r>
      <w:r>
        <w:rPr>
          <w:sz w:val="24"/>
          <w:szCs w:val="24"/>
        </w:rPr>
        <w:t>g negative growth rate from 2013</w:t>
      </w:r>
      <w:r w:rsidRPr="00321E6D">
        <w:rPr>
          <w:sz w:val="24"/>
          <w:szCs w:val="24"/>
        </w:rPr>
        <w:t xml:space="preserve"> to 2016. So it is indicating that the interest income on debentures among total investment income is totally insignificant for CBL. </w:t>
      </w:r>
    </w:p>
    <w:p w:rsidR="00AD581D" w:rsidRPr="00321E6D" w:rsidRDefault="00AD581D" w:rsidP="00AF203D">
      <w:pPr>
        <w:pStyle w:val="Heading3"/>
      </w:pPr>
      <w:bookmarkStart w:id="82" w:name="_Toc524821061"/>
      <w:r w:rsidRPr="00321E6D">
        <w:t>4.3.5Dividend Income on Shares</w:t>
      </w:r>
      <w:bookmarkEnd w:id="82"/>
    </w:p>
    <w:p w:rsidR="00AD581D" w:rsidRPr="00321E6D" w:rsidRDefault="00AD581D" w:rsidP="00AD581D">
      <w:pPr>
        <w:rPr>
          <w:sz w:val="24"/>
          <w:szCs w:val="24"/>
        </w:rPr>
      </w:pPr>
      <w:r w:rsidRPr="00321E6D">
        <w:rPr>
          <w:sz w:val="24"/>
          <w:szCs w:val="24"/>
        </w:rPr>
        <w:t xml:space="preserve">The percentage rates of dividend income on shares have been calculated here by dividing the dividend income on shares with the total investment income.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Year</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2013</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2015</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2016</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2017</w:t>
            </w:r>
          </w:p>
        </w:tc>
      </w:tr>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Growth Rate</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-10.10%</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83.54%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66.69%</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51.37%</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28.50%</w:t>
            </w:r>
          </w:p>
        </w:tc>
      </w:tr>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Investment</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0.26%</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0.44%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0.85%</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1.29%</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1.59%</w:t>
            </w:r>
          </w:p>
        </w:tc>
      </w:tr>
      <w:tr w:rsidR="00AD581D" w:rsidRPr="00CA07D6" w:rsidTr="00AD581D">
        <w:trPr>
          <w:trHeight w:val="300"/>
        </w:trPr>
        <w:tc>
          <w:tcPr>
            <w:tcW w:w="2222"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Total Investment Income</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4.11%</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4.48%</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4.74%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6.64%</w:t>
            </w:r>
          </w:p>
        </w:tc>
        <w:tc>
          <w:tcPr>
            <w:tcW w:w="556"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14.51%</w:t>
            </w:r>
          </w:p>
        </w:tc>
      </w:tr>
    </w:tbl>
    <w:p w:rsidR="00AD581D" w:rsidRPr="00321E6D" w:rsidRDefault="00AD581D" w:rsidP="00AD581D">
      <w:pPr>
        <w:rPr>
          <w:sz w:val="24"/>
          <w:szCs w:val="24"/>
        </w:rPr>
      </w:pPr>
      <w:r>
        <w:rPr>
          <w:noProof/>
        </w:rPr>
        <w:drawing>
          <wp:anchor distT="0" distB="0" distL="114300" distR="114300" simplePos="0" relativeHeight="251754496" behindDoc="0" locked="0" layoutInCell="1" allowOverlap="1">
            <wp:simplePos x="0" y="0"/>
            <wp:positionH relativeFrom="margin">
              <wp:align>right</wp:align>
            </wp:positionH>
            <wp:positionV relativeFrom="paragraph">
              <wp:posOffset>305435</wp:posOffset>
            </wp:positionV>
            <wp:extent cx="5695950" cy="2343150"/>
            <wp:effectExtent l="0" t="0" r="0" b="0"/>
            <wp:wrapTopAndBottom/>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t>Here, the percentage rates of dividend income on shares are 4.11%, 4.48%, 4.74%</w:t>
      </w:r>
      <w:r>
        <w:rPr>
          <w:sz w:val="24"/>
          <w:szCs w:val="24"/>
        </w:rPr>
        <w:t>,</w:t>
      </w:r>
      <w:r w:rsidRPr="00321E6D">
        <w:rPr>
          <w:sz w:val="24"/>
          <w:szCs w:val="24"/>
        </w:rPr>
        <w:t xml:space="preserve"> 6.64% and</w:t>
      </w:r>
      <w:r>
        <w:rPr>
          <w:sz w:val="24"/>
          <w:szCs w:val="24"/>
        </w:rPr>
        <w:t xml:space="preserve"> 14.51%from 2013 to 2017</w:t>
      </w:r>
      <w:r w:rsidRPr="00321E6D">
        <w:rPr>
          <w:sz w:val="24"/>
          <w:szCs w:val="24"/>
        </w:rPr>
        <w:t xml:space="preserve">.Though the growth rate of investment income on shares are showing negative </w:t>
      </w:r>
      <w:r>
        <w:rPr>
          <w:sz w:val="24"/>
          <w:szCs w:val="24"/>
        </w:rPr>
        <w:t xml:space="preserve">in </w:t>
      </w:r>
      <w:r w:rsidRPr="00321E6D">
        <w:rPr>
          <w:sz w:val="24"/>
          <w:szCs w:val="24"/>
        </w:rPr>
        <w:t>2013, there are positive growth rate of d</w:t>
      </w:r>
      <w:r>
        <w:rPr>
          <w:sz w:val="24"/>
          <w:szCs w:val="24"/>
        </w:rPr>
        <w:t>ividend income from 2014 to 2017</w:t>
      </w:r>
      <w:r w:rsidRPr="00321E6D">
        <w:rPr>
          <w:sz w:val="24"/>
          <w:szCs w:val="24"/>
        </w:rPr>
        <w:t>.The significant growing rate on d</w:t>
      </w:r>
      <w:r>
        <w:rPr>
          <w:sz w:val="24"/>
          <w:szCs w:val="24"/>
        </w:rPr>
        <w:t>ividend income on shares in 2014</w:t>
      </w:r>
      <w:r w:rsidRPr="00321E6D">
        <w:rPr>
          <w:sz w:val="24"/>
          <w:szCs w:val="24"/>
        </w:rPr>
        <w:t xml:space="preserve"> notifying here. </w:t>
      </w:r>
    </w:p>
    <w:p w:rsidR="00AD581D" w:rsidRPr="00321E6D" w:rsidRDefault="00AD581D" w:rsidP="00AF203D">
      <w:pPr>
        <w:pStyle w:val="Heading3"/>
      </w:pPr>
      <w:bookmarkStart w:id="83" w:name="_Toc524821062"/>
      <w:r w:rsidRPr="00321E6D">
        <w:lastRenderedPageBreak/>
        <w:t>4.3.6Gain on Government Securities</w:t>
      </w:r>
      <w:bookmarkEnd w:id="83"/>
    </w:p>
    <w:p w:rsidR="00AD581D" w:rsidRPr="00321E6D" w:rsidRDefault="00AD581D" w:rsidP="00AD581D">
      <w:pPr>
        <w:rPr>
          <w:sz w:val="24"/>
          <w:szCs w:val="24"/>
        </w:rPr>
      </w:pPr>
      <w:r w:rsidRPr="00321E6D">
        <w:rPr>
          <w:sz w:val="24"/>
          <w:szCs w:val="24"/>
        </w:rPr>
        <w:t>Here, the percentage rates of gain on government securities are calculated by dividing gain on government securities with the total investment</w:t>
      </w:r>
      <w:r>
        <w:rPr>
          <w:sz w:val="24"/>
          <w:szCs w:val="24"/>
        </w:rPr>
        <w:t xml:space="preserve"> income.  </w:t>
      </w:r>
    </w:p>
    <w:tbl>
      <w:tblPr>
        <w:tblW w:w="5000" w:type="pct"/>
        <w:tblLook w:val="04A0" w:firstRow="1" w:lastRow="0" w:firstColumn="1" w:lastColumn="0" w:noHBand="0" w:noVBand="1"/>
      </w:tblPr>
      <w:tblGrid>
        <w:gridCol w:w="4092"/>
        <w:gridCol w:w="1022"/>
        <w:gridCol w:w="1022"/>
        <w:gridCol w:w="1063"/>
        <w:gridCol w:w="1022"/>
        <w:gridCol w:w="1022"/>
      </w:tblGrid>
      <w:tr w:rsidR="00AD581D" w:rsidRPr="00CA07D6" w:rsidTr="00AD581D">
        <w:trPr>
          <w:trHeight w:val="300"/>
        </w:trPr>
        <w:tc>
          <w:tcPr>
            <w:tcW w:w="2215"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Year</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2013</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2014</w:t>
            </w:r>
          </w:p>
        </w:tc>
        <w:tc>
          <w:tcPr>
            <w:tcW w:w="569"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2015</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2016</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2017</w:t>
            </w:r>
          </w:p>
        </w:tc>
      </w:tr>
      <w:tr w:rsidR="00AD581D" w:rsidRPr="00CA07D6" w:rsidTr="00AD581D">
        <w:trPr>
          <w:trHeight w:val="300"/>
        </w:trPr>
        <w:tc>
          <w:tcPr>
            <w:tcW w:w="2215"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Growth Rate</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-67.28%</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28.93%</w:t>
            </w:r>
          </w:p>
        </w:tc>
        <w:tc>
          <w:tcPr>
            <w:tcW w:w="569"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761.35%</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-78.00%</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25.89%</w:t>
            </w:r>
          </w:p>
        </w:tc>
      </w:tr>
      <w:tr w:rsidR="00AD581D" w:rsidRPr="00CA07D6" w:rsidTr="00AD581D">
        <w:trPr>
          <w:trHeight w:val="300"/>
        </w:trPr>
        <w:tc>
          <w:tcPr>
            <w:tcW w:w="2215"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Investment</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0.62%</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0.73%</w:t>
            </w:r>
          </w:p>
        </w:tc>
        <w:tc>
          <w:tcPr>
            <w:tcW w:w="569"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7.37%</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1.63%</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1.97%</w:t>
            </w:r>
          </w:p>
        </w:tc>
      </w:tr>
      <w:tr w:rsidR="00AD581D" w:rsidRPr="00CA07D6" w:rsidTr="00AD581D">
        <w:trPr>
          <w:trHeight w:val="300"/>
        </w:trPr>
        <w:tc>
          <w:tcPr>
            <w:tcW w:w="2215"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Total Investment Income</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9.88%</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7.55%</w:t>
            </w:r>
          </w:p>
        </w:tc>
        <w:tc>
          <w:tcPr>
            <w:tcW w:w="569"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41.33%</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8.41%</w:t>
            </w:r>
          </w:p>
        </w:tc>
        <w:tc>
          <w:tcPr>
            <w:tcW w:w="55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18.00%</w:t>
            </w:r>
          </w:p>
        </w:tc>
      </w:tr>
    </w:tbl>
    <w:p w:rsidR="00AD581D" w:rsidRPr="00321E6D" w:rsidRDefault="00AD581D" w:rsidP="00AD581D">
      <w:pPr>
        <w:rPr>
          <w:sz w:val="24"/>
          <w:szCs w:val="24"/>
        </w:rPr>
      </w:pPr>
    </w:p>
    <w:p w:rsidR="00AD581D" w:rsidRPr="00321E6D" w:rsidRDefault="00AD581D" w:rsidP="00AD581D">
      <w:pPr>
        <w:rPr>
          <w:sz w:val="24"/>
          <w:szCs w:val="24"/>
        </w:rPr>
      </w:pPr>
    </w:p>
    <w:p w:rsidR="00AD581D" w:rsidRPr="00321E6D" w:rsidRDefault="00AD581D" w:rsidP="00AD581D">
      <w:pPr>
        <w:rPr>
          <w:sz w:val="24"/>
          <w:szCs w:val="24"/>
        </w:rPr>
      </w:pPr>
    </w:p>
    <w:p w:rsidR="00AD581D" w:rsidRPr="00321E6D" w:rsidRDefault="00AD581D" w:rsidP="00AD581D">
      <w:pPr>
        <w:rPr>
          <w:sz w:val="24"/>
          <w:szCs w:val="24"/>
        </w:rPr>
      </w:pPr>
      <w:r>
        <w:rPr>
          <w:noProof/>
        </w:rPr>
        <w:drawing>
          <wp:anchor distT="0" distB="0" distL="114300" distR="114300" simplePos="0" relativeHeight="251757568" behindDoc="0" locked="0" layoutInCell="1" allowOverlap="1">
            <wp:simplePos x="0" y="0"/>
            <wp:positionH relativeFrom="margin">
              <wp:align>right</wp:align>
            </wp:positionH>
            <wp:positionV relativeFrom="paragraph">
              <wp:posOffset>0</wp:posOffset>
            </wp:positionV>
            <wp:extent cx="5695950" cy="2743200"/>
            <wp:effectExtent l="0" t="0" r="0" b="0"/>
            <wp:wrapTopAndBottom/>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anchor>
        </w:drawing>
      </w:r>
    </w:p>
    <w:p w:rsidR="00AD581D" w:rsidRPr="00321E6D" w:rsidRDefault="00AD581D" w:rsidP="00AD581D">
      <w:pPr>
        <w:rPr>
          <w:sz w:val="24"/>
          <w:szCs w:val="24"/>
        </w:rPr>
      </w:pPr>
      <w:r w:rsidRPr="00321E6D">
        <w:rPr>
          <w:sz w:val="24"/>
          <w:szCs w:val="24"/>
        </w:rPr>
        <w:t xml:space="preserve">Here, the percentage rates of gain on government securities are 9.88%, </w:t>
      </w:r>
      <w:r>
        <w:rPr>
          <w:sz w:val="24"/>
          <w:szCs w:val="24"/>
        </w:rPr>
        <w:t>7.55</w:t>
      </w:r>
      <w:r w:rsidRPr="00321E6D">
        <w:rPr>
          <w:sz w:val="24"/>
          <w:szCs w:val="24"/>
        </w:rPr>
        <w:t>%, 41.33%</w:t>
      </w:r>
      <w:r>
        <w:rPr>
          <w:sz w:val="24"/>
          <w:szCs w:val="24"/>
        </w:rPr>
        <w:t>,</w:t>
      </w:r>
      <w:r w:rsidRPr="00321E6D">
        <w:rPr>
          <w:sz w:val="24"/>
          <w:szCs w:val="24"/>
        </w:rPr>
        <w:t xml:space="preserve"> 8.41% and </w:t>
      </w:r>
      <w:r>
        <w:rPr>
          <w:sz w:val="24"/>
          <w:szCs w:val="24"/>
        </w:rPr>
        <w:t>18.00% from 2013 to 2017</w:t>
      </w:r>
      <w:r w:rsidRPr="00321E6D">
        <w:rPr>
          <w:sz w:val="24"/>
          <w:szCs w:val="24"/>
        </w:rPr>
        <w:t>. The significant growth rate of gain on government securities of CBL have been identified from the chart which is in 2015.There is anot</w:t>
      </w:r>
      <w:r>
        <w:rPr>
          <w:sz w:val="24"/>
          <w:szCs w:val="24"/>
        </w:rPr>
        <w:t>her positive growth rate in 2014 and 2017</w:t>
      </w:r>
      <w:r w:rsidRPr="00321E6D">
        <w:rPr>
          <w:sz w:val="24"/>
          <w:szCs w:val="24"/>
        </w:rPr>
        <w:t xml:space="preserve"> but negative growth rate in 2013, 2016. </w:t>
      </w:r>
    </w:p>
    <w:p w:rsidR="00AD581D" w:rsidRPr="00D0595C" w:rsidRDefault="00AD581D" w:rsidP="00AF203D">
      <w:pPr>
        <w:pStyle w:val="Heading3"/>
      </w:pPr>
      <w:bookmarkStart w:id="84" w:name="_Toc524821063"/>
      <w:r w:rsidRPr="00321E6D">
        <w:t>4.3.7Gain on Sales of Shares and Debentures</w:t>
      </w:r>
      <w:bookmarkEnd w:id="84"/>
    </w:p>
    <w:p w:rsidR="0050212E" w:rsidRDefault="00AD581D" w:rsidP="00AD581D">
      <w:pPr>
        <w:rPr>
          <w:sz w:val="24"/>
          <w:szCs w:val="24"/>
        </w:rPr>
      </w:pPr>
      <w:r w:rsidRPr="00321E6D">
        <w:rPr>
          <w:sz w:val="24"/>
          <w:szCs w:val="24"/>
        </w:rPr>
        <w:t>Here, the percentage rates of gain on sales of shares and debentures are calculated by dividing the gain on sales of shares and debentures with the total investment income.</w:t>
      </w:r>
    </w:p>
    <w:p w:rsidR="00AD581D" w:rsidRPr="00321E6D" w:rsidRDefault="00AD581D" w:rsidP="00AD581D">
      <w:pPr>
        <w:rPr>
          <w:sz w:val="24"/>
          <w:szCs w:val="24"/>
        </w:rPr>
      </w:pPr>
    </w:p>
    <w:tbl>
      <w:tblPr>
        <w:tblW w:w="5000" w:type="pct"/>
        <w:tblLook w:val="04A0" w:firstRow="1" w:lastRow="0" w:firstColumn="1" w:lastColumn="0" w:noHBand="0" w:noVBand="1"/>
      </w:tblPr>
      <w:tblGrid>
        <w:gridCol w:w="3806"/>
        <w:gridCol w:w="1171"/>
        <w:gridCol w:w="1061"/>
        <w:gridCol w:w="1017"/>
        <w:gridCol w:w="1171"/>
        <w:gridCol w:w="1017"/>
      </w:tblGrid>
      <w:tr w:rsidR="00AD581D" w:rsidRPr="00CA07D6" w:rsidTr="00AD581D">
        <w:trPr>
          <w:trHeight w:val="300"/>
        </w:trPr>
        <w:tc>
          <w:tcPr>
            <w:tcW w:w="2147"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Year</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2013</w:t>
            </w:r>
          </w:p>
        </w:tc>
        <w:tc>
          <w:tcPr>
            <w:tcW w:w="552"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2014</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2015</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2016</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2017</w:t>
            </w:r>
          </w:p>
        </w:tc>
      </w:tr>
      <w:tr w:rsidR="00AD581D" w:rsidRPr="00CA07D6" w:rsidTr="00AD581D">
        <w:trPr>
          <w:trHeight w:val="300"/>
        </w:trPr>
        <w:tc>
          <w:tcPr>
            <w:tcW w:w="2147"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Growth Rate</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1251.10%</w:t>
            </w:r>
          </w:p>
        </w:tc>
        <w:tc>
          <w:tcPr>
            <w:tcW w:w="552"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593.47%</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-86.27%</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2803.66%</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-82.06%</w:t>
            </w:r>
          </w:p>
        </w:tc>
      </w:tr>
      <w:tr w:rsidR="00AD581D" w:rsidRPr="00CA07D6" w:rsidTr="00AD581D">
        <w:trPr>
          <w:trHeight w:val="300"/>
        </w:trPr>
        <w:tc>
          <w:tcPr>
            <w:tcW w:w="2147"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Investment</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0.22%</w:t>
            </w:r>
          </w:p>
        </w:tc>
        <w:tc>
          <w:tcPr>
            <w:tcW w:w="552"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1.42%</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0.23%</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6.64%</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1.14%</w:t>
            </w:r>
          </w:p>
        </w:tc>
      </w:tr>
      <w:tr w:rsidR="00AD581D" w:rsidRPr="00CA07D6" w:rsidTr="00AD581D">
        <w:trPr>
          <w:trHeight w:val="300"/>
        </w:trPr>
        <w:tc>
          <w:tcPr>
            <w:tcW w:w="2147" w:type="pct"/>
            <w:noWrap/>
            <w:hideMark/>
          </w:tcPr>
          <w:p w:rsidR="00AD581D" w:rsidRPr="00CA07D6" w:rsidRDefault="00AD581D" w:rsidP="00AD581D">
            <w:pPr>
              <w:rPr>
                <w:rFonts w:ascii="Calibri" w:hAnsi="Calibri" w:cs="Calibri"/>
                <w:lang w:bidi="bn-BD"/>
              </w:rPr>
            </w:pPr>
            <w:r w:rsidRPr="00CA07D6">
              <w:rPr>
                <w:rFonts w:ascii="Calibri" w:hAnsi="Calibri" w:cs="Calibri"/>
                <w:lang w:bidi="bn-BD"/>
              </w:rPr>
              <w:t>Percentage of Total Investment Income</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3.55%</w:t>
            </w:r>
          </w:p>
        </w:tc>
        <w:tc>
          <w:tcPr>
            <w:tcW w:w="552"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14.60%</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1.27%</w:t>
            </w:r>
          </w:p>
        </w:tc>
        <w:tc>
          <w:tcPr>
            <w:tcW w:w="614"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34.20%</w:t>
            </w:r>
          </w:p>
        </w:tc>
        <w:tc>
          <w:tcPr>
            <w:tcW w:w="537" w:type="pct"/>
            <w:noWrap/>
            <w:hideMark/>
          </w:tcPr>
          <w:p w:rsidR="00AD581D" w:rsidRPr="00CA07D6" w:rsidRDefault="00AD581D" w:rsidP="00AD581D">
            <w:pPr>
              <w:jc w:val="right"/>
              <w:rPr>
                <w:rFonts w:ascii="Calibri" w:hAnsi="Calibri" w:cs="Calibri"/>
                <w:lang w:bidi="bn-BD"/>
              </w:rPr>
            </w:pPr>
            <w:r w:rsidRPr="00CA07D6">
              <w:rPr>
                <w:rFonts w:ascii="Calibri" w:hAnsi="Calibri" w:cs="Calibri"/>
                <w:lang w:bidi="bn-BD"/>
              </w:rPr>
              <w:t>10.44%</w:t>
            </w:r>
          </w:p>
        </w:tc>
      </w:tr>
    </w:tbl>
    <w:p w:rsidR="00AD581D" w:rsidRPr="00321E6D" w:rsidRDefault="00AD581D" w:rsidP="00AD581D">
      <w:pPr>
        <w:rPr>
          <w:sz w:val="24"/>
          <w:szCs w:val="24"/>
        </w:rPr>
      </w:pPr>
      <w:r>
        <w:rPr>
          <w:noProof/>
        </w:rPr>
        <w:lastRenderedPageBreak/>
        <w:drawing>
          <wp:anchor distT="0" distB="0" distL="114300" distR="114300" simplePos="0" relativeHeight="251760640" behindDoc="0" locked="0" layoutInCell="1" allowOverlap="1">
            <wp:simplePos x="0" y="0"/>
            <wp:positionH relativeFrom="margin">
              <wp:align>right</wp:align>
            </wp:positionH>
            <wp:positionV relativeFrom="paragraph">
              <wp:posOffset>193040</wp:posOffset>
            </wp:positionV>
            <wp:extent cx="5734050" cy="2743200"/>
            <wp:effectExtent l="0" t="0" r="0" b="0"/>
            <wp:wrapTopAndBottom/>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anchor>
        </w:drawing>
      </w:r>
    </w:p>
    <w:p w:rsidR="00AD581D" w:rsidRPr="00321E6D" w:rsidRDefault="00AD581D" w:rsidP="00AD581D">
      <w:pPr>
        <w:rPr>
          <w:sz w:val="24"/>
          <w:szCs w:val="24"/>
        </w:rPr>
      </w:pPr>
    </w:p>
    <w:p w:rsidR="00AD581D" w:rsidRDefault="00AD581D" w:rsidP="00AD581D">
      <w:pPr>
        <w:rPr>
          <w:sz w:val="24"/>
          <w:szCs w:val="24"/>
        </w:rPr>
      </w:pPr>
      <w:r w:rsidRPr="00321E6D">
        <w:rPr>
          <w:sz w:val="24"/>
          <w:szCs w:val="24"/>
        </w:rPr>
        <w:t>Here, the percentage rates of gain on sales of shares and debentures are</w:t>
      </w:r>
      <w:r>
        <w:rPr>
          <w:sz w:val="24"/>
          <w:szCs w:val="24"/>
        </w:rPr>
        <w:t xml:space="preserve"> 3</w:t>
      </w:r>
      <w:r w:rsidRPr="00321E6D">
        <w:rPr>
          <w:sz w:val="24"/>
          <w:szCs w:val="24"/>
        </w:rPr>
        <w:t>.</w:t>
      </w:r>
      <w:r>
        <w:rPr>
          <w:sz w:val="24"/>
          <w:szCs w:val="24"/>
        </w:rPr>
        <w:t>55</w:t>
      </w:r>
      <w:r w:rsidRPr="00321E6D">
        <w:rPr>
          <w:sz w:val="24"/>
          <w:szCs w:val="24"/>
        </w:rPr>
        <w:t>%, 14.60%, 1.27%</w:t>
      </w:r>
      <w:r>
        <w:rPr>
          <w:sz w:val="24"/>
          <w:szCs w:val="24"/>
        </w:rPr>
        <w:t>,</w:t>
      </w:r>
      <w:r w:rsidRPr="00321E6D">
        <w:rPr>
          <w:sz w:val="24"/>
          <w:szCs w:val="24"/>
        </w:rPr>
        <w:t xml:space="preserve"> 34.20% and </w:t>
      </w:r>
      <w:r>
        <w:rPr>
          <w:sz w:val="24"/>
          <w:szCs w:val="24"/>
        </w:rPr>
        <w:t>10.44% from 2013 to 2018</w:t>
      </w:r>
      <w:r w:rsidRPr="00321E6D">
        <w:rPr>
          <w:sz w:val="24"/>
          <w:szCs w:val="24"/>
        </w:rPr>
        <w:t>.The positive growth rate are showing in the chart in 2013, 2014 and 2016 from which in 2016 the highest positive growth rate are being identified. There ar</w:t>
      </w:r>
      <w:r>
        <w:rPr>
          <w:sz w:val="24"/>
          <w:szCs w:val="24"/>
        </w:rPr>
        <w:t>e negative growth rates in 2015 and 2017</w:t>
      </w:r>
      <w:r w:rsidRPr="00321E6D">
        <w:rPr>
          <w:sz w:val="24"/>
          <w:szCs w:val="24"/>
        </w:rPr>
        <w:t xml:space="preserve">.there is significant incomes of CBL from gain on sales of shares and debentures in 2013 and 2016. </w:t>
      </w:r>
    </w:p>
    <w:p w:rsidR="0050212E" w:rsidRPr="00321E6D" w:rsidRDefault="0050212E" w:rsidP="00AD581D">
      <w:pPr>
        <w:rPr>
          <w:sz w:val="24"/>
          <w:szCs w:val="24"/>
        </w:rPr>
      </w:pPr>
    </w:p>
    <w:p w:rsidR="00AD581D" w:rsidRPr="00321E6D" w:rsidRDefault="00AD581D" w:rsidP="00AF203D">
      <w:pPr>
        <w:pStyle w:val="Heading3"/>
      </w:pPr>
      <w:bookmarkStart w:id="85" w:name="_Toc524821064"/>
      <w:r w:rsidRPr="00321E6D">
        <w:t>4.3.8Gain on Repo</w:t>
      </w:r>
      <w:bookmarkEnd w:id="85"/>
    </w:p>
    <w:p w:rsidR="00AD581D" w:rsidRPr="00321E6D" w:rsidRDefault="00AD581D" w:rsidP="00AD581D">
      <w:pPr>
        <w:rPr>
          <w:sz w:val="24"/>
          <w:szCs w:val="24"/>
        </w:rPr>
      </w:pPr>
      <w:r w:rsidRPr="00321E6D">
        <w:rPr>
          <w:sz w:val="24"/>
          <w:szCs w:val="24"/>
        </w:rPr>
        <w:t>Here, the percentage rates of gain on repo are calculated by dividing the gain on repo wit</w:t>
      </w:r>
      <w:r>
        <w:rPr>
          <w:sz w:val="24"/>
          <w:szCs w:val="24"/>
        </w:rPr>
        <w:t xml:space="preserve">h the total investment income. </w:t>
      </w:r>
    </w:p>
    <w:tbl>
      <w:tblPr>
        <w:tblW w:w="5000" w:type="pct"/>
        <w:tblLook w:val="04A0" w:firstRow="1" w:lastRow="0" w:firstColumn="1" w:lastColumn="0" w:noHBand="0" w:noVBand="1"/>
      </w:tblPr>
      <w:tblGrid>
        <w:gridCol w:w="4059"/>
        <w:gridCol w:w="997"/>
        <w:gridCol w:w="1063"/>
        <w:gridCol w:w="1130"/>
        <w:gridCol w:w="997"/>
        <w:gridCol w:w="997"/>
      </w:tblGrid>
      <w:tr w:rsidR="00AD581D" w:rsidRPr="001F3782" w:rsidTr="00AD581D">
        <w:trPr>
          <w:trHeight w:val="300"/>
        </w:trPr>
        <w:tc>
          <w:tcPr>
            <w:tcW w:w="2208" w:type="pct"/>
            <w:noWrap/>
            <w:hideMark/>
          </w:tcPr>
          <w:p w:rsidR="00AD581D" w:rsidRPr="001F3782" w:rsidRDefault="00AD581D" w:rsidP="00AD581D">
            <w:pPr>
              <w:rPr>
                <w:rFonts w:ascii="Calibri" w:hAnsi="Calibri" w:cs="Calibri"/>
                <w:lang w:bidi="bn-BD"/>
              </w:rPr>
            </w:pPr>
            <w:r w:rsidRPr="001F3782">
              <w:rPr>
                <w:rFonts w:ascii="Calibri" w:hAnsi="Calibri" w:cs="Calibri"/>
                <w:lang w:bidi="bn-BD"/>
              </w:rPr>
              <w:t>Year</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2013</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2014</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2015</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2016</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2017</w:t>
            </w:r>
          </w:p>
        </w:tc>
      </w:tr>
      <w:tr w:rsidR="00AD581D" w:rsidRPr="001F3782" w:rsidTr="00AD581D">
        <w:trPr>
          <w:trHeight w:val="300"/>
        </w:trPr>
        <w:tc>
          <w:tcPr>
            <w:tcW w:w="2208" w:type="pct"/>
            <w:noWrap/>
            <w:hideMark/>
          </w:tcPr>
          <w:p w:rsidR="00AD581D" w:rsidRPr="001F3782" w:rsidRDefault="00AD581D" w:rsidP="00AD581D">
            <w:pPr>
              <w:rPr>
                <w:rFonts w:ascii="Calibri" w:hAnsi="Calibri" w:cs="Calibri"/>
                <w:lang w:bidi="bn-BD"/>
              </w:rPr>
            </w:pPr>
            <w:r w:rsidRPr="001F3782">
              <w:rPr>
                <w:rFonts w:ascii="Calibri" w:hAnsi="Calibri" w:cs="Calibri"/>
                <w:lang w:bidi="bn-BD"/>
              </w:rPr>
              <w:t>Growth Rate</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317.84%</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-100.00%</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r>
      <w:tr w:rsidR="00AD581D" w:rsidRPr="001F3782" w:rsidTr="00AD581D">
        <w:trPr>
          <w:trHeight w:val="300"/>
        </w:trPr>
        <w:tc>
          <w:tcPr>
            <w:tcW w:w="2208" w:type="pct"/>
            <w:noWrap/>
            <w:hideMark/>
          </w:tcPr>
          <w:p w:rsidR="00AD581D" w:rsidRPr="001F3782" w:rsidRDefault="00AD581D" w:rsidP="00AD581D">
            <w:pPr>
              <w:rPr>
                <w:rFonts w:ascii="Calibri" w:hAnsi="Calibri" w:cs="Calibri"/>
                <w:lang w:bidi="bn-BD"/>
              </w:rPr>
            </w:pPr>
            <w:r w:rsidRPr="001F3782">
              <w:rPr>
                <w:rFonts w:ascii="Calibri" w:hAnsi="Calibri" w:cs="Calibri"/>
                <w:lang w:bidi="bn-BD"/>
              </w:rPr>
              <w:t>Percentage of Investment</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0.03%</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0.10%</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r>
      <w:tr w:rsidR="00AD581D" w:rsidRPr="001F3782" w:rsidTr="00AD581D">
        <w:trPr>
          <w:trHeight w:val="300"/>
        </w:trPr>
        <w:tc>
          <w:tcPr>
            <w:tcW w:w="2208" w:type="pct"/>
            <w:noWrap/>
            <w:hideMark/>
          </w:tcPr>
          <w:p w:rsidR="00AD581D" w:rsidRPr="001F3782" w:rsidRDefault="00AD581D" w:rsidP="00AD581D">
            <w:pPr>
              <w:rPr>
                <w:rFonts w:ascii="Calibri" w:hAnsi="Calibri" w:cs="Calibri"/>
                <w:lang w:bidi="bn-BD"/>
              </w:rPr>
            </w:pPr>
            <w:r w:rsidRPr="001F3782">
              <w:rPr>
                <w:rFonts w:ascii="Calibri" w:hAnsi="Calibri" w:cs="Calibri"/>
                <w:lang w:bidi="bn-BD"/>
              </w:rPr>
              <w:t>Percentage of Total Investment Income</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0.43%</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1.07%</w:t>
            </w:r>
          </w:p>
        </w:tc>
        <w:tc>
          <w:tcPr>
            <w:tcW w:w="568"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c>
          <w:tcPr>
            <w:tcW w:w="552" w:type="pct"/>
            <w:noWrap/>
            <w:hideMark/>
          </w:tcPr>
          <w:p w:rsidR="00AD581D" w:rsidRPr="001F3782" w:rsidRDefault="00AD581D" w:rsidP="00AD581D">
            <w:pPr>
              <w:jc w:val="right"/>
              <w:rPr>
                <w:rFonts w:ascii="Calibri" w:hAnsi="Calibri" w:cs="Calibri"/>
                <w:lang w:bidi="bn-BD"/>
              </w:rPr>
            </w:pPr>
            <w:r w:rsidRPr="001F3782">
              <w:rPr>
                <w:rFonts w:ascii="Calibri" w:hAnsi="Calibri" w:cs="Calibri"/>
                <w:lang w:bidi="bn-BD"/>
              </w:rPr>
              <w:t>0.00%</w:t>
            </w:r>
          </w:p>
        </w:tc>
      </w:tr>
    </w:tbl>
    <w:p w:rsidR="00AD581D" w:rsidRDefault="00AD581D" w:rsidP="00AD581D">
      <w:pPr>
        <w:rPr>
          <w:sz w:val="24"/>
          <w:szCs w:val="24"/>
        </w:rPr>
      </w:pPr>
      <w:r>
        <w:rPr>
          <w:noProof/>
        </w:rPr>
        <w:drawing>
          <wp:anchor distT="0" distB="0" distL="114300" distR="114300" simplePos="0" relativeHeight="251763712" behindDoc="0" locked="0" layoutInCell="1" allowOverlap="1">
            <wp:simplePos x="0" y="0"/>
            <wp:positionH relativeFrom="margin">
              <wp:align>right</wp:align>
            </wp:positionH>
            <wp:positionV relativeFrom="paragraph">
              <wp:posOffset>199390</wp:posOffset>
            </wp:positionV>
            <wp:extent cx="5734050" cy="2409825"/>
            <wp:effectExtent l="0" t="0" r="0" b="9525"/>
            <wp:wrapTopAndBottom/>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anchor>
        </w:drawing>
      </w:r>
    </w:p>
    <w:p w:rsidR="00AD581D" w:rsidRPr="00321E6D" w:rsidRDefault="00AD581D" w:rsidP="00AD581D">
      <w:pPr>
        <w:rPr>
          <w:sz w:val="24"/>
          <w:szCs w:val="24"/>
        </w:rPr>
      </w:pPr>
    </w:p>
    <w:p w:rsidR="00AD581D" w:rsidRPr="00321E6D" w:rsidRDefault="00AD581D" w:rsidP="00AD581D">
      <w:pPr>
        <w:rPr>
          <w:sz w:val="24"/>
          <w:szCs w:val="24"/>
        </w:rPr>
      </w:pPr>
      <w:r w:rsidRPr="00321E6D">
        <w:rPr>
          <w:sz w:val="24"/>
          <w:szCs w:val="24"/>
        </w:rPr>
        <w:lastRenderedPageBreak/>
        <w:t>Here, the percentage rates of gain on repo are.43%, 1.07%, 0%</w:t>
      </w:r>
      <w:r>
        <w:rPr>
          <w:sz w:val="24"/>
          <w:szCs w:val="24"/>
        </w:rPr>
        <w:t>,</w:t>
      </w:r>
      <w:r w:rsidRPr="00321E6D">
        <w:rPr>
          <w:sz w:val="24"/>
          <w:szCs w:val="24"/>
        </w:rPr>
        <w:t xml:space="preserve"> 0%and</w:t>
      </w:r>
      <w:r>
        <w:rPr>
          <w:sz w:val="24"/>
          <w:szCs w:val="24"/>
        </w:rPr>
        <w:t xml:space="preserve"> 0%from 2013 to 2017</w:t>
      </w:r>
      <w:r w:rsidRPr="00321E6D">
        <w:rPr>
          <w:sz w:val="24"/>
          <w:szCs w:val="24"/>
        </w:rPr>
        <w:t>.From the chart it is being sh</w:t>
      </w:r>
      <w:r>
        <w:rPr>
          <w:sz w:val="24"/>
          <w:szCs w:val="24"/>
        </w:rPr>
        <w:t>owed that there is no growth in</w:t>
      </w:r>
      <w:r w:rsidRPr="00321E6D">
        <w:rPr>
          <w:sz w:val="24"/>
          <w:szCs w:val="24"/>
        </w:rPr>
        <w:t xml:space="preserve"> 2013</w:t>
      </w:r>
      <w:r>
        <w:rPr>
          <w:sz w:val="24"/>
          <w:szCs w:val="24"/>
        </w:rPr>
        <w:t xml:space="preserve">, </w:t>
      </w:r>
      <w:r w:rsidRPr="00321E6D">
        <w:rPr>
          <w:sz w:val="24"/>
          <w:szCs w:val="24"/>
        </w:rPr>
        <w:t>2016and</w:t>
      </w:r>
      <w:r>
        <w:rPr>
          <w:sz w:val="24"/>
          <w:szCs w:val="24"/>
        </w:rPr>
        <w:t xml:space="preserve"> 2017</w:t>
      </w:r>
      <w:r w:rsidRPr="00321E6D">
        <w:rPr>
          <w:sz w:val="24"/>
          <w:szCs w:val="24"/>
        </w:rPr>
        <w:t>.</w:t>
      </w:r>
      <w:r>
        <w:rPr>
          <w:sz w:val="24"/>
          <w:szCs w:val="24"/>
        </w:rPr>
        <w:t>T</w:t>
      </w:r>
      <w:r w:rsidRPr="00321E6D">
        <w:rPr>
          <w:sz w:val="24"/>
          <w:szCs w:val="24"/>
        </w:rPr>
        <w:t>her</w:t>
      </w:r>
      <w:r>
        <w:rPr>
          <w:sz w:val="24"/>
          <w:szCs w:val="24"/>
        </w:rPr>
        <w:t>e</w:t>
      </w:r>
      <w:r w:rsidRPr="00321E6D">
        <w:rPr>
          <w:sz w:val="24"/>
          <w:szCs w:val="24"/>
        </w:rPr>
        <w:t xml:space="preserve"> is significant positive growth rate of gain on repo in 2014 but negative growth rate i</w:t>
      </w:r>
      <w:r>
        <w:rPr>
          <w:sz w:val="24"/>
          <w:szCs w:val="24"/>
        </w:rPr>
        <w:t xml:space="preserve">n 2015. </w:t>
      </w:r>
    </w:p>
    <w:p w:rsidR="00AD581D" w:rsidRPr="00D0595C" w:rsidRDefault="00AD581D" w:rsidP="00AF203D">
      <w:pPr>
        <w:pStyle w:val="Heading3"/>
      </w:pPr>
      <w:bookmarkStart w:id="86" w:name="_Toc524821065"/>
      <w:r w:rsidRPr="00321E6D">
        <w:t>4.3.9Proportion of Investment Income among total Interest Income</w:t>
      </w:r>
      <w:bookmarkEnd w:id="86"/>
    </w:p>
    <w:p w:rsidR="00AD581D" w:rsidRDefault="00AD581D" w:rsidP="00AD581D">
      <w:pPr>
        <w:rPr>
          <w:sz w:val="24"/>
          <w:szCs w:val="24"/>
        </w:rPr>
      </w:pPr>
      <w:r w:rsidRPr="00321E6D">
        <w:rPr>
          <w:sz w:val="24"/>
          <w:szCs w:val="24"/>
        </w:rPr>
        <w:t>The investment income is included in the total interest income. The proportion of investment income is calculated by dividing the amount of investment income of CBL with the total amo</w:t>
      </w:r>
      <w:r>
        <w:rPr>
          <w:sz w:val="24"/>
          <w:szCs w:val="24"/>
        </w:rPr>
        <w:t xml:space="preserve">unt of interest income of CBL. </w:t>
      </w:r>
    </w:p>
    <w:tbl>
      <w:tblPr>
        <w:tblW w:w="5000" w:type="pct"/>
        <w:tblLook w:val="04A0" w:firstRow="1" w:lastRow="0" w:firstColumn="1" w:lastColumn="0" w:noHBand="0" w:noVBand="1"/>
      </w:tblPr>
      <w:tblGrid>
        <w:gridCol w:w="4107"/>
        <w:gridCol w:w="1028"/>
        <w:gridCol w:w="1028"/>
        <w:gridCol w:w="1028"/>
        <w:gridCol w:w="1028"/>
        <w:gridCol w:w="1024"/>
      </w:tblGrid>
      <w:tr w:rsidR="00AD581D" w:rsidRPr="008374B3" w:rsidTr="00AD581D">
        <w:trPr>
          <w:trHeight w:val="300"/>
        </w:trPr>
        <w:tc>
          <w:tcPr>
            <w:tcW w:w="2222" w:type="pct"/>
            <w:noWrap/>
            <w:hideMark/>
          </w:tcPr>
          <w:p w:rsidR="00AD581D" w:rsidRPr="008374B3" w:rsidRDefault="00AD581D" w:rsidP="00AD581D">
            <w:pPr>
              <w:rPr>
                <w:rFonts w:ascii="Calibri" w:hAnsi="Calibri" w:cs="Calibri"/>
                <w:lang w:bidi="bn-BD"/>
              </w:rPr>
            </w:pPr>
            <w:r w:rsidRPr="008374B3">
              <w:rPr>
                <w:rFonts w:ascii="Calibri" w:hAnsi="Calibri" w:cs="Calibri"/>
                <w:lang w:bidi="bn-BD"/>
              </w:rPr>
              <w:t>Year</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2013</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2014</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2015</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2016</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2017</w:t>
            </w:r>
          </w:p>
        </w:tc>
      </w:tr>
      <w:tr w:rsidR="00AD581D" w:rsidRPr="008374B3" w:rsidTr="00AD581D">
        <w:trPr>
          <w:trHeight w:val="300"/>
        </w:trPr>
        <w:tc>
          <w:tcPr>
            <w:tcW w:w="2222" w:type="pct"/>
            <w:noWrap/>
            <w:hideMark/>
          </w:tcPr>
          <w:p w:rsidR="00AD581D" w:rsidRPr="008374B3" w:rsidRDefault="00AD581D" w:rsidP="00AD581D">
            <w:pPr>
              <w:rPr>
                <w:rFonts w:ascii="Calibri" w:hAnsi="Calibri" w:cs="Calibri"/>
                <w:lang w:bidi="bn-BD"/>
              </w:rPr>
            </w:pPr>
            <w:r w:rsidRPr="008374B3">
              <w:rPr>
                <w:rFonts w:ascii="Calibri" w:hAnsi="Calibri" w:cs="Calibri"/>
                <w:lang w:bidi="bn-BD"/>
              </w:rPr>
              <w:t>Growth Rate</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20.31%</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7.39%</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9.71%</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4.61%</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-0.40%</w:t>
            </w:r>
          </w:p>
        </w:tc>
      </w:tr>
      <w:tr w:rsidR="00AD581D" w:rsidRPr="008374B3" w:rsidTr="00AD581D">
        <w:trPr>
          <w:trHeight w:val="600"/>
        </w:trPr>
        <w:tc>
          <w:tcPr>
            <w:tcW w:w="2222" w:type="pct"/>
            <w:hideMark/>
          </w:tcPr>
          <w:p w:rsidR="00AD581D" w:rsidRPr="008374B3" w:rsidRDefault="00AD581D" w:rsidP="00AD581D">
            <w:pPr>
              <w:rPr>
                <w:rFonts w:ascii="Calibri" w:hAnsi="Calibri" w:cs="Calibri"/>
                <w:lang w:bidi="bn-BD"/>
              </w:rPr>
            </w:pPr>
            <w:r w:rsidRPr="008374B3">
              <w:rPr>
                <w:rFonts w:ascii="Calibri" w:hAnsi="Calibri" w:cs="Calibri"/>
                <w:lang w:bidi="bn-BD"/>
              </w:rPr>
              <w:t xml:space="preserve">Percentage of Investment Income in Total Interest </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11.05%</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17.35%</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24.90%</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25.72%</w:t>
            </w:r>
          </w:p>
        </w:tc>
        <w:tc>
          <w:tcPr>
            <w:tcW w:w="556" w:type="pct"/>
            <w:noWrap/>
            <w:hideMark/>
          </w:tcPr>
          <w:p w:rsidR="00AD581D" w:rsidRPr="008374B3" w:rsidRDefault="00AD581D" w:rsidP="00AD581D">
            <w:pPr>
              <w:jc w:val="right"/>
              <w:rPr>
                <w:rFonts w:ascii="Calibri" w:hAnsi="Calibri" w:cs="Calibri"/>
                <w:lang w:bidi="bn-BD"/>
              </w:rPr>
            </w:pPr>
            <w:r w:rsidRPr="008374B3">
              <w:rPr>
                <w:rFonts w:ascii="Calibri" w:hAnsi="Calibri" w:cs="Calibri"/>
                <w:lang w:bidi="bn-BD"/>
              </w:rPr>
              <w:t>15.19%</w:t>
            </w:r>
          </w:p>
        </w:tc>
      </w:tr>
    </w:tbl>
    <w:p w:rsidR="00AD581D" w:rsidRPr="00321E6D" w:rsidRDefault="00AD581D" w:rsidP="00AD581D">
      <w:pPr>
        <w:rPr>
          <w:sz w:val="24"/>
          <w:szCs w:val="24"/>
        </w:rPr>
      </w:pPr>
    </w:p>
    <w:p w:rsidR="00AD581D" w:rsidRPr="00321E6D" w:rsidRDefault="00AD581D" w:rsidP="00AD581D">
      <w:pPr>
        <w:rPr>
          <w:sz w:val="24"/>
          <w:szCs w:val="24"/>
        </w:rPr>
      </w:pPr>
    </w:p>
    <w:p w:rsidR="00AD581D" w:rsidRDefault="00AD581D" w:rsidP="00AD581D">
      <w:pPr>
        <w:rPr>
          <w:sz w:val="24"/>
          <w:szCs w:val="24"/>
        </w:rPr>
      </w:pPr>
      <w:r>
        <w:rPr>
          <w:noProof/>
        </w:rPr>
        <w:drawing>
          <wp:anchor distT="0" distB="0" distL="114300" distR="114300" simplePos="0" relativeHeight="251766784" behindDoc="0" locked="0" layoutInCell="1" allowOverlap="1">
            <wp:simplePos x="0" y="0"/>
            <wp:positionH relativeFrom="margin">
              <wp:align>right</wp:align>
            </wp:positionH>
            <wp:positionV relativeFrom="paragraph">
              <wp:posOffset>0</wp:posOffset>
            </wp:positionV>
            <wp:extent cx="5724525" cy="2743200"/>
            <wp:effectExtent l="0" t="0" r="9525" b="0"/>
            <wp:wrapTopAndBottom/>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anchor>
        </w:drawing>
      </w:r>
    </w:p>
    <w:p w:rsidR="00AD581D" w:rsidRDefault="00AD581D" w:rsidP="00AD581D">
      <w:pPr>
        <w:rPr>
          <w:sz w:val="24"/>
          <w:szCs w:val="24"/>
        </w:rPr>
      </w:pPr>
      <w:r w:rsidRPr="00321E6D">
        <w:rPr>
          <w:sz w:val="24"/>
          <w:szCs w:val="24"/>
        </w:rPr>
        <w:t xml:space="preserve">Here, the proportions of investment income of CBL among total investment income are </w:t>
      </w:r>
      <w:r>
        <w:rPr>
          <w:sz w:val="24"/>
          <w:szCs w:val="24"/>
        </w:rPr>
        <w:t>11.05</w:t>
      </w:r>
      <w:r w:rsidRPr="00321E6D">
        <w:rPr>
          <w:sz w:val="24"/>
          <w:szCs w:val="24"/>
        </w:rPr>
        <w:t xml:space="preserve">%, </w:t>
      </w:r>
      <w:r>
        <w:rPr>
          <w:sz w:val="24"/>
          <w:szCs w:val="24"/>
        </w:rPr>
        <w:t>17.35</w:t>
      </w:r>
      <w:r w:rsidRPr="00321E6D">
        <w:rPr>
          <w:sz w:val="24"/>
          <w:szCs w:val="24"/>
        </w:rPr>
        <w:t xml:space="preserve">%, </w:t>
      </w:r>
      <w:r>
        <w:rPr>
          <w:sz w:val="24"/>
          <w:szCs w:val="24"/>
        </w:rPr>
        <w:t>24.90</w:t>
      </w:r>
      <w:r w:rsidRPr="00321E6D">
        <w:rPr>
          <w:sz w:val="24"/>
          <w:szCs w:val="24"/>
        </w:rPr>
        <w:t>%</w:t>
      </w:r>
      <w:r>
        <w:rPr>
          <w:sz w:val="24"/>
          <w:szCs w:val="24"/>
        </w:rPr>
        <w:t>, 25.72%</w:t>
      </w:r>
      <w:r w:rsidRPr="00321E6D">
        <w:rPr>
          <w:sz w:val="24"/>
          <w:szCs w:val="24"/>
        </w:rPr>
        <w:t xml:space="preserve"> and</w:t>
      </w:r>
      <w:r>
        <w:rPr>
          <w:sz w:val="24"/>
          <w:szCs w:val="24"/>
        </w:rPr>
        <w:t xml:space="preserve"> 15.19% from 2013 to 2017</w:t>
      </w:r>
      <w:r w:rsidRPr="00321E6D">
        <w:rPr>
          <w:sz w:val="24"/>
          <w:szCs w:val="24"/>
        </w:rPr>
        <w:t>.The growth rates of investment income among total interest income are posi</w:t>
      </w:r>
      <w:r>
        <w:rPr>
          <w:sz w:val="24"/>
          <w:szCs w:val="24"/>
        </w:rPr>
        <w:t>tive in all the year except 2017</w:t>
      </w:r>
      <w:r w:rsidRPr="00321E6D">
        <w:rPr>
          <w:sz w:val="24"/>
          <w:szCs w:val="24"/>
        </w:rPr>
        <w:t>. The significant growth rate is being shown in 201</w:t>
      </w:r>
      <w:r>
        <w:rPr>
          <w:sz w:val="24"/>
          <w:szCs w:val="24"/>
        </w:rPr>
        <w:t>3</w:t>
      </w:r>
      <w:r w:rsidRPr="00321E6D">
        <w:rPr>
          <w:sz w:val="24"/>
          <w:szCs w:val="24"/>
        </w:rPr>
        <w:t>.But the percentage rates of investment income and its growth rate year to year to year are not very much significant for CBL against the total interest / investment income.</w:t>
      </w:r>
    </w:p>
    <w:p w:rsidR="00401C1D" w:rsidRDefault="00401C1D" w:rsidP="00AD581D">
      <w:pPr>
        <w:rPr>
          <w:sz w:val="24"/>
          <w:szCs w:val="24"/>
        </w:rPr>
        <w:sectPr w:rsidR="00401C1D" w:rsidSect="00AD581D">
          <w:footerReference w:type="default" r:id="rId153"/>
          <w:pgSz w:w="11907" w:h="16839" w:code="9"/>
          <w:pgMar w:top="1440" w:right="1440" w:bottom="1440" w:left="1440" w:header="720" w:footer="720" w:gutter="0"/>
          <w:cols w:space="720"/>
          <w:docGrid w:linePitch="360"/>
        </w:sectPr>
      </w:pPr>
    </w:p>
    <w:p w:rsidR="00401C1D" w:rsidRDefault="00401C1D" w:rsidP="00AD58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Default="00401C1D" w:rsidP="00401C1D">
      <w:pPr>
        <w:rPr>
          <w:sz w:val="24"/>
          <w:szCs w:val="24"/>
        </w:rPr>
      </w:pPr>
    </w:p>
    <w:p w:rsidR="00F6772C" w:rsidRDefault="00F6772C" w:rsidP="00401C1D">
      <w:pPr>
        <w:rPr>
          <w:sz w:val="24"/>
          <w:szCs w:val="24"/>
        </w:rPr>
      </w:pPr>
    </w:p>
    <w:p w:rsidR="00F6772C" w:rsidRDefault="00F6772C" w:rsidP="00401C1D">
      <w:pPr>
        <w:rPr>
          <w:sz w:val="24"/>
          <w:szCs w:val="24"/>
        </w:rPr>
      </w:pPr>
    </w:p>
    <w:p w:rsidR="00F6772C" w:rsidRDefault="00F6772C" w:rsidP="00401C1D">
      <w:pPr>
        <w:rPr>
          <w:sz w:val="24"/>
          <w:szCs w:val="24"/>
        </w:rPr>
      </w:pPr>
    </w:p>
    <w:p w:rsidR="00F6772C" w:rsidRDefault="00F6772C" w:rsidP="00401C1D">
      <w:pPr>
        <w:rPr>
          <w:sz w:val="24"/>
          <w:szCs w:val="24"/>
        </w:rPr>
      </w:pPr>
    </w:p>
    <w:p w:rsidR="00F6772C" w:rsidRDefault="00F6772C" w:rsidP="00401C1D">
      <w:pPr>
        <w:rPr>
          <w:sz w:val="24"/>
          <w:szCs w:val="24"/>
        </w:rPr>
      </w:pPr>
    </w:p>
    <w:p w:rsidR="00F6772C" w:rsidRDefault="00F6772C" w:rsidP="00401C1D">
      <w:pPr>
        <w:rPr>
          <w:sz w:val="24"/>
          <w:szCs w:val="24"/>
        </w:rPr>
      </w:pPr>
    </w:p>
    <w:p w:rsidR="00F6772C" w:rsidRPr="00401C1D" w:rsidRDefault="00F6772C" w:rsidP="00401C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Pr="00401C1D" w:rsidRDefault="00401C1D" w:rsidP="00401C1D">
      <w:pPr>
        <w:rPr>
          <w:sz w:val="24"/>
          <w:szCs w:val="24"/>
        </w:rPr>
      </w:pPr>
    </w:p>
    <w:p w:rsidR="00401C1D" w:rsidRPr="00F6772C" w:rsidRDefault="00401C1D" w:rsidP="00F6772C">
      <w:pPr>
        <w:pStyle w:val="Heading1"/>
        <w:rPr>
          <w:sz w:val="48"/>
          <w:szCs w:val="48"/>
        </w:rPr>
      </w:pPr>
      <w:bookmarkStart w:id="87" w:name="_Toc524821066"/>
      <w:r w:rsidRPr="00F6772C">
        <w:rPr>
          <w:rFonts w:eastAsia="Calibri"/>
          <w:w w:val="80"/>
          <w:sz w:val="72"/>
          <w:szCs w:val="44"/>
        </w:rPr>
        <w:t xml:space="preserve">Chapter 5: </w:t>
      </w:r>
      <w:r w:rsidR="00F6772C" w:rsidRPr="00F6772C">
        <w:rPr>
          <w:rFonts w:eastAsia="Calibri"/>
          <w:w w:val="80"/>
          <w:sz w:val="72"/>
          <w:szCs w:val="44"/>
        </w:rPr>
        <w:t>Findings &amp; Conclusion</w:t>
      </w:r>
      <w:bookmarkEnd w:id="87"/>
    </w:p>
    <w:p w:rsidR="00401C1D" w:rsidRPr="00401C1D" w:rsidRDefault="00401C1D" w:rsidP="00401C1D">
      <w:pPr>
        <w:rPr>
          <w:sz w:val="24"/>
          <w:szCs w:val="24"/>
        </w:rPr>
      </w:pPr>
    </w:p>
    <w:p w:rsidR="00401C1D" w:rsidRPr="00401C1D" w:rsidRDefault="00401C1D" w:rsidP="00401C1D">
      <w:pPr>
        <w:rPr>
          <w:sz w:val="24"/>
          <w:szCs w:val="24"/>
        </w:rPr>
        <w:sectPr w:rsidR="00401C1D" w:rsidRPr="00401C1D" w:rsidSect="00AD581D">
          <w:pgSz w:w="11907" w:h="16839" w:code="9"/>
          <w:pgMar w:top="1440" w:right="1440" w:bottom="1440" w:left="1440" w:header="720" w:footer="720" w:gutter="0"/>
          <w:cols w:space="720"/>
          <w:docGrid w:linePitch="360"/>
        </w:sectPr>
      </w:pPr>
    </w:p>
    <w:p w:rsidR="00AD581D" w:rsidRDefault="00AD581D" w:rsidP="00AD581D">
      <w:pPr>
        <w:rPr>
          <w:sz w:val="24"/>
          <w:szCs w:val="24"/>
        </w:rPr>
      </w:pPr>
    </w:p>
    <w:p w:rsidR="00AD581D" w:rsidRPr="00321E6D" w:rsidRDefault="00AD581D" w:rsidP="00AF203D">
      <w:pPr>
        <w:pStyle w:val="Heading2"/>
      </w:pPr>
      <w:bookmarkStart w:id="88" w:name="_Toc524821067"/>
      <w:r w:rsidRPr="00321E6D">
        <w:t>5.1Findings &amp; Recommendation</w:t>
      </w:r>
      <w:bookmarkEnd w:id="88"/>
    </w:p>
    <w:p w:rsidR="00AD581D" w:rsidRPr="00321E6D" w:rsidRDefault="00AD581D" w:rsidP="00AD581D">
      <w:pPr>
        <w:rPr>
          <w:sz w:val="24"/>
          <w:szCs w:val="24"/>
        </w:rPr>
      </w:pPr>
      <w:r w:rsidRPr="00321E6D">
        <w:rPr>
          <w:sz w:val="24"/>
          <w:szCs w:val="24"/>
        </w:rPr>
        <w:t xml:space="preserve">The Banking sector is types of economic section where banks hold financial assets for others and invests those financial assets at an interest rate for creating more wealth. This process is the main earning source for any bank. CBL also invests in financial assets for this reason. From the overall discussions and calculation it has tried to show the overall investment of CBL in financial assets with different classification and the percentage of investment earning from these investments with the yearly growing rate. </w:t>
      </w:r>
    </w:p>
    <w:p w:rsidR="00AD581D" w:rsidRPr="00321E6D" w:rsidRDefault="00AD581D" w:rsidP="00AD581D">
      <w:pPr>
        <w:rPr>
          <w:sz w:val="24"/>
          <w:szCs w:val="24"/>
        </w:rPr>
      </w:pPr>
      <w:r w:rsidRPr="00321E6D">
        <w:rPr>
          <w:sz w:val="24"/>
          <w:szCs w:val="24"/>
        </w:rPr>
        <w:t xml:space="preserve">A finding is necessary for going a better conclusion for any successful report. For this reason here I have tried to accumulate all the matters through I have described in this report.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From</w:t>
      </w:r>
      <w:proofErr w:type="gramEnd"/>
      <w:r w:rsidRPr="00321E6D">
        <w:rPr>
          <w:sz w:val="24"/>
          <w:szCs w:val="24"/>
        </w:rPr>
        <w:t xml:space="preserve"> the classification as per Bangladesh Bank circular, it has identified that the highest positive investment growth rates in some years are only shown at investment in held for trading. There is also 2 years including where no growth rate and negative growth rate also happened at investment in held for trading. Investment in other categories as per Bangladesh Bank classification has been notified very insignificant and negative gro</w:t>
      </w:r>
      <w:r>
        <w:rPr>
          <w:sz w:val="24"/>
          <w:szCs w:val="24"/>
        </w:rPr>
        <w:t xml:space="preserve">wth rate of investment of CBL.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From the ordinary classification it has found that though CBL has some positive investment growth rate at investment in Government securities for the risk free investment facilities, it is very insignificant. The investments in other securities are lower than government securities and growth rates of i</w:t>
      </w:r>
      <w:r>
        <w:rPr>
          <w:sz w:val="24"/>
          <w:szCs w:val="24"/>
        </w:rPr>
        <w:t xml:space="preserve">nvestment are rarely positive.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From</w:t>
      </w:r>
      <w:proofErr w:type="gramEnd"/>
      <w:r w:rsidRPr="00321E6D">
        <w:rPr>
          <w:sz w:val="24"/>
          <w:szCs w:val="24"/>
        </w:rPr>
        <w:t xml:space="preserve"> the maturity grouping classification it has also found that there is some positive significant investment growth in different matured investment sector for different years. But no positive investment growth has found in the all sector at same year. So it has identified that when there is some positive investment growth for 1 year in one sector there is some negative investment growth rate for other sectors. From that it has cleared that there is no very much significant investment for financial assets in which CBL has invested more in financial assets among t</w:t>
      </w:r>
      <w:r>
        <w:rPr>
          <w:sz w:val="24"/>
          <w:szCs w:val="24"/>
        </w:rPr>
        <w:t xml:space="preserve">he total amount of investment.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Growing rate of Total amount of financial assets of CBL has grown negatively from year to year among total assets of CBL. So it can say that the investment rates in financial assets are decreasing year to year among total assets. So liquidity of investments is</w:t>
      </w:r>
      <w:r>
        <w:rPr>
          <w:sz w:val="24"/>
          <w:szCs w:val="24"/>
        </w:rPr>
        <w:t xml:space="preserve"> also decreasing year to year.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Against</w:t>
      </w:r>
      <w:proofErr w:type="gramEnd"/>
      <w:r w:rsidRPr="00321E6D">
        <w:rPr>
          <w:sz w:val="24"/>
          <w:szCs w:val="24"/>
        </w:rPr>
        <w:t xml:space="preserve"> the total liabilities, the growing rates of financial assets of CBL have also decreased year to year. It is the sign that the liquidation capabilities of CBL have been also decreasing year to year to fulfi</w:t>
      </w:r>
      <w:r>
        <w:rPr>
          <w:sz w:val="24"/>
          <w:szCs w:val="24"/>
        </w:rPr>
        <w:t xml:space="preserve">ll its liabilities.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From</w:t>
      </w:r>
      <w:proofErr w:type="gramEnd"/>
      <w:r w:rsidRPr="00321E6D">
        <w:rPr>
          <w:sz w:val="24"/>
          <w:szCs w:val="24"/>
        </w:rPr>
        <w:t xml:space="preserve"> the discussion of the percentage rate and growth rate of investment income, it has found that there is rarely significant investment income without gain on sales on share and debentures. It is not very significant earning among total earning of CBL. </w:t>
      </w:r>
    </w:p>
    <w:p w:rsidR="00AD581D" w:rsidRPr="00321E6D" w:rsidRDefault="00AD581D" w:rsidP="00AD581D">
      <w:pPr>
        <w:rPr>
          <w:sz w:val="24"/>
          <w:szCs w:val="24"/>
        </w:rPr>
      </w:pP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Among</w:t>
      </w:r>
      <w:proofErr w:type="gramEnd"/>
      <w:r w:rsidRPr="00321E6D">
        <w:rPr>
          <w:sz w:val="24"/>
          <w:szCs w:val="24"/>
        </w:rPr>
        <w:t xml:space="preserve"> total interest/investment income the investment income from financial assets’ growing rate has sign</w:t>
      </w:r>
      <w:r>
        <w:rPr>
          <w:sz w:val="24"/>
          <w:szCs w:val="24"/>
        </w:rPr>
        <w:t>ificantly increased only on 2013</w:t>
      </w:r>
      <w:r w:rsidRPr="00321E6D">
        <w:rPr>
          <w:sz w:val="24"/>
          <w:szCs w:val="24"/>
        </w:rPr>
        <w:t xml:space="preserve">.After that the increasing rate of growth has decreased </w:t>
      </w:r>
      <w:r>
        <w:rPr>
          <w:sz w:val="24"/>
          <w:szCs w:val="24"/>
        </w:rPr>
        <w:t xml:space="preserve">that is not good sign for CBL.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There</w:t>
      </w:r>
      <w:proofErr w:type="gramEnd"/>
      <w:r w:rsidRPr="00321E6D">
        <w:rPr>
          <w:sz w:val="24"/>
          <w:szCs w:val="24"/>
        </w:rPr>
        <w:t xml:space="preserve"> is significant difference between the proportion of financial assets among total assets and the proportion of investment income among total in</w:t>
      </w:r>
      <w:r>
        <w:rPr>
          <w:sz w:val="24"/>
          <w:szCs w:val="24"/>
        </w:rPr>
        <w:t xml:space="preserve">terest rate/investment income. </w:t>
      </w:r>
    </w:p>
    <w:p w:rsidR="00AD581D" w:rsidRPr="00321E6D" w:rsidRDefault="00AD581D" w:rsidP="00AD581D">
      <w:pPr>
        <w:rPr>
          <w:sz w:val="24"/>
          <w:szCs w:val="24"/>
        </w:rPr>
      </w:pPr>
      <w:r w:rsidRPr="00321E6D">
        <w:rPr>
          <w:sz w:val="24"/>
          <w:szCs w:val="24"/>
        </w:rPr>
        <w:t xml:space="preserve">CBL is a commercial bank of Bangladesh. Investment income is one of the significant sources of earnings for commercial bank. From the above findings it has been notified that the investment growth in financial assets and earning from it has been negatively growing year to year that is not a good sign of profit for CBL. So a suggestion to the best course of action for investing in financial assets can be added for the betterment of CBL. </w:t>
      </w:r>
    </w:p>
    <w:p w:rsidR="00AD581D" w:rsidRPr="00321E6D" w:rsidRDefault="00AD581D" w:rsidP="00AD581D">
      <w:pPr>
        <w:rPr>
          <w:sz w:val="24"/>
          <w:szCs w:val="24"/>
        </w:rPr>
      </w:pPr>
      <w:r w:rsidRPr="00321E6D">
        <w:rPr>
          <w:rFonts w:ascii="Segoe UI Symbol" w:hAnsi="Segoe UI Symbol" w:cs="Segoe UI Symbol"/>
          <w:sz w:val="24"/>
          <w:szCs w:val="24"/>
        </w:rPr>
        <w:lastRenderedPageBreak/>
        <w:t>➢</w:t>
      </w:r>
      <w:r w:rsidRPr="00321E6D">
        <w:rPr>
          <w:sz w:val="24"/>
          <w:szCs w:val="24"/>
        </w:rPr>
        <w:t xml:space="preserve"> </w:t>
      </w:r>
      <w:proofErr w:type="gramStart"/>
      <w:r w:rsidRPr="00321E6D">
        <w:rPr>
          <w:sz w:val="24"/>
          <w:szCs w:val="24"/>
        </w:rPr>
        <w:t>Before</w:t>
      </w:r>
      <w:proofErr w:type="gramEnd"/>
      <w:r w:rsidRPr="00321E6D">
        <w:rPr>
          <w:sz w:val="24"/>
          <w:szCs w:val="24"/>
        </w:rPr>
        <w:t xml:space="preserve"> take any investment decision in financial assets, CBL should draw a personal financial roadmap for figuring out a successful financial investment source that will be highly </w:t>
      </w:r>
      <w:r>
        <w:rPr>
          <w:sz w:val="24"/>
          <w:szCs w:val="24"/>
        </w:rPr>
        <w:t xml:space="preserve">liquid and profitable for CBL.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CBL should invest in other securities positively as well as the investment in government securities. </w:t>
      </w:r>
      <w:proofErr w:type="gramStart"/>
      <w:r w:rsidRPr="00321E6D">
        <w:rPr>
          <w:sz w:val="24"/>
          <w:szCs w:val="24"/>
        </w:rPr>
        <w:t>Because if there is no big risk there is no big g</w:t>
      </w:r>
      <w:r>
        <w:rPr>
          <w:sz w:val="24"/>
          <w:szCs w:val="24"/>
        </w:rPr>
        <w:t>ain in the investment sector.</w:t>
      </w:r>
      <w:proofErr w:type="gramEnd"/>
      <w:r>
        <w:rPr>
          <w:sz w:val="24"/>
          <w:szCs w:val="24"/>
        </w:rPr>
        <w:t xml:space="preserve">  </w:t>
      </w:r>
    </w:p>
    <w:p w:rsidR="00AD581D" w:rsidRPr="00321E6D" w:rsidRDefault="00AD581D" w:rsidP="00AD581D">
      <w:pPr>
        <w:rPr>
          <w:sz w:val="24"/>
          <w:szCs w:val="24"/>
        </w:rPr>
      </w:pPr>
      <w:r w:rsidRPr="00321E6D">
        <w:rPr>
          <w:rFonts w:ascii="Segoe UI Symbol" w:hAnsi="Segoe UI Symbol" w:cs="Segoe UI Symbol"/>
          <w:sz w:val="24"/>
          <w:szCs w:val="24"/>
        </w:rPr>
        <w:t>➢</w:t>
      </w:r>
      <w:r w:rsidRPr="00321E6D">
        <w:rPr>
          <w:sz w:val="24"/>
          <w:szCs w:val="24"/>
        </w:rPr>
        <w:t xml:space="preserve"> </w:t>
      </w:r>
      <w:proofErr w:type="gramStart"/>
      <w:r w:rsidRPr="00321E6D">
        <w:rPr>
          <w:sz w:val="24"/>
          <w:szCs w:val="24"/>
        </w:rPr>
        <w:t>For</w:t>
      </w:r>
      <w:proofErr w:type="gramEnd"/>
      <w:r w:rsidRPr="00321E6D">
        <w:rPr>
          <w:sz w:val="24"/>
          <w:szCs w:val="24"/>
        </w:rPr>
        <w:t xml:space="preserve"> increasing liquidity rate in investment CBL should invest more in financial assets among total assets. </w:t>
      </w:r>
      <w:proofErr w:type="gramStart"/>
      <w:r w:rsidRPr="00321E6D">
        <w:rPr>
          <w:sz w:val="24"/>
          <w:szCs w:val="24"/>
        </w:rPr>
        <w:t>Because liquid assets are ea</w:t>
      </w:r>
      <w:r>
        <w:rPr>
          <w:sz w:val="24"/>
          <w:szCs w:val="24"/>
        </w:rPr>
        <w:t>sy to use against liabilities.</w:t>
      </w:r>
      <w:proofErr w:type="gramEnd"/>
      <w:r>
        <w:rPr>
          <w:sz w:val="24"/>
          <w:szCs w:val="24"/>
        </w:rPr>
        <w:t xml:space="preserve"> </w:t>
      </w:r>
    </w:p>
    <w:p w:rsidR="00AD581D" w:rsidRPr="00321E6D" w:rsidRDefault="00AD581D" w:rsidP="00AF203D">
      <w:pPr>
        <w:pStyle w:val="Heading2"/>
      </w:pPr>
      <w:bookmarkStart w:id="89" w:name="_Toc524821068"/>
      <w:r w:rsidRPr="00321E6D">
        <w:t>5.2Conclusion</w:t>
      </w:r>
      <w:bookmarkEnd w:id="89"/>
    </w:p>
    <w:p w:rsidR="00AD581D" w:rsidRPr="00321E6D" w:rsidRDefault="00AD581D" w:rsidP="00AD581D">
      <w:pPr>
        <w:rPr>
          <w:sz w:val="24"/>
          <w:szCs w:val="24"/>
        </w:rPr>
      </w:pPr>
      <w:r w:rsidRPr="00321E6D">
        <w:rPr>
          <w:sz w:val="24"/>
          <w:szCs w:val="24"/>
        </w:rPr>
        <w:t xml:space="preserve">The City Bank Ltd (CBL) is one of the leading private commercial bank among different commercial Banks in Bangladesh. Many commercial banks has been established in last few years and made banking sector very competitive. For that reason banks have to organize their operation and investment according to the need of the market profitably. The major task for banks, to survive in this competitive environment is by managing its assets and liabilities in an efficient way. Private Banks are doing an outstanding business by investing in financial assets. City Bank is the most promising bank in Bangladesh. The main principles of financial asset </w:t>
      </w:r>
      <w:proofErr w:type="spellStart"/>
      <w:r w:rsidRPr="00321E6D">
        <w:rPr>
          <w:sz w:val="24"/>
          <w:szCs w:val="24"/>
        </w:rPr>
        <w:t>management’s</w:t>
      </w:r>
      <w:proofErr w:type="spellEnd"/>
      <w:r w:rsidRPr="00321E6D">
        <w:rPr>
          <w:sz w:val="24"/>
          <w:szCs w:val="24"/>
        </w:rPr>
        <w:t xml:space="preserve"> are safety, liquidity and profitability. City Bank also invests its deposit and money in the financial assets which are more risk free and profitable. But year to year the decreasing rates of investment in financial assets are being observed which the indication of decreasing rate of liquid assets. It is not a good sign for any commercial bank. Because decreasing rate of liquidation of assets can be hindrance in payment in liabilities. From the decreasing rate in financial assets the investment income is also decreasing among the total interest income. </w:t>
      </w:r>
    </w:p>
    <w:p w:rsidR="00D05CCB" w:rsidRDefault="00AD581D" w:rsidP="00AD581D">
      <w:pPr>
        <w:rPr>
          <w:sz w:val="24"/>
          <w:szCs w:val="24"/>
        </w:rPr>
      </w:pPr>
      <w:r w:rsidRPr="00321E6D">
        <w:rPr>
          <w:sz w:val="24"/>
          <w:szCs w:val="24"/>
        </w:rPr>
        <w:t>This project concentrated mostly on the investment in financial assets of CBL and identified some valuable information that could make the investments more attractive and also enhance the banks operations among the branches. With the current investment decisions of the Bank and with little improvement here and there will certainly make City Bank one of the best Private profitable Bank in Bangladesh in the near future.</w:t>
      </w:r>
    </w:p>
    <w:p w:rsidR="00D05CCB" w:rsidRDefault="00D05CCB" w:rsidP="00AD581D">
      <w:pPr>
        <w:rPr>
          <w:sz w:val="24"/>
          <w:szCs w:val="24"/>
        </w:rPr>
        <w:sectPr w:rsidR="00D05CCB" w:rsidSect="0050212E">
          <w:footerReference w:type="default" r:id="rId154"/>
          <w:pgSz w:w="11906" w:h="16838"/>
          <w:pgMar w:top="1440" w:right="869" w:bottom="1456" w:left="1349" w:header="288" w:footer="720" w:gutter="0"/>
          <w:pgNumType w:start="54"/>
          <w:cols w:space="720"/>
        </w:sectPr>
      </w:pPr>
    </w:p>
    <w:p w:rsidR="00AD581D" w:rsidRPr="00894E39" w:rsidRDefault="00AD581D" w:rsidP="00AD581D">
      <w:pPr>
        <w:rPr>
          <w:sz w:val="24"/>
          <w:szCs w:val="24"/>
        </w:rPr>
      </w:pPr>
    </w:p>
    <w:p w:rsidR="00222762" w:rsidRDefault="00222762">
      <w:pPr>
        <w:spacing w:after="259" w:line="240" w:lineRule="auto"/>
        <w:ind w:left="91" w:firstLine="0"/>
        <w:jc w:val="left"/>
      </w:pPr>
    </w:p>
    <w:p w:rsidR="00222762" w:rsidRDefault="00222762">
      <w:pPr>
        <w:spacing w:line="240" w:lineRule="auto"/>
        <w:ind w:left="91" w:firstLine="0"/>
        <w:jc w:val="left"/>
      </w:pPr>
    </w:p>
    <w:p w:rsidR="00401C1D" w:rsidRDefault="00F44942" w:rsidP="00401C1D">
      <w:pPr>
        <w:pStyle w:val="Heading1"/>
      </w:pPr>
      <w:bookmarkStart w:id="90" w:name="_Toc524821069"/>
      <w:r>
        <w:t>References &amp; Bibliography</w:t>
      </w:r>
      <w:bookmarkEnd w:id="90"/>
    </w:p>
    <w:p w:rsidR="00222762" w:rsidRDefault="00222762" w:rsidP="00401C1D">
      <w:pPr>
        <w:pStyle w:val="Heading1"/>
      </w:pPr>
    </w:p>
    <w:p w:rsidR="00222762" w:rsidRDefault="00F44942">
      <w:pPr>
        <w:numPr>
          <w:ilvl w:val="0"/>
          <w:numId w:val="13"/>
        </w:numPr>
        <w:ind w:right="-15" w:hanging="360"/>
        <w:jc w:val="left"/>
      </w:pPr>
      <w:r>
        <w:t xml:space="preserve">Annual report of CBL from 2012 to 2016 </w:t>
      </w:r>
    </w:p>
    <w:p w:rsidR="00222762" w:rsidRDefault="00A765F7">
      <w:pPr>
        <w:numPr>
          <w:ilvl w:val="0"/>
          <w:numId w:val="13"/>
        </w:numPr>
        <w:spacing w:after="35" w:line="240" w:lineRule="auto"/>
        <w:ind w:right="-15" w:hanging="360"/>
        <w:jc w:val="left"/>
      </w:pPr>
      <w:hyperlink r:id="rId155">
        <w:r w:rsidR="00F44942">
          <w:rPr>
            <w:u w:val="single" w:color="000000"/>
          </w:rPr>
          <w:t>http://www.thecitybank.com</w:t>
        </w:r>
      </w:hyperlink>
      <w:hyperlink r:id="rId156"/>
    </w:p>
    <w:p w:rsidR="00222762" w:rsidRDefault="00A765F7">
      <w:pPr>
        <w:numPr>
          <w:ilvl w:val="0"/>
          <w:numId w:val="13"/>
        </w:numPr>
        <w:spacing w:after="35" w:line="240" w:lineRule="auto"/>
        <w:ind w:right="-15" w:hanging="360"/>
        <w:jc w:val="left"/>
      </w:pPr>
      <w:hyperlink r:id="rId157">
        <w:r w:rsidR="00F44942">
          <w:rPr>
            <w:u w:val="single" w:color="000000"/>
          </w:rPr>
          <w:t>https://www.investopedia.com/terms/f/financialasset.asp</w:t>
        </w:r>
      </w:hyperlink>
      <w:hyperlink r:id="rId158"/>
    </w:p>
    <w:p w:rsidR="00222762" w:rsidRDefault="00A765F7">
      <w:pPr>
        <w:numPr>
          <w:ilvl w:val="0"/>
          <w:numId w:val="13"/>
        </w:numPr>
        <w:spacing w:after="35" w:line="240" w:lineRule="auto"/>
        <w:ind w:right="-15" w:hanging="360"/>
        <w:jc w:val="left"/>
      </w:pPr>
      <w:hyperlink r:id="rId159">
        <w:r w:rsidR="00F44942">
          <w:rPr>
            <w:u w:val="single" w:color="000000"/>
          </w:rPr>
          <w:t>https://www.lb.lt/en/financial-assets-management</w:t>
        </w:r>
      </w:hyperlink>
      <w:hyperlink r:id="rId160"/>
    </w:p>
    <w:p w:rsidR="00222762" w:rsidRDefault="00222762">
      <w:pPr>
        <w:spacing w:after="247" w:line="240" w:lineRule="auto"/>
        <w:ind w:left="1531" w:firstLine="0"/>
        <w:jc w:val="left"/>
      </w:pPr>
    </w:p>
    <w:p w:rsidR="00222762" w:rsidRDefault="00F44942" w:rsidP="00401C1D">
      <w:pPr>
        <w:pStyle w:val="Heading1"/>
      </w:pPr>
      <w:bookmarkStart w:id="91" w:name="_Toc524821070"/>
      <w:r>
        <w:t>Appendix &amp; Notes</w:t>
      </w:r>
      <w:bookmarkEnd w:id="91"/>
    </w:p>
    <w:p w:rsidR="00401C1D" w:rsidRPr="00401C1D" w:rsidRDefault="00401C1D" w:rsidP="00401C1D"/>
    <w:p w:rsidR="00222762" w:rsidRDefault="00F44942">
      <w:pPr>
        <w:numPr>
          <w:ilvl w:val="0"/>
          <w:numId w:val="14"/>
        </w:numPr>
        <w:ind w:hanging="360"/>
      </w:pPr>
      <w:r>
        <w:t xml:space="preserve">CBL: The city Bank Ltd </w:t>
      </w:r>
    </w:p>
    <w:p w:rsidR="00222762" w:rsidRDefault="00F44942">
      <w:pPr>
        <w:numPr>
          <w:ilvl w:val="0"/>
          <w:numId w:val="14"/>
        </w:numPr>
        <w:ind w:hanging="360"/>
      </w:pPr>
      <w:r>
        <w:t xml:space="preserve">HFT: Held for trading </w:t>
      </w:r>
    </w:p>
    <w:p w:rsidR="00222762" w:rsidRDefault="00F44942">
      <w:pPr>
        <w:numPr>
          <w:ilvl w:val="0"/>
          <w:numId w:val="14"/>
        </w:numPr>
        <w:ind w:hanging="360"/>
      </w:pPr>
      <w:r>
        <w:t xml:space="preserve">HTM: Held to maturity </w:t>
      </w:r>
    </w:p>
    <w:p w:rsidR="00222762" w:rsidRDefault="00F44942">
      <w:pPr>
        <w:numPr>
          <w:ilvl w:val="0"/>
          <w:numId w:val="14"/>
        </w:numPr>
        <w:ind w:hanging="360"/>
      </w:pPr>
      <w:r>
        <w:t xml:space="preserve">BWEL: Debenture of Bangladesh Welding Electrodes Limited </w:t>
      </w:r>
    </w:p>
    <w:p w:rsidR="00222762" w:rsidRDefault="00F44942">
      <w:pPr>
        <w:numPr>
          <w:ilvl w:val="0"/>
          <w:numId w:val="14"/>
        </w:numPr>
        <w:ind w:hanging="360"/>
      </w:pPr>
      <w:r>
        <w:t xml:space="preserve">CBCRL: City Bank Capital Resources </w:t>
      </w:r>
    </w:p>
    <w:p w:rsidR="00222762" w:rsidRDefault="00F44942">
      <w:pPr>
        <w:numPr>
          <w:ilvl w:val="0"/>
          <w:numId w:val="14"/>
        </w:numPr>
        <w:ind w:hanging="360"/>
      </w:pPr>
      <w:r>
        <w:t xml:space="preserve">REDP: Redeemable preference share </w:t>
      </w:r>
    </w:p>
    <w:p w:rsidR="00222762" w:rsidRDefault="00F44942">
      <w:pPr>
        <w:numPr>
          <w:ilvl w:val="0"/>
          <w:numId w:val="14"/>
        </w:numPr>
        <w:ind w:hanging="360"/>
      </w:pPr>
      <w:r>
        <w:t xml:space="preserve">BHBFC: Bangladesh House Building finance Corporation </w:t>
      </w:r>
    </w:p>
    <w:p w:rsidR="00222762" w:rsidRDefault="00F44942">
      <w:pPr>
        <w:numPr>
          <w:ilvl w:val="0"/>
          <w:numId w:val="14"/>
        </w:numPr>
        <w:spacing w:after="272"/>
        <w:ind w:hanging="360"/>
      </w:pPr>
      <w:r>
        <w:t xml:space="preserve">Total interest income comes from the adding of interest income and investment income. </w:t>
      </w:r>
    </w:p>
    <w:p w:rsidR="00222762" w:rsidRDefault="00222762">
      <w:pPr>
        <w:spacing w:after="272" w:line="240" w:lineRule="auto"/>
        <w:ind w:left="91" w:firstLine="0"/>
        <w:jc w:val="left"/>
      </w:pPr>
    </w:p>
    <w:p w:rsidR="00222762" w:rsidRDefault="00222762">
      <w:pPr>
        <w:spacing w:after="272" w:line="240" w:lineRule="auto"/>
        <w:ind w:left="91" w:firstLine="0"/>
        <w:jc w:val="left"/>
      </w:pPr>
    </w:p>
    <w:p w:rsidR="00222762" w:rsidRDefault="00222762">
      <w:pPr>
        <w:spacing w:line="240" w:lineRule="auto"/>
        <w:ind w:left="91" w:firstLine="0"/>
        <w:jc w:val="left"/>
      </w:pPr>
    </w:p>
    <w:sectPr w:rsidR="00222762" w:rsidSect="0050212E">
      <w:footerReference w:type="default" r:id="rId161"/>
      <w:pgSz w:w="11906" w:h="16838"/>
      <w:pgMar w:top="1440" w:right="869" w:bottom="1456" w:left="1349" w:header="288" w:footer="720" w:gutter="0"/>
      <w:pgNumType w:start="5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5F7" w:rsidRDefault="00A765F7">
      <w:pPr>
        <w:spacing w:line="240" w:lineRule="auto"/>
      </w:pPr>
      <w:r>
        <w:separator/>
      </w:r>
    </w:p>
  </w:endnote>
  <w:endnote w:type="continuationSeparator" w:id="0">
    <w:p w:rsidR="00A765F7" w:rsidRDefault="00A765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497487"/>
      <w:docPartObj>
        <w:docPartGallery w:val="Page Numbers (Bottom of Page)"/>
        <w:docPartUnique/>
      </w:docPartObj>
    </w:sdtPr>
    <w:sdtEndPr>
      <w:rPr>
        <w:noProof/>
      </w:rPr>
    </w:sdtEndPr>
    <w:sdtContent>
      <w:p w:rsidR="0050212E" w:rsidRDefault="00955315">
        <w:pPr>
          <w:pStyle w:val="Footer"/>
          <w:jc w:val="center"/>
        </w:pPr>
        <w:r>
          <w:fldChar w:fldCharType="begin"/>
        </w:r>
        <w:r w:rsidR="0050212E">
          <w:instrText xml:space="preserve"> PAGE   \* MERGEFORMAT </w:instrText>
        </w:r>
        <w:r>
          <w:fldChar w:fldCharType="separate"/>
        </w:r>
        <w:r w:rsidR="00611A16">
          <w:rPr>
            <w:noProof/>
          </w:rPr>
          <w:t>4</w:t>
        </w:r>
        <w:r>
          <w:rPr>
            <w:noProof/>
          </w:rPr>
          <w:fldChar w:fldCharType="end"/>
        </w:r>
      </w:p>
    </w:sdtContent>
  </w:sdt>
  <w:p w:rsidR="0050212E" w:rsidRDefault="0050212E">
    <w:pPr>
      <w:spacing w:line="240" w:lineRule="auto"/>
      <w:ind w:left="0" w:right="256"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804135"/>
      <w:docPartObj>
        <w:docPartGallery w:val="Page Numbers (Bottom of Page)"/>
        <w:docPartUnique/>
      </w:docPartObj>
    </w:sdtPr>
    <w:sdtEndPr>
      <w:rPr>
        <w:noProof/>
      </w:rPr>
    </w:sdtEndPr>
    <w:sdtContent>
      <w:p w:rsidR="0050212E" w:rsidRDefault="00955315">
        <w:pPr>
          <w:pStyle w:val="Footer"/>
          <w:jc w:val="center"/>
        </w:pPr>
        <w:r>
          <w:fldChar w:fldCharType="begin"/>
        </w:r>
        <w:r w:rsidR="0050212E">
          <w:instrText xml:space="preserve"> PAGE   \* MERGEFORMAT </w:instrText>
        </w:r>
        <w:r>
          <w:fldChar w:fldCharType="separate"/>
        </w:r>
        <w:r w:rsidR="00611A16">
          <w:rPr>
            <w:noProof/>
          </w:rPr>
          <w:t>12</w:t>
        </w:r>
        <w:r>
          <w:rPr>
            <w:noProof/>
          </w:rPr>
          <w:fldChar w:fldCharType="end"/>
        </w:r>
      </w:p>
    </w:sdtContent>
  </w:sdt>
  <w:p w:rsidR="0050212E" w:rsidRDefault="0050212E">
    <w:pPr>
      <w:spacing w:line="240" w:lineRule="auto"/>
      <w:ind w:left="0" w:right="256"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78345"/>
      <w:docPartObj>
        <w:docPartGallery w:val="Page Numbers (Bottom of Page)"/>
        <w:docPartUnique/>
      </w:docPartObj>
    </w:sdtPr>
    <w:sdtEndPr>
      <w:rPr>
        <w:noProof/>
      </w:rPr>
    </w:sdtEndPr>
    <w:sdtContent>
      <w:p w:rsidR="0050212E" w:rsidRDefault="00955315">
        <w:pPr>
          <w:pStyle w:val="Footer"/>
          <w:jc w:val="center"/>
        </w:pPr>
        <w:r>
          <w:fldChar w:fldCharType="begin"/>
        </w:r>
        <w:r w:rsidR="0050212E">
          <w:instrText xml:space="preserve"> PAGE   \* MERGEFORMAT </w:instrText>
        </w:r>
        <w:r>
          <w:fldChar w:fldCharType="separate"/>
        </w:r>
        <w:r w:rsidR="00611A16">
          <w:rPr>
            <w:noProof/>
          </w:rPr>
          <w:t>41</w:t>
        </w:r>
        <w:r>
          <w:rPr>
            <w:noProof/>
          </w:rPr>
          <w:fldChar w:fldCharType="end"/>
        </w:r>
      </w:p>
    </w:sdtContent>
  </w:sdt>
  <w:p w:rsidR="0050212E" w:rsidRDefault="0050212E">
    <w:pPr>
      <w:spacing w:line="240" w:lineRule="auto"/>
      <w:ind w:left="0" w:right="256"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192771"/>
      <w:docPartObj>
        <w:docPartGallery w:val="Page Numbers (Bottom of Page)"/>
        <w:docPartUnique/>
      </w:docPartObj>
    </w:sdtPr>
    <w:sdtEndPr>
      <w:rPr>
        <w:noProof/>
      </w:rPr>
    </w:sdtEndPr>
    <w:sdtContent>
      <w:p w:rsidR="0050212E" w:rsidRDefault="00955315">
        <w:pPr>
          <w:pStyle w:val="Footer"/>
          <w:jc w:val="center"/>
        </w:pPr>
        <w:r>
          <w:fldChar w:fldCharType="begin"/>
        </w:r>
        <w:r w:rsidR="0050212E">
          <w:instrText xml:space="preserve"> PAGE   \* MERGEFORMAT </w:instrText>
        </w:r>
        <w:r>
          <w:fldChar w:fldCharType="separate"/>
        </w:r>
        <w:r w:rsidR="00611A16">
          <w:rPr>
            <w:noProof/>
          </w:rPr>
          <w:t>53</w:t>
        </w:r>
        <w:r>
          <w:rPr>
            <w:noProof/>
          </w:rPr>
          <w:fldChar w:fldCharType="end"/>
        </w:r>
      </w:p>
    </w:sdtContent>
  </w:sdt>
  <w:p w:rsidR="0050212E" w:rsidRDefault="0050212E">
    <w:pPr>
      <w:spacing w:line="240" w:lineRule="auto"/>
      <w:ind w:left="0" w:right="256"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380616"/>
      <w:docPartObj>
        <w:docPartGallery w:val="Page Numbers (Bottom of Page)"/>
        <w:docPartUnique/>
      </w:docPartObj>
    </w:sdtPr>
    <w:sdtEndPr>
      <w:rPr>
        <w:noProof/>
      </w:rPr>
    </w:sdtEndPr>
    <w:sdtContent>
      <w:p w:rsidR="0050212E" w:rsidRDefault="00955315">
        <w:pPr>
          <w:pStyle w:val="Footer"/>
          <w:jc w:val="center"/>
        </w:pPr>
        <w:r>
          <w:fldChar w:fldCharType="begin"/>
        </w:r>
        <w:r w:rsidR="0050212E">
          <w:instrText xml:space="preserve"> PAGE   \* MERGEFORMAT </w:instrText>
        </w:r>
        <w:r>
          <w:fldChar w:fldCharType="separate"/>
        </w:r>
        <w:r w:rsidR="00611A16">
          <w:rPr>
            <w:noProof/>
          </w:rPr>
          <w:t>55</w:t>
        </w:r>
        <w:r>
          <w:rPr>
            <w:noProof/>
          </w:rPr>
          <w:fldChar w:fldCharType="end"/>
        </w:r>
      </w:p>
    </w:sdtContent>
  </w:sdt>
  <w:p w:rsidR="0050212E" w:rsidRDefault="0050212E">
    <w:pPr>
      <w:spacing w:line="240" w:lineRule="auto"/>
      <w:ind w:left="0" w:right="256"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955315">
    <w:pPr>
      <w:pStyle w:val="Footer"/>
      <w:jc w:val="center"/>
    </w:pPr>
    <w:r>
      <w:fldChar w:fldCharType="begin"/>
    </w:r>
    <w:r w:rsidR="0050212E">
      <w:instrText xml:space="preserve"> PAGE   \* MERGEFORMAT </w:instrText>
    </w:r>
    <w:r>
      <w:fldChar w:fldCharType="separate"/>
    </w:r>
    <w:r w:rsidR="00611A16">
      <w:rPr>
        <w:noProof/>
      </w:rPr>
      <w:t>56</w:t>
    </w:r>
    <w:r>
      <w:rPr>
        <w:noProof/>
      </w:rPr>
      <w:fldChar w:fldCharType="end"/>
    </w:r>
  </w:p>
  <w:p w:rsidR="0050212E" w:rsidRDefault="0050212E">
    <w:pPr>
      <w:spacing w:line="240" w:lineRule="auto"/>
      <w:ind w:left="0" w:right="256"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after="31" w:line="240" w:lineRule="auto"/>
      <w:ind w:left="0" w:firstLine="0"/>
      <w:jc w:val="center"/>
    </w:pPr>
    <w:r>
      <w:rPr>
        <w:rFonts w:ascii="Cambria" w:eastAsia="Cambria" w:hAnsi="Cambria" w:cs="Cambria"/>
        <w:sz w:val="28"/>
      </w:rPr>
      <w:t xml:space="preserve">~ </w:t>
    </w:r>
    <w:r w:rsidR="00955315">
      <w:fldChar w:fldCharType="begin"/>
    </w:r>
    <w:r>
      <w:instrText xml:space="preserve"> PAGE   \* MERGEFORMAT </w:instrText>
    </w:r>
    <w:r w:rsidR="00955315">
      <w:fldChar w:fldCharType="separate"/>
    </w:r>
    <w:proofErr w:type="spellStart"/>
    <w:proofErr w:type="gramStart"/>
    <w:r>
      <w:rPr>
        <w:rFonts w:ascii="Cambria" w:eastAsia="Cambria" w:hAnsi="Cambria" w:cs="Cambria"/>
        <w:sz w:val="28"/>
      </w:rPr>
      <w:t>i</w:t>
    </w:r>
    <w:proofErr w:type="spellEnd"/>
    <w:proofErr w:type="gramEnd"/>
    <w:r w:rsidR="00955315">
      <w:rPr>
        <w:rFonts w:ascii="Cambria" w:eastAsia="Cambria" w:hAnsi="Cambria" w:cs="Cambria"/>
        <w:sz w:val="28"/>
      </w:rPr>
      <w:fldChar w:fldCharType="end"/>
    </w:r>
    <w:r>
      <w:rPr>
        <w:rFonts w:ascii="Cambria" w:eastAsia="Cambria" w:hAnsi="Cambria" w:cs="Cambria"/>
        <w:sz w:val="28"/>
      </w:rPr>
      <w:t xml:space="preserve"> ~ </w:t>
    </w:r>
  </w:p>
  <w:p w:rsidR="0050212E" w:rsidRDefault="0050212E">
    <w:pPr>
      <w:spacing w:line="240"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after="31" w:line="240" w:lineRule="auto"/>
      <w:ind w:left="0" w:firstLine="0"/>
      <w:jc w:val="center"/>
    </w:pPr>
    <w:r>
      <w:rPr>
        <w:rFonts w:ascii="Cambria" w:eastAsia="Cambria" w:hAnsi="Cambria" w:cs="Cambria"/>
        <w:sz w:val="28"/>
      </w:rPr>
      <w:t xml:space="preserve">~ </w:t>
    </w:r>
    <w:r w:rsidR="00955315">
      <w:fldChar w:fldCharType="begin"/>
    </w:r>
    <w:r>
      <w:instrText xml:space="preserve"> PAGE   \* MERGEFORMAT </w:instrText>
    </w:r>
    <w:r w:rsidR="00955315">
      <w:fldChar w:fldCharType="separate"/>
    </w:r>
    <w:r w:rsidR="00EB7BBC" w:rsidRPr="00EB7BBC">
      <w:rPr>
        <w:rFonts w:ascii="Cambria" w:eastAsia="Cambria" w:hAnsi="Cambria" w:cs="Cambria"/>
        <w:noProof/>
        <w:sz w:val="28"/>
      </w:rPr>
      <w:t>iv</w:t>
    </w:r>
    <w:r w:rsidR="00955315">
      <w:rPr>
        <w:rFonts w:ascii="Cambria" w:eastAsia="Cambria" w:hAnsi="Cambria" w:cs="Cambria"/>
        <w:sz w:val="28"/>
      </w:rPr>
      <w:fldChar w:fldCharType="end"/>
    </w:r>
    <w:r>
      <w:rPr>
        <w:rFonts w:ascii="Cambria" w:eastAsia="Cambria" w:hAnsi="Cambria" w:cs="Cambria"/>
        <w:sz w:val="28"/>
      </w:rPr>
      <w:t xml:space="preserve"> ~ </w:t>
    </w:r>
  </w:p>
  <w:p w:rsidR="0050212E" w:rsidRDefault="0050212E">
    <w:pPr>
      <w:spacing w:line="240"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after="31" w:line="240" w:lineRule="auto"/>
      <w:ind w:left="0" w:firstLine="0"/>
      <w:jc w:val="center"/>
    </w:pPr>
    <w:r>
      <w:rPr>
        <w:rFonts w:ascii="Cambria" w:eastAsia="Cambria" w:hAnsi="Cambria" w:cs="Cambria"/>
        <w:sz w:val="28"/>
      </w:rPr>
      <w:t xml:space="preserve">~ </w:t>
    </w:r>
    <w:r w:rsidR="00955315">
      <w:fldChar w:fldCharType="begin"/>
    </w:r>
    <w:r>
      <w:instrText xml:space="preserve"> PAGE   \* MERGEFORMAT </w:instrText>
    </w:r>
    <w:r w:rsidR="00955315">
      <w:fldChar w:fldCharType="separate"/>
    </w:r>
    <w:proofErr w:type="spellStart"/>
    <w:proofErr w:type="gramStart"/>
    <w:r>
      <w:rPr>
        <w:rFonts w:ascii="Cambria" w:eastAsia="Cambria" w:hAnsi="Cambria" w:cs="Cambria"/>
        <w:sz w:val="28"/>
      </w:rPr>
      <w:t>i</w:t>
    </w:r>
    <w:proofErr w:type="spellEnd"/>
    <w:proofErr w:type="gramEnd"/>
    <w:r w:rsidR="00955315">
      <w:rPr>
        <w:rFonts w:ascii="Cambria" w:eastAsia="Cambria" w:hAnsi="Cambria" w:cs="Cambria"/>
        <w:sz w:val="28"/>
      </w:rPr>
      <w:fldChar w:fldCharType="end"/>
    </w:r>
    <w:r>
      <w:rPr>
        <w:rFonts w:ascii="Cambria" w:eastAsia="Cambria" w:hAnsi="Cambria" w:cs="Cambria"/>
        <w:sz w:val="28"/>
      </w:rPr>
      <w:t xml:space="preserve"> ~ </w:t>
    </w:r>
  </w:p>
  <w:p w:rsidR="0050212E" w:rsidRDefault="0050212E">
    <w:pPr>
      <w:spacing w:line="240"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6D1431">
    <w:pPr>
      <w:spacing w:line="240" w:lineRule="auto"/>
      <w:ind w:left="3591"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5527040</wp:posOffset>
              </wp:positionH>
              <wp:positionV relativeFrom="page">
                <wp:posOffset>10232390</wp:posOffset>
              </wp:positionV>
              <wp:extent cx="31115" cy="460375"/>
              <wp:effectExtent l="2540" t="2540" r="4445" b="3810"/>
              <wp:wrapSquare wrapText="bothSides"/>
              <wp:docPr id="71" name="Group 70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460375"/>
                        <a:chOff x="0" y="0"/>
                        <a:chExt cx="30861" cy="460248"/>
                      </a:xfrm>
                    </wpg:grpSpPr>
                    <wps:wsp>
                      <wps:cNvPr id="72" name="Shape 74269"/>
                      <wps:cNvSpPr>
                        <a:spLocks/>
                      </wps:cNvSpPr>
                      <wps:spPr bwMode="auto">
                        <a:xfrm>
                          <a:off x="24765"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74270"/>
                      <wps:cNvSpPr>
                        <a:spLocks/>
                      </wps:cNvSpPr>
                      <wps:spPr bwMode="auto">
                        <a:xfrm>
                          <a:off x="12192"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74271"/>
                      <wps:cNvSpPr>
                        <a:spLocks/>
                      </wps:cNvSpPr>
                      <wps:spPr bwMode="auto">
                        <a:xfrm>
                          <a:off x="0"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149" o:spid="_x0000_s1026" style="position:absolute;margin-left:435.2pt;margin-top:805.7pt;width:2.45pt;height:36.25pt;z-index:251661312;mso-position-horizontal-relative:page;mso-position-vertical-relative:page" coordsize="30861,46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">
              <v:shape id="Shape 74269" o:spid="_x0000_s1027" style="position:absolute;left:24765;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Ew8QA&#10;AADbAAAADwAAAGRycy9kb3ducmV2LnhtbESPQWvCQBSE7wX/w/IK3ppNctAQXUUKAQsNVOPB4yP7&#10;moRm34bsGuO/dwuFHoeZ+YbZ7mfTi4lG11lWkEQxCOLa6o4bBZeqeMtAOI+ssbdMCh7kYL9bvGwx&#10;1/bOJ5rOvhEBwi5HBa33Qy6lq1sy6CI7EAfv244GfZBjI/WI9wA3vUzjeCUNdhwWWhzovaX653wz&#10;Ck6H9e1rqsx1/uiTlMsiK8vsU6nl63zYgPA0+//wX/uoFaxT+P0SfoD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WhMPEAAAA2wAAAA8AAAAAAAAAAAAAAAAAmAIAAGRycy9k&#10;b3ducmV2LnhtbFBLBQYAAAAABAAEAPUAAACJAwAAAAA=&#10;" path="m,l9144,r,460248l,460248,,e" fillcolor="#4f81bd" stroked="f" strokeweight="0">
                <v:stroke miterlimit="83231f" joinstyle="miter"/>
                <v:path arrowok="t" o:connecttype="custom" o:connectlocs="0,0;9144,0;9144,460248;0,460248;0,0" o:connectangles="0,0,0,0,0" textboxrect="0,0,9144,460248"/>
              </v:shape>
              <v:shape id="Shape 74270" o:spid="_x0000_s1028" style="position:absolute;left:12192;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hWMQA&#10;AADbAAAADwAAAGRycy9kb3ducmV2LnhtbESPT2vCQBTE7wW/w/IEb3UThRqiqwRBaMFA1R56fGSf&#10;STD7NmQ3f/z23UKhx2FmfsPsDpNpxECdqy0riJcRCOLC6ppLBV+302sCwnlkjY1lUvAkB4f97GWH&#10;qbYjX2i4+lIECLsUFVTet6mUrqjIoFvaljh4d9sZ9EF2pdQdjgFuGrmKojdpsOawUGFLx4qKx7U3&#10;Ci7Zpv8cbuZ7+mjiFeenJM+Ts1KL+ZRtQXia/H/4r/2uFWzW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aIVjEAAAA2wAAAA8AAAAAAAAAAAAAAAAAmAIAAGRycy9k&#10;b3ducmV2LnhtbFBLBQYAAAAABAAEAPUAAACJAwAAAAA=&#10;" path="m,l9144,r,460248l,460248,,e" fillcolor="#4f81bd" stroked="f" strokeweight="0">
                <v:stroke miterlimit="83231f" joinstyle="miter"/>
                <v:path arrowok="t" o:connecttype="custom" o:connectlocs="0,0;9144,0;9144,460248;0,460248;0,0" o:connectangles="0,0,0,0,0" textboxrect="0,0,9144,460248"/>
              </v:shape>
              <v:shape id="Shape 74271" o:spid="_x0000_s1029" style="position:absolute;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5LMQA&#10;AADbAAAADwAAAGRycy9kb3ducmV2LnhtbESPT2vCQBTE7wW/w/IEb3UTkRqiqwRBaMFA1R56fGSf&#10;STD7NmQ3f/z23UKhx2FmfsPsDpNpxECdqy0riJcRCOLC6ppLBV+302sCwnlkjY1lUvAkB4f97GWH&#10;qbYjX2i4+lIECLsUFVTet6mUrqjIoFvaljh4d9sZ9EF2pdQdjgFuGrmKojdpsOawUGFLx4qKx7U3&#10;Ci7Zpv8cbuZ7+mjiFeenJM+Ts1KL+ZRtQXia/H/4r/2uFWzW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uSzEAAAA2wAAAA8AAAAAAAAAAAAAAAAAmAIAAGRycy9k&#10;b3ducmV2LnhtbFBLBQYAAAAABAAEAPUAAACJAwAAAAA=&#10;" path="m,l9144,r,460248l,460248,,e" fillcolor="#4f81bd" stroked="f" strokeweight="0">
                <v:stroke miterlimit="83231f" joinstyle="miter"/>
                <v:path arrowok="t" o:connecttype="custom" o:connectlocs="0,0;9144,0;9144,460248;0,460248;0,0" o:connectangles="0,0,0,0,0" textboxrect="0,0,9144,460248"/>
              </v:shape>
              <w10:wrap type="square" anchorx="page" anchory="page"/>
            </v:group>
          </w:pict>
        </mc:Fallback>
      </mc:AlternateContent>
    </w:r>
    <w:r w:rsidR="0050212E">
      <w:rPr>
        <w:rFonts w:ascii="Cambria" w:eastAsia="Cambria" w:hAnsi="Cambria" w:cs="Cambria"/>
        <w:b/>
        <w:sz w:val="20"/>
      </w:rPr>
      <w:tab/>
    </w:r>
    <w:r w:rsidR="00955315">
      <w:fldChar w:fldCharType="begin"/>
    </w:r>
    <w:r w:rsidR="0050212E">
      <w:instrText xml:space="preserve"> PAGE   \* MERGEFORMAT </w:instrText>
    </w:r>
    <w:r w:rsidR="00955315">
      <w:fldChar w:fldCharType="separate"/>
    </w:r>
    <w:r w:rsidR="0050212E">
      <w:rPr>
        <w:rFonts w:ascii="Calibri" w:eastAsia="Calibri" w:hAnsi="Calibri" w:cs="Calibri"/>
        <w:b/>
        <w:color w:val="984806"/>
      </w:rPr>
      <w:t>1</w:t>
    </w:r>
    <w:r w:rsidR="00955315">
      <w:rPr>
        <w:rFonts w:ascii="Calibri" w:eastAsia="Calibri" w:hAnsi="Calibri" w:cs="Calibri"/>
        <w:b/>
        <w:color w:val="984806"/>
      </w:rPr>
      <w:fldChar w:fldCharType="end"/>
    </w:r>
  </w:p>
  <w:p w:rsidR="0050212E" w:rsidRDefault="0050212E">
    <w:pPr>
      <w:spacing w:line="240" w:lineRule="auto"/>
      <w:ind w:left="0" w:right="256"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6D1431">
    <w:pPr>
      <w:spacing w:line="240" w:lineRule="auto"/>
      <w:ind w:left="3591"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5527040</wp:posOffset>
              </wp:positionH>
              <wp:positionV relativeFrom="page">
                <wp:posOffset>10232390</wp:posOffset>
              </wp:positionV>
              <wp:extent cx="31115" cy="460375"/>
              <wp:effectExtent l="2540" t="2540" r="4445" b="3810"/>
              <wp:wrapSquare wrapText="bothSides"/>
              <wp:docPr id="50" name="Group 70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460375"/>
                        <a:chOff x="0" y="0"/>
                        <a:chExt cx="30861" cy="460248"/>
                      </a:xfrm>
                    </wpg:grpSpPr>
                    <wps:wsp>
                      <wps:cNvPr id="56" name="Shape 74266"/>
                      <wps:cNvSpPr>
                        <a:spLocks/>
                      </wps:cNvSpPr>
                      <wps:spPr bwMode="auto">
                        <a:xfrm>
                          <a:off x="24765"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74267"/>
                      <wps:cNvSpPr>
                        <a:spLocks/>
                      </wps:cNvSpPr>
                      <wps:spPr bwMode="auto">
                        <a:xfrm>
                          <a:off x="12192"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74268"/>
                      <wps:cNvSpPr>
                        <a:spLocks/>
                      </wps:cNvSpPr>
                      <wps:spPr bwMode="auto">
                        <a:xfrm>
                          <a:off x="0"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124" o:spid="_x0000_s1026" style="position:absolute;margin-left:435.2pt;margin-top:805.7pt;width:2.45pt;height:36.25pt;z-index:251662336;mso-position-horizontal-relative:page;mso-position-vertical-relative:page" coordsize="30861,46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">
              <v:shape id="Shape 74266" o:spid="_x0000_s1027" style="position:absolute;left:24765;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eoMUA&#10;AADbAAAADwAAAGRycy9kb3ducmV2LnhtbESPzWrDMBCE74G+g9hAb4nsQBPjRjamEGihhibpocfF&#10;2tom1spY8k/fvioUchxm5hvmmC+mExMNrrWsIN5GIIgrq1uuFXxeT5sEhPPIGjvLpOCHHOTZw+qI&#10;qbYzn2m6+FoECLsUFTTe96mUrmrIoNvanjh433Yw6IMcaqkHnAPcdHIXRXtpsOWw0GBPLw1Vt8to&#10;FJyLw/gxXc3X8tbFOy5PSVkm70o9rpfiGYSnxd/D/+1XreBpD39fw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N6gxQAAANsAAAAPAAAAAAAAAAAAAAAAAJgCAABkcnMv&#10;ZG93bnJldi54bWxQSwUGAAAAAAQABAD1AAAAigMAAAAA&#10;" path="m,l9144,r,460248l,460248,,e" fillcolor="#4f81bd" stroked="f" strokeweight="0">
                <v:stroke miterlimit="83231f" joinstyle="miter"/>
                <v:path arrowok="t" o:connecttype="custom" o:connectlocs="0,0;9144,0;9144,460248;0,460248;0,0" o:connectangles="0,0,0,0,0" textboxrect="0,0,9144,460248"/>
              </v:shape>
              <v:shape id="Shape 74267" o:spid="_x0000_s1028" style="position:absolute;left:12192;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Ab8UA&#10;AADbAAAADwAAAGRycy9kb3ducmV2LnhtbESPzWrDMBCE74G+g9hCb4kcHxLXjWxCwdBCDU3SQ4+L&#10;tbFNrJWx5J++fVQo9DjMzDfMIV9MJyYaXGtZwXYTgSCurG65VvB1KdYJCOeRNXaWScEPOcizh9UB&#10;U21nPtF09rUIEHYpKmi871MpXdWQQbexPXHwrnYw6IMcaqkHnAPcdDKOop002HJYaLCn14aq23k0&#10;Ck7H/fg5Xcz38t5tYy6LpCyTD6WeHpfjCwhPi/8P/7XftILdM/x+CT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64BvxQAAANsAAAAPAAAAAAAAAAAAAAAAAJgCAABkcnMv&#10;ZG93bnJldi54bWxQSwUGAAAAAAQABAD1AAAAigMAAAAA&#10;" path="m,l9144,r,460248l,460248,,e" fillcolor="#4f81bd" stroked="f" strokeweight="0">
                <v:stroke miterlimit="83231f" joinstyle="miter"/>
                <v:path arrowok="t" o:connecttype="custom" o:connectlocs="0,0;9144,0;9144,460248;0,460248;0,0" o:connectangles="0,0,0,0,0" textboxrect="0,0,9144,460248"/>
              </v:shape>
              <v:shape id="Shape 74268" o:spid="_x0000_s1029" style="position:absolute;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L70A&#10;AADbAAAADwAAAGRycy9kb3ducmV2LnhtbERPuwrCMBTdBf8hXMFNUx20VKOIIChY8DU4XpprW2xu&#10;ShNr/XszCI6H816uO1OJlhpXWlYwGUcgiDOrS84V3K67UQzCeWSNlWVS8CEH61W/t8RE2zefqb34&#10;XIQQdgkqKLyvEyldVpBBN7Y1ceAetjHoA2xyqRt8h3BTyWkUzaTBkkNDgTVtC8qel5dRcN7MX6f2&#10;au7doZpMOd3FaRoflRoOus0ChKfO/8U/914rmIf14Uv4AX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Qi/L70AAADbAAAADwAAAAAAAAAAAAAAAACYAgAAZHJzL2Rvd25yZXYu&#10;eG1sUEsFBgAAAAAEAAQA9QAAAIIDAAAAAA==&#10;" path="m,l9144,r,460248l,460248,,e" fillcolor="#4f81bd" stroked="f" strokeweight="0">
                <v:stroke miterlimit="83231f" joinstyle="miter"/>
                <v:path arrowok="t" o:connecttype="custom" o:connectlocs="0,0;9144,0;9144,460248;0,460248;0,0" o:connectangles="0,0,0,0,0" textboxrect="0,0,9144,460248"/>
              </v:shape>
              <w10:wrap type="square" anchorx="page" anchory="page"/>
            </v:group>
          </w:pict>
        </mc:Fallback>
      </mc:AlternateContent>
    </w:r>
    <w:r w:rsidR="0050212E">
      <w:rPr>
        <w:rFonts w:ascii="Cambria" w:eastAsia="Cambria" w:hAnsi="Cambria" w:cs="Cambria"/>
        <w:b/>
        <w:sz w:val="20"/>
      </w:rPr>
      <w:tab/>
    </w:r>
    <w:r w:rsidR="00955315">
      <w:fldChar w:fldCharType="begin"/>
    </w:r>
    <w:r w:rsidR="0050212E">
      <w:instrText xml:space="preserve"> PAGE   \* MERGEFORMAT </w:instrText>
    </w:r>
    <w:r w:rsidR="00955315">
      <w:fldChar w:fldCharType="separate"/>
    </w:r>
    <w:r w:rsidR="00611A16" w:rsidRPr="00611A16">
      <w:rPr>
        <w:rFonts w:ascii="Calibri" w:eastAsia="Calibri" w:hAnsi="Calibri" w:cs="Calibri"/>
        <w:b/>
        <w:noProof/>
        <w:color w:val="984806"/>
      </w:rPr>
      <w:t>1</w:t>
    </w:r>
    <w:r w:rsidR="00955315">
      <w:rPr>
        <w:rFonts w:ascii="Calibri" w:eastAsia="Calibri" w:hAnsi="Calibri" w:cs="Calibri"/>
        <w:b/>
        <w:color w:val="984806"/>
      </w:rPr>
      <w:fldChar w:fldCharType="end"/>
    </w:r>
  </w:p>
  <w:p w:rsidR="0050212E" w:rsidRDefault="0050212E">
    <w:pPr>
      <w:spacing w:line="240" w:lineRule="auto"/>
      <w:ind w:left="0" w:right="256"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6D1431">
    <w:pPr>
      <w:spacing w:line="240" w:lineRule="auto"/>
      <w:ind w:left="3591"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5527040</wp:posOffset>
              </wp:positionH>
              <wp:positionV relativeFrom="page">
                <wp:posOffset>10232390</wp:posOffset>
              </wp:positionV>
              <wp:extent cx="31115" cy="460375"/>
              <wp:effectExtent l="2540" t="2540" r="4445" b="3810"/>
              <wp:wrapSquare wrapText="bothSides"/>
              <wp:docPr id="1" name="Group 70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 cy="460375"/>
                        <a:chOff x="0" y="0"/>
                        <a:chExt cx="30861" cy="460248"/>
                      </a:xfrm>
                    </wpg:grpSpPr>
                    <wps:wsp>
                      <wps:cNvPr id="2" name="Shape 74263"/>
                      <wps:cNvSpPr>
                        <a:spLocks/>
                      </wps:cNvSpPr>
                      <wps:spPr bwMode="auto">
                        <a:xfrm>
                          <a:off x="24765"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74264"/>
                      <wps:cNvSpPr>
                        <a:spLocks/>
                      </wps:cNvSpPr>
                      <wps:spPr bwMode="auto">
                        <a:xfrm>
                          <a:off x="12192"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74265"/>
                      <wps:cNvSpPr>
                        <a:spLocks/>
                      </wps:cNvSpPr>
                      <wps:spPr bwMode="auto">
                        <a:xfrm>
                          <a:off x="0" y="0"/>
                          <a:ext cx="9144" cy="460248"/>
                        </a:xfrm>
                        <a:custGeom>
                          <a:avLst/>
                          <a:gdLst>
                            <a:gd name="T0" fmla="*/ 0 w 9144"/>
                            <a:gd name="T1" fmla="*/ 0 h 460248"/>
                            <a:gd name="T2" fmla="*/ 9144 w 9144"/>
                            <a:gd name="T3" fmla="*/ 0 h 460248"/>
                            <a:gd name="T4" fmla="*/ 9144 w 9144"/>
                            <a:gd name="T5" fmla="*/ 460248 h 460248"/>
                            <a:gd name="T6" fmla="*/ 0 w 9144"/>
                            <a:gd name="T7" fmla="*/ 460248 h 460248"/>
                            <a:gd name="T8" fmla="*/ 0 w 9144"/>
                            <a:gd name="T9" fmla="*/ 0 h 460248"/>
                            <a:gd name="T10" fmla="*/ 0 60000 65536"/>
                            <a:gd name="T11" fmla="*/ 0 60000 65536"/>
                            <a:gd name="T12" fmla="*/ 0 60000 65536"/>
                            <a:gd name="T13" fmla="*/ 0 60000 65536"/>
                            <a:gd name="T14" fmla="*/ 0 60000 65536"/>
                            <a:gd name="T15" fmla="*/ 0 w 9144"/>
                            <a:gd name="T16" fmla="*/ 0 h 460248"/>
                            <a:gd name="T17" fmla="*/ 9144 w 9144"/>
                            <a:gd name="T18" fmla="*/ 460248 h 460248"/>
                          </a:gdLst>
                          <a:ahLst/>
                          <a:cxnLst>
                            <a:cxn ang="T10">
                              <a:pos x="T0" y="T1"/>
                            </a:cxn>
                            <a:cxn ang="T11">
                              <a:pos x="T2" y="T3"/>
                            </a:cxn>
                            <a:cxn ang="T12">
                              <a:pos x="T4" y="T5"/>
                            </a:cxn>
                            <a:cxn ang="T13">
                              <a:pos x="T6" y="T7"/>
                            </a:cxn>
                            <a:cxn ang="T14">
                              <a:pos x="T8" y="T9"/>
                            </a:cxn>
                          </a:cxnLst>
                          <a:rect l="T15" t="T16" r="T17" b="T18"/>
                          <a:pathLst>
                            <a:path w="9144" h="460248">
                              <a:moveTo>
                                <a:pt x="0" y="0"/>
                              </a:moveTo>
                              <a:lnTo>
                                <a:pt x="9144" y="0"/>
                              </a:lnTo>
                              <a:lnTo>
                                <a:pt x="9144" y="460248"/>
                              </a:lnTo>
                              <a:lnTo>
                                <a:pt x="0" y="46024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099" o:spid="_x0000_s1026" style="position:absolute;margin-left:435.2pt;margin-top:805.7pt;width:2.45pt;height:36.25pt;z-index:251663360;mso-position-horizontal-relative:page;mso-position-vertical-relative:page" coordsize="30861,46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">
              <v:shape id="Shape 74263" o:spid="_x0000_s1027" style="position:absolute;left:24765;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7e8MA&#10;AADaAAAADwAAAGRycy9kb3ducmV2LnhtbESPQWuDQBSE74X+h+UVequrHhqx2YgEhBYqJDGHHB/u&#10;q0rct+JujP333UKhx2FmvmG2xWpGsdDsBssKkigGQdxaPXCn4NxULxkI55E1jpZJwTc5KHaPD1vM&#10;tb3zkZaT70SAsMtRQe/9lEvp2p4MushOxMH7srNBH+TcST3jPcDNKNM4fpUGBw4LPU6076m9nm5G&#10;wbHc3A5LYy7rx5ikXFdZXWefSj0/reUbCE+r/w//td+1ghR+r4Qb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e7e8MAAADaAAAADwAAAAAAAAAAAAAAAACYAgAAZHJzL2Rv&#10;d25yZXYueG1sUEsFBgAAAAAEAAQA9QAAAIgDAAAAAA==&#10;" path="m,l9144,r,460248l,460248,,e" fillcolor="#4f81bd" stroked="f" strokeweight="0">
                <v:stroke miterlimit="83231f" joinstyle="miter"/>
                <v:path arrowok="t" o:connecttype="custom" o:connectlocs="0,0;9144,0;9144,460248;0,460248;0,0" o:connectangles="0,0,0,0,0" textboxrect="0,0,9144,460248"/>
              </v:shape>
              <v:shape id="Shape 74264" o:spid="_x0000_s1028" style="position:absolute;left:12192;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E+MAA&#10;AADbAAAADwAAAGRycy9kb3ducmV2LnhtbERPy6rCMBDdC/5DGOHuNFVBSzWKCIKChetj4XJoxrbY&#10;TEoTa+/fG+GCuzmc5yzXnalES40rLSsYjyIQxJnVJecKrpfdMAbhPLLGyjIp+CMH61W/t8RE2xef&#10;qD37XIQQdgkqKLyvEyldVpBBN7I1ceDutjHoA2xyqRt8hXBTyUkUzaTBkkNDgTVtC8oe56dRcNrM&#10;n7/txdy6QzWecLqL0zQ+KvUz6DYLEJ46/xX/u/c6zJ/C55dw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XE+MAAAADbAAAADwAAAAAAAAAAAAAAAACYAgAAZHJzL2Rvd25y&#10;ZXYueG1sUEsFBgAAAAAEAAQA9QAAAIUDAAAAAA==&#10;" path="m,l9144,r,460248l,460248,,e" fillcolor="#4f81bd" stroked="f" strokeweight="0">
                <v:stroke miterlimit="83231f" joinstyle="miter"/>
                <v:path arrowok="t" o:connecttype="custom" o:connectlocs="0,0;9144,0;9144,460248;0,460248;0,0" o:connectangles="0,0,0,0,0" textboxrect="0,0,9144,460248"/>
              </v:shape>
              <v:shape id="Shape 74265" o:spid="_x0000_s1029" style="position:absolute;width:9144;height:460248;visibility:visible;mso-wrap-style:square;v-text-anchor:top" coordsize="9144,46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7cD8UA&#10;AADbAAAADwAAAGRycy9kb3ducmV2LnhtbESPT2vCQBTE7wW/w/IEb3VjkDaNriJCwEIDVXvw+Mg+&#10;k2D2bchu/vTbdwuFHoeZ+Q2z3U+mEQN1rrasYLWMQBAXVtdcKvi6Zs8JCOeRNTaWScE3OdjvZk9b&#10;TLUd+UzDxZciQNilqKDyvk2ldEVFBt3StsTBu9vOoA+yK6XucAxw08g4il6kwZrDQoUtHSsqHpfe&#10;KDgfXvvP4Wpu03uzijnPkjxPPpRazKfDBoSnyf+H/9onrWD9Br9fw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twPxQAAANsAAAAPAAAAAAAAAAAAAAAAAJgCAABkcnMv&#10;ZG93bnJldi54bWxQSwUGAAAAAAQABAD1AAAAigMAAAAA&#10;" path="m,l9144,r,460248l,460248,,e" fillcolor="#4f81bd" stroked="f" strokeweight="0">
                <v:stroke miterlimit="83231f" joinstyle="miter"/>
                <v:path arrowok="t" o:connecttype="custom" o:connectlocs="0,0;9144,0;9144,460248;0,460248;0,0" o:connectangles="0,0,0,0,0" textboxrect="0,0,9144,460248"/>
              </v:shape>
              <w10:wrap type="square" anchorx="page" anchory="page"/>
            </v:group>
          </w:pict>
        </mc:Fallback>
      </mc:AlternateContent>
    </w:r>
    <w:r w:rsidR="0050212E">
      <w:rPr>
        <w:rFonts w:ascii="Cambria" w:eastAsia="Cambria" w:hAnsi="Cambria" w:cs="Cambria"/>
        <w:b/>
        <w:sz w:val="20"/>
      </w:rPr>
      <w:tab/>
    </w:r>
    <w:r w:rsidR="00955315">
      <w:fldChar w:fldCharType="begin"/>
    </w:r>
    <w:r w:rsidR="0050212E">
      <w:instrText xml:space="preserve"> PAGE   \* MERGEFORMAT </w:instrText>
    </w:r>
    <w:r w:rsidR="00955315">
      <w:fldChar w:fldCharType="separate"/>
    </w:r>
    <w:r w:rsidR="0050212E">
      <w:rPr>
        <w:rFonts w:ascii="Calibri" w:eastAsia="Calibri" w:hAnsi="Calibri" w:cs="Calibri"/>
        <w:b/>
        <w:color w:val="984806"/>
      </w:rPr>
      <w:t>1</w:t>
    </w:r>
    <w:r w:rsidR="00955315">
      <w:rPr>
        <w:rFonts w:ascii="Calibri" w:eastAsia="Calibri" w:hAnsi="Calibri" w:cs="Calibri"/>
        <w:b/>
        <w:color w:val="984806"/>
      </w:rPr>
      <w:fldChar w:fldCharType="end"/>
    </w:r>
  </w:p>
  <w:p w:rsidR="0050212E" w:rsidRDefault="0050212E">
    <w:pPr>
      <w:spacing w:line="240" w:lineRule="auto"/>
      <w:ind w:left="0" w:right="256"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5F7" w:rsidRDefault="00A765F7">
      <w:pPr>
        <w:spacing w:line="240" w:lineRule="auto"/>
      </w:pPr>
      <w:r>
        <w:separator/>
      </w:r>
    </w:p>
  </w:footnote>
  <w:footnote w:type="continuationSeparator" w:id="0">
    <w:p w:rsidR="00A765F7" w:rsidRDefault="00A765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76"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40" w:lineRule="auto"/>
      <w:ind w:left="0" w:firstLine="0"/>
      <w:jc w:val="right"/>
    </w:pPr>
    <w:r>
      <w:rPr>
        <w:noProof/>
      </w:rPr>
      <w:drawing>
        <wp:anchor distT="0" distB="0" distL="114300" distR="114300" simplePos="0" relativeHeight="251644928" behindDoc="0" locked="0" layoutInCell="1" allowOverlap="0">
          <wp:simplePos x="0" y="0"/>
          <wp:positionH relativeFrom="page">
            <wp:posOffset>5386705</wp:posOffset>
          </wp:positionH>
          <wp:positionV relativeFrom="page">
            <wp:posOffset>182880</wp:posOffset>
          </wp:positionV>
          <wp:extent cx="1259840" cy="534925"/>
          <wp:effectExtent l="0" t="0" r="0" b="0"/>
          <wp:wrapSquare wrapText="bothSides"/>
          <wp:docPr id="83" name="Picture 83"/>
          <wp:cNvGraphicFramePr/>
          <a:graphic xmlns:a="http://schemas.openxmlformats.org/drawingml/2006/main">
            <a:graphicData uri="http://schemas.openxmlformats.org/drawingml/2006/picture">
              <pic:pic xmlns:pic="http://schemas.openxmlformats.org/drawingml/2006/picture">
                <pic:nvPicPr>
                  <pic:cNvPr id="1312" name="Picture 1312"/>
                  <pic:cNvPicPr/>
                </pic:nvPicPr>
                <pic:blipFill>
                  <a:blip r:embed="rId1"/>
                  <a:stretch>
                    <a:fillRect/>
                  </a:stretch>
                </pic:blipFill>
                <pic:spPr>
                  <a:xfrm>
                    <a:off x="0" y="0"/>
                    <a:ext cx="1259840" cy="534925"/>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40" w:lineRule="auto"/>
      <w:ind w:left="0" w:firstLine="0"/>
      <w:jc w:val="right"/>
    </w:pPr>
    <w:r>
      <w:rPr>
        <w:noProof/>
      </w:rPr>
      <w:drawing>
        <wp:anchor distT="0" distB="0" distL="114300" distR="114300" simplePos="0" relativeHeight="251667456" behindDoc="0" locked="0" layoutInCell="1" allowOverlap="0">
          <wp:simplePos x="0" y="0"/>
          <wp:positionH relativeFrom="page">
            <wp:posOffset>5386705</wp:posOffset>
          </wp:positionH>
          <wp:positionV relativeFrom="page">
            <wp:posOffset>182880</wp:posOffset>
          </wp:positionV>
          <wp:extent cx="1259840" cy="534925"/>
          <wp:effectExtent l="0" t="0" r="0" b="0"/>
          <wp:wrapSquare wrapText="bothSides"/>
          <wp:docPr id="84" name="Picture 84"/>
          <wp:cNvGraphicFramePr/>
          <a:graphic xmlns:a="http://schemas.openxmlformats.org/drawingml/2006/main">
            <a:graphicData uri="http://schemas.openxmlformats.org/drawingml/2006/picture">
              <pic:pic xmlns:pic="http://schemas.openxmlformats.org/drawingml/2006/picture">
                <pic:nvPicPr>
                  <pic:cNvPr id="1312" name="Picture 1312"/>
                  <pic:cNvPicPr/>
                </pic:nvPicPr>
                <pic:blipFill>
                  <a:blip r:embed="rId1"/>
                  <a:stretch>
                    <a:fillRect/>
                  </a:stretch>
                </pic:blipFill>
                <pic:spPr>
                  <a:xfrm>
                    <a:off x="0" y="0"/>
                    <a:ext cx="1259840" cy="534925"/>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2E" w:rsidRDefault="0050212E">
    <w:pPr>
      <w:spacing w:line="240" w:lineRule="auto"/>
      <w:ind w:left="0" w:firstLine="0"/>
      <w:jc w:val="right"/>
    </w:pPr>
    <w:r>
      <w:rPr>
        <w:noProof/>
      </w:rPr>
      <w:drawing>
        <wp:anchor distT="0" distB="0" distL="114300" distR="114300" simplePos="0" relativeHeight="251689984" behindDoc="0" locked="0" layoutInCell="1" allowOverlap="0">
          <wp:simplePos x="0" y="0"/>
          <wp:positionH relativeFrom="page">
            <wp:posOffset>5386705</wp:posOffset>
          </wp:positionH>
          <wp:positionV relativeFrom="page">
            <wp:posOffset>182880</wp:posOffset>
          </wp:positionV>
          <wp:extent cx="1259840" cy="534925"/>
          <wp:effectExtent l="0" t="0" r="0" b="0"/>
          <wp:wrapSquare wrapText="bothSides"/>
          <wp:docPr id="85" name="Picture 85"/>
          <wp:cNvGraphicFramePr/>
          <a:graphic xmlns:a="http://schemas.openxmlformats.org/drawingml/2006/main">
            <a:graphicData uri="http://schemas.openxmlformats.org/drawingml/2006/picture">
              <pic:pic xmlns:pic="http://schemas.openxmlformats.org/drawingml/2006/picture">
                <pic:nvPicPr>
                  <pic:cNvPr id="1312" name="Picture 1312"/>
                  <pic:cNvPicPr/>
                </pic:nvPicPr>
                <pic:blipFill>
                  <a:blip r:embed="rId1"/>
                  <a:stretch>
                    <a:fillRect/>
                  </a:stretch>
                </pic:blipFill>
                <pic:spPr>
                  <a:xfrm>
                    <a:off x="0" y="0"/>
                    <a:ext cx="1259840" cy="5349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0579"/>
    <w:multiLevelType w:val="hybridMultilevel"/>
    <w:tmpl w:val="533A430E"/>
    <w:lvl w:ilvl="0" w:tplc="C7E2C630">
      <w:start w:val="1"/>
      <w:numFmt w:val="bullet"/>
      <w:lvlText w:val="➢"/>
      <w:lvlJc w:val="left"/>
      <w:pPr>
        <w:ind w:left="8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C5062302">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9100267E">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FE1E7830">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3208D662">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02CA5180">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162E2464">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7ED8A5D6">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A7B2C2EC">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1">
    <w:nsid w:val="0A785BF5"/>
    <w:multiLevelType w:val="hybridMultilevel"/>
    <w:tmpl w:val="23C23C74"/>
    <w:lvl w:ilvl="0" w:tplc="8CBECDF4">
      <w:start w:val="1"/>
      <w:numFmt w:val="decimal"/>
      <w:lvlText w:val="%1."/>
      <w:lvlJc w:val="left"/>
      <w:pPr>
        <w:ind w:left="81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9CE7762">
      <w:start w:val="1"/>
      <w:numFmt w:val="lowerLetter"/>
      <w:lvlText w:val="%2"/>
      <w:lvlJc w:val="left"/>
      <w:pPr>
        <w:ind w:left="153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80E6302">
      <w:start w:val="1"/>
      <w:numFmt w:val="lowerRoman"/>
      <w:lvlText w:val="%3"/>
      <w:lvlJc w:val="left"/>
      <w:pPr>
        <w:ind w:left="225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B2837D4">
      <w:start w:val="1"/>
      <w:numFmt w:val="decimal"/>
      <w:lvlText w:val="%4"/>
      <w:lvlJc w:val="left"/>
      <w:pPr>
        <w:ind w:left="297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0569AF0">
      <w:start w:val="1"/>
      <w:numFmt w:val="lowerLetter"/>
      <w:lvlText w:val="%5"/>
      <w:lvlJc w:val="left"/>
      <w:pPr>
        <w:ind w:left="369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D2065B6">
      <w:start w:val="1"/>
      <w:numFmt w:val="lowerRoman"/>
      <w:lvlText w:val="%6"/>
      <w:lvlJc w:val="left"/>
      <w:pPr>
        <w:ind w:left="441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08C4476">
      <w:start w:val="1"/>
      <w:numFmt w:val="decimal"/>
      <w:lvlText w:val="%7"/>
      <w:lvlJc w:val="left"/>
      <w:pPr>
        <w:ind w:left="513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F16269C">
      <w:start w:val="1"/>
      <w:numFmt w:val="lowerLetter"/>
      <w:lvlText w:val="%8"/>
      <w:lvlJc w:val="left"/>
      <w:pPr>
        <w:ind w:left="585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BBC1464">
      <w:start w:val="1"/>
      <w:numFmt w:val="lowerRoman"/>
      <w:lvlText w:val="%9"/>
      <w:lvlJc w:val="left"/>
      <w:pPr>
        <w:ind w:left="657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nsid w:val="105666F7"/>
    <w:multiLevelType w:val="hybridMultilevel"/>
    <w:tmpl w:val="B464DE04"/>
    <w:lvl w:ilvl="0" w:tplc="BEE273D2">
      <w:start w:val="1"/>
      <w:numFmt w:val="bullet"/>
      <w:lvlText w:val="➢"/>
      <w:lvlJc w:val="left"/>
      <w:pPr>
        <w:ind w:left="8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9E14D924">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B2807BFE">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1FC8AD04">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E6C5640">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5D0ADB48">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DDCC9DA2">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E7A2BE54">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1004C618">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3">
    <w:nsid w:val="11B8009B"/>
    <w:multiLevelType w:val="hybridMultilevel"/>
    <w:tmpl w:val="E4AA0DFC"/>
    <w:lvl w:ilvl="0" w:tplc="E64CB966">
      <w:start w:val="1"/>
      <w:numFmt w:val="bullet"/>
      <w:lvlText w:val="➢"/>
      <w:lvlJc w:val="left"/>
      <w:pPr>
        <w:ind w:left="8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03367F7A">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D4601478">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B1629FC4">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C6041D76">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B52AB108">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294CD0C4">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8F1829B6">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839A0B86">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4">
    <w:nsid w:val="1418142A"/>
    <w:multiLevelType w:val="hybridMultilevel"/>
    <w:tmpl w:val="9A6CA68C"/>
    <w:lvl w:ilvl="0" w:tplc="C6E6F230">
      <w:start w:val="1"/>
      <w:numFmt w:val="bullet"/>
      <w:lvlText w:val="➢"/>
      <w:lvlJc w:val="left"/>
      <w:pPr>
        <w:ind w:left="81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74A10D8">
      <w:start w:val="1"/>
      <w:numFmt w:val="bullet"/>
      <w:lvlText w:val="o"/>
      <w:lvlJc w:val="left"/>
      <w:pPr>
        <w:ind w:left="153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032E00A">
      <w:start w:val="1"/>
      <w:numFmt w:val="bullet"/>
      <w:lvlText w:val="▪"/>
      <w:lvlJc w:val="left"/>
      <w:pPr>
        <w:ind w:left="22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CA287EE">
      <w:start w:val="1"/>
      <w:numFmt w:val="bullet"/>
      <w:lvlText w:val="•"/>
      <w:lvlJc w:val="left"/>
      <w:pPr>
        <w:ind w:left="297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8D63330">
      <w:start w:val="1"/>
      <w:numFmt w:val="bullet"/>
      <w:lvlText w:val="o"/>
      <w:lvlJc w:val="left"/>
      <w:pPr>
        <w:ind w:left="369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6A6DAB8">
      <w:start w:val="1"/>
      <w:numFmt w:val="bullet"/>
      <w:lvlText w:val="▪"/>
      <w:lvlJc w:val="left"/>
      <w:pPr>
        <w:ind w:left="441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62C47E4">
      <w:start w:val="1"/>
      <w:numFmt w:val="bullet"/>
      <w:lvlText w:val="•"/>
      <w:lvlJc w:val="left"/>
      <w:pPr>
        <w:ind w:left="513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47C1478">
      <w:start w:val="1"/>
      <w:numFmt w:val="bullet"/>
      <w:lvlText w:val="o"/>
      <w:lvlJc w:val="left"/>
      <w:pPr>
        <w:ind w:left="58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8865FB6">
      <w:start w:val="1"/>
      <w:numFmt w:val="bullet"/>
      <w:lvlText w:val="▪"/>
      <w:lvlJc w:val="left"/>
      <w:pPr>
        <w:ind w:left="657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
    <w:nsid w:val="14220FD4"/>
    <w:multiLevelType w:val="hybridMultilevel"/>
    <w:tmpl w:val="BA0A8284"/>
    <w:lvl w:ilvl="0" w:tplc="9E0A6312">
      <w:start w:val="1"/>
      <w:numFmt w:val="bullet"/>
      <w:lvlText w:val="➢"/>
      <w:lvlJc w:val="left"/>
      <w:pPr>
        <w:ind w:left="81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540C124">
      <w:start w:val="1"/>
      <w:numFmt w:val="bullet"/>
      <w:lvlText w:val="o"/>
      <w:lvlJc w:val="left"/>
      <w:pPr>
        <w:ind w:left="153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920692E">
      <w:start w:val="1"/>
      <w:numFmt w:val="bullet"/>
      <w:lvlText w:val="▪"/>
      <w:lvlJc w:val="left"/>
      <w:pPr>
        <w:ind w:left="22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3F6E8F4">
      <w:start w:val="1"/>
      <w:numFmt w:val="bullet"/>
      <w:lvlText w:val="•"/>
      <w:lvlJc w:val="left"/>
      <w:pPr>
        <w:ind w:left="297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96F570">
      <w:start w:val="1"/>
      <w:numFmt w:val="bullet"/>
      <w:lvlText w:val="o"/>
      <w:lvlJc w:val="left"/>
      <w:pPr>
        <w:ind w:left="369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9C85F56">
      <w:start w:val="1"/>
      <w:numFmt w:val="bullet"/>
      <w:lvlText w:val="▪"/>
      <w:lvlJc w:val="left"/>
      <w:pPr>
        <w:ind w:left="441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466C914">
      <w:start w:val="1"/>
      <w:numFmt w:val="bullet"/>
      <w:lvlText w:val="•"/>
      <w:lvlJc w:val="left"/>
      <w:pPr>
        <w:ind w:left="513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8D41516">
      <w:start w:val="1"/>
      <w:numFmt w:val="bullet"/>
      <w:lvlText w:val="o"/>
      <w:lvlJc w:val="left"/>
      <w:pPr>
        <w:ind w:left="58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1D209DE">
      <w:start w:val="1"/>
      <w:numFmt w:val="bullet"/>
      <w:lvlText w:val="▪"/>
      <w:lvlJc w:val="left"/>
      <w:pPr>
        <w:ind w:left="657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
    <w:nsid w:val="1AC94E52"/>
    <w:multiLevelType w:val="hybridMultilevel"/>
    <w:tmpl w:val="AA946102"/>
    <w:lvl w:ilvl="0" w:tplc="EB689BE0">
      <w:start w:val="1"/>
      <w:numFmt w:val="bullet"/>
      <w:lvlText w:val="•"/>
      <w:lvlJc w:val="left"/>
      <w:pPr>
        <w:ind w:left="81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4009886">
      <w:start w:val="1"/>
      <w:numFmt w:val="bullet"/>
      <w:lvlText w:val="o"/>
      <w:lvlJc w:val="left"/>
      <w:pPr>
        <w:ind w:left="153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C194FD56">
      <w:start w:val="1"/>
      <w:numFmt w:val="bullet"/>
      <w:lvlText w:val="▪"/>
      <w:lvlJc w:val="left"/>
      <w:pPr>
        <w:ind w:left="225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765E8F8C">
      <w:start w:val="1"/>
      <w:numFmt w:val="bullet"/>
      <w:lvlText w:val="•"/>
      <w:lvlJc w:val="left"/>
      <w:pPr>
        <w:ind w:left="297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04CEBB2">
      <w:start w:val="1"/>
      <w:numFmt w:val="bullet"/>
      <w:lvlText w:val="o"/>
      <w:lvlJc w:val="left"/>
      <w:pPr>
        <w:ind w:left="369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A0206D30">
      <w:start w:val="1"/>
      <w:numFmt w:val="bullet"/>
      <w:lvlText w:val="▪"/>
      <w:lvlJc w:val="left"/>
      <w:pPr>
        <w:ind w:left="441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5E0A31B6">
      <w:start w:val="1"/>
      <w:numFmt w:val="bullet"/>
      <w:lvlText w:val="•"/>
      <w:lvlJc w:val="left"/>
      <w:pPr>
        <w:ind w:left="513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69EFC08">
      <w:start w:val="1"/>
      <w:numFmt w:val="bullet"/>
      <w:lvlText w:val="o"/>
      <w:lvlJc w:val="left"/>
      <w:pPr>
        <w:ind w:left="585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87B6B986">
      <w:start w:val="1"/>
      <w:numFmt w:val="bullet"/>
      <w:lvlText w:val="▪"/>
      <w:lvlJc w:val="left"/>
      <w:pPr>
        <w:ind w:left="657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7">
    <w:nsid w:val="293A5D1E"/>
    <w:multiLevelType w:val="hybridMultilevel"/>
    <w:tmpl w:val="3FFE4E46"/>
    <w:lvl w:ilvl="0" w:tplc="5A4EF22E">
      <w:start w:val="1"/>
      <w:numFmt w:val="decimal"/>
      <w:lvlText w:val="%1."/>
      <w:lvlJc w:val="left"/>
      <w:pPr>
        <w:ind w:left="1032"/>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1" w:tplc="707A62CA">
      <w:start w:val="1"/>
      <w:numFmt w:val="lowerLetter"/>
      <w:lvlText w:val="%2"/>
      <w:lvlJc w:val="left"/>
      <w:pPr>
        <w:ind w:left="189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2" w:tplc="6B529EF8">
      <w:start w:val="1"/>
      <w:numFmt w:val="lowerRoman"/>
      <w:lvlText w:val="%3"/>
      <w:lvlJc w:val="left"/>
      <w:pPr>
        <w:ind w:left="261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3" w:tplc="027A7CF0">
      <w:start w:val="1"/>
      <w:numFmt w:val="decimal"/>
      <w:lvlText w:val="%4"/>
      <w:lvlJc w:val="left"/>
      <w:pPr>
        <w:ind w:left="333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4" w:tplc="92CAB516">
      <w:start w:val="1"/>
      <w:numFmt w:val="lowerLetter"/>
      <w:lvlText w:val="%5"/>
      <w:lvlJc w:val="left"/>
      <w:pPr>
        <w:ind w:left="405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5" w:tplc="9FE0BD32">
      <w:start w:val="1"/>
      <w:numFmt w:val="lowerRoman"/>
      <w:lvlText w:val="%6"/>
      <w:lvlJc w:val="left"/>
      <w:pPr>
        <w:ind w:left="477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6" w:tplc="C11AB1C8">
      <w:start w:val="1"/>
      <w:numFmt w:val="decimal"/>
      <w:lvlText w:val="%7"/>
      <w:lvlJc w:val="left"/>
      <w:pPr>
        <w:ind w:left="549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7" w:tplc="C024B78E">
      <w:start w:val="1"/>
      <w:numFmt w:val="lowerLetter"/>
      <w:lvlText w:val="%8"/>
      <w:lvlJc w:val="left"/>
      <w:pPr>
        <w:ind w:left="621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lvl w:ilvl="8" w:tplc="50BED914">
      <w:start w:val="1"/>
      <w:numFmt w:val="lowerRoman"/>
      <w:lvlText w:val="%9"/>
      <w:lvlJc w:val="left"/>
      <w:pPr>
        <w:ind w:left="6931"/>
      </w:pPr>
      <w:rPr>
        <w:rFonts w:ascii="Times New Roman" w:eastAsia="Times New Roman" w:hAnsi="Times New Roman" w:cs="Times New Roman"/>
        <w:b w:val="0"/>
        <w:i w:val="0"/>
        <w:strike w:val="0"/>
        <w:dstrike w:val="0"/>
        <w:color w:val="231F20"/>
        <w:sz w:val="22"/>
        <w:u w:val="none" w:color="000000"/>
        <w:bdr w:val="none" w:sz="0" w:space="0" w:color="auto"/>
        <w:shd w:val="clear" w:color="auto" w:fill="auto"/>
        <w:vertAlign w:val="baseline"/>
      </w:rPr>
    </w:lvl>
  </w:abstractNum>
  <w:abstractNum w:abstractNumId="8">
    <w:nsid w:val="2BAD4663"/>
    <w:multiLevelType w:val="hybridMultilevel"/>
    <w:tmpl w:val="326EEEF0"/>
    <w:lvl w:ilvl="0" w:tplc="26644628">
      <w:start w:val="1"/>
      <w:numFmt w:val="bullet"/>
      <w:lvlText w:val="➢"/>
      <w:lvlJc w:val="left"/>
      <w:pPr>
        <w:ind w:left="8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EEB8A9CE">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E2B03D68">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1E1ECEC6">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363849F4">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80E087B0">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FB1C1DFE">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0F385944">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0E2878B8">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9">
    <w:nsid w:val="357B7DEA"/>
    <w:multiLevelType w:val="hybridMultilevel"/>
    <w:tmpl w:val="9FBC8D10"/>
    <w:lvl w:ilvl="0" w:tplc="1B9EEF22">
      <w:start w:val="1"/>
      <w:numFmt w:val="bullet"/>
      <w:lvlText w:val="➢"/>
      <w:lvlJc w:val="left"/>
      <w:pPr>
        <w:ind w:left="85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9D705E06">
      <w:start w:val="1"/>
      <w:numFmt w:val="bullet"/>
      <w:lvlText w:val="o"/>
      <w:lvlJc w:val="left"/>
      <w:pPr>
        <w:ind w:left="157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68D0601C">
      <w:start w:val="1"/>
      <w:numFmt w:val="bullet"/>
      <w:lvlText w:val="▪"/>
      <w:lvlJc w:val="left"/>
      <w:pPr>
        <w:ind w:left="229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8DA2F67A">
      <w:start w:val="1"/>
      <w:numFmt w:val="bullet"/>
      <w:lvlText w:val="•"/>
      <w:lvlJc w:val="left"/>
      <w:pPr>
        <w:ind w:left="301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5AFE3376">
      <w:start w:val="1"/>
      <w:numFmt w:val="bullet"/>
      <w:lvlText w:val="o"/>
      <w:lvlJc w:val="left"/>
      <w:pPr>
        <w:ind w:left="373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BD367020">
      <w:start w:val="1"/>
      <w:numFmt w:val="bullet"/>
      <w:lvlText w:val="▪"/>
      <w:lvlJc w:val="left"/>
      <w:pPr>
        <w:ind w:left="445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1BB425BE">
      <w:start w:val="1"/>
      <w:numFmt w:val="bullet"/>
      <w:lvlText w:val="•"/>
      <w:lvlJc w:val="left"/>
      <w:pPr>
        <w:ind w:left="517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44D4CCC8">
      <w:start w:val="1"/>
      <w:numFmt w:val="bullet"/>
      <w:lvlText w:val="o"/>
      <w:lvlJc w:val="left"/>
      <w:pPr>
        <w:ind w:left="589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8B8AC710">
      <w:start w:val="1"/>
      <w:numFmt w:val="bullet"/>
      <w:lvlText w:val="▪"/>
      <w:lvlJc w:val="left"/>
      <w:pPr>
        <w:ind w:left="661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10">
    <w:nsid w:val="386B290A"/>
    <w:multiLevelType w:val="hybridMultilevel"/>
    <w:tmpl w:val="59CAFD30"/>
    <w:lvl w:ilvl="0" w:tplc="DB920CF2">
      <w:start w:val="1"/>
      <w:numFmt w:val="bullet"/>
      <w:lvlText w:val="➢"/>
      <w:lvlJc w:val="left"/>
      <w:pPr>
        <w:ind w:left="8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DEB0B29C">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9472567E">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AABECA34">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CC3A6894">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85FC875C">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3BB4F862">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934E9F8C">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3B709788">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11">
    <w:nsid w:val="42027934"/>
    <w:multiLevelType w:val="hybridMultilevel"/>
    <w:tmpl w:val="06AA0DF0"/>
    <w:lvl w:ilvl="0" w:tplc="0BE225C4">
      <w:start w:val="1"/>
      <w:numFmt w:val="bullet"/>
      <w:lvlText w:val="➢"/>
      <w:lvlJc w:val="left"/>
      <w:pPr>
        <w:ind w:left="86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32DC898E">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7DEEA724">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78D4DFF2">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E7065714">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032E3D9E">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5732A202">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9A985A4C">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75E8A092">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12">
    <w:nsid w:val="47D91C5B"/>
    <w:multiLevelType w:val="hybridMultilevel"/>
    <w:tmpl w:val="FCF4A66A"/>
    <w:lvl w:ilvl="0" w:tplc="E47E4B7A">
      <w:start w:val="1"/>
      <w:numFmt w:val="bullet"/>
      <w:lvlText w:val="➢"/>
      <w:lvlJc w:val="left"/>
      <w:pPr>
        <w:ind w:left="8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E3C0DC10">
      <w:start w:val="1"/>
      <w:numFmt w:val="bullet"/>
      <w:lvlText w:val="o"/>
      <w:lvlJc w:val="left"/>
      <w:pPr>
        <w:ind w:left="15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D5A0DECE">
      <w:start w:val="1"/>
      <w:numFmt w:val="bullet"/>
      <w:lvlText w:val="▪"/>
      <w:lvlJc w:val="left"/>
      <w:pPr>
        <w:ind w:left="22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25C43288">
      <w:start w:val="1"/>
      <w:numFmt w:val="bullet"/>
      <w:lvlText w:val="•"/>
      <w:lvlJc w:val="left"/>
      <w:pPr>
        <w:ind w:left="29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CFC6318">
      <w:start w:val="1"/>
      <w:numFmt w:val="bullet"/>
      <w:lvlText w:val="o"/>
      <w:lvlJc w:val="left"/>
      <w:pPr>
        <w:ind w:left="369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F31AD880">
      <w:start w:val="1"/>
      <w:numFmt w:val="bullet"/>
      <w:lvlText w:val="▪"/>
      <w:lvlJc w:val="left"/>
      <w:pPr>
        <w:ind w:left="441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69CC258A">
      <w:start w:val="1"/>
      <w:numFmt w:val="bullet"/>
      <w:lvlText w:val="•"/>
      <w:lvlJc w:val="left"/>
      <w:pPr>
        <w:ind w:left="513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9CC60708">
      <w:start w:val="1"/>
      <w:numFmt w:val="bullet"/>
      <w:lvlText w:val="o"/>
      <w:lvlJc w:val="left"/>
      <w:pPr>
        <w:ind w:left="585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2042C5BA">
      <w:start w:val="1"/>
      <w:numFmt w:val="bullet"/>
      <w:lvlText w:val="▪"/>
      <w:lvlJc w:val="left"/>
      <w:pPr>
        <w:ind w:left="6571"/>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13">
    <w:nsid w:val="5C737DC1"/>
    <w:multiLevelType w:val="hybridMultilevel"/>
    <w:tmpl w:val="6FB2825A"/>
    <w:lvl w:ilvl="0" w:tplc="3B6C1A4E">
      <w:start w:val="1"/>
      <w:numFmt w:val="decimal"/>
      <w:lvlText w:val="%1."/>
      <w:lvlJc w:val="left"/>
      <w:pPr>
        <w:ind w:left="15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B620B7A">
      <w:start w:val="1"/>
      <w:numFmt w:val="lowerLetter"/>
      <w:lvlText w:val="%2"/>
      <w:lvlJc w:val="left"/>
      <w:pPr>
        <w:ind w:left="223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F2C71B0">
      <w:start w:val="1"/>
      <w:numFmt w:val="lowerRoman"/>
      <w:lvlText w:val="%3"/>
      <w:lvlJc w:val="left"/>
      <w:pPr>
        <w:ind w:left="295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7628B92">
      <w:start w:val="1"/>
      <w:numFmt w:val="decimal"/>
      <w:lvlText w:val="%4"/>
      <w:lvlJc w:val="left"/>
      <w:pPr>
        <w:ind w:left="367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228AC2A">
      <w:start w:val="1"/>
      <w:numFmt w:val="lowerLetter"/>
      <w:lvlText w:val="%5"/>
      <w:lvlJc w:val="left"/>
      <w:pPr>
        <w:ind w:left="43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FA49B02">
      <w:start w:val="1"/>
      <w:numFmt w:val="lowerRoman"/>
      <w:lvlText w:val="%6"/>
      <w:lvlJc w:val="left"/>
      <w:pPr>
        <w:ind w:left="51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4A8B428">
      <w:start w:val="1"/>
      <w:numFmt w:val="decimal"/>
      <w:lvlText w:val="%7"/>
      <w:lvlJc w:val="left"/>
      <w:pPr>
        <w:ind w:left="583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79486A0">
      <w:start w:val="1"/>
      <w:numFmt w:val="lowerLetter"/>
      <w:lvlText w:val="%8"/>
      <w:lvlJc w:val="left"/>
      <w:pPr>
        <w:ind w:left="655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B884DE8">
      <w:start w:val="1"/>
      <w:numFmt w:val="lowerRoman"/>
      <w:lvlText w:val="%9"/>
      <w:lvlJc w:val="left"/>
      <w:pPr>
        <w:ind w:left="727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2"/>
  </w:num>
  <w:num w:numId="2">
    <w:abstractNumId w:val="1"/>
  </w:num>
  <w:num w:numId="3">
    <w:abstractNumId w:val="11"/>
  </w:num>
  <w:num w:numId="4">
    <w:abstractNumId w:val="9"/>
  </w:num>
  <w:num w:numId="5">
    <w:abstractNumId w:val="3"/>
  </w:num>
  <w:num w:numId="6">
    <w:abstractNumId w:val="8"/>
  </w:num>
  <w:num w:numId="7">
    <w:abstractNumId w:val="12"/>
  </w:num>
  <w:num w:numId="8">
    <w:abstractNumId w:val="4"/>
  </w:num>
  <w:num w:numId="9">
    <w:abstractNumId w:val="5"/>
  </w:num>
  <w:num w:numId="10">
    <w:abstractNumId w:val="0"/>
  </w:num>
  <w:num w:numId="11">
    <w:abstractNumId w:val="7"/>
  </w:num>
  <w:num w:numId="12">
    <w:abstractNumId w:val="10"/>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762"/>
    <w:rsid w:val="000326A0"/>
    <w:rsid w:val="000D6ABE"/>
    <w:rsid w:val="001F59EF"/>
    <w:rsid w:val="00222762"/>
    <w:rsid w:val="003944DC"/>
    <w:rsid w:val="003C4CCB"/>
    <w:rsid w:val="00401C1D"/>
    <w:rsid w:val="00484F52"/>
    <w:rsid w:val="0050212E"/>
    <w:rsid w:val="00540957"/>
    <w:rsid w:val="00611A16"/>
    <w:rsid w:val="006D1431"/>
    <w:rsid w:val="0076569A"/>
    <w:rsid w:val="00955315"/>
    <w:rsid w:val="00A765F7"/>
    <w:rsid w:val="00AD581D"/>
    <w:rsid w:val="00AF203D"/>
    <w:rsid w:val="00BB5B9A"/>
    <w:rsid w:val="00BD1C8B"/>
    <w:rsid w:val="00C92866"/>
    <w:rsid w:val="00CA4FA8"/>
    <w:rsid w:val="00D05CCB"/>
    <w:rsid w:val="00E1637C"/>
    <w:rsid w:val="00EB7BBC"/>
    <w:rsid w:val="00F44942"/>
    <w:rsid w:val="00F6772C"/>
    <w:rsid w:val="00F72D67"/>
    <w:rsid w:val="00FE07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6A0"/>
    <w:pPr>
      <w:spacing w:after="0" w:line="242" w:lineRule="auto"/>
      <w:ind w:left="86"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D05CCB"/>
    <w:pPr>
      <w:keepNext/>
      <w:keepLines/>
      <w:spacing w:after="59" w:line="240" w:lineRule="auto"/>
      <w:ind w:left="10" w:right="-15" w:hanging="10"/>
      <w:jc w:val="center"/>
      <w:outlineLvl w:val="0"/>
    </w:pPr>
    <w:rPr>
      <w:rFonts w:ascii="Times New Roman" w:eastAsia="Times New Roman" w:hAnsi="Times New Roman" w:cs="Times New Roman"/>
      <w:b/>
      <w:i/>
      <w:color w:val="5B9BD5" w:themeColor="accent1"/>
      <w:sz w:val="36"/>
      <w:u w:val="single" w:color="5B9BD5" w:themeColor="accent1"/>
    </w:rPr>
  </w:style>
  <w:style w:type="paragraph" w:styleId="Heading2">
    <w:name w:val="heading 2"/>
    <w:next w:val="Normal"/>
    <w:link w:val="Heading2Char"/>
    <w:uiPriority w:val="9"/>
    <w:unhideWhenUsed/>
    <w:qFormat/>
    <w:rsid w:val="00D05CCB"/>
    <w:pPr>
      <w:keepNext/>
      <w:keepLines/>
      <w:spacing w:after="253" w:line="240" w:lineRule="auto"/>
      <w:ind w:left="86" w:right="-15" w:hanging="10"/>
      <w:outlineLvl w:val="1"/>
    </w:pPr>
    <w:rPr>
      <w:rFonts w:ascii="Times New Roman" w:eastAsia="Times New Roman" w:hAnsi="Times New Roman" w:cs="Times New Roman"/>
      <w:b/>
      <w:color w:val="5B9BD5" w:themeColor="accent1"/>
      <w:sz w:val="32"/>
    </w:rPr>
  </w:style>
  <w:style w:type="paragraph" w:styleId="Heading3">
    <w:name w:val="heading 3"/>
    <w:next w:val="Normal"/>
    <w:link w:val="Heading3Char"/>
    <w:uiPriority w:val="9"/>
    <w:unhideWhenUsed/>
    <w:qFormat/>
    <w:rsid w:val="00D05CCB"/>
    <w:pPr>
      <w:keepNext/>
      <w:keepLines/>
      <w:spacing w:after="251" w:line="240" w:lineRule="auto"/>
      <w:ind w:left="86" w:right="-15" w:hanging="10"/>
      <w:outlineLvl w:val="2"/>
    </w:pPr>
    <w:rPr>
      <w:rFonts w:ascii="Times New Roman" w:eastAsia="Times New Roman" w:hAnsi="Times New Roman" w:cs="Times New Roman"/>
      <w:b/>
      <w:i/>
      <w:color w:val="5B9BD5" w:themeColor="accent1"/>
      <w:sz w:val="28"/>
    </w:rPr>
  </w:style>
  <w:style w:type="paragraph" w:styleId="Heading4">
    <w:name w:val="heading 4"/>
    <w:next w:val="Normal"/>
    <w:link w:val="Heading4Char"/>
    <w:uiPriority w:val="9"/>
    <w:unhideWhenUsed/>
    <w:qFormat/>
    <w:rsid w:val="00D05CCB"/>
    <w:pPr>
      <w:keepNext/>
      <w:keepLines/>
      <w:spacing w:after="251" w:line="240" w:lineRule="auto"/>
      <w:ind w:left="86" w:right="-15" w:hanging="10"/>
      <w:outlineLvl w:val="3"/>
    </w:pPr>
    <w:rPr>
      <w:rFonts w:ascii="Times New Roman" w:eastAsia="Times New Roman" w:hAnsi="Times New Roman" w:cs="Times New Roman"/>
      <w:b/>
      <w:i/>
      <w:color w:val="5B9BD5" w:themeColor="accent1"/>
      <w:sz w:val="28"/>
    </w:rPr>
  </w:style>
  <w:style w:type="paragraph" w:styleId="Heading5">
    <w:name w:val="heading 5"/>
    <w:next w:val="Normal"/>
    <w:link w:val="Heading5Char"/>
    <w:uiPriority w:val="9"/>
    <w:unhideWhenUsed/>
    <w:qFormat/>
    <w:rsid w:val="00D05CCB"/>
    <w:pPr>
      <w:keepNext/>
      <w:keepLines/>
      <w:spacing w:after="251" w:line="240" w:lineRule="auto"/>
      <w:ind w:left="86" w:right="-15" w:hanging="10"/>
      <w:outlineLvl w:val="4"/>
    </w:pPr>
    <w:rPr>
      <w:rFonts w:ascii="Times New Roman" w:eastAsia="Times New Roman" w:hAnsi="Times New Roman" w:cs="Times New Roman"/>
      <w:b/>
      <w:i/>
      <w:color w:val="5B9BD5" w:themeColor="accent1"/>
      <w:sz w:val="28"/>
    </w:rPr>
  </w:style>
  <w:style w:type="paragraph" w:styleId="Heading6">
    <w:name w:val="heading 6"/>
    <w:next w:val="Normal"/>
    <w:link w:val="Heading6Char"/>
    <w:uiPriority w:val="9"/>
    <w:unhideWhenUsed/>
    <w:qFormat/>
    <w:rsid w:val="00D05CCB"/>
    <w:pPr>
      <w:keepNext/>
      <w:keepLines/>
      <w:spacing w:after="244" w:line="246" w:lineRule="auto"/>
      <w:ind w:left="86" w:right="-15" w:hanging="10"/>
      <w:outlineLvl w:val="5"/>
    </w:pPr>
    <w:rPr>
      <w:rFonts w:ascii="Times New Roman" w:eastAsia="Times New Roman" w:hAnsi="Times New Roman" w:cs="Times New Roman"/>
      <w:b/>
      <w:i/>
      <w:color w:val="5B9BD5" w:themeColor="accent1"/>
      <w:sz w:val="24"/>
    </w:rPr>
  </w:style>
  <w:style w:type="paragraph" w:styleId="Heading7">
    <w:name w:val="heading 7"/>
    <w:next w:val="Normal"/>
    <w:link w:val="Heading7Char"/>
    <w:uiPriority w:val="9"/>
    <w:unhideWhenUsed/>
    <w:qFormat/>
    <w:rsid w:val="000326A0"/>
    <w:pPr>
      <w:keepNext/>
      <w:keepLines/>
      <w:spacing w:after="244" w:line="246" w:lineRule="auto"/>
      <w:ind w:left="86" w:right="-15" w:hanging="10"/>
      <w:outlineLvl w:val="6"/>
    </w:pPr>
    <w:rPr>
      <w:rFonts w:ascii="Times New Roman" w:eastAsia="Times New Roman" w:hAnsi="Times New Roman" w:cs="Times New Roman"/>
      <w:b/>
      <w:i/>
      <w:color w:val="98480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5CCB"/>
    <w:rPr>
      <w:rFonts w:ascii="Times New Roman" w:eastAsia="Times New Roman" w:hAnsi="Times New Roman" w:cs="Times New Roman"/>
      <w:b/>
      <w:i/>
      <w:color w:val="5B9BD5" w:themeColor="accent1"/>
      <w:sz w:val="36"/>
      <w:u w:val="single" w:color="5B9BD5" w:themeColor="accent1"/>
    </w:rPr>
  </w:style>
  <w:style w:type="character" w:customStyle="1" w:styleId="Heading2Char">
    <w:name w:val="Heading 2 Char"/>
    <w:link w:val="Heading2"/>
    <w:uiPriority w:val="9"/>
    <w:rsid w:val="00D05CCB"/>
    <w:rPr>
      <w:rFonts w:ascii="Times New Roman" w:eastAsia="Times New Roman" w:hAnsi="Times New Roman" w:cs="Times New Roman"/>
      <w:b/>
      <w:color w:val="5B9BD5" w:themeColor="accent1"/>
      <w:sz w:val="32"/>
    </w:rPr>
  </w:style>
  <w:style w:type="character" w:customStyle="1" w:styleId="Heading3Char">
    <w:name w:val="Heading 3 Char"/>
    <w:link w:val="Heading3"/>
    <w:uiPriority w:val="9"/>
    <w:rsid w:val="00D05CCB"/>
    <w:rPr>
      <w:rFonts w:ascii="Times New Roman" w:eastAsia="Times New Roman" w:hAnsi="Times New Roman" w:cs="Times New Roman"/>
      <w:b/>
      <w:i/>
      <w:color w:val="5B9BD5" w:themeColor="accent1"/>
      <w:sz w:val="28"/>
    </w:rPr>
  </w:style>
  <w:style w:type="character" w:customStyle="1" w:styleId="Heading4Char">
    <w:name w:val="Heading 4 Char"/>
    <w:link w:val="Heading4"/>
    <w:uiPriority w:val="9"/>
    <w:rsid w:val="00D05CCB"/>
    <w:rPr>
      <w:rFonts w:ascii="Times New Roman" w:eastAsia="Times New Roman" w:hAnsi="Times New Roman" w:cs="Times New Roman"/>
      <w:b/>
      <w:i/>
      <w:color w:val="5B9BD5" w:themeColor="accent1"/>
      <w:sz w:val="28"/>
    </w:rPr>
  </w:style>
  <w:style w:type="character" w:customStyle="1" w:styleId="Heading5Char">
    <w:name w:val="Heading 5 Char"/>
    <w:link w:val="Heading5"/>
    <w:uiPriority w:val="9"/>
    <w:rsid w:val="00D05CCB"/>
    <w:rPr>
      <w:rFonts w:ascii="Times New Roman" w:eastAsia="Times New Roman" w:hAnsi="Times New Roman" w:cs="Times New Roman"/>
      <w:b/>
      <w:i/>
      <w:color w:val="5B9BD5" w:themeColor="accent1"/>
      <w:sz w:val="28"/>
    </w:rPr>
  </w:style>
  <w:style w:type="character" w:customStyle="1" w:styleId="Heading6Char">
    <w:name w:val="Heading 6 Char"/>
    <w:link w:val="Heading6"/>
    <w:uiPriority w:val="9"/>
    <w:rsid w:val="00D05CCB"/>
    <w:rPr>
      <w:rFonts w:ascii="Times New Roman" w:eastAsia="Times New Roman" w:hAnsi="Times New Roman" w:cs="Times New Roman"/>
      <w:b/>
      <w:i/>
      <w:color w:val="5B9BD5" w:themeColor="accent1"/>
      <w:sz w:val="24"/>
    </w:rPr>
  </w:style>
  <w:style w:type="character" w:customStyle="1" w:styleId="Heading7Char">
    <w:name w:val="Heading 7 Char"/>
    <w:link w:val="Heading7"/>
    <w:rsid w:val="000326A0"/>
    <w:rPr>
      <w:rFonts w:ascii="Times New Roman" w:eastAsia="Times New Roman" w:hAnsi="Times New Roman" w:cs="Times New Roman"/>
      <w:b/>
      <w:i/>
      <w:color w:val="984806"/>
      <w:sz w:val="24"/>
    </w:rPr>
  </w:style>
  <w:style w:type="table" w:customStyle="1" w:styleId="TableGrid">
    <w:name w:val="TableGrid"/>
    <w:rsid w:val="000326A0"/>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72D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67"/>
    <w:rPr>
      <w:rFonts w:ascii="Tahoma" w:eastAsia="Times New Roman" w:hAnsi="Tahoma" w:cs="Tahoma"/>
      <w:color w:val="000000"/>
      <w:sz w:val="16"/>
      <w:szCs w:val="16"/>
    </w:rPr>
  </w:style>
  <w:style w:type="character" w:customStyle="1" w:styleId="HeaderChar">
    <w:name w:val="Header Char"/>
    <w:basedOn w:val="DefaultParagraphFont"/>
    <w:link w:val="Header"/>
    <w:uiPriority w:val="99"/>
    <w:rsid w:val="00AD581D"/>
    <w:rPr>
      <w:rFonts w:eastAsiaTheme="minorHAnsi"/>
    </w:rPr>
  </w:style>
  <w:style w:type="paragraph" w:styleId="Header">
    <w:name w:val="header"/>
    <w:basedOn w:val="Normal"/>
    <w:link w:val="HeaderChar"/>
    <w:uiPriority w:val="99"/>
    <w:unhideWhenUsed/>
    <w:rsid w:val="00AD581D"/>
    <w:pPr>
      <w:tabs>
        <w:tab w:val="center" w:pos="4680"/>
        <w:tab w:val="right" w:pos="9360"/>
      </w:tabs>
      <w:spacing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AD581D"/>
    <w:rPr>
      <w:rFonts w:eastAsiaTheme="minorHAnsi"/>
    </w:rPr>
  </w:style>
  <w:style w:type="paragraph" w:styleId="Footer">
    <w:name w:val="footer"/>
    <w:basedOn w:val="Normal"/>
    <w:link w:val="FooterChar"/>
    <w:uiPriority w:val="99"/>
    <w:unhideWhenUsed/>
    <w:rsid w:val="00AD581D"/>
    <w:pPr>
      <w:tabs>
        <w:tab w:val="center" w:pos="4680"/>
        <w:tab w:val="right" w:pos="9360"/>
      </w:tabs>
      <w:spacing w:line="240" w:lineRule="auto"/>
      <w:ind w:left="0" w:firstLine="0"/>
      <w:jc w:val="left"/>
    </w:pPr>
    <w:rPr>
      <w:rFonts w:asciiTheme="minorHAnsi" w:eastAsiaTheme="minorHAnsi" w:hAnsiTheme="minorHAnsi" w:cstheme="minorBidi"/>
      <w:color w:val="auto"/>
    </w:rPr>
  </w:style>
  <w:style w:type="paragraph" w:styleId="TOCHeading">
    <w:name w:val="TOC Heading"/>
    <w:basedOn w:val="Heading1"/>
    <w:next w:val="Normal"/>
    <w:uiPriority w:val="39"/>
    <w:unhideWhenUsed/>
    <w:qFormat/>
    <w:rsid w:val="00F6772C"/>
    <w:pPr>
      <w:spacing w:before="240" w:after="0" w:line="259" w:lineRule="auto"/>
      <w:ind w:left="0" w:right="0" w:firstLine="0"/>
      <w:jc w:val="left"/>
      <w:outlineLvl w:val="9"/>
    </w:pPr>
    <w:rPr>
      <w:rFonts w:asciiTheme="majorHAnsi" w:eastAsiaTheme="majorEastAsia" w:hAnsiTheme="majorHAnsi" w:cstheme="majorBidi"/>
      <w:b w:val="0"/>
      <w:i w:val="0"/>
      <w:color w:val="2E74B5" w:themeColor="accent1" w:themeShade="BF"/>
      <w:sz w:val="32"/>
      <w:szCs w:val="32"/>
      <w:u w:val="none"/>
    </w:rPr>
  </w:style>
  <w:style w:type="paragraph" w:styleId="TOC1">
    <w:name w:val="toc 1"/>
    <w:basedOn w:val="Normal"/>
    <w:next w:val="Normal"/>
    <w:autoRedefine/>
    <w:uiPriority w:val="39"/>
    <w:unhideWhenUsed/>
    <w:rsid w:val="00F6772C"/>
    <w:pPr>
      <w:spacing w:after="100"/>
      <w:ind w:left="0"/>
    </w:pPr>
  </w:style>
  <w:style w:type="paragraph" w:styleId="TOC2">
    <w:name w:val="toc 2"/>
    <w:basedOn w:val="Normal"/>
    <w:next w:val="Normal"/>
    <w:autoRedefine/>
    <w:uiPriority w:val="39"/>
    <w:unhideWhenUsed/>
    <w:rsid w:val="00F6772C"/>
    <w:pPr>
      <w:spacing w:after="100"/>
      <w:ind w:left="220"/>
    </w:pPr>
  </w:style>
  <w:style w:type="paragraph" w:styleId="TOC3">
    <w:name w:val="toc 3"/>
    <w:basedOn w:val="Normal"/>
    <w:next w:val="Normal"/>
    <w:autoRedefine/>
    <w:uiPriority w:val="39"/>
    <w:unhideWhenUsed/>
    <w:rsid w:val="00F6772C"/>
    <w:pPr>
      <w:spacing w:after="100"/>
      <w:ind w:left="440"/>
    </w:pPr>
  </w:style>
  <w:style w:type="character" w:styleId="Hyperlink">
    <w:name w:val="Hyperlink"/>
    <w:basedOn w:val="DefaultParagraphFont"/>
    <w:uiPriority w:val="99"/>
    <w:unhideWhenUsed/>
    <w:rsid w:val="00F6772C"/>
    <w:rPr>
      <w:color w:val="0563C1" w:themeColor="hyperlink"/>
      <w:u w:val="single"/>
    </w:rPr>
  </w:style>
  <w:style w:type="paragraph" w:styleId="TOC6">
    <w:name w:val="toc 6"/>
    <w:basedOn w:val="Normal"/>
    <w:next w:val="Normal"/>
    <w:autoRedefine/>
    <w:uiPriority w:val="39"/>
    <w:unhideWhenUsed/>
    <w:rsid w:val="0050212E"/>
    <w:pPr>
      <w:spacing w:after="100"/>
      <w:ind w:left="1100"/>
    </w:pPr>
  </w:style>
  <w:style w:type="paragraph" w:styleId="TOC4">
    <w:name w:val="toc 4"/>
    <w:basedOn w:val="Normal"/>
    <w:next w:val="Normal"/>
    <w:autoRedefine/>
    <w:uiPriority w:val="39"/>
    <w:unhideWhenUsed/>
    <w:rsid w:val="0050212E"/>
    <w:pPr>
      <w:spacing w:after="100"/>
      <w:ind w:left="660"/>
    </w:pPr>
  </w:style>
  <w:style w:type="paragraph" w:styleId="TOC5">
    <w:name w:val="toc 5"/>
    <w:basedOn w:val="Normal"/>
    <w:next w:val="Normal"/>
    <w:autoRedefine/>
    <w:uiPriority w:val="39"/>
    <w:unhideWhenUsed/>
    <w:rsid w:val="0050212E"/>
    <w:pPr>
      <w:spacing w:after="100"/>
      <w:ind w:left="8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6A0"/>
    <w:pPr>
      <w:spacing w:after="0" w:line="242" w:lineRule="auto"/>
      <w:ind w:left="86"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D05CCB"/>
    <w:pPr>
      <w:keepNext/>
      <w:keepLines/>
      <w:spacing w:after="59" w:line="240" w:lineRule="auto"/>
      <w:ind w:left="10" w:right="-15" w:hanging="10"/>
      <w:jc w:val="center"/>
      <w:outlineLvl w:val="0"/>
    </w:pPr>
    <w:rPr>
      <w:rFonts w:ascii="Times New Roman" w:eastAsia="Times New Roman" w:hAnsi="Times New Roman" w:cs="Times New Roman"/>
      <w:b/>
      <w:i/>
      <w:color w:val="5B9BD5" w:themeColor="accent1"/>
      <w:sz w:val="36"/>
      <w:u w:val="single" w:color="5B9BD5" w:themeColor="accent1"/>
    </w:rPr>
  </w:style>
  <w:style w:type="paragraph" w:styleId="Heading2">
    <w:name w:val="heading 2"/>
    <w:next w:val="Normal"/>
    <w:link w:val="Heading2Char"/>
    <w:uiPriority w:val="9"/>
    <w:unhideWhenUsed/>
    <w:qFormat/>
    <w:rsid w:val="00D05CCB"/>
    <w:pPr>
      <w:keepNext/>
      <w:keepLines/>
      <w:spacing w:after="253" w:line="240" w:lineRule="auto"/>
      <w:ind w:left="86" w:right="-15" w:hanging="10"/>
      <w:outlineLvl w:val="1"/>
    </w:pPr>
    <w:rPr>
      <w:rFonts w:ascii="Times New Roman" w:eastAsia="Times New Roman" w:hAnsi="Times New Roman" w:cs="Times New Roman"/>
      <w:b/>
      <w:color w:val="5B9BD5" w:themeColor="accent1"/>
      <w:sz w:val="32"/>
    </w:rPr>
  </w:style>
  <w:style w:type="paragraph" w:styleId="Heading3">
    <w:name w:val="heading 3"/>
    <w:next w:val="Normal"/>
    <w:link w:val="Heading3Char"/>
    <w:uiPriority w:val="9"/>
    <w:unhideWhenUsed/>
    <w:qFormat/>
    <w:rsid w:val="00D05CCB"/>
    <w:pPr>
      <w:keepNext/>
      <w:keepLines/>
      <w:spacing w:after="251" w:line="240" w:lineRule="auto"/>
      <w:ind w:left="86" w:right="-15" w:hanging="10"/>
      <w:outlineLvl w:val="2"/>
    </w:pPr>
    <w:rPr>
      <w:rFonts w:ascii="Times New Roman" w:eastAsia="Times New Roman" w:hAnsi="Times New Roman" w:cs="Times New Roman"/>
      <w:b/>
      <w:i/>
      <w:color w:val="5B9BD5" w:themeColor="accent1"/>
      <w:sz w:val="28"/>
    </w:rPr>
  </w:style>
  <w:style w:type="paragraph" w:styleId="Heading4">
    <w:name w:val="heading 4"/>
    <w:next w:val="Normal"/>
    <w:link w:val="Heading4Char"/>
    <w:uiPriority w:val="9"/>
    <w:unhideWhenUsed/>
    <w:qFormat/>
    <w:rsid w:val="00D05CCB"/>
    <w:pPr>
      <w:keepNext/>
      <w:keepLines/>
      <w:spacing w:after="251" w:line="240" w:lineRule="auto"/>
      <w:ind w:left="86" w:right="-15" w:hanging="10"/>
      <w:outlineLvl w:val="3"/>
    </w:pPr>
    <w:rPr>
      <w:rFonts w:ascii="Times New Roman" w:eastAsia="Times New Roman" w:hAnsi="Times New Roman" w:cs="Times New Roman"/>
      <w:b/>
      <w:i/>
      <w:color w:val="5B9BD5" w:themeColor="accent1"/>
      <w:sz w:val="28"/>
    </w:rPr>
  </w:style>
  <w:style w:type="paragraph" w:styleId="Heading5">
    <w:name w:val="heading 5"/>
    <w:next w:val="Normal"/>
    <w:link w:val="Heading5Char"/>
    <w:uiPriority w:val="9"/>
    <w:unhideWhenUsed/>
    <w:qFormat/>
    <w:rsid w:val="00D05CCB"/>
    <w:pPr>
      <w:keepNext/>
      <w:keepLines/>
      <w:spacing w:after="251" w:line="240" w:lineRule="auto"/>
      <w:ind w:left="86" w:right="-15" w:hanging="10"/>
      <w:outlineLvl w:val="4"/>
    </w:pPr>
    <w:rPr>
      <w:rFonts w:ascii="Times New Roman" w:eastAsia="Times New Roman" w:hAnsi="Times New Roman" w:cs="Times New Roman"/>
      <w:b/>
      <w:i/>
      <w:color w:val="5B9BD5" w:themeColor="accent1"/>
      <w:sz w:val="28"/>
    </w:rPr>
  </w:style>
  <w:style w:type="paragraph" w:styleId="Heading6">
    <w:name w:val="heading 6"/>
    <w:next w:val="Normal"/>
    <w:link w:val="Heading6Char"/>
    <w:uiPriority w:val="9"/>
    <w:unhideWhenUsed/>
    <w:qFormat/>
    <w:rsid w:val="00D05CCB"/>
    <w:pPr>
      <w:keepNext/>
      <w:keepLines/>
      <w:spacing w:after="244" w:line="246" w:lineRule="auto"/>
      <w:ind w:left="86" w:right="-15" w:hanging="10"/>
      <w:outlineLvl w:val="5"/>
    </w:pPr>
    <w:rPr>
      <w:rFonts w:ascii="Times New Roman" w:eastAsia="Times New Roman" w:hAnsi="Times New Roman" w:cs="Times New Roman"/>
      <w:b/>
      <w:i/>
      <w:color w:val="5B9BD5" w:themeColor="accent1"/>
      <w:sz w:val="24"/>
    </w:rPr>
  </w:style>
  <w:style w:type="paragraph" w:styleId="Heading7">
    <w:name w:val="heading 7"/>
    <w:next w:val="Normal"/>
    <w:link w:val="Heading7Char"/>
    <w:uiPriority w:val="9"/>
    <w:unhideWhenUsed/>
    <w:qFormat/>
    <w:rsid w:val="000326A0"/>
    <w:pPr>
      <w:keepNext/>
      <w:keepLines/>
      <w:spacing w:after="244" w:line="246" w:lineRule="auto"/>
      <w:ind w:left="86" w:right="-15" w:hanging="10"/>
      <w:outlineLvl w:val="6"/>
    </w:pPr>
    <w:rPr>
      <w:rFonts w:ascii="Times New Roman" w:eastAsia="Times New Roman" w:hAnsi="Times New Roman" w:cs="Times New Roman"/>
      <w:b/>
      <w:i/>
      <w:color w:val="98480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5CCB"/>
    <w:rPr>
      <w:rFonts w:ascii="Times New Roman" w:eastAsia="Times New Roman" w:hAnsi="Times New Roman" w:cs="Times New Roman"/>
      <w:b/>
      <w:i/>
      <w:color w:val="5B9BD5" w:themeColor="accent1"/>
      <w:sz w:val="36"/>
      <w:u w:val="single" w:color="5B9BD5" w:themeColor="accent1"/>
    </w:rPr>
  </w:style>
  <w:style w:type="character" w:customStyle="1" w:styleId="Heading2Char">
    <w:name w:val="Heading 2 Char"/>
    <w:link w:val="Heading2"/>
    <w:uiPriority w:val="9"/>
    <w:rsid w:val="00D05CCB"/>
    <w:rPr>
      <w:rFonts w:ascii="Times New Roman" w:eastAsia="Times New Roman" w:hAnsi="Times New Roman" w:cs="Times New Roman"/>
      <w:b/>
      <w:color w:val="5B9BD5" w:themeColor="accent1"/>
      <w:sz w:val="32"/>
    </w:rPr>
  </w:style>
  <w:style w:type="character" w:customStyle="1" w:styleId="Heading3Char">
    <w:name w:val="Heading 3 Char"/>
    <w:link w:val="Heading3"/>
    <w:uiPriority w:val="9"/>
    <w:rsid w:val="00D05CCB"/>
    <w:rPr>
      <w:rFonts w:ascii="Times New Roman" w:eastAsia="Times New Roman" w:hAnsi="Times New Roman" w:cs="Times New Roman"/>
      <w:b/>
      <w:i/>
      <w:color w:val="5B9BD5" w:themeColor="accent1"/>
      <w:sz w:val="28"/>
    </w:rPr>
  </w:style>
  <w:style w:type="character" w:customStyle="1" w:styleId="Heading4Char">
    <w:name w:val="Heading 4 Char"/>
    <w:link w:val="Heading4"/>
    <w:uiPriority w:val="9"/>
    <w:rsid w:val="00D05CCB"/>
    <w:rPr>
      <w:rFonts w:ascii="Times New Roman" w:eastAsia="Times New Roman" w:hAnsi="Times New Roman" w:cs="Times New Roman"/>
      <w:b/>
      <w:i/>
      <w:color w:val="5B9BD5" w:themeColor="accent1"/>
      <w:sz w:val="28"/>
    </w:rPr>
  </w:style>
  <w:style w:type="character" w:customStyle="1" w:styleId="Heading5Char">
    <w:name w:val="Heading 5 Char"/>
    <w:link w:val="Heading5"/>
    <w:uiPriority w:val="9"/>
    <w:rsid w:val="00D05CCB"/>
    <w:rPr>
      <w:rFonts w:ascii="Times New Roman" w:eastAsia="Times New Roman" w:hAnsi="Times New Roman" w:cs="Times New Roman"/>
      <w:b/>
      <w:i/>
      <w:color w:val="5B9BD5" w:themeColor="accent1"/>
      <w:sz w:val="28"/>
    </w:rPr>
  </w:style>
  <w:style w:type="character" w:customStyle="1" w:styleId="Heading6Char">
    <w:name w:val="Heading 6 Char"/>
    <w:link w:val="Heading6"/>
    <w:uiPriority w:val="9"/>
    <w:rsid w:val="00D05CCB"/>
    <w:rPr>
      <w:rFonts w:ascii="Times New Roman" w:eastAsia="Times New Roman" w:hAnsi="Times New Roman" w:cs="Times New Roman"/>
      <w:b/>
      <w:i/>
      <w:color w:val="5B9BD5" w:themeColor="accent1"/>
      <w:sz w:val="24"/>
    </w:rPr>
  </w:style>
  <w:style w:type="character" w:customStyle="1" w:styleId="Heading7Char">
    <w:name w:val="Heading 7 Char"/>
    <w:link w:val="Heading7"/>
    <w:rsid w:val="000326A0"/>
    <w:rPr>
      <w:rFonts w:ascii="Times New Roman" w:eastAsia="Times New Roman" w:hAnsi="Times New Roman" w:cs="Times New Roman"/>
      <w:b/>
      <w:i/>
      <w:color w:val="984806"/>
      <w:sz w:val="24"/>
    </w:rPr>
  </w:style>
  <w:style w:type="table" w:customStyle="1" w:styleId="TableGrid">
    <w:name w:val="TableGrid"/>
    <w:rsid w:val="000326A0"/>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72D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67"/>
    <w:rPr>
      <w:rFonts w:ascii="Tahoma" w:eastAsia="Times New Roman" w:hAnsi="Tahoma" w:cs="Tahoma"/>
      <w:color w:val="000000"/>
      <w:sz w:val="16"/>
      <w:szCs w:val="16"/>
    </w:rPr>
  </w:style>
  <w:style w:type="character" w:customStyle="1" w:styleId="HeaderChar">
    <w:name w:val="Header Char"/>
    <w:basedOn w:val="DefaultParagraphFont"/>
    <w:link w:val="Header"/>
    <w:uiPriority w:val="99"/>
    <w:rsid w:val="00AD581D"/>
    <w:rPr>
      <w:rFonts w:eastAsiaTheme="minorHAnsi"/>
    </w:rPr>
  </w:style>
  <w:style w:type="paragraph" w:styleId="Header">
    <w:name w:val="header"/>
    <w:basedOn w:val="Normal"/>
    <w:link w:val="HeaderChar"/>
    <w:uiPriority w:val="99"/>
    <w:unhideWhenUsed/>
    <w:rsid w:val="00AD581D"/>
    <w:pPr>
      <w:tabs>
        <w:tab w:val="center" w:pos="4680"/>
        <w:tab w:val="right" w:pos="9360"/>
      </w:tabs>
      <w:spacing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AD581D"/>
    <w:rPr>
      <w:rFonts w:eastAsiaTheme="minorHAnsi"/>
    </w:rPr>
  </w:style>
  <w:style w:type="paragraph" w:styleId="Footer">
    <w:name w:val="footer"/>
    <w:basedOn w:val="Normal"/>
    <w:link w:val="FooterChar"/>
    <w:uiPriority w:val="99"/>
    <w:unhideWhenUsed/>
    <w:rsid w:val="00AD581D"/>
    <w:pPr>
      <w:tabs>
        <w:tab w:val="center" w:pos="4680"/>
        <w:tab w:val="right" w:pos="9360"/>
      </w:tabs>
      <w:spacing w:line="240" w:lineRule="auto"/>
      <w:ind w:left="0" w:firstLine="0"/>
      <w:jc w:val="left"/>
    </w:pPr>
    <w:rPr>
      <w:rFonts w:asciiTheme="minorHAnsi" w:eastAsiaTheme="minorHAnsi" w:hAnsiTheme="minorHAnsi" w:cstheme="minorBidi"/>
      <w:color w:val="auto"/>
    </w:rPr>
  </w:style>
  <w:style w:type="paragraph" w:styleId="TOCHeading">
    <w:name w:val="TOC Heading"/>
    <w:basedOn w:val="Heading1"/>
    <w:next w:val="Normal"/>
    <w:uiPriority w:val="39"/>
    <w:unhideWhenUsed/>
    <w:qFormat/>
    <w:rsid w:val="00F6772C"/>
    <w:pPr>
      <w:spacing w:before="240" w:after="0" w:line="259" w:lineRule="auto"/>
      <w:ind w:left="0" w:right="0" w:firstLine="0"/>
      <w:jc w:val="left"/>
      <w:outlineLvl w:val="9"/>
    </w:pPr>
    <w:rPr>
      <w:rFonts w:asciiTheme="majorHAnsi" w:eastAsiaTheme="majorEastAsia" w:hAnsiTheme="majorHAnsi" w:cstheme="majorBidi"/>
      <w:b w:val="0"/>
      <w:i w:val="0"/>
      <w:color w:val="2E74B5" w:themeColor="accent1" w:themeShade="BF"/>
      <w:sz w:val="32"/>
      <w:szCs w:val="32"/>
      <w:u w:val="none"/>
    </w:rPr>
  </w:style>
  <w:style w:type="paragraph" w:styleId="TOC1">
    <w:name w:val="toc 1"/>
    <w:basedOn w:val="Normal"/>
    <w:next w:val="Normal"/>
    <w:autoRedefine/>
    <w:uiPriority w:val="39"/>
    <w:unhideWhenUsed/>
    <w:rsid w:val="00F6772C"/>
    <w:pPr>
      <w:spacing w:after="100"/>
      <w:ind w:left="0"/>
    </w:pPr>
  </w:style>
  <w:style w:type="paragraph" w:styleId="TOC2">
    <w:name w:val="toc 2"/>
    <w:basedOn w:val="Normal"/>
    <w:next w:val="Normal"/>
    <w:autoRedefine/>
    <w:uiPriority w:val="39"/>
    <w:unhideWhenUsed/>
    <w:rsid w:val="00F6772C"/>
    <w:pPr>
      <w:spacing w:after="100"/>
      <w:ind w:left="220"/>
    </w:pPr>
  </w:style>
  <w:style w:type="paragraph" w:styleId="TOC3">
    <w:name w:val="toc 3"/>
    <w:basedOn w:val="Normal"/>
    <w:next w:val="Normal"/>
    <w:autoRedefine/>
    <w:uiPriority w:val="39"/>
    <w:unhideWhenUsed/>
    <w:rsid w:val="00F6772C"/>
    <w:pPr>
      <w:spacing w:after="100"/>
      <w:ind w:left="440"/>
    </w:pPr>
  </w:style>
  <w:style w:type="character" w:styleId="Hyperlink">
    <w:name w:val="Hyperlink"/>
    <w:basedOn w:val="DefaultParagraphFont"/>
    <w:uiPriority w:val="99"/>
    <w:unhideWhenUsed/>
    <w:rsid w:val="00F6772C"/>
    <w:rPr>
      <w:color w:val="0563C1" w:themeColor="hyperlink"/>
      <w:u w:val="single"/>
    </w:rPr>
  </w:style>
  <w:style w:type="paragraph" w:styleId="TOC6">
    <w:name w:val="toc 6"/>
    <w:basedOn w:val="Normal"/>
    <w:next w:val="Normal"/>
    <w:autoRedefine/>
    <w:uiPriority w:val="39"/>
    <w:unhideWhenUsed/>
    <w:rsid w:val="0050212E"/>
    <w:pPr>
      <w:spacing w:after="100"/>
      <w:ind w:left="1100"/>
    </w:pPr>
  </w:style>
  <w:style w:type="paragraph" w:styleId="TOC4">
    <w:name w:val="toc 4"/>
    <w:basedOn w:val="Normal"/>
    <w:next w:val="Normal"/>
    <w:autoRedefine/>
    <w:uiPriority w:val="39"/>
    <w:unhideWhenUsed/>
    <w:rsid w:val="0050212E"/>
    <w:pPr>
      <w:spacing w:after="100"/>
      <w:ind w:left="660"/>
    </w:pPr>
  </w:style>
  <w:style w:type="paragraph" w:styleId="TOC5">
    <w:name w:val="toc 5"/>
    <w:basedOn w:val="Normal"/>
    <w:next w:val="Normal"/>
    <w:autoRedefine/>
    <w:uiPriority w:val="39"/>
    <w:unhideWhenUsed/>
    <w:rsid w:val="0050212E"/>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diagramQuickStyle" Target="diagrams/quickStyle4.xml"/><Relationship Id="rId21" Type="http://schemas.openxmlformats.org/officeDocument/2006/relationships/footer" Target="footer6.xm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diagramColors" Target="diagrams/colors2.xml"/><Relationship Id="rId89" Type="http://schemas.openxmlformats.org/officeDocument/2006/relationships/chart" Target="charts/chart8.xml"/><Relationship Id="rId112" Type="http://schemas.openxmlformats.org/officeDocument/2006/relationships/chart" Target="charts/chart26.xml"/><Relationship Id="rId133" Type="http://schemas.openxmlformats.org/officeDocument/2006/relationships/chart" Target="charts/chart37.xml"/><Relationship Id="rId138" Type="http://schemas.openxmlformats.org/officeDocument/2006/relationships/chart" Target="charts/chart42.xml"/><Relationship Id="rId154" Type="http://schemas.openxmlformats.org/officeDocument/2006/relationships/footer" Target="footer14.xml"/><Relationship Id="rId159" Type="http://schemas.openxmlformats.org/officeDocument/2006/relationships/hyperlink" Target="https://www.lb.lt/en/financial-assets-management" TargetMode="External"/><Relationship Id="rId16" Type="http://schemas.openxmlformats.org/officeDocument/2006/relationships/header" Target="header4.xml"/><Relationship Id="rId107" Type="http://schemas.openxmlformats.org/officeDocument/2006/relationships/diagramQuickStyle" Target="diagrams/quickStyle3.xml"/><Relationship Id="rId11" Type="http://schemas.openxmlformats.org/officeDocument/2006/relationships/header" Target="header2.xml"/><Relationship Id="rId32" Type="http://schemas.openxmlformats.org/officeDocument/2006/relationships/hyperlink" Target="https://en.wikipedia.org/wiki/Tangible_property" TargetMode="External"/><Relationship Id="rId37" Type="http://schemas.openxmlformats.org/officeDocument/2006/relationships/hyperlink" Target="http://www.thecitybank.com/" TargetMode="Externa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chart" Target="charts/chart3.xml"/><Relationship Id="rId79" Type="http://schemas.openxmlformats.org/officeDocument/2006/relationships/diagramColors" Target="diagrams/colors1.xml"/><Relationship Id="rId102" Type="http://schemas.openxmlformats.org/officeDocument/2006/relationships/chart" Target="charts/chart21.xml"/><Relationship Id="rId123" Type="http://schemas.openxmlformats.org/officeDocument/2006/relationships/chart" Target="charts/chart32.xml"/><Relationship Id="rId128" Type="http://schemas.openxmlformats.org/officeDocument/2006/relationships/diagramData" Target="diagrams/data5.xml"/><Relationship Id="rId144" Type="http://schemas.openxmlformats.org/officeDocument/2006/relationships/chart" Target="charts/chart48.xml"/><Relationship Id="rId149" Type="http://schemas.openxmlformats.org/officeDocument/2006/relationships/chart" Target="charts/chart53.xml"/><Relationship Id="rId5" Type="http://schemas.openxmlformats.org/officeDocument/2006/relationships/settings" Target="settings.xml"/><Relationship Id="rId90" Type="http://schemas.openxmlformats.org/officeDocument/2006/relationships/chart" Target="charts/chart9.xml"/><Relationship Id="rId95" Type="http://schemas.openxmlformats.org/officeDocument/2006/relationships/chart" Target="charts/chart14.xml"/><Relationship Id="rId160" Type="http://schemas.openxmlformats.org/officeDocument/2006/relationships/hyperlink" Target="https://www.lb.lt/en/financial-assets-management" TargetMode="External"/><Relationship Id="rId22" Type="http://schemas.openxmlformats.org/officeDocument/2006/relationships/header" Target="header7.xml"/><Relationship Id="rId27" Type="http://schemas.openxmlformats.org/officeDocument/2006/relationships/footer" Target="footer9.xml"/><Relationship Id="rId43" Type="http://schemas.openxmlformats.org/officeDocument/2006/relationships/image" Target="media/image9.png"/><Relationship Id="rId48" Type="http://schemas.openxmlformats.org/officeDocument/2006/relationships/image" Target="media/image14.png"/><Relationship Id="rId64" Type="http://schemas.openxmlformats.org/officeDocument/2006/relationships/image" Target="media/image30.png"/><Relationship Id="rId69" Type="http://schemas.openxmlformats.org/officeDocument/2006/relationships/image" Target="media/image35.png"/><Relationship Id="rId113" Type="http://schemas.openxmlformats.org/officeDocument/2006/relationships/chart" Target="charts/chart27.xml"/><Relationship Id="rId118" Type="http://schemas.openxmlformats.org/officeDocument/2006/relationships/diagramColors" Target="diagrams/colors4.xml"/><Relationship Id="rId134" Type="http://schemas.openxmlformats.org/officeDocument/2006/relationships/chart" Target="charts/chart38.xml"/><Relationship Id="rId139" Type="http://schemas.openxmlformats.org/officeDocument/2006/relationships/chart" Target="charts/chart43.xml"/><Relationship Id="rId80" Type="http://schemas.microsoft.com/office/2007/relationships/diagramDrawing" Target="diagrams/drawing1.xml"/><Relationship Id="rId85" Type="http://schemas.microsoft.com/office/2007/relationships/diagramDrawing" Target="diagrams/drawing2.xml"/><Relationship Id="rId150" Type="http://schemas.openxmlformats.org/officeDocument/2006/relationships/chart" Target="charts/chart54.xml"/><Relationship Id="rId155" Type="http://schemas.openxmlformats.org/officeDocument/2006/relationships/hyperlink" Target="http://www.thecitybank.com/" TargetMode="External"/><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hyperlink" Target="https://en.wikipedia.org/wiki/Financial_market" TargetMode="External"/><Relationship Id="rId38" Type="http://schemas.openxmlformats.org/officeDocument/2006/relationships/image" Target="media/image4.png"/><Relationship Id="rId59" Type="http://schemas.openxmlformats.org/officeDocument/2006/relationships/image" Target="media/image25.png"/><Relationship Id="rId103" Type="http://schemas.openxmlformats.org/officeDocument/2006/relationships/chart" Target="charts/chart22.xml"/><Relationship Id="rId108" Type="http://schemas.openxmlformats.org/officeDocument/2006/relationships/diagramColors" Target="diagrams/colors3.xml"/><Relationship Id="rId124" Type="http://schemas.openxmlformats.org/officeDocument/2006/relationships/chart" Target="charts/chart33.xml"/><Relationship Id="rId129" Type="http://schemas.openxmlformats.org/officeDocument/2006/relationships/diagramLayout" Target="diagrams/layout5.xml"/><Relationship Id="rId54" Type="http://schemas.openxmlformats.org/officeDocument/2006/relationships/image" Target="media/image20.png"/><Relationship Id="rId70" Type="http://schemas.openxmlformats.org/officeDocument/2006/relationships/footer" Target="footer11.xml"/><Relationship Id="rId75" Type="http://schemas.openxmlformats.org/officeDocument/2006/relationships/chart" Target="charts/chart4.xml"/><Relationship Id="rId91" Type="http://schemas.openxmlformats.org/officeDocument/2006/relationships/chart" Target="charts/chart10.xml"/><Relationship Id="rId96" Type="http://schemas.openxmlformats.org/officeDocument/2006/relationships/chart" Target="charts/chart15.xml"/><Relationship Id="rId140" Type="http://schemas.openxmlformats.org/officeDocument/2006/relationships/chart" Target="charts/chart44.xml"/><Relationship Id="rId145" Type="http://schemas.openxmlformats.org/officeDocument/2006/relationships/chart" Target="charts/chart49.xml"/><Relationship Id="rId16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s://en.wikipedia.org/wiki/Deposit_(finance)" TargetMode="External"/><Relationship Id="rId36" Type="http://schemas.openxmlformats.org/officeDocument/2006/relationships/hyperlink" Target="http://www.thecitybank.com/" TargetMode="External"/><Relationship Id="rId49" Type="http://schemas.openxmlformats.org/officeDocument/2006/relationships/image" Target="media/image15.png"/><Relationship Id="rId57" Type="http://schemas.openxmlformats.org/officeDocument/2006/relationships/image" Target="media/image23.png"/><Relationship Id="rId106" Type="http://schemas.openxmlformats.org/officeDocument/2006/relationships/diagramLayout" Target="diagrams/layout3.xml"/><Relationship Id="rId114" Type="http://schemas.openxmlformats.org/officeDocument/2006/relationships/chart" Target="charts/chart28.xml"/><Relationship Id="rId119" Type="http://schemas.microsoft.com/office/2007/relationships/diagramDrawing" Target="diagrams/drawing4.xml"/><Relationship Id="rId127" Type="http://schemas.openxmlformats.org/officeDocument/2006/relationships/chart" Target="charts/chart36.xml"/><Relationship Id="rId10" Type="http://schemas.openxmlformats.org/officeDocument/2006/relationships/header" Target="header1.xml"/><Relationship Id="rId31" Type="http://schemas.openxmlformats.org/officeDocument/2006/relationships/hyperlink" Target="https://en.wikipedia.org/wiki/Market_liquidity"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chart" Target="charts/chart2.xml"/><Relationship Id="rId78" Type="http://schemas.openxmlformats.org/officeDocument/2006/relationships/diagramQuickStyle" Target="diagrams/quickStyle1.xml"/><Relationship Id="rId81" Type="http://schemas.openxmlformats.org/officeDocument/2006/relationships/diagramData" Target="diagrams/data2.xml"/><Relationship Id="rId86" Type="http://schemas.openxmlformats.org/officeDocument/2006/relationships/chart" Target="charts/chart5.xml"/><Relationship Id="rId94" Type="http://schemas.openxmlformats.org/officeDocument/2006/relationships/chart" Target="charts/chart13.xml"/><Relationship Id="rId99" Type="http://schemas.openxmlformats.org/officeDocument/2006/relationships/chart" Target="charts/chart18.xml"/><Relationship Id="rId101" Type="http://schemas.openxmlformats.org/officeDocument/2006/relationships/chart" Target="charts/chart20.xml"/><Relationship Id="rId122" Type="http://schemas.openxmlformats.org/officeDocument/2006/relationships/chart" Target="charts/chart31.xml"/><Relationship Id="rId130" Type="http://schemas.openxmlformats.org/officeDocument/2006/relationships/diagramQuickStyle" Target="diagrams/quickStyle5.xml"/><Relationship Id="rId135" Type="http://schemas.openxmlformats.org/officeDocument/2006/relationships/chart" Target="charts/chart39.xml"/><Relationship Id="rId143" Type="http://schemas.openxmlformats.org/officeDocument/2006/relationships/chart" Target="charts/chart47.xml"/><Relationship Id="rId148" Type="http://schemas.openxmlformats.org/officeDocument/2006/relationships/chart" Target="charts/chart52.xml"/><Relationship Id="rId151" Type="http://schemas.openxmlformats.org/officeDocument/2006/relationships/chart" Target="charts/chart55.xml"/><Relationship Id="rId156" Type="http://schemas.openxmlformats.org/officeDocument/2006/relationships/hyperlink" Target="http://www.thecitybank.com/"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5.png"/><Relationship Id="rId109" Type="http://schemas.microsoft.com/office/2007/relationships/diagramDrawing" Target="diagrams/drawing3.xml"/><Relationship Id="rId34" Type="http://schemas.openxmlformats.org/officeDocument/2006/relationships/footer" Target="footer10.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diagramData" Target="diagrams/data1.xml"/><Relationship Id="rId97" Type="http://schemas.openxmlformats.org/officeDocument/2006/relationships/chart" Target="charts/chart16.xml"/><Relationship Id="rId104" Type="http://schemas.openxmlformats.org/officeDocument/2006/relationships/chart" Target="charts/chart23.xml"/><Relationship Id="rId120" Type="http://schemas.openxmlformats.org/officeDocument/2006/relationships/chart" Target="charts/chart29.xml"/><Relationship Id="rId125" Type="http://schemas.openxmlformats.org/officeDocument/2006/relationships/chart" Target="charts/chart34.xml"/><Relationship Id="rId141" Type="http://schemas.openxmlformats.org/officeDocument/2006/relationships/chart" Target="charts/chart45.xml"/><Relationship Id="rId146" Type="http://schemas.openxmlformats.org/officeDocument/2006/relationships/chart" Target="charts/chart50.xml"/><Relationship Id="rId7" Type="http://schemas.openxmlformats.org/officeDocument/2006/relationships/footnotes" Target="footnotes.xml"/><Relationship Id="rId71" Type="http://schemas.openxmlformats.org/officeDocument/2006/relationships/footer" Target="footer12.xml"/><Relationship Id="rId92" Type="http://schemas.openxmlformats.org/officeDocument/2006/relationships/chart" Target="charts/chart11.xm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en.wikipedia.org/wiki/Bond_(finance)" TargetMode="External"/><Relationship Id="rId24" Type="http://schemas.openxmlformats.org/officeDocument/2006/relationships/footer" Target="footer7.xm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chart" Target="charts/chart6.xml"/><Relationship Id="rId110" Type="http://schemas.openxmlformats.org/officeDocument/2006/relationships/chart" Target="charts/chart24.xml"/><Relationship Id="rId115" Type="http://schemas.openxmlformats.org/officeDocument/2006/relationships/diagramData" Target="diagrams/data4.xml"/><Relationship Id="rId131" Type="http://schemas.openxmlformats.org/officeDocument/2006/relationships/diagramColors" Target="diagrams/colors5.xml"/><Relationship Id="rId136" Type="http://schemas.openxmlformats.org/officeDocument/2006/relationships/chart" Target="charts/chart40.xml"/><Relationship Id="rId157" Type="http://schemas.openxmlformats.org/officeDocument/2006/relationships/hyperlink" Target="https://www.investopedia.com/terms/f/financialasset.asp" TargetMode="External"/><Relationship Id="rId61" Type="http://schemas.openxmlformats.org/officeDocument/2006/relationships/image" Target="media/image27.png"/><Relationship Id="rId82" Type="http://schemas.openxmlformats.org/officeDocument/2006/relationships/diagramLayout" Target="diagrams/layout2.xml"/><Relationship Id="rId152" Type="http://schemas.openxmlformats.org/officeDocument/2006/relationships/chart" Target="charts/chart56.xm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hyperlink" Target="https://en.wikipedia.org/wiki/Stock" TargetMode="External"/><Relationship Id="rId35" Type="http://schemas.openxmlformats.org/officeDocument/2006/relationships/image" Target="media/image3.png"/><Relationship Id="rId56" Type="http://schemas.openxmlformats.org/officeDocument/2006/relationships/image" Target="media/image22.png"/><Relationship Id="rId77" Type="http://schemas.openxmlformats.org/officeDocument/2006/relationships/diagramLayout" Target="diagrams/layout1.xml"/><Relationship Id="rId100" Type="http://schemas.openxmlformats.org/officeDocument/2006/relationships/chart" Target="charts/chart19.xml"/><Relationship Id="rId105" Type="http://schemas.openxmlformats.org/officeDocument/2006/relationships/diagramData" Target="diagrams/data3.xml"/><Relationship Id="rId126" Type="http://schemas.openxmlformats.org/officeDocument/2006/relationships/chart" Target="charts/chart35.xml"/><Relationship Id="rId147" Type="http://schemas.openxmlformats.org/officeDocument/2006/relationships/chart" Target="charts/chart51.xml"/><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chart" Target="charts/chart1.xml"/><Relationship Id="rId93" Type="http://schemas.openxmlformats.org/officeDocument/2006/relationships/chart" Target="charts/chart12.xml"/><Relationship Id="rId98" Type="http://schemas.openxmlformats.org/officeDocument/2006/relationships/chart" Target="charts/chart17.xml"/><Relationship Id="rId121" Type="http://schemas.openxmlformats.org/officeDocument/2006/relationships/chart" Target="charts/chart30.xml"/><Relationship Id="rId142" Type="http://schemas.openxmlformats.org/officeDocument/2006/relationships/chart" Target="charts/chart46.xm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image" Target="media/image12.png"/><Relationship Id="rId67" Type="http://schemas.openxmlformats.org/officeDocument/2006/relationships/image" Target="media/image33.png"/><Relationship Id="rId116" Type="http://schemas.openxmlformats.org/officeDocument/2006/relationships/diagramLayout" Target="diagrams/layout4.xml"/><Relationship Id="rId137" Type="http://schemas.openxmlformats.org/officeDocument/2006/relationships/chart" Target="charts/chart41.xml"/><Relationship Id="rId158" Type="http://schemas.openxmlformats.org/officeDocument/2006/relationships/hyperlink" Target="https://www.investopedia.com/terms/f/financialasset.asp" TargetMode="External"/><Relationship Id="rId20" Type="http://schemas.openxmlformats.org/officeDocument/2006/relationships/header" Target="header6.xml"/><Relationship Id="rId41" Type="http://schemas.openxmlformats.org/officeDocument/2006/relationships/image" Target="media/image7.png"/><Relationship Id="rId62" Type="http://schemas.openxmlformats.org/officeDocument/2006/relationships/image" Target="media/image28.png"/><Relationship Id="rId83" Type="http://schemas.openxmlformats.org/officeDocument/2006/relationships/diagramQuickStyle" Target="diagrams/quickStyle2.xml"/><Relationship Id="rId88" Type="http://schemas.openxmlformats.org/officeDocument/2006/relationships/chart" Target="charts/chart7.xml"/><Relationship Id="rId111" Type="http://schemas.openxmlformats.org/officeDocument/2006/relationships/chart" Target="charts/chart25.xml"/><Relationship Id="rId132" Type="http://schemas.microsoft.com/office/2007/relationships/diagramDrawing" Target="diagrams/drawing5.xml"/><Relationship Id="rId153" Type="http://schemas.openxmlformats.org/officeDocument/2006/relationships/footer" Target="footer13.xml"/></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Notes\Internship\CITY%20BANK\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Growth Rate of Held for Trading (HFT)</a:t>
            </a:r>
          </a:p>
        </c:rich>
      </c:tx>
      <c:overlay val="0"/>
      <c:spPr>
        <a:noFill/>
        <a:ln>
          <a:noFill/>
        </a:ln>
        <a:effectLst/>
      </c:spPr>
    </c:title>
    <c:autoTitleDeleted val="0"/>
    <c:plotArea>
      <c:layout>
        <c:manualLayout>
          <c:layoutTarget val="inner"/>
          <c:xMode val="edge"/>
          <c:yMode val="edge"/>
          <c:x val="0.15024412813782903"/>
          <c:y val="0.17171296296296301"/>
          <c:w val="0.66473399959620461"/>
          <c:h val="0.70696741032370991"/>
        </c:manualLayout>
      </c:layout>
      <c:scatterChart>
        <c:scatterStyle val="lineMarker"/>
        <c:varyColors val="0"/>
        <c:ser>
          <c:idx val="0"/>
          <c:order val="0"/>
          <c:tx>
            <c:v>Growth Rate</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Sheet2!$A$3:$A$7</c:f>
              <c:numCache>
                <c:formatCode>General</c:formatCode>
                <c:ptCount val="5"/>
                <c:pt idx="0">
                  <c:v>2013</c:v>
                </c:pt>
                <c:pt idx="1">
                  <c:v>2014</c:v>
                </c:pt>
                <c:pt idx="2">
                  <c:v>2015</c:v>
                </c:pt>
                <c:pt idx="3">
                  <c:v>2016</c:v>
                </c:pt>
                <c:pt idx="4">
                  <c:v>2017</c:v>
                </c:pt>
              </c:numCache>
            </c:numRef>
          </c:xVal>
          <c:yVal>
            <c:numRef>
              <c:f>Sheet2!$B$3:$B$7</c:f>
              <c:numCache>
                <c:formatCode>0.00%</c:formatCode>
                <c:ptCount val="5"/>
                <c:pt idx="0">
                  <c:v>4.5809190652576328</c:v>
                </c:pt>
                <c:pt idx="1">
                  <c:v>1.4617211423448051</c:v>
                </c:pt>
                <c:pt idx="2">
                  <c:v>-0.63870765641328497</c:v>
                </c:pt>
                <c:pt idx="3">
                  <c:v>1.1700569362553546</c:v>
                </c:pt>
                <c:pt idx="4">
                  <c:v>-0.67906843395663663</c:v>
                </c:pt>
              </c:numCache>
            </c:numRef>
          </c:yVal>
          <c:smooth val="0"/>
        </c:ser>
        <c:dLbls>
          <c:showLegendKey val="0"/>
          <c:showVal val="0"/>
          <c:showCatName val="0"/>
          <c:showSerName val="0"/>
          <c:showPercent val="0"/>
          <c:showBubbleSize val="0"/>
        </c:dLbls>
        <c:axId val="65768832"/>
        <c:axId val="71776128"/>
      </c:scatterChart>
      <c:valAx>
        <c:axId val="65768832"/>
        <c:scaling>
          <c:orientation val="minMax"/>
          <c:max val="2017"/>
          <c:min val="201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76128"/>
        <c:crosses val="autoZero"/>
        <c:crossBetween val="midCat"/>
      </c:valAx>
      <c:valAx>
        <c:axId val="71776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688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Total Government Bond for 182 days Treasury Bill</a:t>
            </a:r>
            <a:endParaRPr lang="en-US"/>
          </a:p>
        </c:rich>
      </c:tx>
      <c:overlay val="0"/>
      <c:spPr>
        <a:noFill/>
        <a:ln>
          <a:noFill/>
        </a:ln>
        <a:effectLst/>
      </c:spPr>
    </c:title>
    <c:autoTitleDeleted val="0"/>
    <c:plotArea>
      <c:layout/>
      <c:barChart>
        <c:barDir val="col"/>
        <c:grouping val="clustered"/>
        <c:varyColors val="0"/>
        <c:ser>
          <c:idx val="0"/>
          <c:order val="0"/>
          <c:tx>
            <c:v>Percentage of Total Investment</c:v>
          </c:tx>
          <c:spPr>
            <a:solidFill>
              <a:schemeClr val="accent1"/>
            </a:solidFill>
            <a:ln>
              <a:noFill/>
            </a:ln>
            <a:effectLst/>
          </c:spPr>
          <c:invertIfNegative val="0"/>
          <c:cat>
            <c:numRef>
              <c:f>Sheet2!$A$67:$A$71</c:f>
              <c:numCache>
                <c:formatCode>General</c:formatCode>
                <c:ptCount val="5"/>
                <c:pt idx="0">
                  <c:v>2013</c:v>
                </c:pt>
                <c:pt idx="1">
                  <c:v>2014</c:v>
                </c:pt>
                <c:pt idx="2">
                  <c:v>2015</c:v>
                </c:pt>
                <c:pt idx="3">
                  <c:v>2016</c:v>
                </c:pt>
                <c:pt idx="4">
                  <c:v>2017</c:v>
                </c:pt>
              </c:numCache>
            </c:numRef>
          </c:cat>
          <c:val>
            <c:numRef>
              <c:f>Sheet2!$C$67:$C$71</c:f>
              <c:numCache>
                <c:formatCode>0.00%</c:formatCode>
                <c:ptCount val="5"/>
                <c:pt idx="0">
                  <c:v>1.1692426887238396E-2</c:v>
                </c:pt>
                <c:pt idx="1">
                  <c:v>9.941187239348977E-3</c:v>
                </c:pt>
                <c:pt idx="2">
                  <c:v>0</c:v>
                </c:pt>
                <c:pt idx="3">
                  <c:v>0</c:v>
                </c:pt>
                <c:pt idx="4">
                  <c:v>0.15737324153976406</c:v>
                </c:pt>
              </c:numCache>
            </c:numRef>
          </c:val>
        </c:ser>
        <c:ser>
          <c:idx val="1"/>
          <c:order val="1"/>
          <c:tx>
            <c:v>Percentage of Total Government Bond</c:v>
          </c:tx>
          <c:spPr>
            <a:solidFill>
              <a:schemeClr val="accent2"/>
            </a:solidFill>
            <a:ln>
              <a:noFill/>
            </a:ln>
            <a:effectLst/>
          </c:spPr>
          <c:invertIfNegative val="0"/>
          <c:cat>
            <c:numRef>
              <c:f>Sheet2!$A$67:$A$71</c:f>
              <c:numCache>
                <c:formatCode>General</c:formatCode>
                <c:ptCount val="5"/>
                <c:pt idx="0">
                  <c:v>2013</c:v>
                </c:pt>
                <c:pt idx="1">
                  <c:v>2014</c:v>
                </c:pt>
                <c:pt idx="2">
                  <c:v>2015</c:v>
                </c:pt>
                <c:pt idx="3">
                  <c:v>2016</c:v>
                </c:pt>
                <c:pt idx="4">
                  <c:v>2017</c:v>
                </c:pt>
              </c:numCache>
            </c:numRef>
          </c:cat>
          <c:val>
            <c:numRef>
              <c:f>Sheet2!$D$67:$D$71</c:f>
              <c:numCache>
                <c:formatCode>0.00%</c:formatCode>
                <c:ptCount val="5"/>
                <c:pt idx="0">
                  <c:v>1.4093809002545987E-2</c:v>
                </c:pt>
                <c:pt idx="1">
                  <c:v>1.2081763621004838E-2</c:v>
                </c:pt>
                <c:pt idx="2">
                  <c:v>0</c:v>
                </c:pt>
                <c:pt idx="3">
                  <c:v>0</c:v>
                </c:pt>
                <c:pt idx="4">
                  <c:v>0.18167355388098014</c:v>
                </c:pt>
              </c:numCache>
            </c:numRef>
          </c:val>
        </c:ser>
        <c:dLbls>
          <c:showLegendKey val="0"/>
          <c:showVal val="0"/>
          <c:showCatName val="0"/>
          <c:showSerName val="0"/>
          <c:showPercent val="0"/>
          <c:showBubbleSize val="0"/>
        </c:dLbls>
        <c:gapWidth val="219"/>
        <c:overlap val="-27"/>
        <c:axId val="72393472"/>
        <c:axId val="72395392"/>
      </c:barChart>
      <c:catAx>
        <c:axId val="72393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95392"/>
        <c:crosses val="autoZero"/>
        <c:auto val="1"/>
        <c:lblAlgn val="ctr"/>
        <c:lblOffset val="100"/>
        <c:noMultiLvlLbl val="0"/>
      </c:catAx>
      <c:valAx>
        <c:axId val="72395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9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599390342430169"/>
          <c:y val="0.17171296296296301"/>
          <c:w val="0.60767679414449272"/>
          <c:h val="0.70696741032370991"/>
        </c:manualLayout>
      </c:layout>
      <c:lineChart>
        <c:grouping val="standard"/>
        <c:varyColors val="0"/>
        <c:ser>
          <c:idx val="0"/>
          <c:order val="0"/>
          <c:tx>
            <c:v>Investment in 182 days Treasury Bill</c:v>
          </c:tx>
          <c:spPr>
            <a:ln w="28575" cap="rnd">
              <a:solidFill>
                <a:schemeClr val="accent1"/>
              </a:solidFill>
              <a:round/>
            </a:ln>
            <a:effectLst/>
          </c:spPr>
          <c:marker>
            <c:symbol val="none"/>
          </c:marker>
          <c:cat>
            <c:numRef>
              <c:f>Sheet2!$A$67:$A$71</c:f>
              <c:numCache>
                <c:formatCode>General</c:formatCode>
                <c:ptCount val="5"/>
                <c:pt idx="0">
                  <c:v>2013</c:v>
                </c:pt>
                <c:pt idx="1">
                  <c:v>2014</c:v>
                </c:pt>
                <c:pt idx="2">
                  <c:v>2015</c:v>
                </c:pt>
                <c:pt idx="3">
                  <c:v>2016</c:v>
                </c:pt>
                <c:pt idx="4">
                  <c:v>2017</c:v>
                </c:pt>
              </c:numCache>
            </c:numRef>
          </c:cat>
          <c:val>
            <c:numRef>
              <c:f>Sheet2!$B$67:$B$71</c:f>
              <c:numCache>
                <c:formatCode>0.00%</c:formatCode>
                <c:ptCount val="5"/>
                <c:pt idx="0">
                  <c:v>-4.5072014913830845E-2</c:v>
                </c:pt>
                <c:pt idx="1">
                  <c:v>-7.8595596979492116E-2</c:v>
                </c:pt>
                <c:pt idx="2">
                  <c:v>-1</c:v>
                </c:pt>
                <c:pt idx="3">
                  <c:v>0</c:v>
                </c:pt>
                <c:pt idx="4">
                  <c:v>0</c:v>
                </c:pt>
              </c:numCache>
            </c:numRef>
          </c:val>
          <c:smooth val="0"/>
        </c:ser>
        <c:dLbls>
          <c:showLegendKey val="0"/>
          <c:showVal val="0"/>
          <c:showCatName val="0"/>
          <c:showSerName val="0"/>
          <c:showPercent val="0"/>
          <c:showBubbleSize val="0"/>
        </c:dLbls>
        <c:marker val="1"/>
        <c:smooth val="0"/>
        <c:axId val="72563712"/>
        <c:axId val="72565888"/>
      </c:lineChart>
      <c:catAx>
        <c:axId val="72563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65888"/>
        <c:crosses val="autoZero"/>
        <c:auto val="1"/>
        <c:lblAlgn val="ctr"/>
        <c:lblOffset val="100"/>
        <c:noMultiLvlLbl val="0"/>
      </c:catAx>
      <c:valAx>
        <c:axId val="72565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63712"/>
        <c:crosses val="autoZero"/>
        <c:crossBetween val="between"/>
      </c:valAx>
      <c:spPr>
        <a:noFill/>
        <a:ln>
          <a:noFill/>
        </a:ln>
        <a:effectLst/>
      </c:spPr>
    </c:plotArea>
    <c:legend>
      <c:legendPos val="r"/>
      <c:layout>
        <c:manualLayout>
          <c:xMode val="edge"/>
          <c:yMode val="edge"/>
          <c:x val="0.77254479629314265"/>
          <c:y val="0.49615667833187538"/>
          <c:w val="0.21414405562033537"/>
          <c:h val="0.12847331583552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Total Government Bond for 2 year</a:t>
            </a:r>
            <a:r>
              <a:rPr lang="bn-BD" baseline="0"/>
              <a:t> Islamic Bond</a:t>
            </a:r>
            <a:endParaRPr lang="en-US"/>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Sheet2!$A$75:$A$79</c:f>
              <c:numCache>
                <c:formatCode>General</c:formatCode>
                <c:ptCount val="5"/>
                <c:pt idx="0">
                  <c:v>2013</c:v>
                </c:pt>
                <c:pt idx="1">
                  <c:v>2014</c:v>
                </c:pt>
                <c:pt idx="2">
                  <c:v>2015</c:v>
                </c:pt>
                <c:pt idx="3">
                  <c:v>2016</c:v>
                </c:pt>
                <c:pt idx="4">
                  <c:v>2017</c:v>
                </c:pt>
              </c:numCache>
            </c:numRef>
          </c:cat>
          <c:val>
            <c:numRef>
              <c:f>Sheet2!$C$75:$C$79</c:f>
              <c:numCache>
                <c:formatCode>0.00%</c:formatCode>
                <c:ptCount val="5"/>
                <c:pt idx="0">
                  <c:v>4.5296933179858742E-3</c:v>
                </c:pt>
                <c:pt idx="1">
                  <c:v>7.3145928203413564E-3</c:v>
                </c:pt>
                <c:pt idx="2">
                  <c:v>8.1251873726354042E-3</c:v>
                </c:pt>
                <c:pt idx="3">
                  <c:v>0</c:v>
                </c:pt>
                <c:pt idx="4">
                  <c:v>0</c:v>
                </c:pt>
              </c:numCache>
            </c:numRef>
          </c:val>
          <c:smooth val="0"/>
        </c:ser>
        <c:ser>
          <c:idx val="1"/>
          <c:order val="1"/>
          <c:tx>
            <c:v>Percentage of Total Government Bond</c:v>
          </c:tx>
          <c:spPr>
            <a:ln w="28575" cap="rnd">
              <a:solidFill>
                <a:schemeClr val="accent2"/>
              </a:solidFill>
              <a:round/>
            </a:ln>
            <a:effectLst/>
          </c:spPr>
          <c:marker>
            <c:symbol val="none"/>
          </c:marker>
          <c:cat>
            <c:numRef>
              <c:f>Sheet2!$A$75:$A$79</c:f>
              <c:numCache>
                <c:formatCode>General</c:formatCode>
                <c:ptCount val="5"/>
                <c:pt idx="0">
                  <c:v>2013</c:v>
                </c:pt>
                <c:pt idx="1">
                  <c:v>2014</c:v>
                </c:pt>
                <c:pt idx="2">
                  <c:v>2015</c:v>
                </c:pt>
                <c:pt idx="3">
                  <c:v>2016</c:v>
                </c:pt>
                <c:pt idx="4">
                  <c:v>2017</c:v>
                </c:pt>
              </c:numCache>
            </c:numRef>
          </c:cat>
          <c:val>
            <c:numRef>
              <c:f>Sheet2!$D$75:$D$79</c:f>
              <c:numCache>
                <c:formatCode>0.00%</c:formatCode>
                <c:ptCount val="5"/>
                <c:pt idx="0">
                  <c:v>5.4599984314188943E-3</c:v>
                </c:pt>
                <c:pt idx="1">
                  <c:v>8.8896003376203233E-3</c:v>
                </c:pt>
                <c:pt idx="2">
                  <c:v>1.0160428403311545E-2</c:v>
                </c:pt>
                <c:pt idx="3">
                  <c:v>0</c:v>
                </c:pt>
                <c:pt idx="4">
                  <c:v>0</c:v>
                </c:pt>
              </c:numCache>
            </c:numRef>
          </c:val>
          <c:smooth val="0"/>
        </c:ser>
        <c:dLbls>
          <c:showLegendKey val="0"/>
          <c:showVal val="0"/>
          <c:showCatName val="0"/>
          <c:showSerName val="0"/>
          <c:showPercent val="0"/>
          <c:showBubbleSize val="0"/>
        </c:dLbls>
        <c:marker val="1"/>
        <c:smooth val="0"/>
        <c:axId val="72579328"/>
        <c:axId val="72593792"/>
      </c:lineChart>
      <c:catAx>
        <c:axId val="72579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93792"/>
        <c:crosses val="autoZero"/>
        <c:auto val="1"/>
        <c:lblAlgn val="ctr"/>
        <c:lblOffset val="100"/>
        <c:noMultiLvlLbl val="0"/>
      </c:catAx>
      <c:valAx>
        <c:axId val="72593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7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033114610673672"/>
          <c:y val="0.17171296296296301"/>
          <c:w val="0.54514938757655318"/>
          <c:h val="0.70696741032370991"/>
        </c:manualLayout>
      </c:layout>
      <c:barChart>
        <c:barDir val="col"/>
        <c:grouping val="clustered"/>
        <c:varyColors val="0"/>
        <c:ser>
          <c:idx val="0"/>
          <c:order val="0"/>
          <c:tx>
            <c:v>Investment in 2 years Islamic Bond</c:v>
          </c:tx>
          <c:spPr>
            <a:solidFill>
              <a:schemeClr val="accent1"/>
            </a:solidFill>
            <a:ln>
              <a:noFill/>
            </a:ln>
            <a:effectLst/>
          </c:spPr>
          <c:invertIfNegative val="0"/>
          <c:cat>
            <c:numRef>
              <c:f>Sheet2!$A$75:$A$79</c:f>
              <c:numCache>
                <c:formatCode>General</c:formatCode>
                <c:ptCount val="5"/>
                <c:pt idx="0">
                  <c:v>2013</c:v>
                </c:pt>
                <c:pt idx="1">
                  <c:v>2014</c:v>
                </c:pt>
                <c:pt idx="2">
                  <c:v>2015</c:v>
                </c:pt>
                <c:pt idx="3">
                  <c:v>2016</c:v>
                </c:pt>
                <c:pt idx="4">
                  <c:v>2017</c:v>
                </c:pt>
              </c:numCache>
            </c:numRef>
          </c:cat>
          <c:val>
            <c:numRef>
              <c:f>Sheet2!$B$75:$B$79</c:f>
              <c:numCache>
                <c:formatCode>0.00%</c:formatCode>
                <c:ptCount val="5"/>
                <c:pt idx="0">
                  <c:v>11</c:v>
                </c:pt>
                <c:pt idx="1">
                  <c:v>0.75000000000000022</c:v>
                </c:pt>
                <c:pt idx="2">
                  <c:v>-4.7619047619047623E-2</c:v>
                </c:pt>
                <c:pt idx="3">
                  <c:v>-1</c:v>
                </c:pt>
                <c:pt idx="4">
                  <c:v>0</c:v>
                </c:pt>
              </c:numCache>
            </c:numRef>
          </c:val>
        </c:ser>
        <c:dLbls>
          <c:showLegendKey val="0"/>
          <c:showVal val="0"/>
          <c:showCatName val="0"/>
          <c:showSerName val="0"/>
          <c:showPercent val="0"/>
          <c:showBubbleSize val="0"/>
        </c:dLbls>
        <c:gapWidth val="219"/>
        <c:overlap val="-27"/>
        <c:axId val="72610560"/>
        <c:axId val="72612480"/>
      </c:barChart>
      <c:catAx>
        <c:axId val="72610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12480"/>
        <c:crosses val="autoZero"/>
        <c:auto val="1"/>
        <c:lblAlgn val="ctr"/>
        <c:lblOffset val="100"/>
        <c:noMultiLvlLbl val="0"/>
      </c:catAx>
      <c:valAx>
        <c:axId val="7261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10560"/>
        <c:crosses val="autoZero"/>
        <c:crossBetween val="between"/>
      </c:valAx>
      <c:spPr>
        <a:noFill/>
        <a:ln>
          <a:noFill/>
        </a:ln>
        <a:effectLst/>
      </c:spPr>
    </c:plotArea>
    <c:legend>
      <c:legendPos val="r"/>
      <c:layout>
        <c:manualLayout>
          <c:xMode val="edge"/>
          <c:yMode val="edge"/>
          <c:x val="0.74270275590551171"/>
          <c:y val="0.49615667833187538"/>
          <c:w val="0.24063057742782151"/>
          <c:h val="0.12847331583552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Total government bond for 2 year</a:t>
            </a:r>
            <a:r>
              <a:rPr lang="bn-BD" baseline="0"/>
              <a:t> Treasury Bond</a:t>
            </a:r>
            <a:endParaRPr lang="en-US"/>
          </a:p>
        </c:rich>
      </c:tx>
      <c:overlay val="0"/>
      <c:spPr>
        <a:noFill/>
        <a:ln>
          <a:noFill/>
        </a:ln>
        <a:effectLst/>
      </c:spPr>
    </c:title>
    <c:autoTitleDeleted val="0"/>
    <c:plotArea>
      <c:layout/>
      <c:barChart>
        <c:barDir val="col"/>
        <c:grouping val="clustered"/>
        <c:varyColors val="0"/>
        <c:ser>
          <c:idx val="0"/>
          <c:order val="0"/>
          <c:tx>
            <c:v>Percentage of Total Investment</c:v>
          </c:tx>
          <c:spPr>
            <a:solidFill>
              <a:schemeClr val="accent1"/>
            </a:solidFill>
            <a:ln>
              <a:noFill/>
            </a:ln>
            <a:effectLst/>
          </c:spPr>
          <c:invertIfNegative val="0"/>
          <c:cat>
            <c:numRef>
              <c:f>Sheet2!$A$83:$A$87</c:f>
              <c:numCache>
                <c:formatCode>General</c:formatCode>
                <c:ptCount val="5"/>
                <c:pt idx="0">
                  <c:v>2013</c:v>
                </c:pt>
                <c:pt idx="1">
                  <c:v>2014</c:v>
                </c:pt>
                <c:pt idx="2">
                  <c:v>2015</c:v>
                </c:pt>
                <c:pt idx="3">
                  <c:v>2016</c:v>
                </c:pt>
                <c:pt idx="4">
                  <c:v>2017</c:v>
                </c:pt>
              </c:numCache>
            </c:numRef>
          </c:cat>
          <c:val>
            <c:numRef>
              <c:f>Sheet2!$C$83:$C$87</c:f>
              <c:numCache>
                <c:formatCode>0.00%</c:formatCode>
                <c:ptCount val="5"/>
                <c:pt idx="0">
                  <c:v>6.0450868165607642E-3</c:v>
                </c:pt>
                <c:pt idx="1">
                  <c:v>7.2106448631203317E-3</c:v>
                </c:pt>
                <c:pt idx="2">
                  <c:v>1.1935617046995533E-2</c:v>
                </c:pt>
                <c:pt idx="3">
                  <c:v>0</c:v>
                </c:pt>
                <c:pt idx="4">
                  <c:v>7.0263875951875526E-2</c:v>
                </c:pt>
              </c:numCache>
            </c:numRef>
          </c:val>
        </c:ser>
        <c:ser>
          <c:idx val="1"/>
          <c:order val="1"/>
          <c:tx>
            <c:v>Percentage of Total goverment bond</c:v>
          </c:tx>
          <c:spPr>
            <a:solidFill>
              <a:schemeClr val="accent2"/>
            </a:solidFill>
            <a:ln>
              <a:noFill/>
            </a:ln>
            <a:effectLst/>
          </c:spPr>
          <c:invertIfNegative val="0"/>
          <c:cat>
            <c:numRef>
              <c:f>Sheet2!$A$83:$A$87</c:f>
              <c:numCache>
                <c:formatCode>General</c:formatCode>
                <c:ptCount val="5"/>
                <c:pt idx="0">
                  <c:v>2013</c:v>
                </c:pt>
                <c:pt idx="1">
                  <c:v>2014</c:v>
                </c:pt>
                <c:pt idx="2">
                  <c:v>2015</c:v>
                </c:pt>
                <c:pt idx="3">
                  <c:v>2016</c:v>
                </c:pt>
                <c:pt idx="4">
                  <c:v>2017</c:v>
                </c:pt>
              </c:numCache>
            </c:numRef>
          </c:cat>
          <c:val>
            <c:numRef>
              <c:f>Sheet2!$D$83:$D$87</c:f>
              <c:numCache>
                <c:formatCode>0.00%</c:formatCode>
                <c:ptCount val="5"/>
                <c:pt idx="0">
                  <c:v>7.2866223426554175E-3</c:v>
                </c:pt>
                <c:pt idx="1">
                  <c:v>8.7632698885709553E-3</c:v>
                </c:pt>
                <c:pt idx="2">
                  <c:v>1.4925315182732653E-2</c:v>
                </c:pt>
                <c:pt idx="3">
                  <c:v>0</c:v>
                </c:pt>
                <c:pt idx="4">
                  <c:v>8.1113459497523049E-2</c:v>
                </c:pt>
              </c:numCache>
            </c:numRef>
          </c:val>
        </c:ser>
        <c:dLbls>
          <c:showLegendKey val="0"/>
          <c:showVal val="0"/>
          <c:showCatName val="0"/>
          <c:showSerName val="0"/>
          <c:showPercent val="0"/>
          <c:showBubbleSize val="0"/>
        </c:dLbls>
        <c:gapWidth val="219"/>
        <c:overlap val="-27"/>
        <c:axId val="72663040"/>
        <c:axId val="72664576"/>
      </c:barChart>
      <c:catAx>
        <c:axId val="7266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64576"/>
        <c:crosses val="autoZero"/>
        <c:auto val="1"/>
        <c:lblAlgn val="ctr"/>
        <c:lblOffset val="100"/>
        <c:noMultiLvlLbl val="0"/>
      </c:catAx>
      <c:valAx>
        <c:axId val="72664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6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17171296296296301"/>
          <c:w val="0.56868175853018421"/>
          <c:h val="0.70696741032370991"/>
        </c:manualLayout>
      </c:layout>
      <c:lineChart>
        <c:grouping val="standard"/>
        <c:varyColors val="0"/>
        <c:ser>
          <c:idx val="0"/>
          <c:order val="0"/>
          <c:tx>
            <c:v>Investment in 2 year Treasury Bond</c:v>
          </c:tx>
          <c:spPr>
            <a:ln w="28575" cap="rnd">
              <a:solidFill>
                <a:schemeClr val="accent1"/>
              </a:solidFill>
              <a:round/>
            </a:ln>
            <a:effectLst/>
          </c:spPr>
          <c:marker>
            <c:symbol val="none"/>
          </c:marker>
          <c:cat>
            <c:numRef>
              <c:f>Sheet2!$A$83:$A$87</c:f>
              <c:numCache>
                <c:formatCode>General</c:formatCode>
                <c:ptCount val="5"/>
                <c:pt idx="0">
                  <c:v>2013</c:v>
                </c:pt>
                <c:pt idx="1">
                  <c:v>2014</c:v>
                </c:pt>
                <c:pt idx="2">
                  <c:v>2015</c:v>
                </c:pt>
                <c:pt idx="3">
                  <c:v>2016</c:v>
                </c:pt>
                <c:pt idx="4">
                  <c:v>2017</c:v>
                </c:pt>
              </c:numCache>
            </c:numRef>
          </c:cat>
          <c:val>
            <c:numRef>
              <c:f>Sheet2!$B$83:$B$87</c:f>
              <c:numCache>
                <c:formatCode>0.00%</c:formatCode>
                <c:ptCount val="5"/>
                <c:pt idx="0">
                  <c:v>0</c:v>
                </c:pt>
                <c:pt idx="1">
                  <c:v>0.29267174584486866</c:v>
                </c:pt>
                <c:pt idx="2">
                  <c:v>0.41918248009829534</c:v>
                </c:pt>
                <c:pt idx="3">
                  <c:v>-1</c:v>
                </c:pt>
                <c:pt idx="4">
                  <c:v>0</c:v>
                </c:pt>
              </c:numCache>
            </c:numRef>
          </c:val>
          <c:smooth val="0"/>
        </c:ser>
        <c:dLbls>
          <c:showLegendKey val="0"/>
          <c:showVal val="0"/>
          <c:showCatName val="0"/>
          <c:showSerName val="0"/>
          <c:showPercent val="0"/>
          <c:showBubbleSize val="0"/>
        </c:dLbls>
        <c:marker val="1"/>
        <c:smooth val="0"/>
        <c:axId val="72684672"/>
        <c:axId val="72686592"/>
      </c:lineChart>
      <c:catAx>
        <c:axId val="72684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86592"/>
        <c:crosses val="autoZero"/>
        <c:auto val="1"/>
        <c:lblAlgn val="ctr"/>
        <c:lblOffset val="100"/>
        <c:noMultiLvlLbl val="0"/>
      </c:catAx>
      <c:valAx>
        <c:axId val="72686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84672"/>
        <c:crosses val="autoZero"/>
        <c:crossBetween val="between"/>
      </c:valAx>
      <c:spPr>
        <a:noFill/>
        <a:ln>
          <a:noFill/>
        </a:ln>
        <a:effectLst/>
      </c:spPr>
    </c:plotArea>
    <c:legend>
      <c:legendPos val="r"/>
      <c:layout>
        <c:manualLayout>
          <c:xMode val="edge"/>
          <c:yMode val="edge"/>
          <c:x val="0.76677690288713918"/>
          <c:y val="0.49615667833187538"/>
          <c:w val="0.21655643044619435"/>
          <c:h val="0.24884368620589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Total Government Bonds for 5 years Treasury Bond</a:t>
            </a:r>
            <a:endParaRPr lang="en-US"/>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Sheet2!$A$91:$A$95</c:f>
              <c:numCache>
                <c:formatCode>General</c:formatCode>
                <c:ptCount val="5"/>
                <c:pt idx="0">
                  <c:v>2013</c:v>
                </c:pt>
                <c:pt idx="1">
                  <c:v>2014</c:v>
                </c:pt>
                <c:pt idx="2">
                  <c:v>2015</c:v>
                </c:pt>
                <c:pt idx="3">
                  <c:v>2016</c:v>
                </c:pt>
                <c:pt idx="4">
                  <c:v>2017</c:v>
                </c:pt>
              </c:numCache>
            </c:numRef>
          </c:cat>
          <c:val>
            <c:numRef>
              <c:f>Sheet2!$C$91:$C$95</c:f>
              <c:numCache>
                <c:formatCode>0.00%</c:formatCode>
                <c:ptCount val="5"/>
                <c:pt idx="0">
                  <c:v>4.3183337434951778E-2</c:v>
                </c:pt>
                <c:pt idx="1">
                  <c:v>4.946046128303716E-2</c:v>
                </c:pt>
                <c:pt idx="2">
                  <c:v>8.4048938888053315E-2</c:v>
                </c:pt>
                <c:pt idx="3">
                  <c:v>8.197687885900122E-2</c:v>
                </c:pt>
                <c:pt idx="4">
                  <c:v>3.8567817035445776E-2</c:v>
                </c:pt>
              </c:numCache>
            </c:numRef>
          </c:val>
          <c:smooth val="0"/>
        </c:ser>
        <c:ser>
          <c:idx val="1"/>
          <c:order val="1"/>
          <c:tx>
            <c:v>Percentage of Total Government Bonds</c:v>
          </c:tx>
          <c:spPr>
            <a:ln w="28575" cap="rnd">
              <a:solidFill>
                <a:schemeClr val="accent2"/>
              </a:solidFill>
              <a:round/>
            </a:ln>
            <a:effectLst/>
          </c:spPr>
          <c:marker>
            <c:symbol val="none"/>
          </c:marker>
          <c:cat>
            <c:numRef>
              <c:f>Sheet2!$A$91:$A$95</c:f>
              <c:numCache>
                <c:formatCode>General</c:formatCode>
                <c:ptCount val="5"/>
                <c:pt idx="0">
                  <c:v>2013</c:v>
                </c:pt>
                <c:pt idx="1">
                  <c:v>2014</c:v>
                </c:pt>
                <c:pt idx="2">
                  <c:v>2015</c:v>
                </c:pt>
                <c:pt idx="3">
                  <c:v>2016</c:v>
                </c:pt>
                <c:pt idx="4">
                  <c:v>2017</c:v>
                </c:pt>
              </c:numCache>
            </c:numRef>
          </c:cat>
          <c:val>
            <c:numRef>
              <c:f>Sheet2!$D$91:$D$95</c:f>
              <c:numCache>
                <c:formatCode>0.00%</c:formatCode>
                <c:ptCount val="5"/>
                <c:pt idx="0">
                  <c:v>5.2052299815103037E-2</c:v>
                </c:pt>
                <c:pt idx="1">
                  <c:v>6.0110486546539527E-2</c:v>
                </c:pt>
                <c:pt idx="2">
                  <c:v>0.10510197325694251</c:v>
                </c:pt>
                <c:pt idx="3">
                  <c:v>9.0852304379760024E-2</c:v>
                </c:pt>
                <c:pt idx="4">
                  <c:v>4.4523149664489912E-2</c:v>
                </c:pt>
              </c:numCache>
            </c:numRef>
          </c:val>
          <c:smooth val="0"/>
        </c:ser>
        <c:dLbls>
          <c:showLegendKey val="0"/>
          <c:showVal val="0"/>
          <c:showCatName val="0"/>
          <c:showSerName val="0"/>
          <c:showPercent val="0"/>
          <c:showBubbleSize val="0"/>
        </c:dLbls>
        <c:marker val="1"/>
        <c:smooth val="0"/>
        <c:axId val="72704384"/>
        <c:axId val="72706304"/>
      </c:lineChart>
      <c:catAx>
        <c:axId val="72704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06304"/>
        <c:crosses val="autoZero"/>
        <c:auto val="1"/>
        <c:lblAlgn val="ctr"/>
        <c:lblOffset val="100"/>
        <c:noMultiLvlLbl val="0"/>
      </c:catAx>
      <c:valAx>
        <c:axId val="72706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04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563510956479284"/>
          <c:y val="0.18875318066157773"/>
          <c:w val="0.62774897323881085"/>
          <c:h val="0.67788784035583372"/>
        </c:manualLayout>
      </c:layout>
      <c:barChart>
        <c:barDir val="col"/>
        <c:grouping val="clustered"/>
        <c:varyColors val="0"/>
        <c:ser>
          <c:idx val="0"/>
          <c:order val="0"/>
          <c:tx>
            <c:v>Investment in 5 years Treasury Bond</c:v>
          </c:tx>
          <c:spPr>
            <a:solidFill>
              <a:schemeClr val="accent1"/>
            </a:solidFill>
            <a:ln>
              <a:noFill/>
            </a:ln>
            <a:effectLst/>
          </c:spPr>
          <c:invertIfNegative val="0"/>
          <c:cat>
            <c:numRef>
              <c:f>Sheet2!$A$91:$A$95</c:f>
              <c:numCache>
                <c:formatCode>General</c:formatCode>
                <c:ptCount val="5"/>
                <c:pt idx="0">
                  <c:v>2013</c:v>
                </c:pt>
                <c:pt idx="1">
                  <c:v>2014</c:v>
                </c:pt>
                <c:pt idx="2">
                  <c:v>2015</c:v>
                </c:pt>
                <c:pt idx="3">
                  <c:v>2016</c:v>
                </c:pt>
                <c:pt idx="4">
                  <c:v>2017</c:v>
                </c:pt>
              </c:numCache>
            </c:numRef>
          </c:cat>
          <c:val>
            <c:numRef>
              <c:f>Sheet2!$B$91:$B$95</c:f>
              <c:numCache>
                <c:formatCode>0.00%</c:formatCode>
                <c:ptCount val="5"/>
                <c:pt idx="0">
                  <c:v>-4.736171792076917E-3</c:v>
                </c:pt>
                <c:pt idx="1">
                  <c:v>0.24124825528371499</c:v>
                </c:pt>
                <c:pt idx="2">
                  <c:v>0.45693958711764282</c:v>
                </c:pt>
                <c:pt idx="3">
                  <c:v>-3.1890863529893558E-2</c:v>
                </c:pt>
                <c:pt idx="4">
                  <c:v>-0.50880290265679118</c:v>
                </c:pt>
              </c:numCache>
            </c:numRef>
          </c:val>
        </c:ser>
        <c:dLbls>
          <c:showLegendKey val="0"/>
          <c:showVal val="0"/>
          <c:showCatName val="0"/>
          <c:showSerName val="0"/>
          <c:showPercent val="0"/>
          <c:showBubbleSize val="0"/>
        </c:dLbls>
        <c:gapWidth val="219"/>
        <c:overlap val="-27"/>
        <c:axId val="72735360"/>
        <c:axId val="72737536"/>
      </c:barChart>
      <c:catAx>
        <c:axId val="72735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37536"/>
        <c:crosses val="autoZero"/>
        <c:auto val="1"/>
        <c:lblAlgn val="ctr"/>
        <c:lblOffset val="100"/>
        <c:noMultiLvlLbl val="0"/>
      </c:catAx>
      <c:valAx>
        <c:axId val="72737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35360"/>
        <c:crosses val="autoZero"/>
        <c:crossBetween val="between"/>
      </c:valAx>
      <c:spPr>
        <a:noFill/>
        <a:ln>
          <a:noFill/>
        </a:ln>
        <a:effectLst/>
      </c:spPr>
    </c:plotArea>
    <c:legend>
      <c:legendPos val="r"/>
      <c:layout>
        <c:manualLayout>
          <c:xMode val="edge"/>
          <c:yMode val="edge"/>
          <c:x val="0.76895440395531978"/>
          <c:y val="0.52344733625854045"/>
          <c:w val="0.21775655949983003"/>
          <c:h val="0.197837751197130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65069991251087"/>
          <c:y val="0.17171296296296301"/>
          <c:w val="0.60057064741907296"/>
          <c:h val="0.70696741032370991"/>
        </c:manualLayout>
      </c:layout>
      <c:lineChart>
        <c:grouping val="standard"/>
        <c:varyColors val="0"/>
        <c:ser>
          <c:idx val="0"/>
          <c:order val="0"/>
          <c:tx>
            <c:v>Investment in 10 years Treasury Bonds</c:v>
          </c:tx>
          <c:spPr>
            <a:ln w="28575" cap="rnd">
              <a:solidFill>
                <a:schemeClr val="accent1"/>
              </a:solidFill>
              <a:round/>
            </a:ln>
            <a:effectLst/>
          </c:spPr>
          <c:marker>
            <c:symbol val="none"/>
          </c:marker>
          <c:cat>
            <c:numRef>
              <c:f>Sheet2!$A$99:$A$103</c:f>
              <c:numCache>
                <c:formatCode>General</c:formatCode>
                <c:ptCount val="5"/>
                <c:pt idx="0">
                  <c:v>2013</c:v>
                </c:pt>
                <c:pt idx="1">
                  <c:v>2014</c:v>
                </c:pt>
                <c:pt idx="2">
                  <c:v>2015</c:v>
                </c:pt>
                <c:pt idx="3">
                  <c:v>2016</c:v>
                </c:pt>
                <c:pt idx="4">
                  <c:v>2017</c:v>
                </c:pt>
              </c:numCache>
            </c:numRef>
          </c:cat>
          <c:val>
            <c:numRef>
              <c:f>Sheet2!$B$99:$B$103</c:f>
              <c:numCache>
                <c:formatCode>0.00%</c:formatCode>
                <c:ptCount val="5"/>
                <c:pt idx="0">
                  <c:v>-0.1346587565535525</c:v>
                </c:pt>
                <c:pt idx="1">
                  <c:v>0.6841570299970543</c:v>
                </c:pt>
                <c:pt idx="2">
                  <c:v>-7.0223948249700324E-2</c:v>
                </c:pt>
                <c:pt idx="3">
                  <c:v>0.1675887347593559</c:v>
                </c:pt>
                <c:pt idx="4">
                  <c:v>-0.43076698046800982</c:v>
                </c:pt>
              </c:numCache>
            </c:numRef>
          </c:val>
          <c:smooth val="0"/>
        </c:ser>
        <c:dLbls>
          <c:showLegendKey val="0"/>
          <c:showVal val="0"/>
          <c:showCatName val="0"/>
          <c:showSerName val="0"/>
          <c:showPercent val="0"/>
          <c:showBubbleSize val="0"/>
        </c:dLbls>
        <c:marker val="1"/>
        <c:smooth val="0"/>
        <c:axId val="72754304"/>
        <c:axId val="72756224"/>
      </c:lineChart>
      <c:catAx>
        <c:axId val="72754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56224"/>
        <c:crosses val="autoZero"/>
        <c:auto val="1"/>
        <c:lblAlgn val="ctr"/>
        <c:lblOffset val="100"/>
        <c:noMultiLvlLbl val="0"/>
      </c:catAx>
      <c:valAx>
        <c:axId val="72756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54304"/>
        <c:crosses val="autoZero"/>
        <c:crossBetween val="between"/>
      </c:valAx>
      <c:spPr>
        <a:noFill/>
        <a:ln>
          <a:noFill/>
        </a:ln>
        <a:effectLst/>
      </c:spPr>
    </c:plotArea>
    <c:legend>
      <c:legendPos val="r"/>
      <c:layout>
        <c:manualLayout>
          <c:xMode val="edge"/>
          <c:yMode val="edge"/>
          <c:x val="0.77766579177602801"/>
          <c:y val="0.49615667833187538"/>
          <c:w val="0.20566754155730543"/>
          <c:h val="0.225695538057742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Total</a:t>
            </a:r>
            <a:r>
              <a:rPr lang="bn-BD" baseline="0"/>
              <a:t> government bond for 10 years</a:t>
            </a:r>
            <a:endParaRPr lang="en-US"/>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Sheet2!$A$99:$A$103</c:f>
              <c:numCache>
                <c:formatCode>General</c:formatCode>
                <c:ptCount val="5"/>
                <c:pt idx="0">
                  <c:v>2013</c:v>
                </c:pt>
                <c:pt idx="1">
                  <c:v>2014</c:v>
                </c:pt>
                <c:pt idx="2">
                  <c:v>2015</c:v>
                </c:pt>
                <c:pt idx="3">
                  <c:v>2016</c:v>
                </c:pt>
                <c:pt idx="4">
                  <c:v>2017</c:v>
                </c:pt>
              </c:numCache>
            </c:numRef>
          </c:cat>
          <c:val>
            <c:numRef>
              <c:f>Sheet2!$C$99:$C$103</c:f>
              <c:numCache>
                <c:formatCode>0.00%</c:formatCode>
                <c:ptCount val="5"/>
                <c:pt idx="0">
                  <c:v>0.36192508173151205</c:v>
                </c:pt>
                <c:pt idx="1">
                  <c:v>0.56245084180001903</c:v>
                </c:pt>
                <c:pt idx="2">
                  <c:v>0.60995171335738196</c:v>
                </c:pt>
                <c:pt idx="3">
                  <c:v>0.71749714497162209</c:v>
                </c:pt>
                <c:pt idx="4">
                  <c:v>0.39119036430046922</c:v>
                </c:pt>
              </c:numCache>
            </c:numRef>
          </c:val>
          <c:smooth val="0"/>
        </c:ser>
        <c:ser>
          <c:idx val="1"/>
          <c:order val="1"/>
          <c:tx>
            <c:v>Percentage of Total Government Bond</c:v>
          </c:tx>
          <c:spPr>
            <a:ln w="28575" cap="rnd">
              <a:solidFill>
                <a:schemeClr val="accent2"/>
              </a:solidFill>
              <a:round/>
            </a:ln>
            <a:effectLst/>
          </c:spPr>
          <c:marker>
            <c:symbol val="none"/>
          </c:marker>
          <c:cat>
            <c:numRef>
              <c:f>Sheet2!$A$99:$A$103</c:f>
              <c:numCache>
                <c:formatCode>General</c:formatCode>
                <c:ptCount val="5"/>
                <c:pt idx="0">
                  <c:v>2013</c:v>
                </c:pt>
                <c:pt idx="1">
                  <c:v>2014</c:v>
                </c:pt>
                <c:pt idx="2">
                  <c:v>2015</c:v>
                </c:pt>
                <c:pt idx="3">
                  <c:v>2016</c:v>
                </c:pt>
                <c:pt idx="4">
                  <c:v>2017</c:v>
                </c:pt>
              </c:numCache>
            </c:numRef>
          </c:cat>
          <c:val>
            <c:numRef>
              <c:f>Sheet2!$D$99:$D$103</c:f>
              <c:numCache>
                <c:formatCode>0.00%</c:formatCode>
                <c:ptCount val="5"/>
                <c:pt idx="0">
                  <c:v>0.43625699132847423</c:v>
                </c:pt>
                <c:pt idx="1">
                  <c:v>0.68356001707377989</c:v>
                </c:pt>
                <c:pt idx="2">
                  <c:v>0.76273572889122998</c:v>
                </c:pt>
                <c:pt idx="3">
                  <c:v>0.79517871275252905</c:v>
                </c:pt>
                <c:pt idx="4">
                  <c:v>0.45159483932028122</c:v>
                </c:pt>
              </c:numCache>
            </c:numRef>
          </c:val>
          <c:smooth val="0"/>
        </c:ser>
        <c:dLbls>
          <c:showLegendKey val="0"/>
          <c:showVal val="0"/>
          <c:showCatName val="0"/>
          <c:showSerName val="0"/>
          <c:showPercent val="0"/>
          <c:showBubbleSize val="0"/>
        </c:dLbls>
        <c:marker val="1"/>
        <c:smooth val="0"/>
        <c:axId val="72794496"/>
        <c:axId val="72796416"/>
      </c:lineChart>
      <c:catAx>
        <c:axId val="7279449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96416"/>
        <c:crosses val="autoZero"/>
        <c:auto val="1"/>
        <c:lblAlgn val="ctr"/>
        <c:lblOffset val="100"/>
        <c:noMultiLvlLbl val="0"/>
      </c:catAx>
      <c:valAx>
        <c:axId val="72796416"/>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9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Growth Rate of Held to Maturity (HTM)</a:t>
            </a:r>
          </a:p>
        </c:rich>
      </c:tx>
      <c:overlay val="0"/>
      <c:spPr>
        <a:noFill/>
        <a:ln>
          <a:noFill/>
        </a:ln>
        <a:effectLst/>
      </c:spPr>
    </c:title>
    <c:autoTitleDeleted val="0"/>
    <c:plotArea>
      <c:layout/>
      <c:lineChart>
        <c:grouping val="standard"/>
        <c:varyColors val="0"/>
        <c:ser>
          <c:idx val="0"/>
          <c:order val="0"/>
          <c:tx>
            <c:v>Growth Rate</c:v>
          </c:tx>
          <c:spPr>
            <a:ln w="28575" cap="rnd">
              <a:solidFill>
                <a:schemeClr val="accent1"/>
              </a:solidFill>
              <a:round/>
            </a:ln>
            <a:effectLst/>
          </c:spPr>
          <c:marker>
            <c:symbol val="none"/>
          </c:marker>
          <c:cat>
            <c:numRef>
              <c:f>Sheet2!$A$11:$A$15</c:f>
              <c:numCache>
                <c:formatCode>General</c:formatCode>
                <c:ptCount val="5"/>
                <c:pt idx="0">
                  <c:v>2013</c:v>
                </c:pt>
                <c:pt idx="1">
                  <c:v>2014</c:v>
                </c:pt>
                <c:pt idx="2">
                  <c:v>2015</c:v>
                </c:pt>
                <c:pt idx="3">
                  <c:v>2016</c:v>
                </c:pt>
                <c:pt idx="4">
                  <c:v>2017</c:v>
                </c:pt>
              </c:numCache>
            </c:numRef>
          </c:cat>
          <c:val>
            <c:numRef>
              <c:f>Sheet2!$B$11:$B$15</c:f>
              <c:numCache>
                <c:formatCode>0.00%</c:formatCode>
                <c:ptCount val="5"/>
                <c:pt idx="0">
                  <c:v>-1.299479937797852E-2</c:v>
                </c:pt>
                <c:pt idx="1">
                  <c:v>-2.0928965137292405E-3</c:v>
                </c:pt>
                <c:pt idx="2">
                  <c:v>0.31011481984605438</c:v>
                </c:pt>
                <c:pt idx="3">
                  <c:v>-9.4945743902653298E-2</c:v>
                </c:pt>
                <c:pt idx="4">
                  <c:v>0.35558133619136845</c:v>
                </c:pt>
              </c:numCache>
            </c:numRef>
          </c:val>
          <c:smooth val="0"/>
        </c:ser>
        <c:dLbls>
          <c:showLegendKey val="0"/>
          <c:showVal val="0"/>
          <c:showCatName val="0"/>
          <c:showSerName val="0"/>
          <c:showPercent val="0"/>
          <c:showBubbleSize val="0"/>
        </c:dLbls>
        <c:marker val="1"/>
        <c:smooth val="0"/>
        <c:axId val="71784704"/>
        <c:axId val="71807360"/>
      </c:lineChart>
      <c:catAx>
        <c:axId val="71784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07360"/>
        <c:crosses val="autoZero"/>
        <c:auto val="1"/>
        <c:lblAlgn val="ctr"/>
        <c:lblOffset val="100"/>
        <c:noMultiLvlLbl val="0"/>
      </c:catAx>
      <c:valAx>
        <c:axId val="7180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Growth</a:t>
                </a:r>
                <a:r>
                  <a:rPr lang="en-US" baseline="0"/>
                  <a:t> 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84704"/>
        <c:crosses val="autoZero"/>
        <c:crossBetween val="between"/>
        <c:majorUnit val="5.0000000000000024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587743087854457"/>
          <c:y val="0.17171296296296301"/>
          <c:w val="0.65450985016224061"/>
          <c:h val="0.70696741032370991"/>
        </c:manualLayout>
      </c:layout>
      <c:scatterChart>
        <c:scatterStyle val="lineMarker"/>
        <c:varyColors val="0"/>
        <c:ser>
          <c:idx val="0"/>
          <c:order val="0"/>
          <c:tx>
            <c:v>Investment in 15 years Treasury Bond</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Sheet2!$A$107:$A$111</c:f>
              <c:numCache>
                <c:formatCode>General</c:formatCode>
                <c:ptCount val="5"/>
                <c:pt idx="0">
                  <c:v>2013</c:v>
                </c:pt>
                <c:pt idx="1">
                  <c:v>2014</c:v>
                </c:pt>
                <c:pt idx="2">
                  <c:v>2015</c:v>
                </c:pt>
                <c:pt idx="3">
                  <c:v>2016</c:v>
                </c:pt>
                <c:pt idx="4">
                  <c:v>2017</c:v>
                </c:pt>
              </c:numCache>
            </c:numRef>
          </c:xVal>
          <c:yVal>
            <c:numRef>
              <c:f>Sheet2!$B$107:$B$111</c:f>
              <c:numCache>
                <c:formatCode>0.00%</c:formatCode>
                <c:ptCount val="5"/>
                <c:pt idx="0">
                  <c:v>-0.18963531154782995</c:v>
                </c:pt>
                <c:pt idx="1">
                  <c:v>0.65227516366387384</c:v>
                </c:pt>
                <c:pt idx="2">
                  <c:v>-0.34872398296011198</c:v>
                </c:pt>
                <c:pt idx="3">
                  <c:v>5.1361785797172418E-2</c:v>
                </c:pt>
                <c:pt idx="4">
                  <c:v>9.1508411158323574E-2</c:v>
                </c:pt>
              </c:numCache>
            </c:numRef>
          </c:yVal>
          <c:smooth val="0"/>
        </c:ser>
        <c:dLbls>
          <c:showLegendKey val="0"/>
          <c:showVal val="0"/>
          <c:showCatName val="0"/>
          <c:showSerName val="0"/>
          <c:showPercent val="0"/>
          <c:showBubbleSize val="0"/>
        </c:dLbls>
        <c:axId val="77289728"/>
        <c:axId val="77292288"/>
      </c:scatterChart>
      <c:valAx>
        <c:axId val="77289728"/>
        <c:scaling>
          <c:orientation val="minMax"/>
          <c:max val="2017"/>
          <c:min val="201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92288"/>
        <c:crosses val="autoZero"/>
        <c:crossBetween val="midCat"/>
        <c:majorUnit val="1"/>
      </c:valAx>
      <c:valAx>
        <c:axId val="77292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89728"/>
        <c:crosses val="autoZero"/>
        <c:crossBetween val="midCat"/>
      </c:valAx>
      <c:spPr>
        <a:noFill/>
        <a:ln>
          <a:noFill/>
        </a:ln>
        <a:effectLst/>
      </c:spPr>
    </c:plotArea>
    <c:legend>
      <c:legendPos val="r"/>
      <c:layout>
        <c:manualLayout>
          <c:xMode val="edge"/>
          <c:yMode val="edge"/>
          <c:x val="0.82062022613229946"/>
          <c:y val="0.49615667833187538"/>
          <c:w val="0.1660686257811784"/>
          <c:h val="0.248843686205891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a:t>
            </a:r>
            <a:r>
              <a:rPr lang="bn-BD" baseline="0"/>
              <a:t> Investment and Total Government Securities for 15 years Treasury Bond</a:t>
            </a:r>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Sheet2!$A$107:$A$111</c:f>
              <c:numCache>
                <c:formatCode>General</c:formatCode>
                <c:ptCount val="5"/>
                <c:pt idx="0">
                  <c:v>2013</c:v>
                </c:pt>
                <c:pt idx="1">
                  <c:v>2014</c:v>
                </c:pt>
                <c:pt idx="2">
                  <c:v>2015</c:v>
                </c:pt>
                <c:pt idx="3">
                  <c:v>2016</c:v>
                </c:pt>
                <c:pt idx="4">
                  <c:v>2017</c:v>
                </c:pt>
              </c:numCache>
            </c:numRef>
          </c:cat>
          <c:val>
            <c:numRef>
              <c:f>Sheet2!$C$107:$C$111</c:f>
              <c:numCache>
                <c:formatCode>0.00%</c:formatCode>
                <c:ptCount val="5"/>
                <c:pt idx="0">
                  <c:v>6.213859894237031E-2</c:v>
                </c:pt>
                <c:pt idx="1">
                  <c:v>9.4738638497763858E-2</c:v>
                </c:pt>
                <c:pt idx="2">
                  <c:v>7.196556733998323E-2</c:v>
                </c:pt>
                <c:pt idx="3">
                  <c:v>7.6227515788792374E-2</c:v>
                </c:pt>
                <c:pt idx="4">
                  <c:v>7.96923696160899E-2</c:v>
                </c:pt>
              </c:numCache>
            </c:numRef>
          </c:val>
          <c:smooth val="0"/>
        </c:ser>
        <c:ser>
          <c:idx val="1"/>
          <c:order val="1"/>
          <c:tx>
            <c:v>Percentage of Total Government Bond</c:v>
          </c:tx>
          <c:spPr>
            <a:ln w="28575" cap="rnd">
              <a:solidFill>
                <a:schemeClr val="accent2"/>
              </a:solidFill>
              <a:round/>
            </a:ln>
            <a:effectLst/>
          </c:spPr>
          <c:marker>
            <c:symbol val="none"/>
          </c:marker>
          <c:cat>
            <c:numRef>
              <c:f>Sheet2!$A$107:$A$111</c:f>
              <c:numCache>
                <c:formatCode>General</c:formatCode>
                <c:ptCount val="5"/>
                <c:pt idx="0">
                  <c:v>2013</c:v>
                </c:pt>
                <c:pt idx="1">
                  <c:v>2014</c:v>
                </c:pt>
                <c:pt idx="2">
                  <c:v>2015</c:v>
                </c:pt>
                <c:pt idx="3">
                  <c:v>2016</c:v>
                </c:pt>
                <c:pt idx="4">
                  <c:v>2017</c:v>
                </c:pt>
              </c:numCache>
            </c:numRef>
          </c:cat>
          <c:val>
            <c:numRef>
              <c:f>Sheet2!$D$107:$D$111</c:f>
              <c:numCache>
                <c:formatCode>0.00%</c:formatCode>
                <c:ptCount val="5"/>
                <c:pt idx="0">
                  <c:v>7.4900579120612251E-2</c:v>
                </c:pt>
                <c:pt idx="1">
                  <c:v>0.1151381428140941</c:v>
                </c:pt>
                <c:pt idx="2">
                  <c:v>8.9991893223802716E-2</c:v>
                </c:pt>
                <c:pt idx="3">
                  <c:v>8.4480472578957008E-2</c:v>
                </c:pt>
                <c:pt idx="4">
                  <c:v>9.1997825447939954E-2</c:v>
                </c:pt>
              </c:numCache>
            </c:numRef>
          </c:val>
          <c:smooth val="0"/>
        </c:ser>
        <c:dLbls>
          <c:showLegendKey val="0"/>
          <c:showVal val="0"/>
          <c:showCatName val="0"/>
          <c:showSerName val="0"/>
          <c:showPercent val="0"/>
          <c:showBubbleSize val="0"/>
        </c:dLbls>
        <c:marker val="1"/>
        <c:smooth val="0"/>
        <c:axId val="77313920"/>
        <c:axId val="77320192"/>
      </c:lineChart>
      <c:catAx>
        <c:axId val="77313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20192"/>
        <c:crosses val="autoZero"/>
        <c:auto val="1"/>
        <c:lblAlgn val="ctr"/>
        <c:lblOffset val="100"/>
        <c:noMultiLvlLbl val="0"/>
      </c:catAx>
      <c:valAx>
        <c:axId val="7732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1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Perentage of Total Investment and Total</a:t>
            </a:r>
            <a:r>
              <a:rPr lang="bn-BD" baseline="0"/>
              <a:t> Government bond for 20 years Treasury Bond</a:t>
            </a:r>
            <a:endParaRPr lang="en-US"/>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Sheet2!$A$115:$A$119</c:f>
              <c:numCache>
                <c:formatCode>General</c:formatCode>
                <c:ptCount val="5"/>
                <c:pt idx="0">
                  <c:v>2013</c:v>
                </c:pt>
                <c:pt idx="1">
                  <c:v>2014</c:v>
                </c:pt>
                <c:pt idx="2">
                  <c:v>2015</c:v>
                </c:pt>
                <c:pt idx="3">
                  <c:v>2016</c:v>
                </c:pt>
                <c:pt idx="4">
                  <c:v>2017</c:v>
                </c:pt>
              </c:numCache>
            </c:numRef>
          </c:cat>
          <c:val>
            <c:numRef>
              <c:f>Sheet2!$C$115:$C$119</c:f>
              <c:numCache>
                <c:formatCode>0.00%</c:formatCode>
                <c:ptCount val="5"/>
                <c:pt idx="0">
                  <c:v>5.6686782479804408E-3</c:v>
                </c:pt>
                <c:pt idx="1">
                  <c:v>7.2210041029550469E-3</c:v>
                </c:pt>
                <c:pt idx="2">
                  <c:v>1.3662423143379863E-2</c:v>
                </c:pt>
                <c:pt idx="3">
                  <c:v>1.6375340142997161E-2</c:v>
                </c:pt>
                <c:pt idx="4">
                  <c:v>6.5058778050549569E-3</c:v>
                </c:pt>
              </c:numCache>
            </c:numRef>
          </c:val>
          <c:smooth val="0"/>
        </c:ser>
        <c:ser>
          <c:idx val="1"/>
          <c:order val="1"/>
          <c:tx>
            <c:v>Percentage of Total Government Bond</c:v>
          </c:tx>
          <c:spPr>
            <a:ln w="28575" cap="rnd">
              <a:solidFill>
                <a:schemeClr val="accent2"/>
              </a:solidFill>
              <a:round/>
            </a:ln>
            <a:effectLst/>
          </c:spPr>
          <c:marker>
            <c:symbol val="none"/>
          </c:marker>
          <c:cat>
            <c:numRef>
              <c:f>Sheet2!$A$115:$A$119</c:f>
              <c:numCache>
                <c:formatCode>General</c:formatCode>
                <c:ptCount val="5"/>
                <c:pt idx="0">
                  <c:v>2013</c:v>
                </c:pt>
                <c:pt idx="1">
                  <c:v>2014</c:v>
                </c:pt>
                <c:pt idx="2">
                  <c:v>2015</c:v>
                </c:pt>
                <c:pt idx="3">
                  <c:v>2016</c:v>
                </c:pt>
                <c:pt idx="4">
                  <c:v>2017</c:v>
                </c:pt>
              </c:numCache>
            </c:numRef>
          </c:cat>
          <c:val>
            <c:numRef>
              <c:f>Sheet2!$D$115:$D$119</c:f>
              <c:numCache>
                <c:formatCode>0.00%</c:formatCode>
                <c:ptCount val="5"/>
                <c:pt idx="0">
                  <c:v>6.8329072565014061E-3</c:v>
                </c:pt>
                <c:pt idx="1">
                  <c:v>8.7758597215519627E-3</c:v>
                </c:pt>
                <c:pt idx="2">
                  <c:v>1.7084661041980718E-2</c:v>
                </c:pt>
                <c:pt idx="3">
                  <c:v>1.81482560412255E-2</c:v>
                </c:pt>
                <c:pt idx="4">
                  <c:v>7.5104632172241234E-3</c:v>
                </c:pt>
              </c:numCache>
            </c:numRef>
          </c:val>
          <c:smooth val="0"/>
        </c:ser>
        <c:dLbls>
          <c:showLegendKey val="0"/>
          <c:showVal val="0"/>
          <c:showCatName val="0"/>
          <c:showSerName val="0"/>
          <c:showPercent val="0"/>
          <c:showBubbleSize val="0"/>
        </c:dLbls>
        <c:marker val="1"/>
        <c:smooth val="0"/>
        <c:axId val="101348480"/>
        <c:axId val="101350400"/>
      </c:lineChart>
      <c:catAx>
        <c:axId val="10134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50400"/>
        <c:crosses val="autoZero"/>
        <c:auto val="1"/>
        <c:lblAlgn val="ctr"/>
        <c:lblOffset val="100"/>
        <c:noMultiLvlLbl val="0"/>
      </c:catAx>
      <c:valAx>
        <c:axId val="101350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4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138888888888883E-2"/>
          <c:y val="0.17171296296296301"/>
          <c:w val="0.71719619422572189"/>
          <c:h val="0.62271617089530451"/>
        </c:manualLayout>
      </c:layout>
      <c:barChart>
        <c:barDir val="bar"/>
        <c:grouping val="clustered"/>
        <c:varyColors val="0"/>
        <c:ser>
          <c:idx val="0"/>
          <c:order val="0"/>
          <c:tx>
            <c:v>Investment in 20 years Treasury Bond</c:v>
          </c:tx>
          <c:spPr>
            <a:solidFill>
              <a:schemeClr val="accent1"/>
            </a:solidFill>
            <a:ln>
              <a:noFill/>
            </a:ln>
            <a:effectLst/>
          </c:spPr>
          <c:invertIfNegative val="0"/>
          <c:cat>
            <c:numRef>
              <c:f>Sheet2!$A$115:$A$119</c:f>
              <c:numCache>
                <c:formatCode>General</c:formatCode>
                <c:ptCount val="5"/>
                <c:pt idx="0">
                  <c:v>2013</c:v>
                </c:pt>
                <c:pt idx="1">
                  <c:v>2014</c:v>
                </c:pt>
                <c:pt idx="2">
                  <c:v>2015</c:v>
                </c:pt>
                <c:pt idx="3">
                  <c:v>2016</c:v>
                </c:pt>
                <c:pt idx="4">
                  <c:v>2017</c:v>
                </c:pt>
              </c:numCache>
            </c:numRef>
          </c:cat>
          <c:val>
            <c:numRef>
              <c:f>Sheet2!$B$115:$B$119</c:f>
              <c:numCache>
                <c:formatCode>0.00%</c:formatCode>
                <c:ptCount val="5"/>
                <c:pt idx="0">
                  <c:v>0.6050931598310737</c:v>
                </c:pt>
                <c:pt idx="1">
                  <c:v>0.38048749492829431</c:v>
                </c:pt>
                <c:pt idx="2">
                  <c:v>0.62217465444886344</c:v>
                </c:pt>
                <c:pt idx="3">
                  <c:v>0.18967345766164059</c:v>
                </c:pt>
                <c:pt idx="4">
                  <c:v>-0.58520101503066613</c:v>
                </c:pt>
              </c:numCache>
            </c:numRef>
          </c:val>
        </c:ser>
        <c:dLbls>
          <c:showLegendKey val="0"/>
          <c:showVal val="0"/>
          <c:showCatName val="0"/>
          <c:showSerName val="0"/>
          <c:showPercent val="0"/>
          <c:showBubbleSize val="0"/>
        </c:dLbls>
        <c:gapWidth val="182"/>
        <c:axId val="101375360"/>
        <c:axId val="101377536"/>
      </c:barChart>
      <c:catAx>
        <c:axId val="101375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01377536"/>
        <c:crosses val="autoZero"/>
        <c:auto val="1"/>
        <c:lblAlgn val="ctr"/>
        <c:lblOffset val="100"/>
        <c:noMultiLvlLbl val="0"/>
      </c:catAx>
      <c:valAx>
        <c:axId val="101377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75360"/>
        <c:crosses val="autoZero"/>
        <c:crossBetween val="between"/>
      </c:valAx>
      <c:spPr>
        <a:noFill/>
        <a:ln>
          <a:noFill/>
        </a:ln>
        <a:effectLst/>
      </c:spPr>
    </c:plotArea>
    <c:legend>
      <c:legendPos val="r"/>
      <c:layout>
        <c:manualLayout>
          <c:xMode val="edge"/>
          <c:yMode val="edge"/>
          <c:x val="0.802980971128609"/>
          <c:y val="0.49615667833187538"/>
          <c:w val="0.18035236220472442"/>
          <c:h val="0.221065908428113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587743087854457"/>
          <c:y val="0.18452736318407967"/>
          <c:w val="0.6787658364667819"/>
          <c:h val="0.68509930661652385"/>
        </c:manualLayout>
      </c:layout>
      <c:barChart>
        <c:barDir val="col"/>
        <c:grouping val="clustered"/>
        <c:varyColors val="0"/>
        <c:ser>
          <c:idx val="0"/>
          <c:order val="0"/>
          <c:tx>
            <c:v>Investment in Other Securities</c:v>
          </c:tx>
          <c:spPr>
            <a:solidFill>
              <a:schemeClr val="accent1"/>
            </a:solidFill>
            <a:ln>
              <a:noFill/>
            </a:ln>
            <a:effectLst/>
          </c:spPr>
          <c:invertIfNegative val="0"/>
          <c:cat>
            <c:numRef>
              <c:f>Sheet2!$A$123:$A$127</c:f>
              <c:numCache>
                <c:formatCode>General</c:formatCode>
                <c:ptCount val="5"/>
                <c:pt idx="0">
                  <c:v>2013</c:v>
                </c:pt>
                <c:pt idx="1">
                  <c:v>2014</c:v>
                </c:pt>
                <c:pt idx="2">
                  <c:v>2015</c:v>
                </c:pt>
                <c:pt idx="3">
                  <c:v>2016</c:v>
                </c:pt>
                <c:pt idx="4">
                  <c:v>2017</c:v>
                </c:pt>
              </c:numCache>
            </c:numRef>
          </c:cat>
          <c:val>
            <c:numRef>
              <c:f>Sheet2!$B$123:$B$127</c:f>
              <c:numCache>
                <c:formatCode>0.00%</c:formatCode>
                <c:ptCount val="5"/>
                <c:pt idx="0">
                  <c:v>-1.906288167689859E-2</c:v>
                </c:pt>
                <c:pt idx="1">
                  <c:v>0.12706311340821866</c:v>
                </c:pt>
                <c:pt idx="2">
                  <c:v>-3.0689085406022412E-2</c:v>
                </c:pt>
                <c:pt idx="3">
                  <c:v>-0.51592562905068928</c:v>
                </c:pt>
                <c:pt idx="4">
                  <c:v>0.43036717763565729</c:v>
                </c:pt>
              </c:numCache>
            </c:numRef>
          </c:val>
        </c:ser>
        <c:dLbls>
          <c:showLegendKey val="0"/>
          <c:showVal val="0"/>
          <c:showCatName val="0"/>
          <c:showSerName val="0"/>
          <c:showPercent val="0"/>
          <c:showBubbleSize val="0"/>
        </c:dLbls>
        <c:gapWidth val="219"/>
        <c:overlap val="-27"/>
        <c:axId val="103512704"/>
        <c:axId val="103518976"/>
      </c:barChart>
      <c:catAx>
        <c:axId val="103512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18976"/>
        <c:crosses val="autoZero"/>
        <c:auto val="1"/>
        <c:lblAlgn val="ctr"/>
        <c:lblOffset val="100"/>
        <c:noMultiLvlLbl val="0"/>
      </c:catAx>
      <c:valAx>
        <c:axId val="10351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12704"/>
        <c:crosses val="autoZero"/>
        <c:crossBetween val="between"/>
      </c:valAx>
      <c:spPr>
        <a:noFill/>
        <a:ln>
          <a:noFill/>
        </a:ln>
        <a:effectLst/>
      </c:spPr>
    </c:plotArea>
    <c:legend>
      <c:legendPos val="r"/>
      <c:layout>
        <c:manualLayout>
          <c:xMode val="edge"/>
          <c:yMode val="edge"/>
          <c:x val="0.81576916862097748"/>
          <c:y val="0.51297214713832417"/>
          <c:w val="0.17091968329250032"/>
          <c:h val="0.21330904532455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Investment in DBWEL</c:v>
          </c:tx>
          <c:spPr>
            <a:solidFill>
              <a:schemeClr val="accent1"/>
            </a:solidFill>
            <a:ln>
              <a:noFill/>
            </a:ln>
            <a:effectLst/>
          </c:spPr>
          <c:invertIfNegative val="0"/>
          <c:cat>
            <c:numRef>
              <c:f>Sheet2!$A$131:$A$135</c:f>
              <c:numCache>
                <c:formatCode>General</c:formatCode>
                <c:ptCount val="5"/>
                <c:pt idx="0">
                  <c:v>2013</c:v>
                </c:pt>
                <c:pt idx="1">
                  <c:v>2014</c:v>
                </c:pt>
                <c:pt idx="2">
                  <c:v>2015</c:v>
                </c:pt>
                <c:pt idx="3">
                  <c:v>2016</c:v>
                </c:pt>
                <c:pt idx="4">
                  <c:v>2017</c:v>
                </c:pt>
              </c:numCache>
            </c:numRef>
          </c:cat>
          <c:val>
            <c:numRef>
              <c:f>Sheet2!$B$131:$B$135</c:f>
              <c:numCache>
                <c:formatCode>0.00%</c:formatCode>
                <c:ptCount val="5"/>
                <c:pt idx="0">
                  <c:v>0</c:v>
                </c:pt>
                <c:pt idx="1">
                  <c:v>-0.66773641304347886</c:v>
                </c:pt>
                <c:pt idx="2">
                  <c:v>0</c:v>
                </c:pt>
                <c:pt idx="3">
                  <c:v>0</c:v>
                </c:pt>
                <c:pt idx="4">
                  <c:v>0</c:v>
                </c:pt>
              </c:numCache>
            </c:numRef>
          </c:val>
        </c:ser>
        <c:dLbls>
          <c:showLegendKey val="0"/>
          <c:showVal val="0"/>
          <c:showCatName val="0"/>
          <c:showSerName val="0"/>
          <c:showPercent val="0"/>
          <c:showBubbleSize val="0"/>
        </c:dLbls>
        <c:gapWidth val="219"/>
        <c:overlap val="-27"/>
        <c:axId val="103535744"/>
        <c:axId val="103537664"/>
      </c:barChart>
      <c:catAx>
        <c:axId val="103535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37664"/>
        <c:crosses val="autoZero"/>
        <c:auto val="1"/>
        <c:lblAlgn val="ctr"/>
        <c:lblOffset val="100"/>
        <c:noMultiLvlLbl val="0"/>
      </c:catAx>
      <c:valAx>
        <c:axId val="10353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357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Other</a:t>
            </a:r>
            <a:r>
              <a:rPr lang="bn-BD" baseline="0"/>
              <a:t> Investment for DBWEL</a:t>
            </a:r>
            <a:endParaRPr lang="en-US"/>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Sheet2!$A$131:$A$135</c:f>
              <c:numCache>
                <c:formatCode>General</c:formatCode>
                <c:ptCount val="5"/>
                <c:pt idx="0">
                  <c:v>2013</c:v>
                </c:pt>
                <c:pt idx="1">
                  <c:v>2014</c:v>
                </c:pt>
                <c:pt idx="2">
                  <c:v>2015</c:v>
                </c:pt>
                <c:pt idx="3">
                  <c:v>2016</c:v>
                </c:pt>
                <c:pt idx="4">
                  <c:v>2017</c:v>
                </c:pt>
              </c:numCache>
            </c:numRef>
          </c:cat>
          <c:val>
            <c:numRef>
              <c:f>Sheet2!$C$131:$C$135</c:f>
              <c:numCache>
                <c:formatCode>0.0000%</c:formatCode>
                <c:ptCount val="5"/>
                <c:pt idx="0">
                  <c:v>1.3891059508490015E-5</c:v>
                </c:pt>
                <c:pt idx="1">
                  <c:v>4.2589390853409488E-6</c:v>
                </c:pt>
                <c:pt idx="2">
                  <c:v>4.9674551780712424E-6</c:v>
                </c:pt>
                <c:pt idx="3">
                  <c:v>5.0045932138343835E-6</c:v>
                </c:pt>
                <c:pt idx="4">
                  <c:v>4.7934330938997669E-6</c:v>
                </c:pt>
              </c:numCache>
            </c:numRef>
          </c:val>
          <c:smooth val="0"/>
        </c:ser>
        <c:ser>
          <c:idx val="1"/>
          <c:order val="1"/>
          <c:tx>
            <c:v>Percentage of Total Other Investment</c:v>
          </c:tx>
          <c:spPr>
            <a:ln w="28575" cap="rnd">
              <a:solidFill>
                <a:schemeClr val="accent2"/>
              </a:solidFill>
              <a:round/>
            </a:ln>
            <a:effectLst/>
          </c:spPr>
          <c:marker>
            <c:symbol val="none"/>
          </c:marker>
          <c:cat>
            <c:numRef>
              <c:f>Sheet2!$A$131:$A$135</c:f>
              <c:numCache>
                <c:formatCode>General</c:formatCode>
                <c:ptCount val="5"/>
                <c:pt idx="0">
                  <c:v>2013</c:v>
                </c:pt>
                <c:pt idx="1">
                  <c:v>2014</c:v>
                </c:pt>
                <c:pt idx="2">
                  <c:v>2015</c:v>
                </c:pt>
                <c:pt idx="3">
                  <c:v>2016</c:v>
                </c:pt>
                <c:pt idx="4">
                  <c:v>2017</c:v>
                </c:pt>
              </c:numCache>
            </c:numRef>
          </c:cat>
          <c:val>
            <c:numRef>
              <c:f>Sheet2!$D$131:$D$135</c:f>
              <c:numCache>
                <c:formatCode>0.00%</c:formatCode>
                <c:ptCount val="5"/>
                <c:pt idx="0">
                  <c:v>8.1658791156300977E-5</c:v>
                </c:pt>
                <c:pt idx="1">
                  <c:v>2.4073401509946179E-5</c:v>
                </c:pt>
                <c:pt idx="2">
                  <c:v>2.4835582832604318E-5</c:v>
                </c:pt>
                <c:pt idx="3">
                  <c:v>5.1305304149648803E-5</c:v>
                </c:pt>
                <c:pt idx="4">
                  <c:v>3.5868625169695596E-5</c:v>
                </c:pt>
              </c:numCache>
            </c:numRef>
          </c:val>
          <c:smooth val="0"/>
        </c:ser>
        <c:dLbls>
          <c:showLegendKey val="0"/>
          <c:showVal val="0"/>
          <c:showCatName val="0"/>
          <c:showSerName val="0"/>
          <c:showPercent val="0"/>
          <c:showBubbleSize val="0"/>
        </c:dLbls>
        <c:marker val="1"/>
        <c:smooth val="0"/>
        <c:axId val="103596416"/>
        <c:axId val="103598336"/>
      </c:lineChart>
      <c:catAx>
        <c:axId val="10359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98336"/>
        <c:crosses val="autoZero"/>
        <c:auto val="1"/>
        <c:lblAlgn val="ctr"/>
        <c:lblOffset val="100"/>
        <c:noMultiLvlLbl val="0"/>
      </c:catAx>
      <c:valAx>
        <c:axId val="10359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9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65069991251087"/>
          <c:y val="0.17171296296296301"/>
          <c:w val="0.65859383202099775"/>
          <c:h val="0.70696741032370991"/>
        </c:manualLayout>
      </c:layout>
      <c:barChart>
        <c:barDir val="col"/>
        <c:grouping val="clustered"/>
        <c:varyColors val="0"/>
        <c:ser>
          <c:idx val="0"/>
          <c:order val="0"/>
          <c:tx>
            <c:v>Investment in Mutual Fund</c:v>
          </c:tx>
          <c:spPr>
            <a:solidFill>
              <a:schemeClr val="accent1"/>
            </a:solidFill>
            <a:ln>
              <a:noFill/>
            </a:ln>
            <a:effectLst/>
          </c:spPr>
          <c:invertIfNegative val="0"/>
          <c:cat>
            <c:numRef>
              <c:f>Sheet2!$A$139:$A$143</c:f>
              <c:numCache>
                <c:formatCode>General</c:formatCode>
                <c:ptCount val="5"/>
                <c:pt idx="0">
                  <c:v>2013</c:v>
                </c:pt>
                <c:pt idx="1">
                  <c:v>2014</c:v>
                </c:pt>
                <c:pt idx="2">
                  <c:v>2015</c:v>
                </c:pt>
                <c:pt idx="3">
                  <c:v>2016</c:v>
                </c:pt>
                <c:pt idx="4">
                  <c:v>2017</c:v>
                </c:pt>
              </c:numCache>
            </c:numRef>
          </c:cat>
          <c:val>
            <c:numRef>
              <c:f>Sheet2!$B$139:$B$143</c:f>
              <c:numCache>
                <c:formatCode>0.00%</c:formatCode>
                <c:ptCount val="5"/>
                <c:pt idx="0">
                  <c:v>-0.23110382352941178</c:v>
                </c:pt>
                <c:pt idx="1">
                  <c:v>-0.26153806430685406</c:v>
                </c:pt>
                <c:pt idx="2">
                  <c:v>6.0280460946855886E-2</c:v>
                </c:pt>
                <c:pt idx="3">
                  <c:v>0.31603929884715865</c:v>
                </c:pt>
                <c:pt idx="4">
                  <c:v>0.19496074643872149</c:v>
                </c:pt>
              </c:numCache>
            </c:numRef>
          </c:val>
        </c:ser>
        <c:dLbls>
          <c:showLegendKey val="0"/>
          <c:showVal val="0"/>
          <c:showCatName val="0"/>
          <c:showSerName val="0"/>
          <c:showPercent val="0"/>
          <c:showBubbleSize val="0"/>
        </c:dLbls>
        <c:gapWidth val="219"/>
        <c:overlap val="-27"/>
        <c:axId val="103631488"/>
        <c:axId val="103637760"/>
      </c:barChart>
      <c:catAx>
        <c:axId val="103631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3637760"/>
        <c:crosses val="autoZero"/>
        <c:auto val="1"/>
        <c:lblAlgn val="ctr"/>
        <c:lblOffset val="100"/>
        <c:noMultiLvlLbl val="0"/>
      </c:catAx>
      <c:valAx>
        <c:axId val="10363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31488"/>
        <c:crosses val="autoZero"/>
        <c:crossBetween val="between"/>
      </c:valAx>
      <c:spPr>
        <a:noFill/>
        <a:ln>
          <a:noFill/>
        </a:ln>
        <a:effectLst/>
      </c:spPr>
    </c:plotArea>
    <c:legend>
      <c:legendPos val="r"/>
      <c:layout>
        <c:manualLayout>
          <c:xMode val="edge"/>
          <c:yMode val="edge"/>
          <c:x val="0.83568897637795281"/>
          <c:y val="0.52133056284631041"/>
          <c:w val="0.14764435695538064"/>
          <c:h val="0.161458880139982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Other Securities for Mutual Fund</a:t>
            </a:r>
            <a:endParaRPr lang="en-US"/>
          </a:p>
        </c:rich>
      </c:tx>
      <c:overlay val="0"/>
      <c:spPr>
        <a:noFill/>
        <a:ln>
          <a:noFill/>
        </a:ln>
        <a:effectLst/>
      </c:spPr>
    </c:title>
    <c:autoTitleDeleted val="0"/>
    <c:plotArea>
      <c:layout/>
      <c:lineChart>
        <c:grouping val="standard"/>
        <c:varyColors val="0"/>
        <c:ser>
          <c:idx val="0"/>
          <c:order val="0"/>
          <c:tx>
            <c:v>Percentage of Total Investment</c:v>
          </c:tx>
          <c:spPr>
            <a:ln w="28575" cap="rnd">
              <a:solidFill>
                <a:schemeClr val="accent1"/>
              </a:solidFill>
              <a:round/>
            </a:ln>
            <a:effectLst/>
          </c:spPr>
          <c:marker>
            <c:symbol val="none"/>
          </c:marker>
          <c:cat>
            <c:numRef>
              <c:f>Sheet2!$A$139:$A$143</c:f>
              <c:numCache>
                <c:formatCode>General</c:formatCode>
                <c:ptCount val="5"/>
                <c:pt idx="0">
                  <c:v>2013</c:v>
                </c:pt>
                <c:pt idx="1">
                  <c:v>2014</c:v>
                </c:pt>
                <c:pt idx="2">
                  <c:v>2015</c:v>
                </c:pt>
                <c:pt idx="3">
                  <c:v>2016</c:v>
                </c:pt>
                <c:pt idx="4">
                  <c:v>2017</c:v>
                </c:pt>
              </c:numCache>
            </c:numRef>
          </c:cat>
          <c:val>
            <c:numRef>
              <c:f>Sheet2!$C$139:$C$143</c:f>
              <c:numCache>
                <c:formatCode>0.00%</c:formatCode>
                <c:ptCount val="5"/>
                <c:pt idx="0">
                  <c:v>1.9736228612441029E-3</c:v>
                </c:pt>
                <c:pt idx="1">
                  <c:v>1.3448553932620718E-3</c:v>
                </c:pt>
                <c:pt idx="2">
                  <c:v>1.6631402563294961E-3</c:v>
                </c:pt>
                <c:pt idx="3">
                  <c:v>2.205121681965625E-3</c:v>
                </c:pt>
                <c:pt idx="4">
                  <c:v>2.5238531735902944E-3</c:v>
                </c:pt>
              </c:numCache>
            </c:numRef>
          </c:val>
          <c:smooth val="0"/>
        </c:ser>
        <c:ser>
          <c:idx val="1"/>
          <c:order val="1"/>
          <c:tx>
            <c:v>Percentage of Other Securities</c:v>
          </c:tx>
          <c:spPr>
            <a:ln w="28575" cap="rnd">
              <a:solidFill>
                <a:schemeClr val="accent2"/>
              </a:solidFill>
              <a:round/>
            </a:ln>
            <a:effectLst/>
          </c:spPr>
          <c:marker>
            <c:symbol val="none"/>
          </c:marker>
          <c:cat>
            <c:numRef>
              <c:f>Sheet2!$A$139:$A$143</c:f>
              <c:numCache>
                <c:formatCode>General</c:formatCode>
                <c:ptCount val="5"/>
                <c:pt idx="0">
                  <c:v>2013</c:v>
                </c:pt>
                <c:pt idx="1">
                  <c:v>2014</c:v>
                </c:pt>
                <c:pt idx="2">
                  <c:v>2015</c:v>
                </c:pt>
                <c:pt idx="3">
                  <c:v>2016</c:v>
                </c:pt>
                <c:pt idx="4">
                  <c:v>2017</c:v>
                </c:pt>
              </c:numCache>
            </c:numRef>
          </c:cat>
          <c:val>
            <c:numRef>
              <c:f>Sheet2!$D$139:$D$143</c:f>
              <c:numCache>
                <c:formatCode>0.00%</c:formatCode>
                <c:ptCount val="5"/>
                <c:pt idx="0">
                  <c:v>1.1601970098042735E-2</c:v>
                </c:pt>
                <c:pt idx="1">
                  <c:v>7.6017156399931524E-3</c:v>
                </c:pt>
                <c:pt idx="2">
                  <c:v>8.3151344335527268E-3</c:v>
                </c:pt>
                <c:pt idx="3">
                  <c:v>2.2606120766716802E-2</c:v>
                </c:pt>
                <c:pt idx="4">
                  <c:v>1.888565912854066E-2</c:v>
                </c:pt>
              </c:numCache>
            </c:numRef>
          </c:val>
          <c:smooth val="0"/>
        </c:ser>
        <c:dLbls>
          <c:showLegendKey val="0"/>
          <c:showVal val="0"/>
          <c:showCatName val="0"/>
          <c:showSerName val="0"/>
          <c:showPercent val="0"/>
          <c:showBubbleSize val="0"/>
        </c:dLbls>
        <c:marker val="1"/>
        <c:smooth val="0"/>
        <c:axId val="103671680"/>
        <c:axId val="103686144"/>
      </c:lineChart>
      <c:catAx>
        <c:axId val="103671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86144"/>
        <c:crosses val="autoZero"/>
        <c:auto val="1"/>
        <c:lblAlgn val="ctr"/>
        <c:lblOffset val="100"/>
        <c:noMultiLvlLbl val="0"/>
      </c:catAx>
      <c:valAx>
        <c:axId val="10368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Investment in Shares</c:v>
          </c:tx>
          <c:spPr>
            <a:solidFill>
              <a:schemeClr val="accent1"/>
            </a:solidFill>
            <a:ln>
              <a:noFill/>
            </a:ln>
            <a:effectLst/>
          </c:spPr>
          <c:invertIfNegative val="0"/>
          <c:cat>
            <c:numRef>
              <c:f>Sheet2!$A$147:$A$151</c:f>
              <c:numCache>
                <c:formatCode>General</c:formatCode>
                <c:ptCount val="5"/>
                <c:pt idx="0">
                  <c:v>2013</c:v>
                </c:pt>
                <c:pt idx="1">
                  <c:v>2014</c:v>
                </c:pt>
                <c:pt idx="2">
                  <c:v>2015</c:v>
                </c:pt>
                <c:pt idx="3">
                  <c:v>2016</c:v>
                </c:pt>
                <c:pt idx="4">
                  <c:v>2017</c:v>
                </c:pt>
              </c:numCache>
            </c:numRef>
          </c:cat>
          <c:val>
            <c:numRef>
              <c:f>Sheet2!$B$147:$B$151</c:f>
              <c:numCache>
                <c:formatCode>0.00%</c:formatCode>
                <c:ptCount val="5"/>
                <c:pt idx="0">
                  <c:v>-2.7296409171069873E-3</c:v>
                </c:pt>
                <c:pt idx="1">
                  <c:v>0.16302561870855675</c:v>
                </c:pt>
                <c:pt idx="2">
                  <c:v>-3.1386668441035041E-2</c:v>
                </c:pt>
                <c:pt idx="3">
                  <c:v>-0.52291463064761923</c:v>
                </c:pt>
                <c:pt idx="4">
                  <c:v>0.43583476543382443</c:v>
                </c:pt>
              </c:numCache>
            </c:numRef>
          </c:val>
        </c:ser>
        <c:dLbls>
          <c:showLegendKey val="0"/>
          <c:showVal val="0"/>
          <c:showCatName val="0"/>
          <c:showSerName val="0"/>
          <c:showPercent val="0"/>
          <c:showBubbleSize val="0"/>
        </c:dLbls>
        <c:gapWidth val="219"/>
        <c:overlap val="-27"/>
        <c:axId val="103710080"/>
        <c:axId val="103773696"/>
      </c:barChart>
      <c:catAx>
        <c:axId val="103710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773696"/>
        <c:crosses val="autoZero"/>
        <c:auto val="1"/>
        <c:lblAlgn val="ctr"/>
        <c:lblOffset val="100"/>
        <c:noMultiLvlLbl val="0"/>
      </c:catAx>
      <c:valAx>
        <c:axId val="103773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7100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Growth Rate of Reverse Repo</a:t>
            </a:r>
          </a:p>
        </c:rich>
      </c:tx>
      <c:overlay val="0"/>
      <c:spPr>
        <a:noFill/>
        <a:ln>
          <a:noFill/>
        </a:ln>
        <a:effectLst/>
      </c:spPr>
    </c:title>
    <c:autoTitleDeleted val="0"/>
    <c:plotArea>
      <c:layout/>
      <c:barChart>
        <c:barDir val="bar"/>
        <c:grouping val="clustered"/>
        <c:varyColors val="0"/>
        <c:ser>
          <c:idx val="0"/>
          <c:order val="0"/>
          <c:tx>
            <c:v>Growth Rate</c:v>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Sheet2!$A$19:$A$23</c:f>
              <c:numCache>
                <c:formatCode>General</c:formatCode>
                <c:ptCount val="5"/>
                <c:pt idx="0">
                  <c:v>2013</c:v>
                </c:pt>
                <c:pt idx="1">
                  <c:v>2014</c:v>
                </c:pt>
                <c:pt idx="2">
                  <c:v>2015</c:v>
                </c:pt>
                <c:pt idx="3">
                  <c:v>2016</c:v>
                </c:pt>
                <c:pt idx="4">
                  <c:v>2017</c:v>
                </c:pt>
              </c:numCache>
            </c:numRef>
          </c:cat>
          <c:val>
            <c:numRef>
              <c:f>Sheet2!$B$19:$B$23</c:f>
              <c:numCache>
                <c:formatCode>0.00%</c:formatCode>
                <c:ptCount val="5"/>
                <c:pt idx="0">
                  <c:v>1.2660751030318083</c:v>
                </c:pt>
                <c:pt idx="1">
                  <c:v>-0.693431709876977</c:v>
                </c:pt>
                <c:pt idx="2">
                  <c:v>-0.89972973542972545</c:v>
                </c:pt>
                <c:pt idx="3">
                  <c:v>-1</c:v>
                </c:pt>
                <c:pt idx="4">
                  <c:v>0</c:v>
                </c:pt>
              </c:numCache>
            </c:numRef>
          </c:val>
        </c:ser>
        <c:dLbls>
          <c:showLegendKey val="0"/>
          <c:showVal val="1"/>
          <c:showCatName val="0"/>
          <c:showSerName val="0"/>
          <c:showPercent val="0"/>
          <c:showBubbleSize val="0"/>
        </c:dLbls>
        <c:gapWidth val="65"/>
        <c:axId val="71823360"/>
        <c:axId val="71826432"/>
      </c:barChart>
      <c:catAx>
        <c:axId val="71823360"/>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1826432"/>
        <c:crosses val="autoZero"/>
        <c:auto val="1"/>
        <c:lblAlgn val="ctr"/>
        <c:lblOffset val="100"/>
        <c:noMultiLvlLbl val="0"/>
      </c:catAx>
      <c:valAx>
        <c:axId val="718264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718233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other securities for Shares</a:t>
            </a:r>
            <a:endParaRPr lang="en-US"/>
          </a:p>
        </c:rich>
      </c:tx>
      <c:overlay val="0"/>
      <c:spPr>
        <a:noFill/>
        <a:ln>
          <a:noFill/>
        </a:ln>
        <a:effectLst/>
      </c:spPr>
    </c:title>
    <c:autoTitleDeleted val="0"/>
    <c:plotArea>
      <c:layout/>
      <c:barChart>
        <c:barDir val="col"/>
        <c:grouping val="clustered"/>
        <c:varyColors val="0"/>
        <c:ser>
          <c:idx val="0"/>
          <c:order val="0"/>
          <c:tx>
            <c:v>Percentage of Total Investment</c:v>
          </c:tx>
          <c:spPr>
            <a:solidFill>
              <a:schemeClr val="accent1"/>
            </a:solidFill>
            <a:ln>
              <a:noFill/>
            </a:ln>
            <a:effectLst/>
          </c:spPr>
          <c:invertIfNegative val="0"/>
          <c:cat>
            <c:numRef>
              <c:f>Sheet2!$A$147:$A$151</c:f>
              <c:numCache>
                <c:formatCode>General</c:formatCode>
                <c:ptCount val="5"/>
                <c:pt idx="0">
                  <c:v>2013</c:v>
                </c:pt>
                <c:pt idx="1">
                  <c:v>2014</c:v>
                </c:pt>
                <c:pt idx="2">
                  <c:v>2015</c:v>
                </c:pt>
                <c:pt idx="3">
                  <c:v>2016</c:v>
                </c:pt>
                <c:pt idx="4">
                  <c:v>2017</c:v>
                </c:pt>
              </c:numCache>
            </c:numRef>
          </c:cat>
          <c:val>
            <c:numRef>
              <c:f>Sheet2!$C$147:$C$151</c:f>
              <c:numCache>
                <c:formatCode>0.00%</c:formatCode>
                <c:ptCount val="5"/>
                <c:pt idx="0">
                  <c:v>0.16359380361251818</c:v>
                </c:pt>
                <c:pt idx="1">
                  <c:v>0.17556560557465545</c:v>
                </c:pt>
                <c:pt idx="2">
                  <c:v>0.1983455264179052</c:v>
                </c:pt>
                <c:pt idx="3">
                  <c:v>9.5335211322602684E-2</c:v>
                </c:pt>
                <c:pt idx="4">
                  <c:v>0.13110996014843621</c:v>
                </c:pt>
              </c:numCache>
            </c:numRef>
          </c:val>
        </c:ser>
        <c:ser>
          <c:idx val="1"/>
          <c:order val="1"/>
          <c:tx>
            <c:v>Percentage of Other Securities</c:v>
          </c:tx>
          <c:spPr>
            <a:solidFill>
              <a:schemeClr val="accent2"/>
            </a:solidFill>
            <a:ln>
              <a:noFill/>
            </a:ln>
            <a:effectLst/>
          </c:spPr>
          <c:invertIfNegative val="0"/>
          <c:cat>
            <c:numRef>
              <c:f>Sheet2!$A$147:$A$151</c:f>
              <c:numCache>
                <c:formatCode>General</c:formatCode>
                <c:ptCount val="5"/>
                <c:pt idx="0">
                  <c:v>2013</c:v>
                </c:pt>
                <c:pt idx="1">
                  <c:v>2014</c:v>
                </c:pt>
                <c:pt idx="2">
                  <c:v>2015</c:v>
                </c:pt>
                <c:pt idx="3">
                  <c:v>2016</c:v>
                </c:pt>
                <c:pt idx="4">
                  <c:v>2017</c:v>
                </c:pt>
              </c:numCache>
            </c:numRef>
          </c:cat>
          <c:val>
            <c:numRef>
              <c:f>Sheet2!$D$147:$D$151</c:f>
              <c:numCache>
                <c:formatCode>0.00%</c:formatCode>
                <c:ptCount val="5"/>
                <c:pt idx="0">
                  <c:v>0.96168850442939879</c:v>
                </c:pt>
                <c:pt idx="1">
                  <c:v>0.99237421095849709</c:v>
                </c:pt>
                <c:pt idx="2">
                  <c:v>0.99166002998361458</c:v>
                </c:pt>
                <c:pt idx="3">
                  <c:v>0.9773425739291336</c:v>
                </c:pt>
                <c:pt idx="4">
                  <c:v>0.98107847224628963</c:v>
                </c:pt>
              </c:numCache>
            </c:numRef>
          </c:val>
        </c:ser>
        <c:dLbls>
          <c:showLegendKey val="0"/>
          <c:showVal val="0"/>
          <c:showCatName val="0"/>
          <c:showSerName val="0"/>
          <c:showPercent val="0"/>
          <c:showBubbleSize val="0"/>
        </c:dLbls>
        <c:gapWidth val="219"/>
        <c:overlap val="-27"/>
        <c:axId val="103811712"/>
        <c:axId val="103826176"/>
      </c:barChart>
      <c:catAx>
        <c:axId val="103811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826176"/>
        <c:crosses val="autoZero"/>
        <c:auto val="1"/>
        <c:lblAlgn val="ctr"/>
        <c:lblOffset val="100"/>
        <c:noMultiLvlLbl val="0"/>
      </c:catAx>
      <c:valAx>
        <c:axId val="103826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81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Details of Quoted Shares</a:t>
            </a:r>
            <a:endParaRPr lang="en-US"/>
          </a:p>
        </c:rich>
      </c:tx>
      <c:overlay val="0"/>
      <c:spPr>
        <a:noFill/>
        <a:ln>
          <a:noFill/>
        </a:ln>
        <a:effectLst/>
      </c:spPr>
    </c:title>
    <c:autoTitleDeleted val="0"/>
    <c:plotArea>
      <c:layout/>
      <c:barChart>
        <c:barDir val="col"/>
        <c:grouping val="clustered"/>
        <c:varyColors val="0"/>
        <c:ser>
          <c:idx val="0"/>
          <c:order val="0"/>
          <c:tx>
            <c:v>Percentage of Total Investment</c:v>
          </c:tx>
          <c:spPr>
            <a:solidFill>
              <a:schemeClr val="accent1"/>
            </a:solidFill>
            <a:ln>
              <a:noFill/>
            </a:ln>
            <a:effectLst/>
          </c:spPr>
          <c:invertIfNegative val="0"/>
          <c:cat>
            <c:numRef>
              <c:f>Sheet2!$A$155:$A$159</c:f>
              <c:numCache>
                <c:formatCode>General</c:formatCode>
                <c:ptCount val="5"/>
                <c:pt idx="0">
                  <c:v>2013</c:v>
                </c:pt>
                <c:pt idx="1">
                  <c:v>2014</c:v>
                </c:pt>
                <c:pt idx="2">
                  <c:v>2015</c:v>
                </c:pt>
                <c:pt idx="3">
                  <c:v>2016</c:v>
                </c:pt>
                <c:pt idx="4">
                  <c:v>2017</c:v>
                </c:pt>
              </c:numCache>
            </c:numRef>
          </c:cat>
          <c:val>
            <c:numRef>
              <c:f>Sheet2!$C$155:$C$159</c:f>
              <c:numCache>
                <c:formatCode>0.00%</c:formatCode>
                <c:ptCount val="5"/>
                <c:pt idx="0">
                  <c:v>0.13937007615282287</c:v>
                </c:pt>
                <c:pt idx="1">
                  <c:v>0.16078371746392398</c:v>
                </c:pt>
                <c:pt idx="2">
                  <c:v>0.19312925318003646</c:v>
                </c:pt>
                <c:pt idx="3">
                  <c:v>9.2194612869953896E-2</c:v>
                </c:pt>
                <c:pt idx="4">
                  <c:v>0.12810187379369267</c:v>
                </c:pt>
              </c:numCache>
            </c:numRef>
          </c:val>
        </c:ser>
        <c:ser>
          <c:idx val="1"/>
          <c:order val="1"/>
          <c:tx>
            <c:v>Percentage of Other Securities</c:v>
          </c:tx>
          <c:spPr>
            <a:solidFill>
              <a:schemeClr val="accent2"/>
            </a:solidFill>
            <a:ln>
              <a:noFill/>
            </a:ln>
            <a:effectLst/>
          </c:spPr>
          <c:invertIfNegative val="0"/>
          <c:cat>
            <c:numRef>
              <c:f>Sheet2!$A$155:$A$159</c:f>
              <c:numCache>
                <c:formatCode>General</c:formatCode>
                <c:ptCount val="5"/>
                <c:pt idx="0">
                  <c:v>2013</c:v>
                </c:pt>
                <c:pt idx="1">
                  <c:v>2014</c:v>
                </c:pt>
                <c:pt idx="2">
                  <c:v>2015</c:v>
                </c:pt>
                <c:pt idx="3">
                  <c:v>2016</c:v>
                </c:pt>
                <c:pt idx="4">
                  <c:v>2017</c:v>
                </c:pt>
              </c:numCache>
            </c:numRef>
          </c:cat>
          <c:val>
            <c:numRef>
              <c:f>Sheet2!$D$155:$D$159</c:f>
              <c:numCache>
                <c:formatCode>0.00%</c:formatCode>
                <c:ptCount val="5"/>
                <c:pt idx="0">
                  <c:v>0.8192889775646951</c:v>
                </c:pt>
                <c:pt idx="1">
                  <c:v>0.90882046190640153</c:v>
                </c:pt>
                <c:pt idx="2">
                  <c:v>0.96558044165668233</c:v>
                </c:pt>
                <c:pt idx="3">
                  <c:v>0.94514627905752535</c:v>
                </c:pt>
                <c:pt idx="4">
                  <c:v>0.95856936033781626</c:v>
                </c:pt>
              </c:numCache>
            </c:numRef>
          </c:val>
        </c:ser>
        <c:ser>
          <c:idx val="2"/>
          <c:order val="2"/>
          <c:tx>
            <c:v>Percentage of Total Shares</c:v>
          </c:tx>
          <c:spPr>
            <a:solidFill>
              <a:schemeClr val="accent3"/>
            </a:solidFill>
            <a:ln>
              <a:noFill/>
            </a:ln>
            <a:effectLst/>
          </c:spPr>
          <c:invertIfNegative val="0"/>
          <c:cat>
            <c:numRef>
              <c:f>Sheet2!$A$155:$A$159</c:f>
              <c:numCache>
                <c:formatCode>General</c:formatCode>
                <c:ptCount val="5"/>
                <c:pt idx="0">
                  <c:v>2013</c:v>
                </c:pt>
                <c:pt idx="1">
                  <c:v>2014</c:v>
                </c:pt>
                <c:pt idx="2">
                  <c:v>2015</c:v>
                </c:pt>
                <c:pt idx="3">
                  <c:v>2016</c:v>
                </c:pt>
                <c:pt idx="4">
                  <c:v>2017</c:v>
                </c:pt>
              </c:numCache>
            </c:numRef>
          </c:cat>
          <c:val>
            <c:numRef>
              <c:f>Sheet2!$E$155:$E$159</c:f>
              <c:numCache>
                <c:formatCode>0.00%</c:formatCode>
                <c:ptCount val="5"/>
                <c:pt idx="0">
                  <c:v>0.85192759796042905</c:v>
                </c:pt>
                <c:pt idx="1">
                  <c:v>0.91580419147390579</c:v>
                </c:pt>
                <c:pt idx="2">
                  <c:v>0.97370107946433715</c:v>
                </c:pt>
                <c:pt idx="3">
                  <c:v>0.96705730853187766</c:v>
                </c:pt>
                <c:pt idx="4">
                  <c:v>0.9770567670729372</c:v>
                </c:pt>
              </c:numCache>
            </c:numRef>
          </c:val>
        </c:ser>
        <c:dLbls>
          <c:showLegendKey val="0"/>
          <c:showVal val="0"/>
          <c:showCatName val="0"/>
          <c:showSerName val="0"/>
          <c:showPercent val="0"/>
          <c:showBubbleSize val="0"/>
        </c:dLbls>
        <c:gapWidth val="219"/>
        <c:overlap val="-27"/>
        <c:axId val="103873152"/>
        <c:axId val="103940864"/>
      </c:barChart>
      <c:catAx>
        <c:axId val="103873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40864"/>
        <c:crosses val="autoZero"/>
        <c:auto val="1"/>
        <c:lblAlgn val="ctr"/>
        <c:lblOffset val="100"/>
        <c:noMultiLvlLbl val="0"/>
      </c:catAx>
      <c:valAx>
        <c:axId val="103940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87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65069991251087"/>
          <c:y val="0.17171296296296301"/>
          <c:w val="0.65248272090988624"/>
          <c:h val="0.70696741032370991"/>
        </c:manualLayout>
      </c:layout>
      <c:barChart>
        <c:barDir val="col"/>
        <c:grouping val="clustered"/>
        <c:varyColors val="0"/>
        <c:ser>
          <c:idx val="0"/>
          <c:order val="0"/>
          <c:tx>
            <c:v>Investment in Quoted Shares</c:v>
          </c:tx>
          <c:spPr>
            <a:solidFill>
              <a:schemeClr val="accent1"/>
            </a:solidFill>
            <a:ln>
              <a:noFill/>
            </a:ln>
            <a:effectLst/>
          </c:spPr>
          <c:invertIfNegative val="0"/>
          <c:cat>
            <c:numRef>
              <c:f>Sheet2!$A$155:$A$159</c:f>
              <c:numCache>
                <c:formatCode>General</c:formatCode>
                <c:ptCount val="5"/>
                <c:pt idx="0">
                  <c:v>2013</c:v>
                </c:pt>
                <c:pt idx="1">
                  <c:v>2014</c:v>
                </c:pt>
                <c:pt idx="2">
                  <c:v>2015</c:v>
                </c:pt>
                <c:pt idx="3">
                  <c:v>2016</c:v>
                </c:pt>
                <c:pt idx="4">
                  <c:v>2017</c:v>
                </c:pt>
              </c:numCache>
            </c:numRef>
          </c:cat>
          <c:val>
            <c:numRef>
              <c:f>Sheet2!$B$155:$B$159</c:f>
              <c:numCache>
                <c:formatCode>0.00%</c:formatCode>
                <c:ptCount val="5"/>
                <c:pt idx="0">
                  <c:v>-4.8009951987573282E-2</c:v>
                </c:pt>
                <c:pt idx="1">
                  <c:v>0.25022799936844137</c:v>
                </c:pt>
                <c:pt idx="2">
                  <c:v>2.9848798796838539E-2</c:v>
                </c:pt>
                <c:pt idx="3">
                  <c:v>-0.52616988626564598</c:v>
                </c:pt>
                <c:pt idx="4">
                  <c:v>0.45068142455329746</c:v>
                </c:pt>
              </c:numCache>
            </c:numRef>
          </c:val>
        </c:ser>
        <c:dLbls>
          <c:showLegendKey val="0"/>
          <c:showVal val="0"/>
          <c:showCatName val="0"/>
          <c:showSerName val="0"/>
          <c:showPercent val="0"/>
          <c:showBubbleSize val="0"/>
        </c:dLbls>
        <c:gapWidth val="219"/>
        <c:overlap val="-27"/>
        <c:axId val="103974016"/>
        <c:axId val="103975936"/>
      </c:barChart>
      <c:catAx>
        <c:axId val="103974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75936"/>
        <c:crosses val="autoZero"/>
        <c:auto val="1"/>
        <c:lblAlgn val="ctr"/>
        <c:lblOffset val="100"/>
        <c:noMultiLvlLbl val="0"/>
      </c:catAx>
      <c:valAx>
        <c:axId val="103975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74016"/>
        <c:crosses val="autoZero"/>
        <c:crossBetween val="between"/>
      </c:valAx>
      <c:spPr>
        <a:noFill/>
        <a:ln>
          <a:noFill/>
        </a:ln>
        <a:effectLst/>
      </c:spPr>
    </c:plotArea>
    <c:legend>
      <c:legendPos val="r"/>
      <c:layout>
        <c:manualLayout>
          <c:xMode val="edge"/>
          <c:yMode val="edge"/>
          <c:x val="0.82124453193350855"/>
          <c:y val="0.52133056284631041"/>
          <c:w val="0.16208880139982498"/>
          <c:h val="0.217014435695538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499781277340343"/>
          <c:y val="0.17171296296296301"/>
          <c:w val="0.64671916010498709"/>
          <c:h val="0.62271617089530451"/>
        </c:manualLayout>
      </c:layout>
      <c:barChart>
        <c:barDir val="col"/>
        <c:grouping val="clustered"/>
        <c:varyColors val="0"/>
        <c:ser>
          <c:idx val="0"/>
          <c:order val="0"/>
          <c:tx>
            <c:v>Investment in Unquoted Ordinary Shares</c:v>
          </c:tx>
          <c:spPr>
            <a:solidFill>
              <a:schemeClr val="accent1"/>
            </a:solidFill>
            <a:ln>
              <a:noFill/>
            </a:ln>
            <a:effectLst/>
          </c:spPr>
          <c:invertIfNegative val="0"/>
          <c:cat>
            <c:numRef>
              <c:f>Sheet2!$A$163:$A$167</c:f>
              <c:numCache>
                <c:formatCode>General</c:formatCode>
                <c:ptCount val="5"/>
                <c:pt idx="0">
                  <c:v>2013</c:v>
                </c:pt>
                <c:pt idx="1">
                  <c:v>2014</c:v>
                </c:pt>
                <c:pt idx="2">
                  <c:v>2015</c:v>
                </c:pt>
                <c:pt idx="3">
                  <c:v>2016</c:v>
                </c:pt>
                <c:pt idx="4">
                  <c:v>2017</c:v>
                </c:pt>
              </c:numCache>
            </c:numRef>
          </c:cat>
          <c:val>
            <c:numRef>
              <c:f>Sheet2!$B$163:$B$167</c:f>
              <c:numCache>
                <c:formatCode>0.00%</c:formatCode>
                <c:ptCount val="5"/>
                <c:pt idx="0">
                  <c:v>0.13856119888173146</c:v>
                </c:pt>
                <c:pt idx="1">
                  <c:v>0</c:v>
                </c:pt>
                <c:pt idx="2">
                  <c:v>0</c:v>
                </c:pt>
                <c:pt idx="3">
                  <c:v>0</c:v>
                </c:pt>
                <c:pt idx="4">
                  <c:v>0</c:v>
                </c:pt>
              </c:numCache>
            </c:numRef>
          </c:val>
        </c:ser>
        <c:dLbls>
          <c:showLegendKey val="0"/>
          <c:showVal val="0"/>
          <c:showCatName val="0"/>
          <c:showSerName val="0"/>
          <c:showPercent val="0"/>
          <c:showBubbleSize val="0"/>
        </c:dLbls>
        <c:gapWidth val="219"/>
        <c:overlap val="-27"/>
        <c:axId val="103996800"/>
        <c:axId val="104003072"/>
      </c:barChart>
      <c:catAx>
        <c:axId val="103996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03072"/>
        <c:crosses val="autoZero"/>
        <c:auto val="1"/>
        <c:lblAlgn val="ctr"/>
        <c:lblOffset val="100"/>
        <c:noMultiLvlLbl val="0"/>
      </c:catAx>
      <c:valAx>
        <c:axId val="104003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96800"/>
        <c:crosses val="autoZero"/>
        <c:crossBetween val="between"/>
      </c:valAx>
      <c:spPr>
        <a:noFill/>
        <a:ln>
          <a:noFill/>
        </a:ln>
        <a:effectLst/>
      </c:spPr>
    </c:plotArea>
    <c:legend>
      <c:legendPos val="r"/>
      <c:layout>
        <c:manualLayout>
          <c:xMode val="edge"/>
          <c:yMode val="edge"/>
          <c:x val="0.81893919510061242"/>
          <c:y val="0.49615667833187538"/>
          <c:w val="0.16439413823272098"/>
          <c:h val="0.248843686205891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Details for Unquoted Ordinary Shares</a:t>
            </a:r>
            <a:endParaRPr lang="en-US"/>
          </a:p>
        </c:rich>
      </c:tx>
      <c:overlay val="0"/>
      <c:spPr>
        <a:noFill/>
        <a:ln>
          <a:noFill/>
        </a:ln>
        <a:effectLst/>
      </c:spPr>
    </c:title>
    <c:autoTitleDeleted val="0"/>
    <c:plotArea>
      <c:layout/>
      <c:barChart>
        <c:barDir val="col"/>
        <c:grouping val="clustered"/>
        <c:varyColors val="0"/>
        <c:ser>
          <c:idx val="0"/>
          <c:order val="0"/>
          <c:tx>
            <c:v>Percentage of Total Investment</c:v>
          </c:tx>
          <c:spPr>
            <a:solidFill>
              <a:schemeClr val="accent1"/>
            </a:solidFill>
            <a:ln>
              <a:noFill/>
            </a:ln>
            <a:effectLst/>
          </c:spPr>
          <c:invertIfNegative val="0"/>
          <c:cat>
            <c:numRef>
              <c:f>Sheet2!$A$163:$A$167</c:f>
              <c:numCache>
                <c:formatCode>General</c:formatCode>
                <c:ptCount val="5"/>
                <c:pt idx="0">
                  <c:v>2013</c:v>
                </c:pt>
                <c:pt idx="1">
                  <c:v>2014</c:v>
                </c:pt>
                <c:pt idx="2">
                  <c:v>2015</c:v>
                </c:pt>
                <c:pt idx="3">
                  <c:v>2016</c:v>
                </c:pt>
                <c:pt idx="4">
                  <c:v>2017</c:v>
                </c:pt>
              </c:numCache>
            </c:numRef>
          </c:cat>
          <c:val>
            <c:numRef>
              <c:f>Sheet2!$C$163:$C$167</c:f>
              <c:numCache>
                <c:formatCode>0.00%</c:formatCode>
                <c:ptCount val="5"/>
                <c:pt idx="0">
                  <c:v>2.8964214208452629E-3</c:v>
                </c:pt>
                <c:pt idx="1">
                  <c:v>2.6726682728922691E-3</c:v>
                </c:pt>
                <c:pt idx="2">
                  <c:v>3.1172927307511851E-3</c:v>
                </c:pt>
                <c:pt idx="3">
                  <c:v>3.1405984526487619E-3</c:v>
                </c:pt>
                <c:pt idx="4">
                  <c:v>3.0080863547434691E-3</c:v>
                </c:pt>
              </c:numCache>
            </c:numRef>
          </c:val>
        </c:ser>
        <c:ser>
          <c:idx val="1"/>
          <c:order val="1"/>
          <c:tx>
            <c:v>Percentage of Other Securities</c:v>
          </c:tx>
          <c:spPr>
            <a:solidFill>
              <a:schemeClr val="accent2"/>
            </a:solidFill>
            <a:ln>
              <a:noFill/>
            </a:ln>
            <a:effectLst/>
          </c:spPr>
          <c:invertIfNegative val="0"/>
          <c:cat>
            <c:numRef>
              <c:f>Sheet2!$A$163:$A$167</c:f>
              <c:numCache>
                <c:formatCode>General</c:formatCode>
                <c:ptCount val="5"/>
                <c:pt idx="0">
                  <c:v>2013</c:v>
                </c:pt>
                <c:pt idx="1">
                  <c:v>2014</c:v>
                </c:pt>
                <c:pt idx="2">
                  <c:v>2015</c:v>
                </c:pt>
                <c:pt idx="3">
                  <c:v>2016</c:v>
                </c:pt>
                <c:pt idx="4">
                  <c:v>2017</c:v>
                </c:pt>
              </c:numCache>
            </c:numRef>
          </c:cat>
          <c:val>
            <c:numRef>
              <c:f>Sheet2!$D$163:$D$167</c:f>
              <c:numCache>
                <c:formatCode>0.00%</c:formatCode>
                <c:ptCount val="5"/>
                <c:pt idx="0">
                  <c:v>1.7026654573100292E-2</c:v>
                </c:pt>
                <c:pt idx="1">
                  <c:v>1.5107099478761219E-2</c:v>
                </c:pt>
                <c:pt idx="2">
                  <c:v>1.5585401186872265E-2</c:v>
                </c:pt>
                <c:pt idx="3">
                  <c:v>3.2196294871608182E-2</c:v>
                </c:pt>
                <c:pt idx="4">
                  <c:v>2.2509111908473368E-2</c:v>
                </c:pt>
              </c:numCache>
            </c:numRef>
          </c:val>
        </c:ser>
        <c:ser>
          <c:idx val="2"/>
          <c:order val="2"/>
          <c:tx>
            <c:v>Percentage of Total Shares</c:v>
          </c:tx>
          <c:spPr>
            <a:solidFill>
              <a:schemeClr val="accent3"/>
            </a:solidFill>
            <a:ln>
              <a:noFill/>
            </a:ln>
            <a:effectLst/>
          </c:spPr>
          <c:invertIfNegative val="0"/>
          <c:cat>
            <c:numRef>
              <c:f>Sheet2!$A$163:$A$167</c:f>
              <c:numCache>
                <c:formatCode>General</c:formatCode>
                <c:ptCount val="5"/>
                <c:pt idx="0">
                  <c:v>2013</c:v>
                </c:pt>
                <c:pt idx="1">
                  <c:v>2014</c:v>
                </c:pt>
                <c:pt idx="2">
                  <c:v>2015</c:v>
                </c:pt>
                <c:pt idx="3">
                  <c:v>2016</c:v>
                </c:pt>
                <c:pt idx="4">
                  <c:v>2017</c:v>
                </c:pt>
              </c:numCache>
            </c:numRef>
          </c:cat>
          <c:val>
            <c:numRef>
              <c:f>Sheet2!$E$163:$E$167</c:f>
              <c:numCache>
                <c:formatCode>0.00%</c:formatCode>
                <c:ptCount val="5"/>
                <c:pt idx="0">
                  <c:v>1.77049579928199E-2</c:v>
                </c:pt>
                <c:pt idx="1">
                  <c:v>1.5223188301285905E-2</c:v>
                </c:pt>
                <c:pt idx="2">
                  <c:v>1.5716476126530762E-2</c:v>
                </c:pt>
                <c:pt idx="3">
                  <c:v>3.2942691468122544E-2</c:v>
                </c:pt>
                <c:pt idx="4">
                  <c:v>2.2943232927062622E-2</c:v>
                </c:pt>
              </c:numCache>
            </c:numRef>
          </c:val>
        </c:ser>
        <c:dLbls>
          <c:showLegendKey val="0"/>
          <c:showVal val="0"/>
          <c:showCatName val="0"/>
          <c:showSerName val="0"/>
          <c:showPercent val="0"/>
          <c:showBubbleSize val="0"/>
        </c:dLbls>
        <c:gapWidth val="219"/>
        <c:overlap val="-27"/>
        <c:axId val="104099200"/>
        <c:axId val="104105472"/>
      </c:barChart>
      <c:catAx>
        <c:axId val="104099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05472"/>
        <c:crosses val="autoZero"/>
        <c:auto val="1"/>
        <c:lblAlgn val="ctr"/>
        <c:lblOffset val="100"/>
        <c:noMultiLvlLbl val="0"/>
      </c:catAx>
      <c:valAx>
        <c:axId val="10410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9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Details of</a:t>
            </a:r>
            <a:r>
              <a:rPr lang="en-US" baseline="0"/>
              <a:t> Unquoted Redeemable Preference Shares</a:t>
            </a:r>
            <a:endParaRPr lang="en-US"/>
          </a:p>
        </c:rich>
      </c:tx>
      <c:overlay val="0"/>
      <c:spPr>
        <a:noFill/>
        <a:ln>
          <a:noFill/>
        </a:ln>
        <a:effectLst/>
      </c:spPr>
    </c:title>
    <c:autoTitleDeleted val="0"/>
    <c:plotArea>
      <c:layout/>
      <c:barChart>
        <c:barDir val="col"/>
        <c:grouping val="clustered"/>
        <c:varyColors val="0"/>
        <c:ser>
          <c:idx val="0"/>
          <c:order val="0"/>
          <c:tx>
            <c:v>Percentage of Total Investment</c:v>
          </c:tx>
          <c:spPr>
            <a:solidFill>
              <a:schemeClr val="accent1"/>
            </a:solidFill>
            <a:ln>
              <a:noFill/>
            </a:ln>
            <a:effectLst/>
          </c:spPr>
          <c:invertIfNegative val="0"/>
          <c:cat>
            <c:numRef>
              <c:f>Sheet2!$A$171:$A$175</c:f>
              <c:numCache>
                <c:formatCode>General</c:formatCode>
                <c:ptCount val="5"/>
                <c:pt idx="0">
                  <c:v>2013</c:v>
                </c:pt>
                <c:pt idx="1">
                  <c:v>2014</c:v>
                </c:pt>
                <c:pt idx="2">
                  <c:v>2015</c:v>
                </c:pt>
                <c:pt idx="3">
                  <c:v>2016</c:v>
                </c:pt>
                <c:pt idx="4">
                  <c:v>2017</c:v>
                </c:pt>
              </c:numCache>
            </c:numRef>
          </c:cat>
          <c:val>
            <c:numRef>
              <c:f>Sheet2!$C$171:$C$175</c:f>
              <c:numCache>
                <c:formatCode>0.00%</c:formatCode>
                <c:ptCount val="5"/>
                <c:pt idx="0">
                  <c:v>2.1327306038850146E-2</c:v>
                </c:pt>
                <c:pt idx="1">
                  <c:v>1.2109219837839197E-2</c:v>
                </c:pt>
                <c:pt idx="2">
                  <c:v>2.0989805071175796E-3</c:v>
                </c:pt>
                <c:pt idx="3">
                  <c:v>0</c:v>
                </c:pt>
                <c:pt idx="4">
                  <c:v>0</c:v>
                </c:pt>
              </c:numCache>
            </c:numRef>
          </c:val>
        </c:ser>
        <c:ser>
          <c:idx val="1"/>
          <c:order val="1"/>
          <c:tx>
            <c:v>Percentage of Other Securities</c:v>
          </c:tx>
          <c:spPr>
            <a:solidFill>
              <a:schemeClr val="accent2"/>
            </a:solidFill>
            <a:ln>
              <a:noFill/>
            </a:ln>
            <a:effectLst/>
          </c:spPr>
          <c:invertIfNegative val="0"/>
          <c:cat>
            <c:numRef>
              <c:f>Sheet2!$A$171:$A$175</c:f>
              <c:numCache>
                <c:formatCode>General</c:formatCode>
                <c:ptCount val="5"/>
                <c:pt idx="0">
                  <c:v>2013</c:v>
                </c:pt>
                <c:pt idx="1">
                  <c:v>2014</c:v>
                </c:pt>
                <c:pt idx="2">
                  <c:v>2015</c:v>
                </c:pt>
                <c:pt idx="3">
                  <c:v>2016</c:v>
                </c:pt>
                <c:pt idx="4">
                  <c:v>2017</c:v>
                </c:pt>
              </c:numCache>
            </c:numRef>
          </c:cat>
          <c:val>
            <c:numRef>
              <c:f>Sheet2!$D$171:$D$175</c:f>
              <c:numCache>
                <c:formatCode>0.00%</c:formatCode>
                <c:ptCount val="5"/>
                <c:pt idx="0">
                  <c:v>0.12537287229160318</c:v>
                </c:pt>
                <c:pt idx="1">
                  <c:v>6.8446649573334212E-2</c:v>
                </c:pt>
                <c:pt idx="2">
                  <c:v>1.0494187140060141E-2</c:v>
                </c:pt>
                <c:pt idx="3">
                  <c:v>0</c:v>
                </c:pt>
                <c:pt idx="4">
                  <c:v>0</c:v>
                </c:pt>
              </c:numCache>
            </c:numRef>
          </c:val>
        </c:ser>
        <c:ser>
          <c:idx val="2"/>
          <c:order val="2"/>
          <c:tx>
            <c:v>Percentage of Total Shares</c:v>
          </c:tx>
          <c:spPr>
            <a:solidFill>
              <a:schemeClr val="accent3"/>
            </a:solidFill>
            <a:ln>
              <a:noFill/>
            </a:ln>
            <a:effectLst/>
          </c:spPr>
          <c:invertIfNegative val="0"/>
          <c:cat>
            <c:numRef>
              <c:f>Sheet2!$A$171:$A$175</c:f>
              <c:numCache>
                <c:formatCode>General</c:formatCode>
                <c:ptCount val="5"/>
                <c:pt idx="0">
                  <c:v>2013</c:v>
                </c:pt>
                <c:pt idx="1">
                  <c:v>2014</c:v>
                </c:pt>
                <c:pt idx="2">
                  <c:v>2015</c:v>
                </c:pt>
                <c:pt idx="3">
                  <c:v>2016</c:v>
                </c:pt>
                <c:pt idx="4">
                  <c:v>2017</c:v>
                </c:pt>
              </c:numCache>
            </c:numRef>
          </c:cat>
          <c:val>
            <c:numRef>
              <c:f>Sheet2!$E$171:$E$175</c:f>
              <c:numCache>
                <c:formatCode>0.00%</c:formatCode>
                <c:ptCount val="5"/>
                <c:pt idx="0">
                  <c:v>0.13036744404675107</c:v>
                </c:pt>
                <c:pt idx="1">
                  <c:v>6.8972620224808337E-2</c:v>
                </c:pt>
                <c:pt idx="2">
                  <c:v>1.0582444409132372E-2</c:v>
                </c:pt>
                <c:pt idx="3">
                  <c:v>0</c:v>
                </c:pt>
                <c:pt idx="4">
                  <c:v>0</c:v>
                </c:pt>
              </c:numCache>
            </c:numRef>
          </c:val>
        </c:ser>
        <c:dLbls>
          <c:showLegendKey val="0"/>
          <c:showVal val="0"/>
          <c:showCatName val="0"/>
          <c:showSerName val="0"/>
          <c:showPercent val="0"/>
          <c:showBubbleSize val="0"/>
        </c:dLbls>
        <c:gapWidth val="219"/>
        <c:overlap val="-27"/>
        <c:axId val="104115584"/>
        <c:axId val="104134144"/>
      </c:barChart>
      <c:catAx>
        <c:axId val="104115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34144"/>
        <c:crosses val="autoZero"/>
        <c:auto val="1"/>
        <c:lblAlgn val="ctr"/>
        <c:lblOffset val="100"/>
        <c:noMultiLvlLbl val="0"/>
      </c:catAx>
      <c:valAx>
        <c:axId val="10413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1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25083333333333324"/>
          <c:w val="0.57608442694663153"/>
          <c:h val="0.62784703995333935"/>
        </c:manualLayout>
      </c:layout>
      <c:lineChart>
        <c:grouping val="standard"/>
        <c:varyColors val="0"/>
        <c:ser>
          <c:idx val="0"/>
          <c:order val="0"/>
          <c:tx>
            <c:v>Investment in Unqouted Redeemable Preference Shares</c:v>
          </c:tx>
          <c:spPr>
            <a:ln w="28575" cap="rnd">
              <a:solidFill>
                <a:schemeClr val="accent1"/>
              </a:solidFill>
              <a:round/>
            </a:ln>
            <a:effectLst/>
          </c:spPr>
          <c:marker>
            <c:symbol val="none"/>
          </c:marker>
          <c:cat>
            <c:numRef>
              <c:f>Sheet2!$A$171:$A$175</c:f>
              <c:numCache>
                <c:formatCode>General</c:formatCode>
                <c:ptCount val="5"/>
                <c:pt idx="0">
                  <c:v>2013</c:v>
                </c:pt>
                <c:pt idx="1">
                  <c:v>2014</c:v>
                </c:pt>
                <c:pt idx="2">
                  <c:v>2015</c:v>
                </c:pt>
                <c:pt idx="3">
                  <c:v>2016</c:v>
                </c:pt>
                <c:pt idx="4">
                  <c:v>2017</c:v>
                </c:pt>
              </c:numCache>
            </c:numRef>
          </c:cat>
          <c:val>
            <c:numRef>
              <c:f>Sheet2!$B$171:$B$175</c:f>
              <c:numCache>
                <c:formatCode>0.00%</c:formatCode>
                <c:ptCount val="5"/>
                <c:pt idx="0">
                  <c:v>0.41250000000000009</c:v>
                </c:pt>
                <c:pt idx="1">
                  <c:v>-0.38468591681415942</c:v>
                </c:pt>
                <c:pt idx="2">
                  <c:v>-0.8513860035800066</c:v>
                </c:pt>
                <c:pt idx="3">
                  <c:v>-1</c:v>
                </c:pt>
                <c:pt idx="4">
                  <c:v>0</c:v>
                </c:pt>
              </c:numCache>
            </c:numRef>
          </c:val>
          <c:smooth val="0"/>
        </c:ser>
        <c:dLbls>
          <c:showLegendKey val="0"/>
          <c:showVal val="0"/>
          <c:showCatName val="0"/>
          <c:showSerName val="0"/>
          <c:showPercent val="0"/>
          <c:showBubbleSize val="0"/>
        </c:dLbls>
        <c:marker val="1"/>
        <c:smooth val="0"/>
        <c:axId val="104179584"/>
        <c:axId val="104181760"/>
      </c:lineChart>
      <c:catAx>
        <c:axId val="104179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81760"/>
        <c:crosses val="autoZero"/>
        <c:auto val="1"/>
        <c:lblAlgn val="ctr"/>
        <c:lblOffset val="100"/>
        <c:noMultiLvlLbl val="0"/>
      </c:catAx>
      <c:valAx>
        <c:axId val="104181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79584"/>
        <c:crosses val="autoZero"/>
        <c:crossBetween val="between"/>
      </c:valAx>
      <c:spPr>
        <a:noFill/>
        <a:ln>
          <a:noFill/>
        </a:ln>
        <a:effectLst/>
      </c:spPr>
    </c:plotArea>
    <c:legend>
      <c:legendPos val="r"/>
      <c:layout>
        <c:manualLayout>
          <c:xMode val="edge"/>
          <c:yMode val="edge"/>
          <c:x val="0.7769573490813646"/>
          <c:y val="0.39943205016039668"/>
          <c:w val="0.20637598425196854"/>
          <c:h val="0.322339603382910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65069991251087"/>
          <c:y val="0.17171296296296301"/>
          <c:w val="0.62012707786526677"/>
          <c:h val="0.70696741032370991"/>
        </c:manualLayout>
      </c:layout>
      <c:lineChart>
        <c:grouping val="standard"/>
        <c:varyColors val="0"/>
        <c:ser>
          <c:idx val="0"/>
          <c:order val="0"/>
          <c:tx>
            <c:v>Investment in on demand</c:v>
          </c:tx>
          <c:spPr>
            <a:ln w="28575" cap="rnd">
              <a:solidFill>
                <a:schemeClr val="accent1"/>
              </a:solidFill>
              <a:round/>
            </a:ln>
            <a:effectLst/>
          </c:spPr>
          <c:marker>
            <c:symbol val="none"/>
          </c:marker>
          <c:cat>
            <c:numRef>
              <c:f>Sheet2!$A$181:$A$185</c:f>
              <c:numCache>
                <c:formatCode>General</c:formatCode>
                <c:ptCount val="5"/>
                <c:pt idx="0">
                  <c:v>2013</c:v>
                </c:pt>
                <c:pt idx="1">
                  <c:v>2014</c:v>
                </c:pt>
                <c:pt idx="2">
                  <c:v>2015</c:v>
                </c:pt>
                <c:pt idx="3">
                  <c:v>2016</c:v>
                </c:pt>
                <c:pt idx="4">
                  <c:v>2017</c:v>
                </c:pt>
              </c:numCache>
            </c:numRef>
          </c:cat>
          <c:val>
            <c:numRef>
              <c:f>Sheet2!$B$181:$B$185</c:f>
              <c:numCache>
                <c:formatCode>0.00%</c:formatCode>
                <c:ptCount val="5"/>
                <c:pt idx="0">
                  <c:v>0.18123508111004671</c:v>
                </c:pt>
                <c:pt idx="1">
                  <c:v>2.3946992191795882E-2</c:v>
                </c:pt>
                <c:pt idx="2">
                  <c:v>-1.8795478344923885E-2</c:v>
                </c:pt>
                <c:pt idx="3">
                  <c:v>-0.51405193881181077</c:v>
                </c:pt>
                <c:pt idx="4">
                  <c:v>-0.14165446559297226</c:v>
                </c:pt>
              </c:numCache>
            </c:numRef>
          </c:val>
          <c:smooth val="0"/>
        </c:ser>
        <c:dLbls>
          <c:showLegendKey val="0"/>
          <c:showVal val="0"/>
          <c:showCatName val="0"/>
          <c:showSerName val="0"/>
          <c:showPercent val="0"/>
          <c:showBubbleSize val="0"/>
        </c:dLbls>
        <c:marker val="1"/>
        <c:smooth val="0"/>
        <c:axId val="108350848"/>
        <c:axId val="108475904"/>
      </c:lineChart>
      <c:catAx>
        <c:axId val="108350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75904"/>
        <c:crosses val="autoZero"/>
        <c:auto val="1"/>
        <c:lblAlgn val="ctr"/>
        <c:lblOffset val="100"/>
        <c:noMultiLvlLbl val="0"/>
      </c:catAx>
      <c:valAx>
        <c:axId val="108475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350848"/>
        <c:crosses val="autoZero"/>
        <c:crossBetween val="between"/>
      </c:valAx>
      <c:spPr>
        <a:noFill/>
        <a:ln>
          <a:noFill/>
        </a:ln>
        <a:effectLst/>
      </c:spPr>
    </c:plotArea>
    <c:legend>
      <c:legendPos val="r"/>
      <c:layout>
        <c:manualLayout>
          <c:xMode val="edge"/>
          <c:yMode val="edge"/>
          <c:x val="0.79444444444444462"/>
          <c:y val="0.52133056284631041"/>
          <c:w val="0.18888888888888891"/>
          <c:h val="0.277199620880723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25083333333333324"/>
          <c:w val="0.61896872265966763"/>
          <c:h val="0.62784703995333935"/>
        </c:manualLayout>
      </c:layout>
      <c:barChart>
        <c:barDir val="col"/>
        <c:grouping val="clustered"/>
        <c:varyColors val="0"/>
        <c:ser>
          <c:idx val="0"/>
          <c:order val="0"/>
          <c:tx>
            <c:v>Investment in over 1 month but not more than 3 months</c:v>
          </c:tx>
          <c:spPr>
            <a:solidFill>
              <a:schemeClr val="accent1"/>
            </a:solidFill>
            <a:ln>
              <a:noFill/>
            </a:ln>
            <a:effectLst/>
          </c:spPr>
          <c:invertIfNegative val="0"/>
          <c:cat>
            <c:numRef>
              <c:f>Sheet2!$A$189:$A$193</c:f>
              <c:numCache>
                <c:formatCode>General</c:formatCode>
                <c:ptCount val="5"/>
                <c:pt idx="0">
                  <c:v>2013</c:v>
                </c:pt>
                <c:pt idx="1">
                  <c:v>2014</c:v>
                </c:pt>
                <c:pt idx="2">
                  <c:v>2015</c:v>
                </c:pt>
                <c:pt idx="3">
                  <c:v>2016</c:v>
                </c:pt>
                <c:pt idx="4">
                  <c:v>2017</c:v>
                </c:pt>
              </c:numCache>
            </c:numRef>
          </c:cat>
          <c:val>
            <c:numRef>
              <c:f>Sheet2!$B$189:$B$193</c:f>
              <c:numCache>
                <c:formatCode>0.00%</c:formatCode>
                <c:ptCount val="5"/>
                <c:pt idx="0">
                  <c:v>1.5021733173489507</c:v>
                </c:pt>
                <c:pt idx="1">
                  <c:v>-0.71719965948492981</c:v>
                </c:pt>
                <c:pt idx="2">
                  <c:v>-0.92093004984093441</c:v>
                </c:pt>
                <c:pt idx="3">
                  <c:v>6.1429053342057047</c:v>
                </c:pt>
                <c:pt idx="4">
                  <c:v>5.4030281249859407</c:v>
                </c:pt>
              </c:numCache>
            </c:numRef>
          </c:val>
        </c:ser>
        <c:dLbls>
          <c:showLegendKey val="0"/>
          <c:showVal val="0"/>
          <c:showCatName val="0"/>
          <c:showSerName val="0"/>
          <c:showPercent val="0"/>
          <c:showBubbleSize val="0"/>
        </c:dLbls>
        <c:gapWidth val="219"/>
        <c:overlap val="-27"/>
        <c:axId val="108509056"/>
        <c:axId val="108593152"/>
      </c:barChart>
      <c:catAx>
        <c:axId val="108509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93152"/>
        <c:crosses val="autoZero"/>
        <c:auto val="1"/>
        <c:lblAlgn val="ctr"/>
        <c:lblOffset val="100"/>
        <c:noMultiLvlLbl val="0"/>
      </c:catAx>
      <c:valAx>
        <c:axId val="108593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09056"/>
        <c:crosses val="autoZero"/>
        <c:crossBetween val="between"/>
      </c:valAx>
      <c:spPr>
        <a:noFill/>
        <a:ln>
          <a:noFill/>
        </a:ln>
        <a:effectLst/>
      </c:spPr>
    </c:plotArea>
    <c:legend>
      <c:legendPos val="r"/>
      <c:layout>
        <c:manualLayout>
          <c:xMode val="edge"/>
          <c:yMode val="edge"/>
          <c:x val="0.79761942257217899"/>
          <c:y val="0.53571704578594315"/>
          <c:w val="0.18571391076115493"/>
          <c:h val="0.290510352872557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17171296296296301"/>
          <c:w val="0.63723272090988625"/>
          <c:h val="0.70696741032370991"/>
        </c:manualLayout>
      </c:layout>
      <c:barChart>
        <c:barDir val="col"/>
        <c:grouping val="clustered"/>
        <c:varyColors val="0"/>
        <c:ser>
          <c:idx val="0"/>
          <c:order val="0"/>
          <c:tx>
            <c:v>Investment in 3 months but less than 1 year</c:v>
          </c:tx>
          <c:spPr>
            <a:solidFill>
              <a:schemeClr val="accent1"/>
            </a:solidFill>
            <a:ln>
              <a:noFill/>
            </a:ln>
            <a:effectLst/>
          </c:spPr>
          <c:invertIfNegative val="0"/>
          <c:cat>
            <c:numRef>
              <c:f>Sheet2!$A$197:$A$201</c:f>
              <c:numCache>
                <c:formatCode>General</c:formatCode>
                <c:ptCount val="5"/>
                <c:pt idx="0">
                  <c:v>2013</c:v>
                </c:pt>
                <c:pt idx="1">
                  <c:v>2014</c:v>
                </c:pt>
                <c:pt idx="2">
                  <c:v>2015</c:v>
                </c:pt>
                <c:pt idx="3">
                  <c:v>2016</c:v>
                </c:pt>
                <c:pt idx="4">
                  <c:v>2017</c:v>
                </c:pt>
              </c:numCache>
            </c:numRef>
          </c:cat>
          <c:val>
            <c:numRef>
              <c:f>Sheet2!$B$197:$B$201</c:f>
              <c:numCache>
                <c:formatCode>0.00%</c:formatCode>
                <c:ptCount val="5"/>
                <c:pt idx="0">
                  <c:v>-0.23953360483557867</c:v>
                </c:pt>
                <c:pt idx="1">
                  <c:v>0.39255277238875802</c:v>
                </c:pt>
                <c:pt idx="2">
                  <c:v>1.9056030922200797</c:v>
                </c:pt>
                <c:pt idx="3">
                  <c:v>-0.30801484484278796</c:v>
                </c:pt>
                <c:pt idx="4">
                  <c:v>-0.71838761070273749</c:v>
                </c:pt>
              </c:numCache>
            </c:numRef>
          </c:val>
        </c:ser>
        <c:dLbls>
          <c:showLegendKey val="0"/>
          <c:showVal val="0"/>
          <c:showCatName val="0"/>
          <c:showSerName val="0"/>
          <c:showPercent val="0"/>
          <c:showBubbleSize val="0"/>
        </c:dLbls>
        <c:gapWidth val="219"/>
        <c:overlap val="-27"/>
        <c:axId val="108622208"/>
        <c:axId val="108624128"/>
      </c:barChart>
      <c:catAx>
        <c:axId val="108622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24128"/>
        <c:crosses val="autoZero"/>
        <c:auto val="1"/>
        <c:lblAlgn val="ctr"/>
        <c:lblOffset val="100"/>
        <c:noMultiLvlLbl val="0"/>
      </c:catAx>
      <c:valAx>
        <c:axId val="108624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22208"/>
        <c:crosses val="autoZero"/>
        <c:crossBetween val="between"/>
      </c:valAx>
      <c:spPr>
        <a:noFill/>
        <a:ln>
          <a:noFill/>
        </a:ln>
        <a:effectLst/>
      </c:spPr>
    </c:plotArea>
    <c:legend>
      <c:legendPos val="r"/>
      <c:layout>
        <c:manualLayout>
          <c:xMode val="edge"/>
          <c:yMode val="edge"/>
          <c:x val="0.8269945319335088"/>
          <c:y val="0.49615667833187538"/>
          <c:w val="0.15633880139982509"/>
          <c:h val="0.253473315835520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Growth Rate of Other Securities</a:t>
            </a:r>
          </a:p>
        </c:rich>
      </c:tx>
      <c:overlay val="0"/>
      <c:spPr>
        <a:noFill/>
        <a:ln>
          <a:noFill/>
        </a:ln>
        <a:effectLst/>
      </c:spPr>
    </c:title>
    <c:autoTitleDeleted val="0"/>
    <c:plotArea>
      <c:layout/>
      <c:scatterChart>
        <c:scatterStyle val="lineMarker"/>
        <c:varyColors val="0"/>
        <c:ser>
          <c:idx val="0"/>
          <c:order val="0"/>
          <c:tx>
            <c:v>Growth Rate</c:v>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numRef>
              <c:f>Sheet2!$A$27:$A$31</c:f>
              <c:numCache>
                <c:formatCode>General</c:formatCode>
                <c:ptCount val="5"/>
                <c:pt idx="0">
                  <c:v>2013</c:v>
                </c:pt>
                <c:pt idx="1">
                  <c:v>2014</c:v>
                </c:pt>
                <c:pt idx="2">
                  <c:v>2015</c:v>
                </c:pt>
                <c:pt idx="3">
                  <c:v>2016</c:v>
                </c:pt>
                <c:pt idx="4">
                  <c:v>2017</c:v>
                </c:pt>
              </c:numCache>
            </c:numRef>
          </c:xVal>
          <c:yVal>
            <c:numRef>
              <c:f>Sheet2!$B$27:$B$31</c:f>
              <c:numCache>
                <c:formatCode>0.00%</c:formatCode>
                <c:ptCount val="5"/>
                <c:pt idx="0">
                  <c:v>-1.906288167689859E-2</c:v>
                </c:pt>
                <c:pt idx="1">
                  <c:v>0.12706311340821866</c:v>
                </c:pt>
                <c:pt idx="2">
                  <c:v>-3.0689085406022412E-2</c:v>
                </c:pt>
                <c:pt idx="3">
                  <c:v>-0.51592562905068928</c:v>
                </c:pt>
                <c:pt idx="4">
                  <c:v>0.43036717763565729</c:v>
                </c:pt>
              </c:numCache>
            </c:numRef>
          </c:yVal>
          <c:smooth val="0"/>
        </c:ser>
        <c:dLbls>
          <c:showLegendKey val="0"/>
          <c:showVal val="0"/>
          <c:showCatName val="0"/>
          <c:showSerName val="0"/>
          <c:showPercent val="0"/>
          <c:showBubbleSize val="0"/>
        </c:dLbls>
        <c:axId val="71965696"/>
        <c:axId val="71968256"/>
      </c:scatterChart>
      <c:valAx>
        <c:axId val="71965696"/>
        <c:scaling>
          <c:orientation val="minMax"/>
          <c:max val="2017"/>
          <c:min val="201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68256"/>
        <c:crosses val="autoZero"/>
        <c:crossBetween val="midCat"/>
        <c:majorUnit val="1"/>
      </c:valAx>
      <c:valAx>
        <c:axId val="7196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656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17171296296296301"/>
          <c:w val="0.61612139107611563"/>
          <c:h val="0.70696741032370991"/>
        </c:manualLayout>
      </c:layout>
      <c:barChart>
        <c:barDir val="col"/>
        <c:grouping val="clustered"/>
        <c:varyColors val="0"/>
        <c:ser>
          <c:idx val="0"/>
          <c:order val="0"/>
          <c:tx>
            <c:v>Investment in 1 year but not more than 5 years</c:v>
          </c:tx>
          <c:spPr>
            <a:solidFill>
              <a:schemeClr val="accent1"/>
            </a:solidFill>
            <a:ln>
              <a:noFill/>
            </a:ln>
            <a:effectLst/>
          </c:spPr>
          <c:invertIfNegative val="0"/>
          <c:cat>
            <c:numRef>
              <c:f>Sheet2!$A$205:$A$209</c:f>
              <c:numCache>
                <c:formatCode>General</c:formatCode>
                <c:ptCount val="5"/>
                <c:pt idx="0">
                  <c:v>2013</c:v>
                </c:pt>
                <c:pt idx="1">
                  <c:v>2014</c:v>
                </c:pt>
                <c:pt idx="2">
                  <c:v>2015</c:v>
                </c:pt>
                <c:pt idx="3">
                  <c:v>2016</c:v>
                </c:pt>
                <c:pt idx="4">
                  <c:v>2017</c:v>
                </c:pt>
              </c:numCache>
            </c:numRef>
          </c:cat>
          <c:val>
            <c:numRef>
              <c:f>Sheet2!$B$205:$B$209</c:f>
              <c:numCache>
                <c:formatCode>0.00%</c:formatCode>
                <c:ptCount val="5"/>
                <c:pt idx="0">
                  <c:v>-0.43754017177803722</c:v>
                </c:pt>
                <c:pt idx="1">
                  <c:v>3.6658437465701832</c:v>
                </c:pt>
                <c:pt idx="2">
                  <c:v>-0.46245429098804591</c:v>
                </c:pt>
                <c:pt idx="3">
                  <c:v>-0.38468758662492186</c:v>
                </c:pt>
                <c:pt idx="4">
                  <c:v>1.005963807701947</c:v>
                </c:pt>
              </c:numCache>
            </c:numRef>
          </c:val>
        </c:ser>
        <c:dLbls>
          <c:showLegendKey val="0"/>
          <c:showVal val="0"/>
          <c:showCatName val="0"/>
          <c:showSerName val="0"/>
          <c:showPercent val="0"/>
          <c:showBubbleSize val="0"/>
        </c:dLbls>
        <c:gapWidth val="219"/>
        <c:overlap val="-27"/>
        <c:axId val="108640896"/>
        <c:axId val="65790720"/>
      </c:barChart>
      <c:catAx>
        <c:axId val="108640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90720"/>
        <c:crosses val="autoZero"/>
        <c:auto val="1"/>
        <c:lblAlgn val="ctr"/>
        <c:lblOffset val="100"/>
        <c:noMultiLvlLbl val="0"/>
      </c:catAx>
      <c:valAx>
        <c:axId val="65790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40896"/>
        <c:crosses val="autoZero"/>
        <c:crossBetween val="between"/>
      </c:valAx>
      <c:spPr>
        <a:noFill/>
        <a:ln>
          <a:noFill/>
        </a:ln>
        <a:effectLst/>
      </c:spPr>
    </c:plotArea>
    <c:legend>
      <c:legendPos val="r"/>
      <c:layout>
        <c:manualLayout>
          <c:xMode val="edge"/>
          <c:yMode val="edge"/>
          <c:x val="0.80310542432195986"/>
          <c:y val="0.49615667833187538"/>
          <c:w val="0.18022790901137373"/>
          <c:h val="0.258102945465150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65069991251087"/>
          <c:y val="0.17171296296296301"/>
          <c:w val="0.61627887139107651"/>
          <c:h val="0.70696741032370991"/>
        </c:manualLayout>
      </c:layout>
      <c:lineChart>
        <c:grouping val="standard"/>
        <c:varyColors val="0"/>
        <c:ser>
          <c:idx val="0"/>
          <c:order val="0"/>
          <c:tx>
            <c:v>Investment in over 5 years</c:v>
          </c:tx>
          <c:spPr>
            <a:ln w="28575" cap="rnd">
              <a:solidFill>
                <a:schemeClr val="accent1"/>
              </a:solidFill>
              <a:round/>
            </a:ln>
            <a:effectLst/>
          </c:spPr>
          <c:marker>
            <c:symbol val="none"/>
          </c:marker>
          <c:cat>
            <c:numRef>
              <c:f>Sheet2!$A$213:$A$217</c:f>
              <c:numCache>
                <c:formatCode>General</c:formatCode>
                <c:ptCount val="5"/>
                <c:pt idx="0">
                  <c:v>2013</c:v>
                </c:pt>
                <c:pt idx="1">
                  <c:v>2014</c:v>
                </c:pt>
                <c:pt idx="2">
                  <c:v>2015</c:v>
                </c:pt>
                <c:pt idx="3">
                  <c:v>2016</c:v>
                </c:pt>
                <c:pt idx="4">
                  <c:v>2017</c:v>
                </c:pt>
              </c:numCache>
            </c:numRef>
          </c:cat>
          <c:val>
            <c:numRef>
              <c:f>Sheet2!$B$213:$B$217</c:f>
              <c:numCache>
                <c:formatCode>0.00%</c:formatCode>
                <c:ptCount val="5"/>
                <c:pt idx="0">
                  <c:v>0.25053402186355012</c:v>
                </c:pt>
                <c:pt idx="1">
                  <c:v>-7.0992902625249751E-2</c:v>
                </c:pt>
                <c:pt idx="2">
                  <c:v>-3.1547090071399525E-2</c:v>
                </c:pt>
                <c:pt idx="3">
                  <c:v>0.19183508383219208</c:v>
                </c:pt>
                <c:pt idx="4">
                  <c:v>-0.42746362393039172</c:v>
                </c:pt>
              </c:numCache>
            </c:numRef>
          </c:val>
          <c:smooth val="0"/>
        </c:ser>
        <c:dLbls>
          <c:showLegendKey val="0"/>
          <c:showVal val="0"/>
          <c:showCatName val="0"/>
          <c:showSerName val="0"/>
          <c:showPercent val="0"/>
          <c:showBubbleSize val="0"/>
        </c:dLbls>
        <c:marker val="1"/>
        <c:smooth val="0"/>
        <c:axId val="108655744"/>
        <c:axId val="108657664"/>
      </c:lineChart>
      <c:catAx>
        <c:axId val="108655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7664"/>
        <c:crosses val="autoZero"/>
        <c:auto val="1"/>
        <c:lblAlgn val="ctr"/>
        <c:lblOffset val="100"/>
        <c:noMultiLvlLbl val="0"/>
      </c:catAx>
      <c:valAx>
        <c:axId val="10865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5744"/>
        <c:crosses val="autoZero"/>
        <c:crossBetween val="between"/>
      </c:valAx>
      <c:spPr>
        <a:noFill/>
        <a:ln>
          <a:noFill/>
        </a:ln>
        <a:effectLst/>
      </c:spPr>
    </c:plotArea>
    <c:legend>
      <c:legendPos val="r"/>
      <c:layout>
        <c:manualLayout>
          <c:xMode val="edge"/>
          <c:yMode val="edge"/>
          <c:x val="0.79615179352580945"/>
          <c:y val="0.49615667833187538"/>
          <c:w val="0.18718153980752408"/>
          <c:h val="0.23495479731700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Investment in Subsidiaries</c:v>
          </c:tx>
          <c:spPr>
            <a:ln w="28575" cap="rnd">
              <a:solidFill>
                <a:schemeClr val="accent1"/>
              </a:solidFill>
              <a:round/>
            </a:ln>
            <a:effectLst/>
          </c:spPr>
          <c:marker>
            <c:symbol val="none"/>
          </c:marker>
          <c:cat>
            <c:numRef>
              <c:f>Sheet2!$A$221:$A$225</c:f>
              <c:numCache>
                <c:formatCode>General</c:formatCode>
                <c:ptCount val="5"/>
                <c:pt idx="0">
                  <c:v>2013</c:v>
                </c:pt>
                <c:pt idx="1">
                  <c:v>2014</c:v>
                </c:pt>
                <c:pt idx="2">
                  <c:v>2015</c:v>
                </c:pt>
                <c:pt idx="3">
                  <c:v>2016</c:v>
                </c:pt>
                <c:pt idx="4">
                  <c:v>2017</c:v>
                </c:pt>
              </c:numCache>
            </c:numRef>
          </c:cat>
          <c:val>
            <c:numRef>
              <c:f>Sheet2!$B$221:$B$225</c:f>
              <c:numCache>
                <c:formatCode>0.00%</c:formatCode>
                <c:ptCount val="5"/>
                <c:pt idx="0">
                  <c:v>2.3571428571428572</c:v>
                </c:pt>
                <c:pt idx="1">
                  <c:v>0</c:v>
                </c:pt>
                <c:pt idx="2">
                  <c:v>0</c:v>
                </c:pt>
                <c:pt idx="3">
                  <c:v>1.5319148936170208</c:v>
                </c:pt>
                <c:pt idx="4">
                  <c:v>0</c:v>
                </c:pt>
              </c:numCache>
            </c:numRef>
          </c:val>
          <c:smooth val="0"/>
        </c:ser>
        <c:dLbls>
          <c:showLegendKey val="0"/>
          <c:showVal val="0"/>
          <c:showCatName val="0"/>
          <c:showSerName val="0"/>
          <c:showPercent val="0"/>
          <c:showBubbleSize val="0"/>
        </c:dLbls>
        <c:marker val="1"/>
        <c:smooth val="0"/>
        <c:axId val="108682624"/>
        <c:axId val="108725760"/>
      </c:lineChart>
      <c:catAx>
        <c:axId val="108682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25760"/>
        <c:crosses val="autoZero"/>
        <c:auto val="1"/>
        <c:lblAlgn val="ctr"/>
        <c:lblOffset val="100"/>
        <c:noMultiLvlLbl val="0"/>
      </c:catAx>
      <c:valAx>
        <c:axId val="108725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82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963280752696623"/>
          <c:y val="0.17171296296296301"/>
          <c:w val="0.66904822943643705"/>
          <c:h val="0.62271617089530451"/>
        </c:manualLayout>
      </c:layout>
      <c:lineChart>
        <c:grouping val="standard"/>
        <c:varyColors val="0"/>
        <c:ser>
          <c:idx val="0"/>
          <c:order val="0"/>
          <c:tx>
            <c:v>Investment in City Brokerage Limited</c:v>
          </c:tx>
          <c:spPr>
            <a:ln w="28575" cap="rnd">
              <a:solidFill>
                <a:schemeClr val="accent1"/>
              </a:solidFill>
              <a:round/>
            </a:ln>
            <a:effectLst/>
          </c:spPr>
          <c:marker>
            <c:symbol val="none"/>
          </c:marker>
          <c:cat>
            <c:numRef>
              <c:f>Sheet2!$A$229:$A$233</c:f>
              <c:numCache>
                <c:formatCode>General</c:formatCode>
                <c:ptCount val="5"/>
                <c:pt idx="0">
                  <c:v>2013</c:v>
                </c:pt>
                <c:pt idx="1">
                  <c:v>2014</c:v>
                </c:pt>
                <c:pt idx="2">
                  <c:v>2015</c:v>
                </c:pt>
                <c:pt idx="3">
                  <c:v>2016</c:v>
                </c:pt>
                <c:pt idx="4">
                  <c:v>2017</c:v>
                </c:pt>
              </c:numCache>
            </c:numRef>
          </c:cat>
          <c:val>
            <c:numRef>
              <c:f>Sheet2!$B$229:$B$233</c:f>
              <c:numCache>
                <c:formatCode>0.00%</c:formatCode>
                <c:ptCount val="5"/>
                <c:pt idx="0">
                  <c:v>1.6666666666666667</c:v>
                </c:pt>
                <c:pt idx="1">
                  <c:v>0</c:v>
                </c:pt>
                <c:pt idx="2">
                  <c:v>0</c:v>
                </c:pt>
                <c:pt idx="3">
                  <c:v>1.125</c:v>
                </c:pt>
                <c:pt idx="4">
                  <c:v>0</c:v>
                </c:pt>
              </c:numCache>
            </c:numRef>
          </c:val>
          <c:smooth val="0"/>
        </c:ser>
        <c:dLbls>
          <c:showLegendKey val="0"/>
          <c:showVal val="0"/>
          <c:showCatName val="0"/>
          <c:showSerName val="0"/>
          <c:showPercent val="0"/>
          <c:showBubbleSize val="0"/>
        </c:dLbls>
        <c:marker val="1"/>
        <c:smooth val="0"/>
        <c:axId val="108750720"/>
        <c:axId val="108769280"/>
      </c:lineChart>
      <c:catAx>
        <c:axId val="108750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69280"/>
        <c:crosses val="autoZero"/>
        <c:auto val="1"/>
        <c:lblAlgn val="ctr"/>
        <c:lblOffset val="100"/>
        <c:noMultiLvlLbl val="0"/>
      </c:catAx>
      <c:valAx>
        <c:axId val="10876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50720"/>
        <c:crosses val="autoZero"/>
        <c:crossBetween val="between"/>
      </c:valAx>
      <c:spPr>
        <a:noFill/>
        <a:ln>
          <a:noFill/>
        </a:ln>
        <a:effectLst/>
      </c:spPr>
    </c:plotArea>
    <c:legend>
      <c:legendPos val="r"/>
      <c:layout>
        <c:manualLayout>
          <c:xMode val="edge"/>
          <c:yMode val="edge"/>
          <c:x val="0.81868103696340322"/>
          <c:y val="0.49615667833187538"/>
          <c:w val="0.1680299264917467"/>
          <c:h val="0.2118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Investment in City Capital Resources Limited</c:v>
          </c:tx>
          <c:spPr>
            <a:solidFill>
              <a:schemeClr val="accent1"/>
            </a:solidFill>
            <a:ln>
              <a:noFill/>
            </a:ln>
            <a:effectLst/>
          </c:spPr>
          <c:invertIfNegative val="0"/>
          <c:cat>
            <c:numRef>
              <c:f>Sheet2!$A$237:$A$241</c:f>
              <c:numCache>
                <c:formatCode>General</c:formatCode>
                <c:ptCount val="5"/>
                <c:pt idx="0">
                  <c:v>2013</c:v>
                </c:pt>
                <c:pt idx="1">
                  <c:v>2014</c:v>
                </c:pt>
                <c:pt idx="2">
                  <c:v>2015</c:v>
                </c:pt>
                <c:pt idx="3">
                  <c:v>2016</c:v>
                </c:pt>
                <c:pt idx="4">
                  <c:v>2017</c:v>
                </c:pt>
              </c:numCache>
            </c:numRef>
          </c:cat>
          <c:val>
            <c:numRef>
              <c:f>Sheet2!$B$237:$B$241</c:f>
              <c:numCache>
                <c:formatCode>0.00%</c:formatCode>
                <c:ptCount val="5"/>
                <c:pt idx="0">
                  <c:v>6.5</c:v>
                </c:pt>
                <c:pt idx="1">
                  <c:v>0</c:v>
                </c:pt>
                <c:pt idx="2">
                  <c:v>0</c:v>
                </c:pt>
                <c:pt idx="3">
                  <c:v>2.4</c:v>
                </c:pt>
                <c:pt idx="4">
                  <c:v>0</c:v>
                </c:pt>
              </c:numCache>
            </c:numRef>
          </c:val>
        </c:ser>
        <c:dLbls>
          <c:showLegendKey val="0"/>
          <c:showVal val="0"/>
          <c:showCatName val="0"/>
          <c:showSerName val="0"/>
          <c:showPercent val="0"/>
          <c:showBubbleSize val="0"/>
        </c:dLbls>
        <c:gapWidth val="219"/>
        <c:overlap val="-27"/>
        <c:axId val="108814720"/>
        <c:axId val="108816640"/>
      </c:barChart>
      <c:catAx>
        <c:axId val="108814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16640"/>
        <c:crosses val="autoZero"/>
        <c:auto val="1"/>
        <c:lblAlgn val="ctr"/>
        <c:lblOffset val="100"/>
        <c:noMultiLvlLbl val="0"/>
      </c:catAx>
      <c:valAx>
        <c:axId val="10881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14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Investment Classified as per Bangladesh Bank Circular</a:t>
            </a:r>
          </a:p>
        </c:rich>
      </c:tx>
      <c:overlay val="0"/>
      <c:spPr>
        <a:noFill/>
        <a:ln>
          <a:noFill/>
        </a:ln>
        <a:effectLst/>
      </c:spPr>
    </c:title>
    <c:autoTitleDeleted val="0"/>
    <c:plotArea>
      <c:layout/>
      <c:barChart>
        <c:barDir val="col"/>
        <c:grouping val="clustered"/>
        <c:varyColors val="0"/>
        <c:ser>
          <c:idx val="0"/>
          <c:order val="0"/>
          <c:tx>
            <c:v>Held for Trading</c:v>
          </c:tx>
          <c:spPr>
            <a:solidFill>
              <a:schemeClr val="accent1"/>
            </a:solidFill>
            <a:ln>
              <a:noFill/>
            </a:ln>
            <a:effectLst/>
          </c:spPr>
          <c:invertIfNegative val="0"/>
          <c:cat>
            <c:numRef>
              <c:f>Sheet2!$A$3:$A$7</c:f>
              <c:numCache>
                <c:formatCode>General</c:formatCode>
                <c:ptCount val="5"/>
                <c:pt idx="0">
                  <c:v>2013</c:v>
                </c:pt>
                <c:pt idx="1">
                  <c:v>2014</c:v>
                </c:pt>
                <c:pt idx="2">
                  <c:v>2015</c:v>
                </c:pt>
                <c:pt idx="3">
                  <c:v>2016</c:v>
                </c:pt>
                <c:pt idx="4">
                  <c:v>2017</c:v>
                </c:pt>
              </c:numCache>
            </c:numRef>
          </c:cat>
          <c:val>
            <c:numRef>
              <c:f>Sheet2!$B$3:$B$7</c:f>
              <c:numCache>
                <c:formatCode>0.00%</c:formatCode>
                <c:ptCount val="5"/>
                <c:pt idx="0">
                  <c:v>4.5809190652576328</c:v>
                </c:pt>
                <c:pt idx="1">
                  <c:v>1.4617211423448051</c:v>
                </c:pt>
                <c:pt idx="2">
                  <c:v>-0.63870765641328497</c:v>
                </c:pt>
                <c:pt idx="3">
                  <c:v>1.1700569362553546</c:v>
                </c:pt>
                <c:pt idx="4">
                  <c:v>-0.67906843395663663</c:v>
                </c:pt>
              </c:numCache>
            </c:numRef>
          </c:val>
        </c:ser>
        <c:ser>
          <c:idx val="1"/>
          <c:order val="1"/>
          <c:tx>
            <c:v>Held to Maturity</c:v>
          </c:tx>
          <c:spPr>
            <a:solidFill>
              <a:schemeClr val="accent2"/>
            </a:solidFill>
            <a:ln>
              <a:noFill/>
            </a:ln>
            <a:effectLst/>
          </c:spPr>
          <c:invertIfNegative val="0"/>
          <c:val>
            <c:numRef>
              <c:f>Sheet2!$B$11:$B$15</c:f>
              <c:numCache>
                <c:formatCode>0.00%</c:formatCode>
                <c:ptCount val="5"/>
                <c:pt idx="0">
                  <c:v>-1.299479937797852E-2</c:v>
                </c:pt>
                <c:pt idx="1">
                  <c:v>-2.0928965137292405E-3</c:v>
                </c:pt>
                <c:pt idx="2">
                  <c:v>0.31011481984605438</c:v>
                </c:pt>
                <c:pt idx="3">
                  <c:v>-9.4945743902653298E-2</c:v>
                </c:pt>
                <c:pt idx="4">
                  <c:v>0.35558133619136845</c:v>
                </c:pt>
              </c:numCache>
            </c:numRef>
          </c:val>
        </c:ser>
        <c:ser>
          <c:idx val="2"/>
          <c:order val="2"/>
          <c:tx>
            <c:v>Reverse Repo</c:v>
          </c:tx>
          <c:spPr>
            <a:solidFill>
              <a:schemeClr val="accent3"/>
            </a:solidFill>
            <a:ln>
              <a:noFill/>
            </a:ln>
            <a:effectLst/>
          </c:spPr>
          <c:invertIfNegative val="0"/>
          <c:val>
            <c:numRef>
              <c:f>Sheet2!$B$19:$B$23</c:f>
              <c:numCache>
                <c:formatCode>0.00%</c:formatCode>
                <c:ptCount val="5"/>
                <c:pt idx="0">
                  <c:v>1.2660751030318083</c:v>
                </c:pt>
                <c:pt idx="1">
                  <c:v>-0.693431709876977</c:v>
                </c:pt>
                <c:pt idx="2">
                  <c:v>-0.89972973542972545</c:v>
                </c:pt>
                <c:pt idx="3">
                  <c:v>-1</c:v>
                </c:pt>
                <c:pt idx="4">
                  <c:v>0</c:v>
                </c:pt>
              </c:numCache>
            </c:numRef>
          </c:val>
        </c:ser>
        <c:ser>
          <c:idx val="3"/>
          <c:order val="3"/>
          <c:tx>
            <c:v>Other Securities</c:v>
          </c:tx>
          <c:spPr>
            <a:solidFill>
              <a:schemeClr val="accent4"/>
            </a:solidFill>
            <a:ln>
              <a:noFill/>
            </a:ln>
            <a:effectLst/>
          </c:spPr>
          <c:invertIfNegative val="0"/>
          <c:val>
            <c:numRef>
              <c:f>Sheet2!$B$27:$B$31</c:f>
              <c:numCache>
                <c:formatCode>0.00%</c:formatCode>
                <c:ptCount val="5"/>
                <c:pt idx="0">
                  <c:v>-1.906288167689859E-2</c:v>
                </c:pt>
                <c:pt idx="1">
                  <c:v>0.12706311340821866</c:v>
                </c:pt>
                <c:pt idx="2">
                  <c:v>-3.0689085406022412E-2</c:v>
                </c:pt>
                <c:pt idx="3">
                  <c:v>-0.51592562905068928</c:v>
                </c:pt>
                <c:pt idx="4">
                  <c:v>0.43036717763565729</c:v>
                </c:pt>
              </c:numCache>
            </c:numRef>
          </c:val>
        </c:ser>
        <c:dLbls>
          <c:showLegendKey val="0"/>
          <c:showVal val="0"/>
          <c:showCatName val="0"/>
          <c:showSerName val="0"/>
          <c:showPercent val="0"/>
          <c:showBubbleSize val="0"/>
        </c:dLbls>
        <c:gapWidth val="219"/>
        <c:overlap val="-27"/>
        <c:axId val="108995712"/>
        <c:axId val="108997632"/>
      </c:barChart>
      <c:catAx>
        <c:axId val="108995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997632"/>
        <c:crosses val="autoZero"/>
        <c:auto val="1"/>
        <c:lblAlgn val="ctr"/>
        <c:lblOffset val="100"/>
        <c:noMultiLvlLbl val="0"/>
      </c:catAx>
      <c:valAx>
        <c:axId val="108997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9957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Generally Investment</a:t>
            </a:r>
            <a:r>
              <a:rPr lang="en-US" baseline="0"/>
              <a:t> Classification</a:t>
            </a:r>
            <a:endParaRPr lang="en-US"/>
          </a:p>
        </c:rich>
      </c:tx>
      <c:overlay val="0"/>
      <c:spPr>
        <a:noFill/>
        <a:ln>
          <a:noFill/>
        </a:ln>
        <a:effectLst/>
      </c:spPr>
    </c:title>
    <c:autoTitleDeleted val="0"/>
    <c:plotArea>
      <c:layout/>
      <c:barChart>
        <c:barDir val="col"/>
        <c:grouping val="clustered"/>
        <c:varyColors val="0"/>
        <c:ser>
          <c:idx val="0"/>
          <c:order val="0"/>
          <c:tx>
            <c:v>Government Securities</c:v>
          </c:tx>
          <c:spPr>
            <a:solidFill>
              <a:schemeClr val="accent1"/>
            </a:solidFill>
            <a:ln>
              <a:noFill/>
            </a:ln>
            <a:effectLst/>
          </c:spPr>
          <c:invertIfNegative val="0"/>
          <c:cat>
            <c:numRef>
              <c:f>Sheet2!$A$43:$A$47</c:f>
              <c:numCache>
                <c:formatCode>General</c:formatCode>
                <c:ptCount val="5"/>
                <c:pt idx="0">
                  <c:v>2013</c:v>
                </c:pt>
                <c:pt idx="1">
                  <c:v>2014</c:v>
                </c:pt>
                <c:pt idx="2">
                  <c:v>2015</c:v>
                </c:pt>
                <c:pt idx="3">
                  <c:v>2016</c:v>
                </c:pt>
                <c:pt idx="4">
                  <c:v>2017</c:v>
                </c:pt>
              </c:numCache>
            </c:numRef>
          </c:cat>
          <c:val>
            <c:numRef>
              <c:f>Sheet2!$B$43:$B$47</c:f>
              <c:numCache>
                <c:formatCode>0.00%</c:formatCode>
                <c:ptCount val="5"/>
                <c:pt idx="0">
                  <c:v>0.40058095063534033</c:v>
                </c:pt>
                <c:pt idx="1">
                  <c:v>7.4834319320000772E-2</c:v>
                </c:pt>
                <c:pt idx="2">
                  <c:v>-0.16669263190218039</c:v>
                </c:pt>
                <c:pt idx="3">
                  <c:v>0.11971625267041656</c:v>
                </c:pt>
                <c:pt idx="4">
                  <c:v>2.2955698386958379E-3</c:v>
                </c:pt>
              </c:numCache>
            </c:numRef>
          </c:val>
        </c:ser>
        <c:ser>
          <c:idx val="1"/>
          <c:order val="1"/>
          <c:tx>
            <c:v>Other Securities</c:v>
          </c:tx>
          <c:spPr>
            <a:solidFill>
              <a:schemeClr val="accent2"/>
            </a:solidFill>
            <a:ln>
              <a:noFill/>
            </a:ln>
            <a:effectLst/>
          </c:spPr>
          <c:invertIfNegative val="0"/>
          <c:val>
            <c:numRef>
              <c:f>Sheet2!$B$123:$B$127</c:f>
              <c:numCache>
                <c:formatCode>0.00%</c:formatCode>
                <c:ptCount val="5"/>
                <c:pt idx="0">
                  <c:v>-1.906288167689859E-2</c:v>
                </c:pt>
                <c:pt idx="1">
                  <c:v>0.12706311340821866</c:v>
                </c:pt>
                <c:pt idx="2">
                  <c:v>-3.0689085406022412E-2</c:v>
                </c:pt>
                <c:pt idx="3">
                  <c:v>-0.51592562905068928</c:v>
                </c:pt>
                <c:pt idx="4">
                  <c:v>0.43036717763565729</c:v>
                </c:pt>
              </c:numCache>
            </c:numRef>
          </c:val>
        </c:ser>
        <c:dLbls>
          <c:showLegendKey val="0"/>
          <c:showVal val="0"/>
          <c:showCatName val="0"/>
          <c:showSerName val="0"/>
          <c:showPercent val="0"/>
          <c:showBubbleSize val="0"/>
        </c:dLbls>
        <c:gapWidth val="219"/>
        <c:overlap val="-27"/>
        <c:axId val="109027712"/>
        <c:axId val="109029632"/>
      </c:barChart>
      <c:catAx>
        <c:axId val="109027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29632"/>
        <c:crosses val="autoZero"/>
        <c:auto val="1"/>
        <c:lblAlgn val="ctr"/>
        <c:lblOffset val="100"/>
        <c:noMultiLvlLbl val="0"/>
      </c:catAx>
      <c:valAx>
        <c:axId val="109029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277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Maturitywise Classification </a:t>
            </a:r>
          </a:p>
        </c:rich>
      </c:tx>
      <c:overlay val="0"/>
      <c:spPr>
        <a:noFill/>
        <a:ln>
          <a:noFill/>
        </a:ln>
        <a:effectLst/>
      </c:spPr>
    </c:title>
    <c:autoTitleDeleted val="0"/>
    <c:plotArea>
      <c:layout>
        <c:manualLayout>
          <c:layoutTarget val="inner"/>
          <c:xMode val="edge"/>
          <c:yMode val="edge"/>
          <c:x val="0.15677648153512597"/>
          <c:y val="0.18452736318407967"/>
          <c:w val="0.63345289196709953"/>
          <c:h val="0.68509930661652385"/>
        </c:manualLayout>
      </c:layout>
      <c:barChart>
        <c:barDir val="col"/>
        <c:grouping val="clustered"/>
        <c:varyColors val="0"/>
        <c:ser>
          <c:idx val="0"/>
          <c:order val="0"/>
          <c:tx>
            <c:v>On Demand</c:v>
          </c:tx>
          <c:spPr>
            <a:solidFill>
              <a:schemeClr val="accent1"/>
            </a:solidFill>
            <a:ln>
              <a:noFill/>
            </a:ln>
            <a:effectLst/>
          </c:spPr>
          <c:invertIfNegative val="0"/>
          <c:cat>
            <c:numRef>
              <c:f>Sheet2!$A$181:$A$185</c:f>
              <c:numCache>
                <c:formatCode>General</c:formatCode>
                <c:ptCount val="5"/>
                <c:pt idx="0">
                  <c:v>2013</c:v>
                </c:pt>
                <c:pt idx="1">
                  <c:v>2014</c:v>
                </c:pt>
                <c:pt idx="2">
                  <c:v>2015</c:v>
                </c:pt>
                <c:pt idx="3">
                  <c:v>2016</c:v>
                </c:pt>
                <c:pt idx="4">
                  <c:v>2017</c:v>
                </c:pt>
              </c:numCache>
            </c:numRef>
          </c:cat>
          <c:val>
            <c:numRef>
              <c:f>Sheet2!$B$181:$B$185</c:f>
              <c:numCache>
                <c:formatCode>0.00%</c:formatCode>
                <c:ptCount val="5"/>
                <c:pt idx="0">
                  <c:v>0.18123508111004671</c:v>
                </c:pt>
                <c:pt idx="1">
                  <c:v>2.3946992191795882E-2</c:v>
                </c:pt>
                <c:pt idx="2">
                  <c:v>-1.8795478344923885E-2</c:v>
                </c:pt>
                <c:pt idx="3">
                  <c:v>-0.51405193881181077</c:v>
                </c:pt>
                <c:pt idx="4">
                  <c:v>-0.14165446559297226</c:v>
                </c:pt>
              </c:numCache>
            </c:numRef>
          </c:val>
        </c:ser>
        <c:ser>
          <c:idx val="1"/>
          <c:order val="1"/>
          <c:tx>
            <c:v>Over 1 month but less than 3 months</c:v>
          </c:tx>
          <c:spPr>
            <a:solidFill>
              <a:schemeClr val="accent2"/>
            </a:solidFill>
            <a:ln>
              <a:noFill/>
            </a:ln>
            <a:effectLst/>
          </c:spPr>
          <c:invertIfNegative val="0"/>
          <c:val>
            <c:numRef>
              <c:f>Sheet2!$B$189:$B$193</c:f>
              <c:numCache>
                <c:formatCode>0.00%</c:formatCode>
                <c:ptCount val="5"/>
                <c:pt idx="0">
                  <c:v>1.5021733173489507</c:v>
                </c:pt>
                <c:pt idx="1">
                  <c:v>-0.71719965948492981</c:v>
                </c:pt>
                <c:pt idx="2">
                  <c:v>-0.92093004984093441</c:v>
                </c:pt>
                <c:pt idx="3">
                  <c:v>6.1429053342057047</c:v>
                </c:pt>
                <c:pt idx="4">
                  <c:v>5.4030281249859407</c:v>
                </c:pt>
              </c:numCache>
            </c:numRef>
          </c:val>
        </c:ser>
        <c:ser>
          <c:idx val="2"/>
          <c:order val="2"/>
          <c:tx>
            <c:v>Over 3 months but less than 1 year</c:v>
          </c:tx>
          <c:spPr>
            <a:solidFill>
              <a:schemeClr val="accent3"/>
            </a:solidFill>
            <a:ln>
              <a:noFill/>
            </a:ln>
            <a:effectLst/>
          </c:spPr>
          <c:invertIfNegative val="0"/>
          <c:val>
            <c:numRef>
              <c:f>Sheet2!$B$197:$B$201</c:f>
              <c:numCache>
                <c:formatCode>0.00%</c:formatCode>
                <c:ptCount val="5"/>
                <c:pt idx="0">
                  <c:v>-0.23953360483557867</c:v>
                </c:pt>
                <c:pt idx="1">
                  <c:v>0.39255277238875802</c:v>
                </c:pt>
                <c:pt idx="2">
                  <c:v>1.9056030922200797</c:v>
                </c:pt>
                <c:pt idx="3">
                  <c:v>-0.30801484484278796</c:v>
                </c:pt>
                <c:pt idx="4">
                  <c:v>-0.71838761070273749</c:v>
                </c:pt>
              </c:numCache>
            </c:numRef>
          </c:val>
        </c:ser>
        <c:ser>
          <c:idx val="3"/>
          <c:order val="3"/>
          <c:tx>
            <c:v>Over 1 year but less than 5 years</c:v>
          </c:tx>
          <c:spPr>
            <a:solidFill>
              <a:schemeClr val="accent4"/>
            </a:solidFill>
            <a:ln>
              <a:noFill/>
            </a:ln>
            <a:effectLst/>
          </c:spPr>
          <c:invertIfNegative val="0"/>
          <c:val>
            <c:numRef>
              <c:f>Sheet2!$B$205:$B$209</c:f>
              <c:numCache>
                <c:formatCode>0.00%</c:formatCode>
                <c:ptCount val="5"/>
                <c:pt idx="0">
                  <c:v>-0.43754017177803722</c:v>
                </c:pt>
                <c:pt idx="1">
                  <c:v>3.6658437465701832</c:v>
                </c:pt>
                <c:pt idx="2">
                  <c:v>-0.46245429098804591</c:v>
                </c:pt>
                <c:pt idx="3">
                  <c:v>-0.38468758662492186</c:v>
                </c:pt>
                <c:pt idx="4">
                  <c:v>1.005963807701947</c:v>
                </c:pt>
              </c:numCache>
            </c:numRef>
          </c:val>
        </c:ser>
        <c:ser>
          <c:idx val="4"/>
          <c:order val="4"/>
          <c:tx>
            <c:v>Over 5 years</c:v>
          </c:tx>
          <c:spPr>
            <a:solidFill>
              <a:schemeClr val="accent5"/>
            </a:solidFill>
            <a:ln>
              <a:noFill/>
            </a:ln>
            <a:effectLst/>
          </c:spPr>
          <c:invertIfNegative val="0"/>
          <c:val>
            <c:numRef>
              <c:f>Sheet2!$B$213:$B$217</c:f>
              <c:numCache>
                <c:formatCode>0.00%</c:formatCode>
                <c:ptCount val="5"/>
                <c:pt idx="0">
                  <c:v>0.25053402186355012</c:v>
                </c:pt>
                <c:pt idx="1">
                  <c:v>-7.0992902625249751E-2</c:v>
                </c:pt>
                <c:pt idx="2">
                  <c:v>-3.1547090071399525E-2</c:v>
                </c:pt>
                <c:pt idx="3">
                  <c:v>0.19183508383219208</c:v>
                </c:pt>
                <c:pt idx="4">
                  <c:v>-0.42746362393039172</c:v>
                </c:pt>
              </c:numCache>
            </c:numRef>
          </c:val>
        </c:ser>
        <c:dLbls>
          <c:showLegendKey val="0"/>
          <c:showVal val="0"/>
          <c:showCatName val="0"/>
          <c:showSerName val="0"/>
          <c:showPercent val="0"/>
          <c:showBubbleSize val="0"/>
        </c:dLbls>
        <c:gapWidth val="219"/>
        <c:overlap val="-27"/>
        <c:axId val="109131648"/>
        <c:axId val="109142016"/>
      </c:barChart>
      <c:catAx>
        <c:axId val="10913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42016"/>
        <c:crosses val="autoZero"/>
        <c:auto val="1"/>
        <c:lblAlgn val="ctr"/>
        <c:lblOffset val="100"/>
        <c:noMultiLvlLbl val="0"/>
      </c:catAx>
      <c:valAx>
        <c:axId val="109142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31648"/>
        <c:crosses val="autoZero"/>
        <c:crossBetween val="between"/>
      </c:valAx>
      <c:spPr>
        <a:noFill/>
        <a:ln>
          <a:noFill/>
        </a:ln>
        <a:effectLst/>
      </c:spPr>
    </c:plotArea>
    <c:legend>
      <c:legendPos val="r"/>
      <c:layout>
        <c:manualLayout>
          <c:xMode val="edge"/>
          <c:yMode val="edge"/>
          <c:x val="0.80360729992363"/>
          <c:y val="0.25053316096681927"/>
          <c:w val="0.18301477365496541"/>
          <c:h val="0.673510400752144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976530803865822"/>
          <c:y val="0.17171296296296301"/>
          <c:w val="0.67030522183063224"/>
          <c:h val="0.62271617089530451"/>
        </c:manualLayout>
      </c:layout>
      <c:lineChart>
        <c:grouping val="standard"/>
        <c:varyColors val="0"/>
        <c:ser>
          <c:idx val="0"/>
          <c:order val="0"/>
          <c:tx>
            <c:v>Proportion of Financial Assets in term of Total Assets</c:v>
          </c:tx>
          <c:spPr>
            <a:ln w="28575" cap="rnd">
              <a:solidFill>
                <a:schemeClr val="accent1"/>
              </a:solidFill>
              <a:round/>
            </a:ln>
            <a:effectLst/>
          </c:spPr>
          <c:marker>
            <c:symbol val="none"/>
          </c:marker>
          <c:cat>
            <c:numRef>
              <c:f>Sheet2!$A$245:$A$249</c:f>
              <c:numCache>
                <c:formatCode>General</c:formatCode>
                <c:ptCount val="5"/>
                <c:pt idx="0">
                  <c:v>2013</c:v>
                </c:pt>
                <c:pt idx="1">
                  <c:v>2014</c:v>
                </c:pt>
                <c:pt idx="2">
                  <c:v>2015</c:v>
                </c:pt>
                <c:pt idx="3">
                  <c:v>2016</c:v>
                </c:pt>
                <c:pt idx="4">
                  <c:v>2017</c:v>
                </c:pt>
              </c:numCache>
            </c:numRef>
          </c:cat>
          <c:val>
            <c:numRef>
              <c:f>Sheet2!$B$245:$B$249</c:f>
              <c:numCache>
                <c:formatCode>0.00%</c:formatCode>
                <c:ptCount val="5"/>
                <c:pt idx="0">
                  <c:v>0.13277953046279761</c:v>
                </c:pt>
                <c:pt idx="1">
                  <c:v>0.20177371953052314</c:v>
                </c:pt>
                <c:pt idx="2">
                  <c:v>0.21222947435598591</c:v>
                </c:pt>
                <c:pt idx="3">
                  <c:v>0.18588652663745023</c:v>
                </c:pt>
                <c:pt idx="4">
                  <c:v>8.1463881327034277E-2</c:v>
                </c:pt>
              </c:numCache>
            </c:numRef>
          </c:val>
          <c:smooth val="0"/>
        </c:ser>
        <c:dLbls>
          <c:showLegendKey val="0"/>
          <c:showVal val="0"/>
          <c:showCatName val="0"/>
          <c:showSerName val="0"/>
          <c:showPercent val="0"/>
          <c:showBubbleSize val="0"/>
        </c:dLbls>
        <c:marker val="1"/>
        <c:smooth val="0"/>
        <c:axId val="109162880"/>
        <c:axId val="109164800"/>
      </c:lineChart>
      <c:catAx>
        <c:axId val="109162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64800"/>
        <c:crosses val="autoZero"/>
        <c:auto val="1"/>
        <c:lblAlgn val="ctr"/>
        <c:lblOffset val="100"/>
        <c:noMultiLvlLbl val="0"/>
      </c:catAx>
      <c:valAx>
        <c:axId val="10916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62880"/>
        <c:crosses val="autoZero"/>
        <c:crossBetween val="between"/>
      </c:valAx>
      <c:spPr>
        <a:noFill/>
        <a:ln>
          <a:noFill/>
        </a:ln>
        <a:effectLst/>
      </c:spPr>
    </c:plotArea>
    <c:legend>
      <c:legendPos val="r"/>
      <c:layout>
        <c:manualLayout>
          <c:xMode val="edge"/>
          <c:yMode val="edge"/>
          <c:x val="0.81228905455037792"/>
          <c:y val="0.34800853018372702"/>
          <c:w val="0.17883684672527422"/>
          <c:h val="0.314646499227122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976530803865822"/>
          <c:y val="0.18947637292464878"/>
          <c:w val="0.65229080142020535"/>
          <c:h val="0.58368680926378469"/>
        </c:manualLayout>
      </c:layout>
      <c:scatterChart>
        <c:scatterStyle val="lineMarker"/>
        <c:varyColors val="0"/>
        <c:ser>
          <c:idx val="0"/>
          <c:order val="0"/>
          <c:tx>
            <c:v>Proportion of Financial Assets in term of Total Liabilities</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Sheet2!$A$253:$A$257</c:f>
              <c:numCache>
                <c:formatCode>General</c:formatCode>
                <c:ptCount val="5"/>
                <c:pt idx="0">
                  <c:v>2013</c:v>
                </c:pt>
                <c:pt idx="1">
                  <c:v>2014</c:v>
                </c:pt>
                <c:pt idx="2">
                  <c:v>2015</c:v>
                </c:pt>
                <c:pt idx="3">
                  <c:v>2016</c:v>
                </c:pt>
                <c:pt idx="4">
                  <c:v>2017</c:v>
                </c:pt>
              </c:numCache>
            </c:numRef>
          </c:xVal>
          <c:yVal>
            <c:numRef>
              <c:f>Sheet2!$B$253:$B$257</c:f>
              <c:numCache>
                <c:formatCode>0.00%</c:formatCode>
                <c:ptCount val="5"/>
                <c:pt idx="0">
                  <c:v>0.14901098425193274</c:v>
                </c:pt>
                <c:pt idx="1">
                  <c:v>0.19514115934353768</c:v>
                </c:pt>
                <c:pt idx="2">
                  <c:v>0.22854892288265322</c:v>
                </c:pt>
                <c:pt idx="3">
                  <c:v>0.23657997255127799</c:v>
                </c:pt>
                <c:pt idx="4">
                  <c:v>7.0641480229320916E-2</c:v>
                </c:pt>
              </c:numCache>
            </c:numRef>
          </c:yVal>
          <c:smooth val="0"/>
        </c:ser>
        <c:dLbls>
          <c:showLegendKey val="0"/>
          <c:showVal val="1"/>
          <c:showCatName val="0"/>
          <c:showSerName val="0"/>
          <c:showPercent val="0"/>
          <c:showBubbleSize val="0"/>
        </c:dLbls>
        <c:axId val="109176704"/>
        <c:axId val="109298816"/>
      </c:scatterChart>
      <c:valAx>
        <c:axId val="109176704"/>
        <c:scaling>
          <c:orientation val="minMax"/>
          <c:max val="2017"/>
          <c:min val="2013"/>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98816"/>
        <c:crosses val="autoZero"/>
        <c:crossBetween val="midCat"/>
        <c:majorUnit val="1"/>
      </c:valAx>
      <c:valAx>
        <c:axId val="109298816"/>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76704"/>
        <c:crosses val="autoZero"/>
        <c:crossBetween val="midCat"/>
      </c:valAx>
      <c:spPr>
        <a:noFill/>
        <a:ln>
          <a:noFill/>
        </a:ln>
        <a:effectLst/>
      </c:spPr>
    </c:plotArea>
    <c:legend>
      <c:legendPos val="r"/>
      <c:layout>
        <c:manualLayout>
          <c:xMode val="edge"/>
          <c:yMode val="edge"/>
          <c:x val="0.80785200518820344"/>
          <c:y val="0.26587423698474494"/>
          <c:w val="0.17883684672527422"/>
          <c:h val="0.371648716324252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Growth Rate of Government Securities</a:t>
            </a:r>
          </a:p>
        </c:rich>
      </c:tx>
      <c:overlay val="0"/>
      <c:spPr>
        <a:noFill/>
        <a:ln>
          <a:noFill/>
        </a:ln>
        <a:effectLst/>
      </c:spPr>
    </c:title>
    <c:autoTitleDeleted val="0"/>
    <c:plotArea>
      <c:layout/>
      <c:lineChart>
        <c:grouping val="standard"/>
        <c:varyColors val="0"/>
        <c:ser>
          <c:idx val="0"/>
          <c:order val="0"/>
          <c:tx>
            <c:v>Growth Rate</c:v>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Sheet2!$A$43:$A$47</c:f>
              <c:numCache>
                <c:formatCode>General</c:formatCode>
                <c:ptCount val="5"/>
                <c:pt idx="0">
                  <c:v>2013</c:v>
                </c:pt>
                <c:pt idx="1">
                  <c:v>2014</c:v>
                </c:pt>
                <c:pt idx="2">
                  <c:v>2015</c:v>
                </c:pt>
                <c:pt idx="3">
                  <c:v>2016</c:v>
                </c:pt>
                <c:pt idx="4">
                  <c:v>2017</c:v>
                </c:pt>
              </c:numCache>
            </c:numRef>
          </c:cat>
          <c:val>
            <c:numRef>
              <c:f>Sheet2!$B$43:$B$47</c:f>
              <c:numCache>
                <c:formatCode>0.00%</c:formatCode>
                <c:ptCount val="5"/>
                <c:pt idx="0">
                  <c:v>0.40058095063534033</c:v>
                </c:pt>
                <c:pt idx="1">
                  <c:v>7.4834319320000772E-2</c:v>
                </c:pt>
                <c:pt idx="2">
                  <c:v>-0.16669263190218039</c:v>
                </c:pt>
                <c:pt idx="3">
                  <c:v>0.11971625267041656</c:v>
                </c:pt>
                <c:pt idx="4">
                  <c:v>2.2955698386958379E-3</c:v>
                </c:pt>
              </c:numCache>
            </c:numRef>
          </c:val>
          <c:smooth val="0"/>
        </c:ser>
        <c:dLbls>
          <c:showLegendKey val="0"/>
          <c:showVal val="1"/>
          <c:showCatName val="0"/>
          <c:showSerName val="0"/>
          <c:showPercent val="0"/>
          <c:showBubbleSize val="0"/>
        </c:dLbls>
        <c:marker val="1"/>
        <c:smooth val="0"/>
        <c:axId val="72193536"/>
        <c:axId val="72200960"/>
      </c:lineChart>
      <c:catAx>
        <c:axId val="7219353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2200960"/>
        <c:crosses val="autoZero"/>
        <c:auto val="1"/>
        <c:lblAlgn val="ctr"/>
        <c:lblOffset val="100"/>
        <c:noMultiLvlLbl val="0"/>
      </c:catAx>
      <c:valAx>
        <c:axId val="72200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Growth Rate</a:t>
                </a:r>
              </a:p>
            </c:rich>
          </c:tx>
          <c:overlay val="0"/>
          <c:spPr>
            <a:noFill/>
            <a:ln>
              <a:noFill/>
            </a:ln>
            <a:effectLst/>
          </c:spPr>
        </c:title>
        <c:numFmt formatCode="0.00%" sourceLinked="1"/>
        <c:majorTickMark val="none"/>
        <c:minorTickMark val="none"/>
        <c:tickLblPos val="nextTo"/>
        <c:crossAx val="721935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265069991251087"/>
          <c:y val="0.25083333333333324"/>
          <c:w val="0.6374967191601052"/>
          <c:h val="0.62784703995333935"/>
        </c:manualLayout>
      </c:layout>
      <c:barChart>
        <c:barDir val="col"/>
        <c:grouping val="clustered"/>
        <c:varyColors val="0"/>
        <c:ser>
          <c:idx val="0"/>
          <c:order val="0"/>
          <c:tx>
            <c:v>Interest Income on treasury bill/reverse repo/bonds</c:v>
          </c:tx>
          <c:spPr>
            <a:solidFill>
              <a:schemeClr val="accent1"/>
            </a:solidFill>
            <a:ln>
              <a:noFill/>
            </a:ln>
            <a:effectLst/>
          </c:spPr>
          <c:invertIfNegative val="0"/>
          <c:cat>
            <c:numRef>
              <c:f>Sheet2!$A$261:$A$265</c:f>
              <c:numCache>
                <c:formatCode>General</c:formatCode>
                <c:ptCount val="5"/>
                <c:pt idx="0">
                  <c:v>2013</c:v>
                </c:pt>
                <c:pt idx="1">
                  <c:v>2014</c:v>
                </c:pt>
                <c:pt idx="2">
                  <c:v>2015</c:v>
                </c:pt>
                <c:pt idx="3">
                  <c:v>2016</c:v>
                </c:pt>
                <c:pt idx="4">
                  <c:v>2017</c:v>
                </c:pt>
              </c:numCache>
            </c:numRef>
          </c:cat>
          <c:val>
            <c:numRef>
              <c:f>Sheet2!$B$261:$B$265</c:f>
              <c:numCache>
                <c:formatCode>0.00%</c:formatCode>
                <c:ptCount val="5"/>
                <c:pt idx="0">
                  <c:v>9.4357186821874217E-2</c:v>
                </c:pt>
                <c:pt idx="1">
                  <c:v>0.50934727909293442</c:v>
                </c:pt>
                <c:pt idx="2">
                  <c:v>0.12950473146712768</c:v>
                </c:pt>
                <c:pt idx="3">
                  <c:v>4.1721903581346295E-2</c:v>
                </c:pt>
                <c:pt idx="4">
                  <c:v>-0.33883773606597495</c:v>
                </c:pt>
              </c:numCache>
            </c:numRef>
          </c:val>
        </c:ser>
        <c:dLbls>
          <c:showLegendKey val="0"/>
          <c:showVal val="0"/>
          <c:showCatName val="0"/>
          <c:showSerName val="0"/>
          <c:showPercent val="0"/>
          <c:showBubbleSize val="0"/>
        </c:dLbls>
        <c:gapWidth val="219"/>
        <c:overlap val="-27"/>
        <c:axId val="109348352"/>
        <c:axId val="109350272"/>
      </c:barChart>
      <c:catAx>
        <c:axId val="109348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50272"/>
        <c:crosses val="autoZero"/>
        <c:auto val="1"/>
        <c:lblAlgn val="ctr"/>
        <c:lblOffset val="100"/>
        <c:noMultiLvlLbl val="0"/>
      </c:catAx>
      <c:valAx>
        <c:axId val="10935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48352"/>
        <c:crosses val="autoZero"/>
        <c:crossBetween val="between"/>
      </c:valAx>
      <c:spPr>
        <a:noFill/>
        <a:ln>
          <a:noFill/>
        </a:ln>
        <a:effectLst/>
      </c:spPr>
    </c:plotArea>
    <c:legend>
      <c:legendPos val="r"/>
      <c:layout>
        <c:manualLayout>
          <c:xMode val="edge"/>
          <c:yMode val="edge"/>
          <c:x val="0.82848075240594932"/>
          <c:y val="0.30886519393409173"/>
          <c:w val="0.15485258092738416"/>
          <c:h val="0.355325167687372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17171296296296301"/>
          <c:w val="0.58936242344706868"/>
          <c:h val="0.70696741032370991"/>
        </c:manualLayout>
      </c:layout>
      <c:lineChart>
        <c:grouping val="standard"/>
        <c:varyColors val="0"/>
        <c:ser>
          <c:idx val="0"/>
          <c:order val="0"/>
          <c:tx>
            <c:v>Interest on Debenture</c:v>
          </c:tx>
          <c:spPr>
            <a:ln w="28575" cap="rnd">
              <a:solidFill>
                <a:schemeClr val="accent1"/>
              </a:solidFill>
              <a:round/>
            </a:ln>
            <a:effectLst/>
          </c:spPr>
          <c:marker>
            <c:symbol val="none"/>
          </c:marker>
          <c:cat>
            <c:numRef>
              <c:f>Sheet2!$A$269:$A$273</c:f>
              <c:numCache>
                <c:formatCode>General</c:formatCode>
                <c:ptCount val="5"/>
                <c:pt idx="0">
                  <c:v>2013</c:v>
                </c:pt>
                <c:pt idx="1">
                  <c:v>2014</c:v>
                </c:pt>
                <c:pt idx="2">
                  <c:v>2015</c:v>
                </c:pt>
                <c:pt idx="3">
                  <c:v>2016</c:v>
                </c:pt>
                <c:pt idx="4">
                  <c:v>2017</c:v>
                </c:pt>
              </c:numCache>
            </c:numRef>
          </c:cat>
          <c:val>
            <c:numRef>
              <c:f>Sheet2!$B$269:$B$273</c:f>
              <c:numCache>
                <c:formatCode>0.00%</c:formatCode>
                <c:ptCount val="5"/>
                <c:pt idx="0">
                  <c:v>-0.32967430639324508</c:v>
                </c:pt>
                <c:pt idx="1">
                  <c:v>-0.47435666726651088</c:v>
                </c:pt>
                <c:pt idx="2">
                  <c:v>-0.59639849366655262</c:v>
                </c:pt>
                <c:pt idx="3">
                  <c:v>-1</c:v>
                </c:pt>
                <c:pt idx="4">
                  <c:v>0</c:v>
                </c:pt>
              </c:numCache>
            </c:numRef>
          </c:val>
          <c:smooth val="0"/>
        </c:ser>
        <c:dLbls>
          <c:showLegendKey val="0"/>
          <c:showVal val="0"/>
          <c:showCatName val="0"/>
          <c:showSerName val="0"/>
          <c:showPercent val="0"/>
          <c:showBubbleSize val="0"/>
        </c:dLbls>
        <c:marker val="1"/>
        <c:smooth val="0"/>
        <c:axId val="109375488"/>
        <c:axId val="109377408"/>
      </c:lineChart>
      <c:catAx>
        <c:axId val="109375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77408"/>
        <c:crosses val="autoZero"/>
        <c:auto val="1"/>
        <c:lblAlgn val="ctr"/>
        <c:lblOffset val="100"/>
        <c:noMultiLvlLbl val="0"/>
      </c:catAx>
      <c:valAx>
        <c:axId val="109377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75488"/>
        <c:crosses val="autoZero"/>
        <c:crossBetween val="between"/>
      </c:valAx>
      <c:spPr>
        <a:noFill/>
        <a:ln>
          <a:noFill/>
        </a:ln>
        <a:effectLst/>
      </c:spPr>
    </c:plotArea>
    <c:legend>
      <c:legendPos val="r"/>
      <c:layout>
        <c:manualLayout>
          <c:xMode val="edge"/>
          <c:yMode val="edge"/>
          <c:x val="0.77912423447069157"/>
          <c:y val="0.45188611840186654"/>
          <c:w val="0.20420909886264224"/>
          <c:h val="0.258681102362204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Dividend on Shares</c:v>
          </c:tx>
          <c:spPr>
            <a:solidFill>
              <a:schemeClr val="accent1"/>
            </a:solidFill>
            <a:ln>
              <a:noFill/>
            </a:ln>
            <a:effectLst/>
          </c:spPr>
          <c:invertIfNegative val="0"/>
          <c:cat>
            <c:numRef>
              <c:f>Sheet2!$A$277:$A$281</c:f>
              <c:numCache>
                <c:formatCode>General</c:formatCode>
                <c:ptCount val="5"/>
                <c:pt idx="0">
                  <c:v>2013</c:v>
                </c:pt>
                <c:pt idx="1">
                  <c:v>2014</c:v>
                </c:pt>
                <c:pt idx="2">
                  <c:v>2015</c:v>
                </c:pt>
                <c:pt idx="3">
                  <c:v>2016</c:v>
                </c:pt>
                <c:pt idx="4">
                  <c:v>2017</c:v>
                </c:pt>
              </c:numCache>
            </c:numRef>
          </c:cat>
          <c:val>
            <c:numRef>
              <c:f>Sheet2!$B$277:$B$281</c:f>
              <c:numCache>
                <c:formatCode>0.00%</c:formatCode>
                <c:ptCount val="5"/>
                <c:pt idx="0">
                  <c:v>-0.10096843644639042</c:v>
                </c:pt>
                <c:pt idx="1">
                  <c:v>0.83544228142076482</c:v>
                </c:pt>
                <c:pt idx="2">
                  <c:v>0.66686525083019832</c:v>
                </c:pt>
                <c:pt idx="3">
                  <c:v>0.51369711389772243</c:v>
                </c:pt>
                <c:pt idx="4">
                  <c:v>0.28495272423931928</c:v>
                </c:pt>
              </c:numCache>
            </c:numRef>
          </c:val>
        </c:ser>
        <c:dLbls>
          <c:showLegendKey val="0"/>
          <c:showVal val="0"/>
          <c:showCatName val="0"/>
          <c:showSerName val="0"/>
          <c:showPercent val="0"/>
          <c:showBubbleSize val="0"/>
        </c:dLbls>
        <c:gapWidth val="219"/>
        <c:overlap val="-27"/>
        <c:axId val="109431040"/>
        <c:axId val="109457792"/>
      </c:barChart>
      <c:catAx>
        <c:axId val="109431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57792"/>
        <c:crosses val="autoZero"/>
        <c:auto val="1"/>
        <c:lblAlgn val="ctr"/>
        <c:lblOffset val="100"/>
        <c:noMultiLvlLbl val="0"/>
      </c:catAx>
      <c:valAx>
        <c:axId val="109457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31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17171296296296301"/>
          <c:w val="0.57805686789151367"/>
          <c:h val="0.70696741032370991"/>
        </c:manualLayout>
      </c:layout>
      <c:lineChart>
        <c:grouping val="standard"/>
        <c:varyColors val="0"/>
        <c:ser>
          <c:idx val="0"/>
          <c:order val="0"/>
          <c:tx>
            <c:v>Gain on Government Securities</c:v>
          </c:tx>
          <c:spPr>
            <a:ln w="28575" cap="rnd">
              <a:solidFill>
                <a:schemeClr val="accent1"/>
              </a:solidFill>
              <a:round/>
            </a:ln>
            <a:effectLst/>
          </c:spPr>
          <c:marker>
            <c:symbol val="none"/>
          </c:marker>
          <c:cat>
            <c:numRef>
              <c:f>Sheet2!$A$285:$A$289</c:f>
              <c:numCache>
                <c:formatCode>General</c:formatCode>
                <c:ptCount val="5"/>
                <c:pt idx="0">
                  <c:v>2013</c:v>
                </c:pt>
                <c:pt idx="1">
                  <c:v>2014</c:v>
                </c:pt>
                <c:pt idx="2">
                  <c:v>2015</c:v>
                </c:pt>
                <c:pt idx="3">
                  <c:v>2016</c:v>
                </c:pt>
                <c:pt idx="4">
                  <c:v>2017</c:v>
                </c:pt>
              </c:numCache>
            </c:numRef>
          </c:cat>
          <c:val>
            <c:numRef>
              <c:f>Sheet2!$B$285:$B$289</c:f>
              <c:numCache>
                <c:formatCode>0.00%</c:formatCode>
                <c:ptCount val="5"/>
                <c:pt idx="0">
                  <c:v>-0.67275560572663362</c:v>
                </c:pt>
                <c:pt idx="1">
                  <c:v>0.28927999098571466</c:v>
                </c:pt>
                <c:pt idx="2">
                  <c:v>7.6134851956667395</c:v>
                </c:pt>
                <c:pt idx="3">
                  <c:v>-0.78002699303874168</c:v>
                </c:pt>
                <c:pt idx="4">
                  <c:v>0.25887060158472436</c:v>
                </c:pt>
              </c:numCache>
            </c:numRef>
          </c:val>
          <c:smooth val="0"/>
        </c:ser>
        <c:dLbls>
          <c:showLegendKey val="0"/>
          <c:showVal val="0"/>
          <c:showCatName val="0"/>
          <c:showSerName val="0"/>
          <c:showPercent val="0"/>
          <c:showBubbleSize val="0"/>
        </c:dLbls>
        <c:marker val="1"/>
        <c:smooth val="0"/>
        <c:axId val="109490944"/>
        <c:axId val="109492864"/>
      </c:lineChart>
      <c:catAx>
        <c:axId val="109490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92864"/>
        <c:crosses val="autoZero"/>
        <c:auto val="1"/>
        <c:lblAlgn val="ctr"/>
        <c:lblOffset val="100"/>
        <c:noMultiLvlLbl val="0"/>
      </c:catAx>
      <c:valAx>
        <c:axId val="109492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90944"/>
        <c:crosses val="autoZero"/>
        <c:crossBetween val="between"/>
      </c:valAx>
      <c:spPr>
        <a:noFill/>
        <a:ln>
          <a:noFill/>
        </a:ln>
        <a:effectLst/>
      </c:spPr>
    </c:plotArea>
    <c:legend>
      <c:legendPos val="r"/>
      <c:layout>
        <c:manualLayout>
          <c:xMode val="edge"/>
          <c:yMode val="edge"/>
          <c:x val="0.77892979002624674"/>
          <c:y val="0.41282334499854195"/>
          <c:w val="0.20440354330708665"/>
          <c:h val="0.225695538057742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4472222222222226E-2"/>
          <c:y val="0.17171296296296301"/>
          <c:w val="0.69972375328084013"/>
          <c:h val="0.62271617089530451"/>
        </c:manualLayout>
      </c:layout>
      <c:barChart>
        <c:barDir val="bar"/>
        <c:grouping val="clustered"/>
        <c:varyColors val="0"/>
        <c:ser>
          <c:idx val="0"/>
          <c:order val="0"/>
          <c:tx>
            <c:v>Gain on sale of shares and debenture</c:v>
          </c:tx>
          <c:spPr>
            <a:solidFill>
              <a:schemeClr val="accent1"/>
            </a:solidFill>
            <a:ln>
              <a:noFill/>
            </a:ln>
            <a:effectLst/>
          </c:spPr>
          <c:invertIfNegative val="0"/>
          <c:cat>
            <c:numRef>
              <c:f>Sheet2!$A$293:$A$297</c:f>
              <c:numCache>
                <c:formatCode>General</c:formatCode>
                <c:ptCount val="5"/>
                <c:pt idx="0">
                  <c:v>2013</c:v>
                </c:pt>
                <c:pt idx="1">
                  <c:v>2014</c:v>
                </c:pt>
                <c:pt idx="2">
                  <c:v>2015</c:v>
                </c:pt>
                <c:pt idx="3">
                  <c:v>2016</c:v>
                </c:pt>
                <c:pt idx="4">
                  <c:v>2017</c:v>
                </c:pt>
              </c:numCache>
            </c:numRef>
          </c:cat>
          <c:val>
            <c:numRef>
              <c:f>Sheet2!$B$293:$B$297</c:f>
              <c:numCache>
                <c:formatCode>0.00%</c:formatCode>
                <c:ptCount val="5"/>
                <c:pt idx="0">
                  <c:v>12.511021403204268</c:v>
                </c:pt>
                <c:pt idx="1">
                  <c:v>5.9346793766185399</c:v>
                </c:pt>
                <c:pt idx="2">
                  <c:v>-0.86273052944269435</c:v>
                </c:pt>
                <c:pt idx="3">
                  <c:v>28.03663021957874</c:v>
                </c:pt>
                <c:pt idx="4">
                  <c:v>-0.82056859469668941</c:v>
                </c:pt>
              </c:numCache>
            </c:numRef>
          </c:val>
        </c:ser>
        <c:dLbls>
          <c:showLegendKey val="0"/>
          <c:showVal val="0"/>
          <c:showCatName val="0"/>
          <c:showSerName val="0"/>
          <c:showPercent val="0"/>
          <c:showBubbleSize val="0"/>
        </c:dLbls>
        <c:gapWidth val="182"/>
        <c:axId val="109530112"/>
        <c:axId val="109540480"/>
      </c:barChart>
      <c:catAx>
        <c:axId val="109530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40480"/>
        <c:crosses val="autoZero"/>
        <c:auto val="1"/>
        <c:lblAlgn val="ctr"/>
        <c:lblOffset val="100"/>
        <c:noMultiLvlLbl val="0"/>
      </c:catAx>
      <c:valAx>
        <c:axId val="109540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30112"/>
        <c:crosses val="autoZero"/>
        <c:crossBetween val="between"/>
      </c:valAx>
      <c:spPr>
        <a:noFill/>
        <a:ln>
          <a:noFill/>
        </a:ln>
        <a:effectLst/>
      </c:spPr>
    </c:plotArea>
    <c:legend>
      <c:legendPos val="r"/>
      <c:layout>
        <c:manualLayout>
          <c:xMode val="edge"/>
          <c:yMode val="edge"/>
          <c:x val="0.83150853018372695"/>
          <c:y val="0.31097149314669015"/>
          <c:w val="0.15182480314960634"/>
          <c:h val="0.313658501020705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531736657917767"/>
          <c:y val="0.17171296296296301"/>
          <c:w val="0.6542097550306214"/>
          <c:h val="0.70696741032370991"/>
        </c:manualLayout>
      </c:layout>
      <c:lineChart>
        <c:grouping val="standard"/>
        <c:varyColors val="0"/>
        <c:ser>
          <c:idx val="0"/>
          <c:order val="0"/>
          <c:tx>
            <c:v>Gain on Repo</c:v>
          </c:tx>
          <c:spPr>
            <a:ln w="28575" cap="rnd">
              <a:solidFill>
                <a:schemeClr val="accent1"/>
              </a:solidFill>
              <a:round/>
            </a:ln>
            <a:effectLst/>
          </c:spPr>
          <c:marker>
            <c:symbol val="none"/>
          </c:marker>
          <c:cat>
            <c:numRef>
              <c:f>Sheet2!$A$301:$A$305</c:f>
              <c:numCache>
                <c:formatCode>General</c:formatCode>
                <c:ptCount val="5"/>
                <c:pt idx="0">
                  <c:v>2013</c:v>
                </c:pt>
                <c:pt idx="1">
                  <c:v>2014</c:v>
                </c:pt>
                <c:pt idx="2">
                  <c:v>2015</c:v>
                </c:pt>
                <c:pt idx="3">
                  <c:v>2016</c:v>
                </c:pt>
                <c:pt idx="4">
                  <c:v>2017</c:v>
                </c:pt>
              </c:numCache>
            </c:numRef>
          </c:cat>
          <c:val>
            <c:numRef>
              <c:f>Sheet2!$B$301:$B$305</c:f>
              <c:numCache>
                <c:formatCode>0.00%</c:formatCode>
                <c:ptCount val="5"/>
                <c:pt idx="0">
                  <c:v>0</c:v>
                </c:pt>
                <c:pt idx="1">
                  <c:v>3.1783914001998901</c:v>
                </c:pt>
                <c:pt idx="2">
                  <c:v>-1</c:v>
                </c:pt>
                <c:pt idx="3">
                  <c:v>0</c:v>
                </c:pt>
                <c:pt idx="4">
                  <c:v>0</c:v>
                </c:pt>
              </c:numCache>
            </c:numRef>
          </c:val>
          <c:smooth val="0"/>
        </c:ser>
        <c:dLbls>
          <c:showLegendKey val="0"/>
          <c:showVal val="0"/>
          <c:showCatName val="0"/>
          <c:showSerName val="0"/>
          <c:showPercent val="0"/>
          <c:showBubbleSize val="0"/>
        </c:dLbls>
        <c:marker val="1"/>
        <c:smooth val="0"/>
        <c:axId val="109577728"/>
        <c:axId val="109579648"/>
      </c:lineChart>
      <c:catAx>
        <c:axId val="109577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79648"/>
        <c:crosses val="autoZero"/>
        <c:auto val="1"/>
        <c:lblAlgn val="ctr"/>
        <c:lblOffset val="100"/>
        <c:noMultiLvlLbl val="0"/>
      </c:catAx>
      <c:valAx>
        <c:axId val="109579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77728"/>
        <c:crosses val="autoZero"/>
        <c:crossBetween val="between"/>
      </c:valAx>
      <c:spPr>
        <a:noFill/>
        <a:ln>
          <a:noFill/>
        </a:ln>
        <a:effectLst/>
      </c:spPr>
    </c:plotArea>
    <c:legend>
      <c:legendPos val="r"/>
      <c:layout>
        <c:manualLayout>
          <c:xMode val="edge"/>
          <c:yMode val="edge"/>
          <c:x val="0.8439715660542435"/>
          <c:y val="0.52133056284631041"/>
          <c:w val="0.13936176727909011"/>
          <c:h val="0.212384806065908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499781277340343"/>
          <c:y val="0.25083333333333324"/>
          <c:w val="0.65113538932633419"/>
          <c:h val="0.54359580052493461"/>
        </c:manualLayout>
      </c:layout>
      <c:barChart>
        <c:barDir val="col"/>
        <c:grouping val="clustered"/>
        <c:varyColors val="0"/>
        <c:ser>
          <c:idx val="0"/>
          <c:order val="0"/>
          <c:tx>
            <c:v>Proportion of Investment Income among Total Interest Income</c:v>
          </c:tx>
          <c:spPr>
            <a:solidFill>
              <a:schemeClr val="accent1"/>
            </a:solidFill>
            <a:ln>
              <a:noFill/>
            </a:ln>
            <a:effectLst/>
          </c:spPr>
          <c:invertIfNegative val="0"/>
          <c:cat>
            <c:numRef>
              <c:f>Sheet2!$A$309:$A$313</c:f>
              <c:numCache>
                <c:formatCode>General</c:formatCode>
                <c:ptCount val="5"/>
                <c:pt idx="0">
                  <c:v>2013</c:v>
                </c:pt>
                <c:pt idx="1">
                  <c:v>2014</c:v>
                </c:pt>
                <c:pt idx="2">
                  <c:v>2015</c:v>
                </c:pt>
                <c:pt idx="3">
                  <c:v>2016</c:v>
                </c:pt>
                <c:pt idx="4">
                  <c:v>2017</c:v>
                </c:pt>
              </c:numCache>
            </c:numRef>
          </c:cat>
          <c:val>
            <c:numRef>
              <c:f>Sheet2!$B$309:$B$313</c:f>
              <c:numCache>
                <c:formatCode>0.00%</c:formatCode>
                <c:ptCount val="5"/>
                <c:pt idx="0">
                  <c:v>0.20305513513994555</c:v>
                </c:pt>
                <c:pt idx="1">
                  <c:v>7.3923845978167299E-2</c:v>
                </c:pt>
                <c:pt idx="2">
                  <c:v>9.7074686943163763E-2</c:v>
                </c:pt>
                <c:pt idx="3">
                  <c:v>4.6142636163284866E-2</c:v>
                </c:pt>
                <c:pt idx="4">
                  <c:v>-4.0274244904183023E-3</c:v>
                </c:pt>
              </c:numCache>
            </c:numRef>
          </c:val>
        </c:ser>
        <c:dLbls>
          <c:showLegendKey val="0"/>
          <c:showVal val="0"/>
          <c:showCatName val="0"/>
          <c:showSerName val="0"/>
          <c:showPercent val="0"/>
          <c:showBubbleSize val="0"/>
        </c:dLbls>
        <c:gapWidth val="219"/>
        <c:overlap val="-27"/>
        <c:axId val="109637632"/>
        <c:axId val="109639552"/>
      </c:barChart>
      <c:catAx>
        <c:axId val="109637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639552"/>
        <c:crosses val="autoZero"/>
        <c:auto val="1"/>
        <c:lblAlgn val="ctr"/>
        <c:lblOffset val="100"/>
        <c:noMultiLvlLbl val="0"/>
      </c:catAx>
      <c:valAx>
        <c:axId val="109639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637632"/>
        <c:crosses val="autoZero"/>
        <c:crossBetween val="between"/>
      </c:valAx>
      <c:spPr>
        <a:noFill/>
        <a:ln>
          <a:noFill/>
        </a:ln>
        <a:effectLst/>
      </c:spPr>
    </c:plotArea>
    <c:legend>
      <c:legendPos val="r"/>
      <c:layout>
        <c:manualLayout>
          <c:xMode val="edge"/>
          <c:yMode val="edge"/>
          <c:x val="0.82891097987751516"/>
          <c:y val="0.38554316127150789"/>
          <c:w val="0.15442235345581809"/>
          <c:h val="0.43808034412365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Growth Rate of Prize</a:t>
            </a:r>
            <a:r>
              <a:rPr lang="en-US" baseline="0"/>
              <a:t> Bond</a:t>
            </a:r>
            <a:endParaRPr lang="en-US"/>
          </a:p>
        </c:rich>
      </c:tx>
      <c:overlay val="0"/>
      <c:spPr>
        <a:noFill/>
        <a:ln>
          <a:noFill/>
        </a:ln>
        <a:effectLst/>
      </c:spPr>
    </c:title>
    <c:autoTitleDeleted val="0"/>
    <c:plotArea>
      <c:layout/>
      <c:barChart>
        <c:barDir val="col"/>
        <c:grouping val="clustered"/>
        <c:varyColors val="0"/>
        <c:ser>
          <c:idx val="0"/>
          <c:order val="0"/>
          <c:tx>
            <c:v>Growth Rate</c:v>
          </c:tx>
          <c:spPr>
            <a:solidFill>
              <a:schemeClr val="accent1"/>
            </a:solidFill>
            <a:ln>
              <a:noFill/>
            </a:ln>
            <a:effectLst/>
          </c:spPr>
          <c:invertIfNegative val="0"/>
          <c:cat>
            <c:numRef>
              <c:f>Sheet2!$A$35:$A$39</c:f>
              <c:numCache>
                <c:formatCode>General</c:formatCode>
                <c:ptCount val="5"/>
                <c:pt idx="0">
                  <c:v>2013</c:v>
                </c:pt>
                <c:pt idx="1">
                  <c:v>2014</c:v>
                </c:pt>
                <c:pt idx="2">
                  <c:v>2015</c:v>
                </c:pt>
                <c:pt idx="3">
                  <c:v>2016</c:v>
                </c:pt>
                <c:pt idx="4">
                  <c:v>2017</c:v>
                </c:pt>
              </c:numCache>
            </c:numRef>
          </c:cat>
          <c:val>
            <c:numRef>
              <c:f>Sheet2!$B$35:$B$39</c:f>
              <c:numCache>
                <c:formatCode>0.00%</c:formatCode>
                <c:ptCount val="5"/>
                <c:pt idx="0">
                  <c:v>0.18123508111004671</c:v>
                </c:pt>
                <c:pt idx="1">
                  <c:v>2.3946992191795882E-2</c:v>
                </c:pt>
                <c:pt idx="2">
                  <c:v>-1.8795478344923885E-2</c:v>
                </c:pt>
                <c:pt idx="3">
                  <c:v>-0.51405193881181077</c:v>
                </c:pt>
                <c:pt idx="4">
                  <c:v>-0.14165446559297226</c:v>
                </c:pt>
              </c:numCache>
            </c:numRef>
          </c:val>
        </c:ser>
        <c:dLbls>
          <c:showLegendKey val="0"/>
          <c:showVal val="0"/>
          <c:showCatName val="0"/>
          <c:showSerName val="0"/>
          <c:showPercent val="0"/>
          <c:showBubbleSize val="0"/>
        </c:dLbls>
        <c:gapWidth val="219"/>
        <c:overlap val="-27"/>
        <c:axId val="72287360"/>
        <c:axId val="72289280"/>
      </c:barChart>
      <c:catAx>
        <c:axId val="72287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89280"/>
        <c:crosses val="autoZero"/>
        <c:auto val="1"/>
        <c:lblAlgn val="ctr"/>
        <c:lblOffset val="100"/>
        <c:noMultiLvlLbl val="0"/>
      </c:catAx>
      <c:valAx>
        <c:axId val="7228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8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Growth Rate </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Sheet2!$A$51:$A$55</c:f>
              <c:numCache>
                <c:formatCode>General</c:formatCode>
                <c:ptCount val="5"/>
                <c:pt idx="0">
                  <c:v>2013</c:v>
                </c:pt>
                <c:pt idx="1">
                  <c:v>2014</c:v>
                </c:pt>
                <c:pt idx="2">
                  <c:v>2015</c:v>
                </c:pt>
                <c:pt idx="3">
                  <c:v>2016</c:v>
                </c:pt>
                <c:pt idx="4">
                  <c:v>2017</c:v>
                </c:pt>
              </c:numCache>
            </c:numRef>
          </c:xVal>
          <c:yVal>
            <c:numRef>
              <c:f>Sheet2!$B$51:$B$55</c:f>
              <c:numCache>
                <c:formatCode>0.00%</c:formatCode>
                <c:ptCount val="5"/>
                <c:pt idx="0">
                  <c:v>0.40066703741906207</c:v>
                </c:pt>
                <c:pt idx="1">
                  <c:v>7.4851162267308979E-2</c:v>
                </c:pt>
                <c:pt idx="2">
                  <c:v>-0.16673926533752301</c:v>
                </c:pt>
                <c:pt idx="3">
                  <c:v>0.11995156606892446</c:v>
                </c:pt>
                <c:pt idx="4">
                  <c:v>2.3187607922582911E-3</c:v>
                </c:pt>
              </c:numCache>
            </c:numRef>
          </c:yVal>
          <c:smooth val="0"/>
        </c:ser>
        <c:dLbls>
          <c:showLegendKey val="0"/>
          <c:showVal val="0"/>
          <c:showCatName val="0"/>
          <c:showSerName val="0"/>
          <c:showPercent val="0"/>
          <c:showBubbleSize val="0"/>
        </c:dLbls>
        <c:axId val="72297472"/>
        <c:axId val="72316416"/>
      </c:scatterChart>
      <c:valAx>
        <c:axId val="72297472"/>
        <c:scaling>
          <c:orientation val="minMax"/>
          <c:max val="2017"/>
          <c:min val="201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6416"/>
        <c:crosses val="autoZero"/>
        <c:crossBetween val="midCat"/>
      </c:valAx>
      <c:valAx>
        <c:axId val="72316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9747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Percentage of total investment and total government bond over 91 days treasury bill</a:t>
            </a:r>
            <a:endParaRPr lang="en-US"/>
          </a:p>
        </c:rich>
      </c:tx>
      <c:overlay val="0"/>
      <c:spPr>
        <a:noFill/>
        <a:ln>
          <a:noFill/>
        </a:ln>
        <a:effectLst/>
      </c:spPr>
    </c:title>
    <c:autoTitleDeleted val="0"/>
    <c:plotArea>
      <c:layout/>
      <c:barChart>
        <c:barDir val="col"/>
        <c:grouping val="clustered"/>
        <c:varyColors val="0"/>
        <c:ser>
          <c:idx val="0"/>
          <c:order val="0"/>
          <c:tx>
            <c:v>Pecentage of total investment</c:v>
          </c:tx>
          <c:spPr>
            <a:solidFill>
              <a:schemeClr val="accent1"/>
            </a:solidFill>
            <a:ln>
              <a:noFill/>
            </a:ln>
            <a:effectLst/>
          </c:spPr>
          <c:invertIfNegative val="0"/>
          <c:cat>
            <c:numRef>
              <c:f>Sheet2!$A$59:$A$63</c:f>
              <c:numCache>
                <c:formatCode>General</c:formatCode>
                <c:ptCount val="5"/>
                <c:pt idx="0">
                  <c:v>2013</c:v>
                </c:pt>
                <c:pt idx="1">
                  <c:v>2014</c:v>
                </c:pt>
                <c:pt idx="2">
                  <c:v>2015</c:v>
                </c:pt>
                <c:pt idx="3">
                  <c:v>2016</c:v>
                </c:pt>
                <c:pt idx="4">
                  <c:v>2017</c:v>
                </c:pt>
              </c:numCache>
            </c:numRef>
          </c:cat>
          <c:val>
            <c:numRef>
              <c:f>Sheet2!$C$59:$C$63</c:f>
              <c:numCache>
                <c:formatCode>0.00%</c:formatCode>
                <c:ptCount val="5"/>
                <c:pt idx="0">
                  <c:v>7.5753300011905236E-2</c:v>
                </c:pt>
                <c:pt idx="1">
                  <c:v>6.91971067458301E-2</c:v>
                </c:pt>
                <c:pt idx="2">
                  <c:v>0</c:v>
                </c:pt>
                <c:pt idx="3">
                  <c:v>0</c:v>
                </c:pt>
                <c:pt idx="4">
                  <c:v>0.11676793082772825</c:v>
                </c:pt>
              </c:numCache>
            </c:numRef>
          </c:val>
        </c:ser>
        <c:ser>
          <c:idx val="1"/>
          <c:order val="1"/>
          <c:tx>
            <c:v>Percentage of total government bond</c:v>
          </c:tx>
          <c:spPr>
            <a:solidFill>
              <a:schemeClr val="accent2"/>
            </a:solidFill>
            <a:ln>
              <a:noFill/>
            </a:ln>
            <a:effectLst/>
          </c:spPr>
          <c:invertIfNegative val="0"/>
          <c:cat>
            <c:numRef>
              <c:f>Sheet2!$A$59:$A$63</c:f>
              <c:numCache>
                <c:formatCode>General</c:formatCode>
                <c:ptCount val="5"/>
                <c:pt idx="0">
                  <c:v>2013</c:v>
                </c:pt>
                <c:pt idx="1">
                  <c:v>2014</c:v>
                </c:pt>
                <c:pt idx="2">
                  <c:v>2015</c:v>
                </c:pt>
                <c:pt idx="3">
                  <c:v>2016</c:v>
                </c:pt>
                <c:pt idx="4">
                  <c:v>2017</c:v>
                </c:pt>
              </c:numCache>
            </c:numRef>
          </c:cat>
          <c:val>
            <c:numRef>
              <c:f>Sheet2!$D$59:$D$63</c:f>
              <c:numCache>
                <c:formatCode>0.00%</c:formatCode>
                <c:ptCount val="5"/>
                <c:pt idx="0">
                  <c:v>9.1311457576496627E-2</c:v>
                </c:pt>
                <c:pt idx="1">
                  <c:v>8.4096905815377071E-2</c:v>
                </c:pt>
                <c:pt idx="2">
                  <c:v>0</c:v>
                </c:pt>
                <c:pt idx="3">
                  <c:v>0</c:v>
                </c:pt>
                <c:pt idx="4">
                  <c:v>0.13479829712627325</c:v>
                </c:pt>
              </c:numCache>
            </c:numRef>
          </c:val>
        </c:ser>
        <c:dLbls>
          <c:showLegendKey val="0"/>
          <c:showVal val="0"/>
          <c:showCatName val="0"/>
          <c:showSerName val="0"/>
          <c:showPercent val="0"/>
          <c:showBubbleSize val="0"/>
        </c:dLbls>
        <c:gapWidth val="219"/>
        <c:overlap val="-27"/>
        <c:axId val="72346240"/>
        <c:axId val="72352512"/>
      </c:barChart>
      <c:catAx>
        <c:axId val="72346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52512"/>
        <c:crosses val="autoZero"/>
        <c:auto val="1"/>
        <c:lblAlgn val="ctr"/>
        <c:lblOffset val="100"/>
        <c:noMultiLvlLbl val="0"/>
      </c:catAx>
      <c:valAx>
        <c:axId val="7235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4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n-BD"/>
              <a:t>Investment in 91 days Treasury Bill</a:t>
            </a:r>
          </a:p>
        </c:rich>
      </c:tx>
      <c:overlay val="0"/>
      <c:spPr>
        <a:noFill/>
        <a:ln>
          <a:noFill/>
        </a:ln>
        <a:effectLst/>
      </c:spPr>
    </c:title>
    <c:autoTitleDeleted val="0"/>
    <c:plotArea>
      <c:layout/>
      <c:barChart>
        <c:barDir val="col"/>
        <c:grouping val="clustered"/>
        <c:varyColors val="0"/>
        <c:ser>
          <c:idx val="0"/>
          <c:order val="0"/>
          <c:tx>
            <c:v>Growth Rate</c:v>
          </c:tx>
          <c:spPr>
            <a:solidFill>
              <a:schemeClr val="accent1"/>
            </a:solidFill>
            <a:ln>
              <a:noFill/>
            </a:ln>
            <a:effectLst/>
          </c:spPr>
          <c:invertIfNegative val="0"/>
          <c:cat>
            <c:numRef>
              <c:f>Sheet2!$A$59:$A$63</c:f>
              <c:numCache>
                <c:formatCode>General</c:formatCode>
                <c:ptCount val="5"/>
                <c:pt idx="0">
                  <c:v>2013</c:v>
                </c:pt>
                <c:pt idx="1">
                  <c:v>2014</c:v>
                </c:pt>
                <c:pt idx="2">
                  <c:v>2015</c:v>
                </c:pt>
                <c:pt idx="3">
                  <c:v>2016</c:v>
                </c:pt>
                <c:pt idx="4">
                  <c:v>2017</c:v>
                </c:pt>
              </c:numCache>
            </c:numRef>
          </c:cat>
          <c:val>
            <c:numRef>
              <c:f>Sheet2!$B$59:$B$63</c:f>
              <c:numCache>
                <c:formatCode>0.00%</c:formatCode>
                <c:ptCount val="5"/>
                <c:pt idx="0">
                  <c:v>12.921635867819793</c:v>
                </c:pt>
                <c:pt idx="1">
                  <c:v>-1.0073222377198307E-2</c:v>
                </c:pt>
                <c:pt idx="2">
                  <c:v>-1</c:v>
                </c:pt>
                <c:pt idx="3">
                  <c:v>0</c:v>
                </c:pt>
                <c:pt idx="4">
                  <c:v>0</c:v>
                </c:pt>
              </c:numCache>
            </c:numRef>
          </c:val>
        </c:ser>
        <c:dLbls>
          <c:showLegendKey val="0"/>
          <c:showVal val="0"/>
          <c:showCatName val="0"/>
          <c:showSerName val="0"/>
          <c:showPercent val="0"/>
          <c:showBubbleSize val="0"/>
        </c:dLbls>
        <c:gapWidth val="219"/>
        <c:overlap val="-27"/>
        <c:axId val="72361088"/>
        <c:axId val="72363008"/>
      </c:barChart>
      <c:catAx>
        <c:axId val="72361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Year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63008"/>
        <c:crosses val="autoZero"/>
        <c:auto val="1"/>
        <c:lblAlgn val="ctr"/>
        <c:lblOffset val="100"/>
        <c:noMultiLvlLbl val="0"/>
      </c:catAx>
      <c:valAx>
        <c:axId val="7236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n-BD"/>
                  <a:t>Rate</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61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892D1B-74EF-49BE-AD3E-6AE1307D2A27}"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B74BC592-8298-418A-ABA2-8790BEC1B6FF}">
      <dgm:prSet phldrT="[Text]"/>
      <dgm:spPr/>
      <dgm:t>
        <a:bodyPr/>
        <a:lstStyle/>
        <a:p>
          <a:r>
            <a:rPr lang="en-US"/>
            <a:t>Investment In Government Securities</a:t>
          </a:r>
        </a:p>
      </dgm:t>
    </dgm:pt>
    <dgm:pt modelId="{A12E8A5A-99AF-43E9-84F9-E5A660428E73}" type="parTrans" cxnId="{E2117AA2-A2E6-4F6A-AF4E-19314D0ED460}">
      <dgm:prSet/>
      <dgm:spPr/>
      <dgm:t>
        <a:bodyPr/>
        <a:lstStyle/>
        <a:p>
          <a:endParaRPr lang="en-US"/>
        </a:p>
      </dgm:t>
    </dgm:pt>
    <dgm:pt modelId="{EEBDC8A1-7489-420D-B07C-A511B1293ADF}" type="sibTrans" cxnId="{E2117AA2-A2E6-4F6A-AF4E-19314D0ED460}">
      <dgm:prSet/>
      <dgm:spPr/>
      <dgm:t>
        <a:bodyPr/>
        <a:lstStyle/>
        <a:p>
          <a:endParaRPr lang="en-US"/>
        </a:p>
      </dgm:t>
    </dgm:pt>
    <dgm:pt modelId="{694D65E9-2FDD-4855-9D15-3B94C300F88E}">
      <dgm:prSet phldrT="[Text]"/>
      <dgm:spPr/>
      <dgm:t>
        <a:bodyPr/>
        <a:lstStyle/>
        <a:p>
          <a:r>
            <a:rPr lang="en-US"/>
            <a:t>Investment In Other Securities</a:t>
          </a:r>
        </a:p>
      </dgm:t>
    </dgm:pt>
    <dgm:pt modelId="{6AA23CE1-01DF-4245-B135-C44C93F8F437}" type="parTrans" cxnId="{DE377916-6146-4D23-9ADE-5CB3473B5F3F}">
      <dgm:prSet/>
      <dgm:spPr/>
      <dgm:t>
        <a:bodyPr/>
        <a:lstStyle/>
        <a:p>
          <a:endParaRPr lang="en-US"/>
        </a:p>
      </dgm:t>
    </dgm:pt>
    <dgm:pt modelId="{AB6E8A34-8C96-4469-A9BC-CBCB3CF8BFC9}" type="sibTrans" cxnId="{DE377916-6146-4D23-9ADE-5CB3473B5F3F}">
      <dgm:prSet/>
      <dgm:spPr/>
      <dgm:t>
        <a:bodyPr/>
        <a:lstStyle/>
        <a:p>
          <a:endParaRPr lang="en-US"/>
        </a:p>
      </dgm:t>
    </dgm:pt>
    <dgm:pt modelId="{EC45535E-6F29-48D6-9D12-6B32452BF5F0}" type="pres">
      <dgm:prSet presAssocID="{0B892D1B-74EF-49BE-AD3E-6AE1307D2A27}" presName="Name0" presStyleCnt="0">
        <dgm:presLayoutVars>
          <dgm:chMax val="7"/>
          <dgm:chPref val="7"/>
          <dgm:dir/>
          <dgm:animLvl val="lvl"/>
        </dgm:presLayoutVars>
      </dgm:prSet>
      <dgm:spPr/>
      <dgm:t>
        <a:bodyPr/>
        <a:lstStyle/>
        <a:p>
          <a:endParaRPr lang="en-US"/>
        </a:p>
      </dgm:t>
    </dgm:pt>
    <dgm:pt modelId="{D5C868A1-12D9-4AC5-9ACA-7F93198A55BF}" type="pres">
      <dgm:prSet presAssocID="{B74BC592-8298-418A-ABA2-8790BEC1B6FF}" presName="Accent1" presStyleCnt="0"/>
      <dgm:spPr/>
    </dgm:pt>
    <dgm:pt modelId="{9881DD25-F28E-444B-A072-3318043C1C93}" type="pres">
      <dgm:prSet presAssocID="{B74BC592-8298-418A-ABA2-8790BEC1B6FF}" presName="Accent" presStyleLbl="node1" presStyleIdx="0" presStyleCnt="2"/>
      <dgm:spPr/>
    </dgm:pt>
    <dgm:pt modelId="{A2F121A4-5B12-407D-BBF3-B32D3A1B961A}" type="pres">
      <dgm:prSet presAssocID="{B74BC592-8298-418A-ABA2-8790BEC1B6FF}" presName="Parent1" presStyleLbl="revTx" presStyleIdx="0" presStyleCnt="2">
        <dgm:presLayoutVars>
          <dgm:chMax val="1"/>
          <dgm:chPref val="1"/>
          <dgm:bulletEnabled val="1"/>
        </dgm:presLayoutVars>
      </dgm:prSet>
      <dgm:spPr/>
      <dgm:t>
        <a:bodyPr/>
        <a:lstStyle/>
        <a:p>
          <a:endParaRPr lang="en-US"/>
        </a:p>
      </dgm:t>
    </dgm:pt>
    <dgm:pt modelId="{A7DED4C8-C565-44C3-9154-CAE786214603}" type="pres">
      <dgm:prSet presAssocID="{694D65E9-2FDD-4855-9D15-3B94C300F88E}" presName="Accent2" presStyleCnt="0"/>
      <dgm:spPr/>
    </dgm:pt>
    <dgm:pt modelId="{E0CA9D13-4DB3-4A19-97D1-A9B569D1DF70}" type="pres">
      <dgm:prSet presAssocID="{694D65E9-2FDD-4855-9D15-3B94C300F88E}" presName="Accent" presStyleLbl="node1" presStyleIdx="1" presStyleCnt="2"/>
      <dgm:spPr/>
    </dgm:pt>
    <dgm:pt modelId="{9A024BD9-7345-42C0-A446-297AAEBB75B5}" type="pres">
      <dgm:prSet presAssocID="{694D65E9-2FDD-4855-9D15-3B94C300F88E}" presName="Parent2" presStyleLbl="revTx" presStyleIdx="1" presStyleCnt="2">
        <dgm:presLayoutVars>
          <dgm:chMax val="1"/>
          <dgm:chPref val="1"/>
          <dgm:bulletEnabled val="1"/>
        </dgm:presLayoutVars>
      </dgm:prSet>
      <dgm:spPr/>
      <dgm:t>
        <a:bodyPr/>
        <a:lstStyle/>
        <a:p>
          <a:endParaRPr lang="en-US"/>
        </a:p>
      </dgm:t>
    </dgm:pt>
  </dgm:ptLst>
  <dgm:cxnLst>
    <dgm:cxn modelId="{E2117AA2-A2E6-4F6A-AF4E-19314D0ED460}" srcId="{0B892D1B-74EF-49BE-AD3E-6AE1307D2A27}" destId="{B74BC592-8298-418A-ABA2-8790BEC1B6FF}" srcOrd="0" destOrd="0" parTransId="{A12E8A5A-99AF-43E9-84F9-E5A660428E73}" sibTransId="{EEBDC8A1-7489-420D-B07C-A511B1293ADF}"/>
    <dgm:cxn modelId="{CC7706B9-BFE5-45DB-8918-4A7304641D6D}" type="presOf" srcId="{694D65E9-2FDD-4855-9D15-3B94C300F88E}" destId="{9A024BD9-7345-42C0-A446-297AAEBB75B5}" srcOrd="0" destOrd="0" presId="urn:microsoft.com/office/officeart/2009/layout/CircleArrowProcess"/>
    <dgm:cxn modelId="{08C1A232-E885-45A3-A19A-5DFD6E7BD88D}" type="presOf" srcId="{B74BC592-8298-418A-ABA2-8790BEC1B6FF}" destId="{A2F121A4-5B12-407D-BBF3-B32D3A1B961A}" srcOrd="0" destOrd="0" presId="urn:microsoft.com/office/officeart/2009/layout/CircleArrowProcess"/>
    <dgm:cxn modelId="{DE377916-6146-4D23-9ADE-5CB3473B5F3F}" srcId="{0B892D1B-74EF-49BE-AD3E-6AE1307D2A27}" destId="{694D65E9-2FDD-4855-9D15-3B94C300F88E}" srcOrd="1" destOrd="0" parTransId="{6AA23CE1-01DF-4245-B135-C44C93F8F437}" sibTransId="{AB6E8A34-8C96-4469-A9BC-CBCB3CF8BFC9}"/>
    <dgm:cxn modelId="{80E126B9-D537-4064-8E0E-C5095C102DF2}" type="presOf" srcId="{0B892D1B-74EF-49BE-AD3E-6AE1307D2A27}" destId="{EC45535E-6F29-48D6-9D12-6B32452BF5F0}" srcOrd="0" destOrd="0" presId="urn:microsoft.com/office/officeart/2009/layout/CircleArrowProcess"/>
    <dgm:cxn modelId="{FE84CCF2-2396-4C72-9ACE-65B16DF7AE81}" type="presParOf" srcId="{EC45535E-6F29-48D6-9D12-6B32452BF5F0}" destId="{D5C868A1-12D9-4AC5-9ACA-7F93198A55BF}" srcOrd="0" destOrd="0" presId="urn:microsoft.com/office/officeart/2009/layout/CircleArrowProcess"/>
    <dgm:cxn modelId="{D4EB8AD6-DCD8-490B-801A-83C4E06CA1CC}" type="presParOf" srcId="{D5C868A1-12D9-4AC5-9ACA-7F93198A55BF}" destId="{9881DD25-F28E-444B-A072-3318043C1C93}" srcOrd="0" destOrd="0" presId="urn:microsoft.com/office/officeart/2009/layout/CircleArrowProcess"/>
    <dgm:cxn modelId="{9B69D86F-4031-4795-B10C-0CAB790AF793}" type="presParOf" srcId="{EC45535E-6F29-48D6-9D12-6B32452BF5F0}" destId="{A2F121A4-5B12-407D-BBF3-B32D3A1B961A}" srcOrd="1" destOrd="0" presId="urn:microsoft.com/office/officeart/2009/layout/CircleArrowProcess"/>
    <dgm:cxn modelId="{5D95BFA8-0F99-4BFD-9A16-70596D1D6958}" type="presParOf" srcId="{EC45535E-6F29-48D6-9D12-6B32452BF5F0}" destId="{A7DED4C8-C565-44C3-9154-CAE786214603}" srcOrd="2" destOrd="0" presId="urn:microsoft.com/office/officeart/2009/layout/CircleArrowProcess"/>
    <dgm:cxn modelId="{21CB213E-8665-4428-88C4-4C83B8358B86}" type="presParOf" srcId="{A7DED4C8-C565-44C3-9154-CAE786214603}" destId="{E0CA9D13-4DB3-4A19-97D1-A9B569D1DF70}" srcOrd="0" destOrd="0" presId="urn:microsoft.com/office/officeart/2009/layout/CircleArrowProcess"/>
    <dgm:cxn modelId="{F67E51ED-6A2D-464F-851F-6A617DF00983}" type="presParOf" srcId="{EC45535E-6F29-48D6-9D12-6B32452BF5F0}" destId="{9A024BD9-7345-42C0-A446-297AAEBB75B5}" srcOrd="3" destOrd="0" presId="urn:microsoft.com/office/officeart/2009/layout/CircleArrowProcess"/>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086D7D2-2DA0-4F12-B0E3-022DE7757DFB}" type="doc">
      <dgm:prSet loTypeId="urn:microsoft.com/office/officeart/2005/8/layout/equation1" loCatId="process" qsTypeId="urn:microsoft.com/office/officeart/2005/8/quickstyle/simple1" qsCatId="simple" csTypeId="urn:microsoft.com/office/officeart/2005/8/colors/accent1_2" csCatId="accent1" phldr="1"/>
      <dgm:spPr/>
    </dgm:pt>
    <dgm:pt modelId="{FE5B6654-A563-4230-AE33-DAF1F9715C26}">
      <dgm:prSet phldrT="[Text]"/>
      <dgm:spPr/>
      <dgm:t>
        <a:bodyPr/>
        <a:lstStyle/>
        <a:p>
          <a:r>
            <a:rPr lang="en-US"/>
            <a:t>Prize Bond</a:t>
          </a:r>
        </a:p>
      </dgm:t>
    </dgm:pt>
    <dgm:pt modelId="{5B2CFA0D-BD70-44B5-86A0-50EB6DA147C8}" type="parTrans" cxnId="{5ACBE285-2024-48F8-913B-6574A1BFF201}">
      <dgm:prSet/>
      <dgm:spPr/>
      <dgm:t>
        <a:bodyPr/>
        <a:lstStyle/>
        <a:p>
          <a:endParaRPr lang="en-US"/>
        </a:p>
      </dgm:t>
    </dgm:pt>
    <dgm:pt modelId="{927EEBF1-C7D9-4684-8616-4D3491A235F7}" type="sibTrans" cxnId="{5ACBE285-2024-48F8-913B-6574A1BFF201}">
      <dgm:prSet/>
      <dgm:spPr/>
      <dgm:t>
        <a:bodyPr/>
        <a:lstStyle/>
        <a:p>
          <a:endParaRPr lang="en-US"/>
        </a:p>
      </dgm:t>
    </dgm:pt>
    <dgm:pt modelId="{384AD36B-7650-4E79-ABE8-1231FDA95D7C}">
      <dgm:prSet phldrT="[Text]"/>
      <dgm:spPr/>
      <dgm:t>
        <a:bodyPr/>
        <a:lstStyle/>
        <a:p>
          <a:r>
            <a:rPr lang="en-US"/>
            <a:t>Government Bond</a:t>
          </a:r>
        </a:p>
      </dgm:t>
    </dgm:pt>
    <dgm:pt modelId="{A0A70CAE-5359-4F55-A038-44EF8FC8E197}" type="parTrans" cxnId="{FA5628FC-BE1E-4D14-B58D-5AE643A01126}">
      <dgm:prSet/>
      <dgm:spPr/>
      <dgm:t>
        <a:bodyPr/>
        <a:lstStyle/>
        <a:p>
          <a:endParaRPr lang="en-US"/>
        </a:p>
      </dgm:t>
    </dgm:pt>
    <dgm:pt modelId="{11D2213B-8508-4B48-879E-C1BC5072D88B}" type="sibTrans" cxnId="{FA5628FC-BE1E-4D14-B58D-5AE643A01126}">
      <dgm:prSet/>
      <dgm:spPr/>
      <dgm:t>
        <a:bodyPr/>
        <a:lstStyle/>
        <a:p>
          <a:endParaRPr lang="en-US"/>
        </a:p>
      </dgm:t>
    </dgm:pt>
    <dgm:pt modelId="{429A4B71-9524-4F37-A8E4-36F6222A9932}">
      <dgm:prSet phldrT="[Text]"/>
      <dgm:spPr/>
      <dgm:t>
        <a:bodyPr/>
        <a:lstStyle/>
        <a:p>
          <a:r>
            <a:rPr lang="en-US"/>
            <a:t>Investment in Government Securities</a:t>
          </a:r>
        </a:p>
      </dgm:t>
    </dgm:pt>
    <dgm:pt modelId="{7B4E98F5-8514-48D3-A30B-7089CA4BE0FD}" type="parTrans" cxnId="{5FFF7226-12D5-4F28-A46C-BD2A20A9374F}">
      <dgm:prSet/>
      <dgm:spPr/>
      <dgm:t>
        <a:bodyPr/>
        <a:lstStyle/>
        <a:p>
          <a:endParaRPr lang="en-US"/>
        </a:p>
      </dgm:t>
    </dgm:pt>
    <dgm:pt modelId="{AC8C9087-3022-4847-92E1-CBEDF8B1DB2C}" type="sibTrans" cxnId="{5FFF7226-12D5-4F28-A46C-BD2A20A9374F}">
      <dgm:prSet/>
      <dgm:spPr/>
      <dgm:t>
        <a:bodyPr/>
        <a:lstStyle/>
        <a:p>
          <a:endParaRPr lang="en-US"/>
        </a:p>
      </dgm:t>
    </dgm:pt>
    <dgm:pt modelId="{ADD2769F-BB08-4D3A-BBCB-F5EFEF8A2428}" type="pres">
      <dgm:prSet presAssocID="{E086D7D2-2DA0-4F12-B0E3-022DE7757DFB}" presName="linearFlow" presStyleCnt="0">
        <dgm:presLayoutVars>
          <dgm:dir/>
          <dgm:resizeHandles val="exact"/>
        </dgm:presLayoutVars>
      </dgm:prSet>
      <dgm:spPr/>
    </dgm:pt>
    <dgm:pt modelId="{A57C8527-AE5A-4FC9-B8B8-BBAF7BD88909}" type="pres">
      <dgm:prSet presAssocID="{FE5B6654-A563-4230-AE33-DAF1F9715C26}" presName="node" presStyleLbl="node1" presStyleIdx="0" presStyleCnt="3">
        <dgm:presLayoutVars>
          <dgm:bulletEnabled val="1"/>
        </dgm:presLayoutVars>
      </dgm:prSet>
      <dgm:spPr/>
      <dgm:t>
        <a:bodyPr/>
        <a:lstStyle/>
        <a:p>
          <a:endParaRPr lang="en-US"/>
        </a:p>
      </dgm:t>
    </dgm:pt>
    <dgm:pt modelId="{03111B15-0334-4211-A069-E69F5F8DB509}" type="pres">
      <dgm:prSet presAssocID="{927EEBF1-C7D9-4684-8616-4D3491A235F7}" presName="spacerL" presStyleCnt="0"/>
      <dgm:spPr/>
    </dgm:pt>
    <dgm:pt modelId="{02FEDD6B-BFF7-413F-9236-31D110421225}" type="pres">
      <dgm:prSet presAssocID="{927EEBF1-C7D9-4684-8616-4D3491A235F7}" presName="sibTrans" presStyleLbl="sibTrans2D1" presStyleIdx="0" presStyleCnt="2"/>
      <dgm:spPr/>
      <dgm:t>
        <a:bodyPr/>
        <a:lstStyle/>
        <a:p>
          <a:endParaRPr lang="en-US"/>
        </a:p>
      </dgm:t>
    </dgm:pt>
    <dgm:pt modelId="{34B8C19C-F4B2-4461-A0E7-B771A1134175}" type="pres">
      <dgm:prSet presAssocID="{927EEBF1-C7D9-4684-8616-4D3491A235F7}" presName="spacerR" presStyleCnt="0"/>
      <dgm:spPr/>
    </dgm:pt>
    <dgm:pt modelId="{E95B0A6C-A83E-43B3-88A6-674DB5B8D767}" type="pres">
      <dgm:prSet presAssocID="{384AD36B-7650-4E79-ABE8-1231FDA95D7C}" presName="node" presStyleLbl="node1" presStyleIdx="1" presStyleCnt="3">
        <dgm:presLayoutVars>
          <dgm:bulletEnabled val="1"/>
        </dgm:presLayoutVars>
      </dgm:prSet>
      <dgm:spPr/>
      <dgm:t>
        <a:bodyPr/>
        <a:lstStyle/>
        <a:p>
          <a:endParaRPr lang="en-US"/>
        </a:p>
      </dgm:t>
    </dgm:pt>
    <dgm:pt modelId="{9D4D0FFC-4045-4078-9029-86F3A42CB441}" type="pres">
      <dgm:prSet presAssocID="{11D2213B-8508-4B48-879E-C1BC5072D88B}" presName="spacerL" presStyleCnt="0"/>
      <dgm:spPr/>
    </dgm:pt>
    <dgm:pt modelId="{1EBEE26B-50D6-4229-BAC3-79BDBC99BA0B}" type="pres">
      <dgm:prSet presAssocID="{11D2213B-8508-4B48-879E-C1BC5072D88B}" presName="sibTrans" presStyleLbl="sibTrans2D1" presStyleIdx="1" presStyleCnt="2"/>
      <dgm:spPr/>
      <dgm:t>
        <a:bodyPr/>
        <a:lstStyle/>
        <a:p>
          <a:endParaRPr lang="en-US"/>
        </a:p>
      </dgm:t>
    </dgm:pt>
    <dgm:pt modelId="{557D7A31-D532-4A54-9B6E-43CF045FC6BF}" type="pres">
      <dgm:prSet presAssocID="{11D2213B-8508-4B48-879E-C1BC5072D88B}" presName="spacerR" presStyleCnt="0"/>
      <dgm:spPr/>
    </dgm:pt>
    <dgm:pt modelId="{30EA95BA-5A23-4665-A88A-CB19643C5588}" type="pres">
      <dgm:prSet presAssocID="{429A4B71-9524-4F37-A8E4-36F6222A9932}" presName="node" presStyleLbl="node1" presStyleIdx="2" presStyleCnt="3">
        <dgm:presLayoutVars>
          <dgm:bulletEnabled val="1"/>
        </dgm:presLayoutVars>
      </dgm:prSet>
      <dgm:spPr/>
      <dgm:t>
        <a:bodyPr/>
        <a:lstStyle/>
        <a:p>
          <a:endParaRPr lang="en-US"/>
        </a:p>
      </dgm:t>
    </dgm:pt>
  </dgm:ptLst>
  <dgm:cxnLst>
    <dgm:cxn modelId="{A8D55946-B492-492B-A83D-719AAD2693A0}" type="presOf" srcId="{E086D7D2-2DA0-4F12-B0E3-022DE7757DFB}" destId="{ADD2769F-BB08-4D3A-BBCB-F5EFEF8A2428}" srcOrd="0" destOrd="0" presId="urn:microsoft.com/office/officeart/2005/8/layout/equation1"/>
    <dgm:cxn modelId="{3A807D22-E8A1-4884-AA7E-75F47008C42F}" type="presOf" srcId="{927EEBF1-C7D9-4684-8616-4D3491A235F7}" destId="{02FEDD6B-BFF7-413F-9236-31D110421225}" srcOrd="0" destOrd="0" presId="urn:microsoft.com/office/officeart/2005/8/layout/equation1"/>
    <dgm:cxn modelId="{FA5628FC-BE1E-4D14-B58D-5AE643A01126}" srcId="{E086D7D2-2DA0-4F12-B0E3-022DE7757DFB}" destId="{384AD36B-7650-4E79-ABE8-1231FDA95D7C}" srcOrd="1" destOrd="0" parTransId="{A0A70CAE-5359-4F55-A038-44EF8FC8E197}" sibTransId="{11D2213B-8508-4B48-879E-C1BC5072D88B}"/>
    <dgm:cxn modelId="{A5DA8C3F-7522-4139-B582-BC8F67CD463B}" type="presOf" srcId="{429A4B71-9524-4F37-A8E4-36F6222A9932}" destId="{30EA95BA-5A23-4665-A88A-CB19643C5588}" srcOrd="0" destOrd="0" presId="urn:microsoft.com/office/officeart/2005/8/layout/equation1"/>
    <dgm:cxn modelId="{1CDFADDA-17C7-4F29-AA2A-4480B564818A}" type="presOf" srcId="{11D2213B-8508-4B48-879E-C1BC5072D88B}" destId="{1EBEE26B-50D6-4229-BAC3-79BDBC99BA0B}" srcOrd="0" destOrd="0" presId="urn:microsoft.com/office/officeart/2005/8/layout/equation1"/>
    <dgm:cxn modelId="{5FFF7226-12D5-4F28-A46C-BD2A20A9374F}" srcId="{E086D7D2-2DA0-4F12-B0E3-022DE7757DFB}" destId="{429A4B71-9524-4F37-A8E4-36F6222A9932}" srcOrd="2" destOrd="0" parTransId="{7B4E98F5-8514-48D3-A30B-7089CA4BE0FD}" sibTransId="{AC8C9087-3022-4847-92E1-CBEDF8B1DB2C}"/>
    <dgm:cxn modelId="{5ACBE285-2024-48F8-913B-6574A1BFF201}" srcId="{E086D7D2-2DA0-4F12-B0E3-022DE7757DFB}" destId="{FE5B6654-A563-4230-AE33-DAF1F9715C26}" srcOrd="0" destOrd="0" parTransId="{5B2CFA0D-BD70-44B5-86A0-50EB6DA147C8}" sibTransId="{927EEBF1-C7D9-4684-8616-4D3491A235F7}"/>
    <dgm:cxn modelId="{50954E13-A01F-49E1-A2F8-B7021472BD15}" type="presOf" srcId="{384AD36B-7650-4E79-ABE8-1231FDA95D7C}" destId="{E95B0A6C-A83E-43B3-88A6-674DB5B8D767}" srcOrd="0" destOrd="0" presId="urn:microsoft.com/office/officeart/2005/8/layout/equation1"/>
    <dgm:cxn modelId="{E3FA3562-5601-4EDB-BDAE-9801743E71BF}" type="presOf" srcId="{FE5B6654-A563-4230-AE33-DAF1F9715C26}" destId="{A57C8527-AE5A-4FC9-B8B8-BBAF7BD88909}" srcOrd="0" destOrd="0" presId="urn:microsoft.com/office/officeart/2005/8/layout/equation1"/>
    <dgm:cxn modelId="{234A8F9B-9AD6-4D7B-AE49-694D2137966E}" type="presParOf" srcId="{ADD2769F-BB08-4D3A-BBCB-F5EFEF8A2428}" destId="{A57C8527-AE5A-4FC9-B8B8-BBAF7BD88909}" srcOrd="0" destOrd="0" presId="urn:microsoft.com/office/officeart/2005/8/layout/equation1"/>
    <dgm:cxn modelId="{BBDF7D26-CB87-4390-9368-DFFBE30266F0}" type="presParOf" srcId="{ADD2769F-BB08-4D3A-BBCB-F5EFEF8A2428}" destId="{03111B15-0334-4211-A069-E69F5F8DB509}" srcOrd="1" destOrd="0" presId="urn:microsoft.com/office/officeart/2005/8/layout/equation1"/>
    <dgm:cxn modelId="{DCD34CA1-F81B-429C-B6DE-41258C0BF0CA}" type="presParOf" srcId="{ADD2769F-BB08-4D3A-BBCB-F5EFEF8A2428}" destId="{02FEDD6B-BFF7-413F-9236-31D110421225}" srcOrd="2" destOrd="0" presId="urn:microsoft.com/office/officeart/2005/8/layout/equation1"/>
    <dgm:cxn modelId="{F678535F-3C7C-46D7-AA10-2082D52C4AFC}" type="presParOf" srcId="{ADD2769F-BB08-4D3A-BBCB-F5EFEF8A2428}" destId="{34B8C19C-F4B2-4461-A0E7-B771A1134175}" srcOrd="3" destOrd="0" presId="urn:microsoft.com/office/officeart/2005/8/layout/equation1"/>
    <dgm:cxn modelId="{66E66418-D96C-4304-AFC3-42473E038318}" type="presParOf" srcId="{ADD2769F-BB08-4D3A-BBCB-F5EFEF8A2428}" destId="{E95B0A6C-A83E-43B3-88A6-674DB5B8D767}" srcOrd="4" destOrd="0" presId="urn:microsoft.com/office/officeart/2005/8/layout/equation1"/>
    <dgm:cxn modelId="{5A3E93D4-7388-4B82-929A-DF77E5C23E85}" type="presParOf" srcId="{ADD2769F-BB08-4D3A-BBCB-F5EFEF8A2428}" destId="{9D4D0FFC-4045-4078-9029-86F3A42CB441}" srcOrd="5" destOrd="0" presId="urn:microsoft.com/office/officeart/2005/8/layout/equation1"/>
    <dgm:cxn modelId="{D4503892-7E37-45C2-A165-15C5ED50C6A5}" type="presParOf" srcId="{ADD2769F-BB08-4D3A-BBCB-F5EFEF8A2428}" destId="{1EBEE26B-50D6-4229-BAC3-79BDBC99BA0B}" srcOrd="6" destOrd="0" presId="urn:microsoft.com/office/officeart/2005/8/layout/equation1"/>
    <dgm:cxn modelId="{A2C2F430-327F-4A73-80B5-870812B3E325}" type="presParOf" srcId="{ADD2769F-BB08-4D3A-BBCB-F5EFEF8A2428}" destId="{557D7A31-D532-4A54-9B6E-43CF045FC6BF}" srcOrd="7" destOrd="0" presId="urn:microsoft.com/office/officeart/2005/8/layout/equation1"/>
    <dgm:cxn modelId="{D40508B5-E40E-4C2A-9B6B-88838170AE2D}" type="presParOf" srcId="{ADD2769F-BB08-4D3A-BBCB-F5EFEF8A2428}" destId="{30EA95BA-5A23-4665-A88A-CB19643C5588}" srcOrd="8" destOrd="0" presId="urn:microsoft.com/office/officeart/2005/8/layout/equation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1B54D35-1335-43EA-A1A6-1FF5F800BF4F}"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US"/>
        </a:p>
      </dgm:t>
    </dgm:pt>
    <dgm:pt modelId="{C1496738-3DCC-4006-91FD-298837556CDA}">
      <dgm:prSet phldrT="[Text]"/>
      <dgm:spPr/>
      <dgm:t>
        <a:bodyPr/>
        <a:lstStyle/>
        <a:p>
          <a:r>
            <a:rPr lang="en-US" b="0" i="0" u="none"/>
            <a:t>Debenture of Bangladesh Welding Electrodes Limited </a:t>
          </a:r>
          <a:endParaRPr lang="en-US"/>
        </a:p>
      </dgm:t>
    </dgm:pt>
    <dgm:pt modelId="{126A1C13-5A88-4087-8DA4-009B3DEE9F04}" type="parTrans" cxnId="{F8CFC9AA-119C-4E43-B349-B0E93EE1B87C}">
      <dgm:prSet/>
      <dgm:spPr/>
      <dgm:t>
        <a:bodyPr/>
        <a:lstStyle/>
        <a:p>
          <a:endParaRPr lang="en-US"/>
        </a:p>
      </dgm:t>
    </dgm:pt>
    <dgm:pt modelId="{ABC88896-756E-4AE9-A157-95C8C15F3D67}" type="sibTrans" cxnId="{F8CFC9AA-119C-4E43-B349-B0E93EE1B87C}">
      <dgm:prSet/>
      <dgm:spPr/>
      <dgm:t>
        <a:bodyPr/>
        <a:lstStyle/>
        <a:p>
          <a:endParaRPr lang="en-US"/>
        </a:p>
      </dgm:t>
    </dgm:pt>
    <dgm:pt modelId="{207D0B83-8DF4-4CE5-9853-B0FD479B6FF0}">
      <dgm:prSet phldrT="[Text]"/>
      <dgm:spPr/>
      <dgm:t>
        <a:bodyPr/>
        <a:lstStyle/>
        <a:p>
          <a:r>
            <a:rPr lang="en-US" b="0" i="0" u="none"/>
            <a:t>Orascom bond </a:t>
          </a:r>
          <a:endParaRPr lang="en-US"/>
        </a:p>
      </dgm:t>
    </dgm:pt>
    <dgm:pt modelId="{155B7EE8-BBEA-4F52-A835-7EFCAC32564B}" type="parTrans" cxnId="{DC857BA9-E301-4D95-988A-64069D56685E}">
      <dgm:prSet/>
      <dgm:spPr/>
      <dgm:t>
        <a:bodyPr/>
        <a:lstStyle/>
        <a:p>
          <a:endParaRPr lang="en-US"/>
        </a:p>
      </dgm:t>
    </dgm:pt>
    <dgm:pt modelId="{CC12BADD-3909-4FB2-AE5F-D8E1A7D0AA4B}" type="sibTrans" cxnId="{DC857BA9-E301-4D95-988A-64069D56685E}">
      <dgm:prSet/>
      <dgm:spPr/>
      <dgm:t>
        <a:bodyPr/>
        <a:lstStyle/>
        <a:p>
          <a:endParaRPr lang="en-US"/>
        </a:p>
      </dgm:t>
    </dgm:pt>
    <dgm:pt modelId="{B41E0F3E-8626-40A0-BF85-264E2A6C7BB3}">
      <dgm:prSet phldrT="[Text]"/>
      <dgm:spPr/>
      <dgm:t>
        <a:bodyPr/>
        <a:lstStyle/>
        <a:p>
          <a:r>
            <a:rPr lang="en-US" b="0" i="0" u="none"/>
            <a:t>Mutual fund </a:t>
          </a:r>
          <a:endParaRPr lang="en-US"/>
        </a:p>
      </dgm:t>
    </dgm:pt>
    <dgm:pt modelId="{A63C7C99-030B-4CFB-AA0E-B577F8EE6D43}" type="parTrans" cxnId="{352ABA97-7A4C-4ADB-A945-DDAE732AA3A4}">
      <dgm:prSet/>
      <dgm:spPr/>
      <dgm:t>
        <a:bodyPr/>
        <a:lstStyle/>
        <a:p>
          <a:endParaRPr lang="en-US"/>
        </a:p>
      </dgm:t>
    </dgm:pt>
    <dgm:pt modelId="{B8F3ED8A-3022-49A5-B7E4-0303DF410139}" type="sibTrans" cxnId="{352ABA97-7A4C-4ADB-A945-DDAE732AA3A4}">
      <dgm:prSet/>
      <dgm:spPr/>
      <dgm:t>
        <a:bodyPr/>
        <a:lstStyle/>
        <a:p>
          <a:endParaRPr lang="en-US"/>
        </a:p>
      </dgm:t>
    </dgm:pt>
    <dgm:pt modelId="{779B6F7A-9BB4-489F-B63F-EC4A175F26E3}">
      <dgm:prSet/>
      <dgm:spPr/>
      <dgm:t>
        <a:bodyPr/>
        <a:lstStyle/>
        <a:p>
          <a:r>
            <a:rPr lang="en-US" b="0" i="0" u="none"/>
            <a:t>Shares </a:t>
          </a:r>
          <a:endParaRPr lang="en-US"/>
        </a:p>
      </dgm:t>
    </dgm:pt>
    <dgm:pt modelId="{B4D7DEFD-AE32-4520-BABA-2544D8426673}" type="parTrans" cxnId="{3FA196D1-22B9-40AA-B7ED-8B9731E1F481}">
      <dgm:prSet/>
      <dgm:spPr/>
      <dgm:t>
        <a:bodyPr/>
        <a:lstStyle/>
        <a:p>
          <a:endParaRPr lang="en-US"/>
        </a:p>
      </dgm:t>
    </dgm:pt>
    <dgm:pt modelId="{84351D05-B621-4FF2-89D8-7DECB10F7B10}" type="sibTrans" cxnId="{3FA196D1-22B9-40AA-B7ED-8B9731E1F481}">
      <dgm:prSet/>
      <dgm:spPr/>
      <dgm:t>
        <a:bodyPr/>
        <a:lstStyle/>
        <a:p>
          <a:endParaRPr lang="en-US"/>
        </a:p>
      </dgm:t>
    </dgm:pt>
    <dgm:pt modelId="{6D77E042-2A5D-49D0-8615-D6FF97BCD725}">
      <dgm:prSet/>
      <dgm:spPr/>
      <dgm:t>
        <a:bodyPr/>
        <a:lstStyle/>
        <a:p>
          <a:r>
            <a:rPr lang="en-US" b="0" i="0" u="none"/>
            <a:t>Investment in subsidiary </a:t>
          </a:r>
          <a:endParaRPr lang="en-US" b="0"/>
        </a:p>
      </dgm:t>
    </dgm:pt>
    <dgm:pt modelId="{62B6CA53-2BC5-4080-A860-F8F3C53C53B4}" type="parTrans" cxnId="{5AB14863-64FC-47D7-A146-AAEA034392C7}">
      <dgm:prSet/>
      <dgm:spPr/>
      <dgm:t>
        <a:bodyPr/>
        <a:lstStyle/>
        <a:p>
          <a:endParaRPr lang="en-US"/>
        </a:p>
      </dgm:t>
    </dgm:pt>
    <dgm:pt modelId="{D0206A4E-031E-402B-977C-C95069658A66}" type="sibTrans" cxnId="{5AB14863-64FC-47D7-A146-AAEA034392C7}">
      <dgm:prSet/>
      <dgm:spPr/>
      <dgm:t>
        <a:bodyPr/>
        <a:lstStyle/>
        <a:p>
          <a:endParaRPr lang="en-US"/>
        </a:p>
      </dgm:t>
    </dgm:pt>
    <dgm:pt modelId="{B94305D5-32E9-4596-A8FC-EEAB4EC1477E}" type="pres">
      <dgm:prSet presAssocID="{B1B54D35-1335-43EA-A1A6-1FF5F800BF4F}" presName="Name0" presStyleCnt="0">
        <dgm:presLayoutVars>
          <dgm:dir/>
          <dgm:resizeHandles val="exact"/>
        </dgm:presLayoutVars>
      </dgm:prSet>
      <dgm:spPr/>
      <dgm:t>
        <a:bodyPr/>
        <a:lstStyle/>
        <a:p>
          <a:endParaRPr lang="en-US"/>
        </a:p>
      </dgm:t>
    </dgm:pt>
    <dgm:pt modelId="{4A422D34-AB10-4806-84EC-A25F11104F68}" type="pres">
      <dgm:prSet presAssocID="{C1496738-3DCC-4006-91FD-298837556CDA}" presName="node" presStyleLbl="node1" presStyleIdx="0" presStyleCnt="5">
        <dgm:presLayoutVars>
          <dgm:bulletEnabled val="1"/>
        </dgm:presLayoutVars>
      </dgm:prSet>
      <dgm:spPr/>
      <dgm:t>
        <a:bodyPr/>
        <a:lstStyle/>
        <a:p>
          <a:endParaRPr lang="en-US"/>
        </a:p>
      </dgm:t>
    </dgm:pt>
    <dgm:pt modelId="{7C6AA47C-A4E8-4D54-9826-1A459171830F}" type="pres">
      <dgm:prSet presAssocID="{ABC88896-756E-4AE9-A157-95C8C15F3D67}" presName="sibTrans" presStyleCnt="0"/>
      <dgm:spPr/>
    </dgm:pt>
    <dgm:pt modelId="{821B6D4B-8654-4B7F-84D5-7AD873012018}" type="pres">
      <dgm:prSet presAssocID="{207D0B83-8DF4-4CE5-9853-B0FD479B6FF0}" presName="node" presStyleLbl="node1" presStyleIdx="1" presStyleCnt="5">
        <dgm:presLayoutVars>
          <dgm:bulletEnabled val="1"/>
        </dgm:presLayoutVars>
      </dgm:prSet>
      <dgm:spPr/>
      <dgm:t>
        <a:bodyPr/>
        <a:lstStyle/>
        <a:p>
          <a:endParaRPr lang="en-US"/>
        </a:p>
      </dgm:t>
    </dgm:pt>
    <dgm:pt modelId="{760EF90F-3B73-4369-952E-917357EA2A12}" type="pres">
      <dgm:prSet presAssocID="{CC12BADD-3909-4FB2-AE5F-D8E1A7D0AA4B}" presName="sibTrans" presStyleCnt="0"/>
      <dgm:spPr/>
    </dgm:pt>
    <dgm:pt modelId="{54057813-35A8-4246-BF89-ED6EBDE594B4}" type="pres">
      <dgm:prSet presAssocID="{B41E0F3E-8626-40A0-BF85-264E2A6C7BB3}" presName="node" presStyleLbl="node1" presStyleIdx="2" presStyleCnt="5">
        <dgm:presLayoutVars>
          <dgm:bulletEnabled val="1"/>
        </dgm:presLayoutVars>
      </dgm:prSet>
      <dgm:spPr/>
      <dgm:t>
        <a:bodyPr/>
        <a:lstStyle/>
        <a:p>
          <a:endParaRPr lang="en-US"/>
        </a:p>
      </dgm:t>
    </dgm:pt>
    <dgm:pt modelId="{BF285E6E-C60C-4E3A-9F88-511405932FB4}" type="pres">
      <dgm:prSet presAssocID="{B8F3ED8A-3022-49A5-B7E4-0303DF410139}" presName="sibTrans" presStyleCnt="0"/>
      <dgm:spPr/>
    </dgm:pt>
    <dgm:pt modelId="{A9E0D2B0-B5F1-4EC9-80AF-EC1D38E8B296}" type="pres">
      <dgm:prSet presAssocID="{6D77E042-2A5D-49D0-8615-D6FF97BCD725}" presName="node" presStyleLbl="node1" presStyleIdx="3" presStyleCnt="5">
        <dgm:presLayoutVars>
          <dgm:bulletEnabled val="1"/>
        </dgm:presLayoutVars>
      </dgm:prSet>
      <dgm:spPr/>
      <dgm:t>
        <a:bodyPr/>
        <a:lstStyle/>
        <a:p>
          <a:endParaRPr lang="en-US"/>
        </a:p>
      </dgm:t>
    </dgm:pt>
    <dgm:pt modelId="{D32B3F08-977B-4915-AD66-A9CAFDF33763}" type="pres">
      <dgm:prSet presAssocID="{D0206A4E-031E-402B-977C-C95069658A66}" presName="sibTrans" presStyleCnt="0"/>
      <dgm:spPr/>
    </dgm:pt>
    <dgm:pt modelId="{3C3353FA-8B55-4997-A4AA-5D001DB407C9}" type="pres">
      <dgm:prSet presAssocID="{779B6F7A-9BB4-489F-B63F-EC4A175F26E3}" presName="node" presStyleLbl="node1" presStyleIdx="4" presStyleCnt="5">
        <dgm:presLayoutVars>
          <dgm:bulletEnabled val="1"/>
        </dgm:presLayoutVars>
      </dgm:prSet>
      <dgm:spPr/>
      <dgm:t>
        <a:bodyPr/>
        <a:lstStyle/>
        <a:p>
          <a:endParaRPr lang="en-US"/>
        </a:p>
      </dgm:t>
    </dgm:pt>
  </dgm:ptLst>
  <dgm:cxnLst>
    <dgm:cxn modelId="{3FA196D1-22B9-40AA-B7ED-8B9731E1F481}" srcId="{B1B54D35-1335-43EA-A1A6-1FF5F800BF4F}" destId="{779B6F7A-9BB4-489F-B63F-EC4A175F26E3}" srcOrd="4" destOrd="0" parTransId="{B4D7DEFD-AE32-4520-BABA-2544D8426673}" sibTransId="{84351D05-B621-4FF2-89D8-7DECB10F7B10}"/>
    <dgm:cxn modelId="{BCCCE4A1-0EB7-473F-873D-DABB374389E9}" type="presOf" srcId="{C1496738-3DCC-4006-91FD-298837556CDA}" destId="{4A422D34-AB10-4806-84EC-A25F11104F68}" srcOrd="0" destOrd="0" presId="urn:microsoft.com/office/officeart/2005/8/layout/hList6"/>
    <dgm:cxn modelId="{9DABCC2C-DEE9-4367-8A6C-46BB21134E6E}" type="presOf" srcId="{B1B54D35-1335-43EA-A1A6-1FF5F800BF4F}" destId="{B94305D5-32E9-4596-A8FC-EEAB4EC1477E}" srcOrd="0" destOrd="0" presId="urn:microsoft.com/office/officeart/2005/8/layout/hList6"/>
    <dgm:cxn modelId="{B9CFCCA8-15EF-486B-9344-19F6A5667842}" type="presOf" srcId="{6D77E042-2A5D-49D0-8615-D6FF97BCD725}" destId="{A9E0D2B0-B5F1-4EC9-80AF-EC1D38E8B296}" srcOrd="0" destOrd="0" presId="urn:microsoft.com/office/officeart/2005/8/layout/hList6"/>
    <dgm:cxn modelId="{DC857BA9-E301-4D95-988A-64069D56685E}" srcId="{B1B54D35-1335-43EA-A1A6-1FF5F800BF4F}" destId="{207D0B83-8DF4-4CE5-9853-B0FD479B6FF0}" srcOrd="1" destOrd="0" parTransId="{155B7EE8-BBEA-4F52-A835-7EFCAC32564B}" sibTransId="{CC12BADD-3909-4FB2-AE5F-D8E1A7D0AA4B}"/>
    <dgm:cxn modelId="{5AB14863-64FC-47D7-A146-AAEA034392C7}" srcId="{B1B54D35-1335-43EA-A1A6-1FF5F800BF4F}" destId="{6D77E042-2A5D-49D0-8615-D6FF97BCD725}" srcOrd="3" destOrd="0" parTransId="{62B6CA53-2BC5-4080-A860-F8F3C53C53B4}" sibTransId="{D0206A4E-031E-402B-977C-C95069658A66}"/>
    <dgm:cxn modelId="{F8CFC9AA-119C-4E43-B349-B0E93EE1B87C}" srcId="{B1B54D35-1335-43EA-A1A6-1FF5F800BF4F}" destId="{C1496738-3DCC-4006-91FD-298837556CDA}" srcOrd="0" destOrd="0" parTransId="{126A1C13-5A88-4087-8DA4-009B3DEE9F04}" sibTransId="{ABC88896-756E-4AE9-A157-95C8C15F3D67}"/>
    <dgm:cxn modelId="{22D16007-A068-46D8-88D6-DD3355CCD5EC}" type="presOf" srcId="{B41E0F3E-8626-40A0-BF85-264E2A6C7BB3}" destId="{54057813-35A8-4246-BF89-ED6EBDE594B4}" srcOrd="0" destOrd="0" presId="urn:microsoft.com/office/officeart/2005/8/layout/hList6"/>
    <dgm:cxn modelId="{74834C7A-15A8-4E4C-A1A2-6F9D53D7E00F}" type="presOf" srcId="{207D0B83-8DF4-4CE5-9853-B0FD479B6FF0}" destId="{821B6D4B-8654-4B7F-84D5-7AD873012018}" srcOrd="0" destOrd="0" presId="urn:microsoft.com/office/officeart/2005/8/layout/hList6"/>
    <dgm:cxn modelId="{4C514B2B-32A6-44BC-8A82-0C7F58280793}" type="presOf" srcId="{779B6F7A-9BB4-489F-B63F-EC4A175F26E3}" destId="{3C3353FA-8B55-4997-A4AA-5D001DB407C9}" srcOrd="0" destOrd="0" presId="urn:microsoft.com/office/officeart/2005/8/layout/hList6"/>
    <dgm:cxn modelId="{352ABA97-7A4C-4ADB-A945-DDAE732AA3A4}" srcId="{B1B54D35-1335-43EA-A1A6-1FF5F800BF4F}" destId="{B41E0F3E-8626-40A0-BF85-264E2A6C7BB3}" srcOrd="2" destOrd="0" parTransId="{A63C7C99-030B-4CFB-AA0E-B577F8EE6D43}" sibTransId="{B8F3ED8A-3022-49A5-B7E4-0303DF410139}"/>
    <dgm:cxn modelId="{2544C090-9F17-4626-9784-37DDD0F6E703}" type="presParOf" srcId="{B94305D5-32E9-4596-A8FC-EEAB4EC1477E}" destId="{4A422D34-AB10-4806-84EC-A25F11104F68}" srcOrd="0" destOrd="0" presId="urn:microsoft.com/office/officeart/2005/8/layout/hList6"/>
    <dgm:cxn modelId="{82327E7C-587D-476E-B807-EA3B0B6807CB}" type="presParOf" srcId="{B94305D5-32E9-4596-A8FC-EEAB4EC1477E}" destId="{7C6AA47C-A4E8-4D54-9826-1A459171830F}" srcOrd="1" destOrd="0" presId="urn:microsoft.com/office/officeart/2005/8/layout/hList6"/>
    <dgm:cxn modelId="{1270943B-4C12-4EFA-BC88-0216075224D8}" type="presParOf" srcId="{B94305D5-32E9-4596-A8FC-EEAB4EC1477E}" destId="{821B6D4B-8654-4B7F-84D5-7AD873012018}" srcOrd="2" destOrd="0" presId="urn:microsoft.com/office/officeart/2005/8/layout/hList6"/>
    <dgm:cxn modelId="{23A616A4-B096-4184-BEF1-54113D2A7224}" type="presParOf" srcId="{B94305D5-32E9-4596-A8FC-EEAB4EC1477E}" destId="{760EF90F-3B73-4369-952E-917357EA2A12}" srcOrd="3" destOrd="0" presId="urn:microsoft.com/office/officeart/2005/8/layout/hList6"/>
    <dgm:cxn modelId="{A7122078-C6DE-42C1-B8D0-99C701B7AF70}" type="presParOf" srcId="{B94305D5-32E9-4596-A8FC-EEAB4EC1477E}" destId="{54057813-35A8-4246-BF89-ED6EBDE594B4}" srcOrd="4" destOrd="0" presId="urn:microsoft.com/office/officeart/2005/8/layout/hList6"/>
    <dgm:cxn modelId="{6C12CD22-A00C-4CA9-98AC-997DEA7B5896}" type="presParOf" srcId="{B94305D5-32E9-4596-A8FC-EEAB4EC1477E}" destId="{BF285E6E-C60C-4E3A-9F88-511405932FB4}" srcOrd="5" destOrd="0" presId="urn:microsoft.com/office/officeart/2005/8/layout/hList6"/>
    <dgm:cxn modelId="{EF417E25-8B3F-4153-AED7-5A9E1CD09CF9}" type="presParOf" srcId="{B94305D5-32E9-4596-A8FC-EEAB4EC1477E}" destId="{A9E0D2B0-B5F1-4EC9-80AF-EC1D38E8B296}" srcOrd="6" destOrd="0" presId="urn:microsoft.com/office/officeart/2005/8/layout/hList6"/>
    <dgm:cxn modelId="{39D038DE-1147-403B-A164-F4F61372A890}" type="presParOf" srcId="{B94305D5-32E9-4596-A8FC-EEAB4EC1477E}" destId="{D32B3F08-977B-4915-AD66-A9CAFDF33763}" srcOrd="7" destOrd="0" presId="urn:microsoft.com/office/officeart/2005/8/layout/hList6"/>
    <dgm:cxn modelId="{94EF1340-39D6-4AA5-8D1B-EA2AC10DAC65}" type="presParOf" srcId="{B94305D5-32E9-4596-A8FC-EEAB4EC1477E}" destId="{3C3353FA-8B55-4997-A4AA-5D001DB407C9}" srcOrd="8" destOrd="0" presId="urn:microsoft.com/office/officeart/2005/8/layout/hList6"/>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16351B8-E3A2-4EEA-BBC2-0D7075FCFEB3}" type="doc">
      <dgm:prSet loTypeId="urn:microsoft.com/office/officeart/2005/8/layout/chevron1" loCatId="process" qsTypeId="urn:microsoft.com/office/officeart/2005/8/quickstyle/simple1" qsCatId="simple" csTypeId="urn:microsoft.com/office/officeart/2005/8/colors/accent1_2" csCatId="accent1" phldr="1"/>
      <dgm:spPr/>
    </dgm:pt>
    <dgm:pt modelId="{F33BFEBF-B04E-418D-98DE-03FEEBC730DC}">
      <dgm:prSet phldrT="[Text]"/>
      <dgm:spPr/>
      <dgm:t>
        <a:bodyPr/>
        <a:lstStyle/>
        <a:p>
          <a:r>
            <a:rPr lang="bn-BD"/>
            <a:t>Quoted Shares</a:t>
          </a:r>
          <a:endParaRPr lang="en-US"/>
        </a:p>
      </dgm:t>
    </dgm:pt>
    <dgm:pt modelId="{D8FCCFE6-7E76-4457-B0B3-27FF9C7B9F67}" type="parTrans" cxnId="{7ADF1108-3C5D-45AE-906C-C6BEDDB414B8}">
      <dgm:prSet/>
      <dgm:spPr/>
      <dgm:t>
        <a:bodyPr/>
        <a:lstStyle/>
        <a:p>
          <a:endParaRPr lang="en-US"/>
        </a:p>
      </dgm:t>
    </dgm:pt>
    <dgm:pt modelId="{534C0C90-F5CF-4985-92AA-22E2A4BE0E09}" type="sibTrans" cxnId="{7ADF1108-3C5D-45AE-906C-C6BEDDB414B8}">
      <dgm:prSet/>
      <dgm:spPr/>
      <dgm:t>
        <a:bodyPr/>
        <a:lstStyle/>
        <a:p>
          <a:endParaRPr lang="en-US"/>
        </a:p>
      </dgm:t>
    </dgm:pt>
    <dgm:pt modelId="{FB544CA4-93FC-4F7F-87BE-46A491E59FD5}">
      <dgm:prSet phldrT="[Text]"/>
      <dgm:spPr/>
      <dgm:t>
        <a:bodyPr/>
        <a:lstStyle/>
        <a:p>
          <a:r>
            <a:rPr lang="bn-BD"/>
            <a:t>Unquoted Ordinary Shares</a:t>
          </a:r>
          <a:endParaRPr lang="en-US"/>
        </a:p>
      </dgm:t>
    </dgm:pt>
    <dgm:pt modelId="{F5788BE2-885A-4B7E-9C8A-8AD1CD6E146D}" type="parTrans" cxnId="{DA0B6C3B-CD9B-4B1C-8C62-9AAE48A27D69}">
      <dgm:prSet/>
      <dgm:spPr/>
      <dgm:t>
        <a:bodyPr/>
        <a:lstStyle/>
        <a:p>
          <a:endParaRPr lang="en-US"/>
        </a:p>
      </dgm:t>
    </dgm:pt>
    <dgm:pt modelId="{4A40B1A5-7C77-4FCE-9EC7-7F21A8132EFE}" type="sibTrans" cxnId="{DA0B6C3B-CD9B-4B1C-8C62-9AAE48A27D69}">
      <dgm:prSet/>
      <dgm:spPr/>
      <dgm:t>
        <a:bodyPr/>
        <a:lstStyle/>
        <a:p>
          <a:endParaRPr lang="en-US"/>
        </a:p>
      </dgm:t>
    </dgm:pt>
    <dgm:pt modelId="{739C76FF-14B1-469E-A7D8-2D8B0D860282}">
      <dgm:prSet phldrT="[Text]"/>
      <dgm:spPr/>
      <dgm:t>
        <a:bodyPr/>
        <a:lstStyle/>
        <a:p>
          <a:r>
            <a:rPr lang="bn-BD"/>
            <a:t>Unquoted Redeemable Preference Shares</a:t>
          </a:r>
          <a:endParaRPr lang="en-US"/>
        </a:p>
      </dgm:t>
    </dgm:pt>
    <dgm:pt modelId="{F0249CA6-259B-4BD0-BF67-D5D4B0AA42F0}" type="parTrans" cxnId="{B1473C3A-C11D-4A1D-B291-9E3C7CA9D84A}">
      <dgm:prSet/>
      <dgm:spPr/>
      <dgm:t>
        <a:bodyPr/>
        <a:lstStyle/>
        <a:p>
          <a:endParaRPr lang="en-US"/>
        </a:p>
      </dgm:t>
    </dgm:pt>
    <dgm:pt modelId="{EC2C5D7F-4642-4A15-B23A-A0CD49DD03DD}" type="sibTrans" cxnId="{B1473C3A-C11D-4A1D-B291-9E3C7CA9D84A}">
      <dgm:prSet/>
      <dgm:spPr/>
      <dgm:t>
        <a:bodyPr/>
        <a:lstStyle/>
        <a:p>
          <a:endParaRPr lang="en-US"/>
        </a:p>
      </dgm:t>
    </dgm:pt>
    <dgm:pt modelId="{FD5106B2-5BA1-4F8F-87B7-7A02C48265A7}" type="pres">
      <dgm:prSet presAssocID="{A16351B8-E3A2-4EEA-BBC2-0D7075FCFEB3}" presName="Name0" presStyleCnt="0">
        <dgm:presLayoutVars>
          <dgm:dir/>
          <dgm:animLvl val="lvl"/>
          <dgm:resizeHandles val="exact"/>
        </dgm:presLayoutVars>
      </dgm:prSet>
      <dgm:spPr/>
    </dgm:pt>
    <dgm:pt modelId="{7C363B95-DBCD-4186-A356-F0F062358733}" type="pres">
      <dgm:prSet presAssocID="{F33BFEBF-B04E-418D-98DE-03FEEBC730DC}" presName="parTxOnly" presStyleLbl="node1" presStyleIdx="0" presStyleCnt="3">
        <dgm:presLayoutVars>
          <dgm:chMax val="0"/>
          <dgm:chPref val="0"/>
          <dgm:bulletEnabled val="1"/>
        </dgm:presLayoutVars>
      </dgm:prSet>
      <dgm:spPr/>
      <dgm:t>
        <a:bodyPr/>
        <a:lstStyle/>
        <a:p>
          <a:endParaRPr lang="en-US"/>
        </a:p>
      </dgm:t>
    </dgm:pt>
    <dgm:pt modelId="{96DD0329-BF4A-4265-AC42-E53D8CDAF77F}" type="pres">
      <dgm:prSet presAssocID="{534C0C90-F5CF-4985-92AA-22E2A4BE0E09}" presName="parTxOnlySpace" presStyleCnt="0"/>
      <dgm:spPr/>
    </dgm:pt>
    <dgm:pt modelId="{C4001691-8D91-4741-BB8C-568F3C2B1AEC}" type="pres">
      <dgm:prSet presAssocID="{FB544CA4-93FC-4F7F-87BE-46A491E59FD5}" presName="parTxOnly" presStyleLbl="node1" presStyleIdx="1" presStyleCnt="3">
        <dgm:presLayoutVars>
          <dgm:chMax val="0"/>
          <dgm:chPref val="0"/>
          <dgm:bulletEnabled val="1"/>
        </dgm:presLayoutVars>
      </dgm:prSet>
      <dgm:spPr/>
      <dgm:t>
        <a:bodyPr/>
        <a:lstStyle/>
        <a:p>
          <a:endParaRPr lang="en-US"/>
        </a:p>
      </dgm:t>
    </dgm:pt>
    <dgm:pt modelId="{E5021112-9BC3-4744-BCF3-9EEA6F92AD40}" type="pres">
      <dgm:prSet presAssocID="{4A40B1A5-7C77-4FCE-9EC7-7F21A8132EFE}" presName="parTxOnlySpace" presStyleCnt="0"/>
      <dgm:spPr/>
    </dgm:pt>
    <dgm:pt modelId="{E31DD44A-3A48-4FA1-ABC8-2B70083B1498}" type="pres">
      <dgm:prSet presAssocID="{739C76FF-14B1-469E-A7D8-2D8B0D860282}" presName="parTxOnly" presStyleLbl="node1" presStyleIdx="2" presStyleCnt="3">
        <dgm:presLayoutVars>
          <dgm:chMax val="0"/>
          <dgm:chPref val="0"/>
          <dgm:bulletEnabled val="1"/>
        </dgm:presLayoutVars>
      </dgm:prSet>
      <dgm:spPr/>
      <dgm:t>
        <a:bodyPr/>
        <a:lstStyle/>
        <a:p>
          <a:endParaRPr lang="en-US"/>
        </a:p>
      </dgm:t>
    </dgm:pt>
  </dgm:ptLst>
  <dgm:cxnLst>
    <dgm:cxn modelId="{8E2E8E56-0A03-43F6-A743-A07FA4AED5CD}" type="presOf" srcId="{F33BFEBF-B04E-418D-98DE-03FEEBC730DC}" destId="{7C363B95-DBCD-4186-A356-F0F062358733}" srcOrd="0" destOrd="0" presId="urn:microsoft.com/office/officeart/2005/8/layout/chevron1"/>
    <dgm:cxn modelId="{DA0B6C3B-CD9B-4B1C-8C62-9AAE48A27D69}" srcId="{A16351B8-E3A2-4EEA-BBC2-0D7075FCFEB3}" destId="{FB544CA4-93FC-4F7F-87BE-46A491E59FD5}" srcOrd="1" destOrd="0" parTransId="{F5788BE2-885A-4B7E-9C8A-8AD1CD6E146D}" sibTransId="{4A40B1A5-7C77-4FCE-9EC7-7F21A8132EFE}"/>
    <dgm:cxn modelId="{F42178D5-FC97-447F-A847-AA84BBB530F2}" type="presOf" srcId="{FB544CA4-93FC-4F7F-87BE-46A491E59FD5}" destId="{C4001691-8D91-4741-BB8C-568F3C2B1AEC}" srcOrd="0" destOrd="0" presId="urn:microsoft.com/office/officeart/2005/8/layout/chevron1"/>
    <dgm:cxn modelId="{041F7A5E-E42B-47DB-9793-ABB242C1EC63}" type="presOf" srcId="{739C76FF-14B1-469E-A7D8-2D8B0D860282}" destId="{E31DD44A-3A48-4FA1-ABC8-2B70083B1498}" srcOrd="0" destOrd="0" presId="urn:microsoft.com/office/officeart/2005/8/layout/chevron1"/>
    <dgm:cxn modelId="{7ADF1108-3C5D-45AE-906C-C6BEDDB414B8}" srcId="{A16351B8-E3A2-4EEA-BBC2-0D7075FCFEB3}" destId="{F33BFEBF-B04E-418D-98DE-03FEEBC730DC}" srcOrd="0" destOrd="0" parTransId="{D8FCCFE6-7E76-4457-B0B3-27FF9C7B9F67}" sibTransId="{534C0C90-F5CF-4985-92AA-22E2A4BE0E09}"/>
    <dgm:cxn modelId="{FE394905-3321-4E81-A4B5-059E5D13B074}" type="presOf" srcId="{A16351B8-E3A2-4EEA-BBC2-0D7075FCFEB3}" destId="{FD5106B2-5BA1-4F8F-87B7-7A02C48265A7}" srcOrd="0" destOrd="0" presId="urn:microsoft.com/office/officeart/2005/8/layout/chevron1"/>
    <dgm:cxn modelId="{B1473C3A-C11D-4A1D-B291-9E3C7CA9D84A}" srcId="{A16351B8-E3A2-4EEA-BBC2-0D7075FCFEB3}" destId="{739C76FF-14B1-469E-A7D8-2D8B0D860282}" srcOrd="2" destOrd="0" parTransId="{F0249CA6-259B-4BD0-BF67-D5D4B0AA42F0}" sibTransId="{EC2C5D7F-4642-4A15-B23A-A0CD49DD03DD}"/>
    <dgm:cxn modelId="{E9D6B71F-85EC-4568-B6A1-27A27BB454C5}" type="presParOf" srcId="{FD5106B2-5BA1-4F8F-87B7-7A02C48265A7}" destId="{7C363B95-DBCD-4186-A356-F0F062358733}" srcOrd="0" destOrd="0" presId="urn:microsoft.com/office/officeart/2005/8/layout/chevron1"/>
    <dgm:cxn modelId="{F9119933-1710-4930-9A94-02F37C29703A}" type="presParOf" srcId="{FD5106B2-5BA1-4F8F-87B7-7A02C48265A7}" destId="{96DD0329-BF4A-4265-AC42-E53D8CDAF77F}" srcOrd="1" destOrd="0" presId="urn:microsoft.com/office/officeart/2005/8/layout/chevron1"/>
    <dgm:cxn modelId="{A0FED341-7C8C-44CC-9631-09B2625A5EEE}" type="presParOf" srcId="{FD5106B2-5BA1-4F8F-87B7-7A02C48265A7}" destId="{C4001691-8D91-4741-BB8C-568F3C2B1AEC}" srcOrd="2" destOrd="0" presId="urn:microsoft.com/office/officeart/2005/8/layout/chevron1"/>
    <dgm:cxn modelId="{8647DC52-7235-4145-9843-C3986AF39117}" type="presParOf" srcId="{FD5106B2-5BA1-4F8F-87B7-7A02C48265A7}" destId="{E5021112-9BC3-4744-BCF3-9EEA6F92AD40}" srcOrd="3" destOrd="0" presId="urn:microsoft.com/office/officeart/2005/8/layout/chevron1"/>
    <dgm:cxn modelId="{DAA09E62-31EF-41CC-8A89-17F69D378DB9}" type="presParOf" srcId="{FD5106B2-5BA1-4F8F-87B7-7A02C48265A7}" destId="{E31DD44A-3A48-4FA1-ABC8-2B70083B1498}" srcOrd="4" destOrd="0" presId="urn:microsoft.com/office/officeart/2005/8/layout/chevron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760093B-5A5D-436A-8FDC-4D4CA045BDE7}"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6ABC60EB-7736-4EB9-9937-AA1AE0C74742}">
      <dgm:prSet phldrT="[Text]"/>
      <dgm:spPr/>
      <dgm:t>
        <a:bodyPr/>
        <a:lstStyle/>
        <a:p>
          <a:r>
            <a:rPr lang="en-US"/>
            <a:t>On Demand</a:t>
          </a:r>
        </a:p>
      </dgm:t>
    </dgm:pt>
    <dgm:pt modelId="{5C9CD477-3752-4A47-9879-A5681CFEE9AF}" type="parTrans" cxnId="{424EE32E-6D4E-402F-8730-32A6E9E1F2EB}">
      <dgm:prSet/>
      <dgm:spPr/>
      <dgm:t>
        <a:bodyPr/>
        <a:lstStyle/>
        <a:p>
          <a:endParaRPr lang="en-US"/>
        </a:p>
      </dgm:t>
    </dgm:pt>
    <dgm:pt modelId="{CDAD9CE1-CDB6-47E6-BA1A-495600778C45}" type="sibTrans" cxnId="{424EE32E-6D4E-402F-8730-32A6E9E1F2EB}">
      <dgm:prSet/>
      <dgm:spPr/>
      <dgm:t>
        <a:bodyPr/>
        <a:lstStyle/>
        <a:p>
          <a:endParaRPr lang="en-US"/>
        </a:p>
      </dgm:t>
    </dgm:pt>
    <dgm:pt modelId="{3CC0E08E-18C9-4868-83C2-1E2592251F4D}">
      <dgm:prSet phldrT="[Text]"/>
      <dgm:spPr/>
      <dgm:t>
        <a:bodyPr/>
        <a:lstStyle/>
        <a:p>
          <a:r>
            <a:rPr lang="en-US"/>
            <a:t>1 month&lt;</a:t>
          </a:r>
        </a:p>
        <a:p>
          <a:r>
            <a:rPr lang="en-US"/>
            <a:t>3 months&gt;</a:t>
          </a:r>
        </a:p>
      </dgm:t>
    </dgm:pt>
    <dgm:pt modelId="{00EB3DAA-E4FB-4661-874D-87BFBF336394}" type="parTrans" cxnId="{1CDC8F3A-7BA5-4A83-87F7-2230CD84BCD2}">
      <dgm:prSet/>
      <dgm:spPr/>
      <dgm:t>
        <a:bodyPr/>
        <a:lstStyle/>
        <a:p>
          <a:endParaRPr lang="en-US"/>
        </a:p>
      </dgm:t>
    </dgm:pt>
    <dgm:pt modelId="{219457EB-A0A6-4185-8961-1B08B48327BE}" type="sibTrans" cxnId="{1CDC8F3A-7BA5-4A83-87F7-2230CD84BCD2}">
      <dgm:prSet/>
      <dgm:spPr/>
      <dgm:t>
        <a:bodyPr/>
        <a:lstStyle/>
        <a:p>
          <a:endParaRPr lang="en-US"/>
        </a:p>
      </dgm:t>
    </dgm:pt>
    <dgm:pt modelId="{7E5F8F54-8DF8-45E2-9356-9D77795D1AFD}">
      <dgm:prSet phldrT="[Text]"/>
      <dgm:spPr/>
      <dgm:t>
        <a:bodyPr/>
        <a:lstStyle/>
        <a:p>
          <a:r>
            <a:rPr lang="en-US"/>
            <a:t>3 months &lt;</a:t>
          </a:r>
        </a:p>
        <a:p>
          <a:r>
            <a:rPr lang="en-US"/>
            <a:t>1 year&gt;</a:t>
          </a:r>
        </a:p>
      </dgm:t>
    </dgm:pt>
    <dgm:pt modelId="{2D0A2687-1D9A-4C51-A045-7C7FE6CD7CBB}" type="parTrans" cxnId="{37E001AC-6EA9-4069-B507-769F64EAF722}">
      <dgm:prSet/>
      <dgm:spPr/>
      <dgm:t>
        <a:bodyPr/>
        <a:lstStyle/>
        <a:p>
          <a:endParaRPr lang="en-US"/>
        </a:p>
      </dgm:t>
    </dgm:pt>
    <dgm:pt modelId="{457DAB7F-81C0-4D4D-8C96-A272CF6BE320}" type="sibTrans" cxnId="{37E001AC-6EA9-4069-B507-769F64EAF722}">
      <dgm:prSet/>
      <dgm:spPr/>
      <dgm:t>
        <a:bodyPr/>
        <a:lstStyle/>
        <a:p>
          <a:endParaRPr lang="en-US"/>
        </a:p>
      </dgm:t>
    </dgm:pt>
    <dgm:pt modelId="{7469B7C1-C7D2-4AE6-827A-1B0DCD79B127}">
      <dgm:prSet phldrT="[Text]"/>
      <dgm:spPr/>
      <dgm:t>
        <a:bodyPr/>
        <a:lstStyle/>
        <a:p>
          <a:r>
            <a:rPr lang="en-US"/>
            <a:t>1 year &lt; </a:t>
          </a:r>
        </a:p>
        <a:p>
          <a:r>
            <a:rPr lang="en-US"/>
            <a:t>5 years&gt;</a:t>
          </a:r>
        </a:p>
      </dgm:t>
    </dgm:pt>
    <dgm:pt modelId="{7E798DA6-3D23-4A0B-B939-03D48D96D9C4}" type="parTrans" cxnId="{E61C445E-0918-4ADB-8BFE-88BE3763157F}">
      <dgm:prSet/>
      <dgm:spPr/>
      <dgm:t>
        <a:bodyPr/>
        <a:lstStyle/>
        <a:p>
          <a:endParaRPr lang="en-US"/>
        </a:p>
      </dgm:t>
    </dgm:pt>
    <dgm:pt modelId="{71F70E65-EBDB-4AD5-B346-01AEC4CD57C6}" type="sibTrans" cxnId="{E61C445E-0918-4ADB-8BFE-88BE3763157F}">
      <dgm:prSet/>
      <dgm:spPr/>
      <dgm:t>
        <a:bodyPr/>
        <a:lstStyle/>
        <a:p>
          <a:endParaRPr lang="en-US"/>
        </a:p>
      </dgm:t>
    </dgm:pt>
    <dgm:pt modelId="{EB84C19F-25E0-45B5-81B3-E1F1ECC4C7B4}">
      <dgm:prSet phldrT="[Text]"/>
      <dgm:spPr/>
      <dgm:t>
        <a:bodyPr/>
        <a:lstStyle/>
        <a:p>
          <a:r>
            <a:rPr lang="en-US"/>
            <a:t>5 years &lt;</a:t>
          </a:r>
        </a:p>
      </dgm:t>
    </dgm:pt>
    <dgm:pt modelId="{D30787C1-3816-4B78-917D-AD405D48BDC3}" type="parTrans" cxnId="{F05A027F-09D1-4E11-AAC7-C91E43061E5C}">
      <dgm:prSet/>
      <dgm:spPr/>
      <dgm:t>
        <a:bodyPr/>
        <a:lstStyle/>
        <a:p>
          <a:endParaRPr lang="en-US"/>
        </a:p>
      </dgm:t>
    </dgm:pt>
    <dgm:pt modelId="{CB6463FB-632E-4EB9-A743-6C05E92C000B}" type="sibTrans" cxnId="{F05A027F-09D1-4E11-AAC7-C91E43061E5C}">
      <dgm:prSet/>
      <dgm:spPr/>
      <dgm:t>
        <a:bodyPr/>
        <a:lstStyle/>
        <a:p>
          <a:endParaRPr lang="en-US"/>
        </a:p>
      </dgm:t>
    </dgm:pt>
    <dgm:pt modelId="{DDF363ED-9C9A-4718-B80A-A72B7895004B}" type="pres">
      <dgm:prSet presAssocID="{4760093B-5A5D-436A-8FDC-4D4CA045BDE7}" presName="cycle" presStyleCnt="0">
        <dgm:presLayoutVars>
          <dgm:dir/>
          <dgm:resizeHandles val="exact"/>
        </dgm:presLayoutVars>
      </dgm:prSet>
      <dgm:spPr/>
      <dgm:t>
        <a:bodyPr/>
        <a:lstStyle/>
        <a:p>
          <a:endParaRPr lang="en-US"/>
        </a:p>
      </dgm:t>
    </dgm:pt>
    <dgm:pt modelId="{EEF58586-2555-42DD-AACC-7F33E3DE40C1}" type="pres">
      <dgm:prSet presAssocID="{6ABC60EB-7736-4EB9-9937-AA1AE0C74742}" presName="dummy" presStyleCnt="0"/>
      <dgm:spPr/>
    </dgm:pt>
    <dgm:pt modelId="{ECA7D1B5-9976-49E6-8F27-A6CBDBA24A66}" type="pres">
      <dgm:prSet presAssocID="{6ABC60EB-7736-4EB9-9937-AA1AE0C74742}" presName="node" presStyleLbl="revTx" presStyleIdx="0" presStyleCnt="5">
        <dgm:presLayoutVars>
          <dgm:bulletEnabled val="1"/>
        </dgm:presLayoutVars>
      </dgm:prSet>
      <dgm:spPr/>
      <dgm:t>
        <a:bodyPr/>
        <a:lstStyle/>
        <a:p>
          <a:endParaRPr lang="en-US"/>
        </a:p>
      </dgm:t>
    </dgm:pt>
    <dgm:pt modelId="{FD686066-8E85-469D-B43B-6A2B687E1AE1}" type="pres">
      <dgm:prSet presAssocID="{CDAD9CE1-CDB6-47E6-BA1A-495600778C45}" presName="sibTrans" presStyleLbl="node1" presStyleIdx="0" presStyleCnt="5"/>
      <dgm:spPr/>
      <dgm:t>
        <a:bodyPr/>
        <a:lstStyle/>
        <a:p>
          <a:endParaRPr lang="en-US"/>
        </a:p>
      </dgm:t>
    </dgm:pt>
    <dgm:pt modelId="{EF181907-119B-4F47-846E-1D6659503541}" type="pres">
      <dgm:prSet presAssocID="{3CC0E08E-18C9-4868-83C2-1E2592251F4D}" presName="dummy" presStyleCnt="0"/>
      <dgm:spPr/>
    </dgm:pt>
    <dgm:pt modelId="{4CEBE17E-2E34-44AD-BFA0-A4C01880613C}" type="pres">
      <dgm:prSet presAssocID="{3CC0E08E-18C9-4868-83C2-1E2592251F4D}" presName="node" presStyleLbl="revTx" presStyleIdx="1" presStyleCnt="5" custScaleY="63355">
        <dgm:presLayoutVars>
          <dgm:bulletEnabled val="1"/>
        </dgm:presLayoutVars>
      </dgm:prSet>
      <dgm:spPr/>
      <dgm:t>
        <a:bodyPr/>
        <a:lstStyle/>
        <a:p>
          <a:endParaRPr lang="en-US"/>
        </a:p>
      </dgm:t>
    </dgm:pt>
    <dgm:pt modelId="{7954B03E-8DA4-4807-950F-17AF457D5D3F}" type="pres">
      <dgm:prSet presAssocID="{219457EB-A0A6-4185-8961-1B08B48327BE}" presName="sibTrans" presStyleLbl="node1" presStyleIdx="1" presStyleCnt="5"/>
      <dgm:spPr/>
      <dgm:t>
        <a:bodyPr/>
        <a:lstStyle/>
        <a:p>
          <a:endParaRPr lang="en-US"/>
        </a:p>
      </dgm:t>
    </dgm:pt>
    <dgm:pt modelId="{96F9A8F2-B1E8-4DAF-9C77-36CFE7B0C714}" type="pres">
      <dgm:prSet presAssocID="{7E5F8F54-8DF8-45E2-9356-9D77795D1AFD}" presName="dummy" presStyleCnt="0"/>
      <dgm:spPr/>
    </dgm:pt>
    <dgm:pt modelId="{B0AF0144-F8E1-4AD7-9891-DF2D8C8D8017}" type="pres">
      <dgm:prSet presAssocID="{7E5F8F54-8DF8-45E2-9356-9D77795D1AFD}" presName="node" presStyleLbl="revTx" presStyleIdx="2" presStyleCnt="5" custScaleX="107970">
        <dgm:presLayoutVars>
          <dgm:bulletEnabled val="1"/>
        </dgm:presLayoutVars>
      </dgm:prSet>
      <dgm:spPr/>
      <dgm:t>
        <a:bodyPr/>
        <a:lstStyle/>
        <a:p>
          <a:endParaRPr lang="en-US"/>
        </a:p>
      </dgm:t>
    </dgm:pt>
    <dgm:pt modelId="{17021D16-13CA-454E-8B6E-699331ED22B1}" type="pres">
      <dgm:prSet presAssocID="{457DAB7F-81C0-4D4D-8C96-A272CF6BE320}" presName="sibTrans" presStyleLbl="node1" presStyleIdx="2" presStyleCnt="5"/>
      <dgm:spPr/>
      <dgm:t>
        <a:bodyPr/>
        <a:lstStyle/>
        <a:p>
          <a:endParaRPr lang="en-US"/>
        </a:p>
      </dgm:t>
    </dgm:pt>
    <dgm:pt modelId="{59CFB609-FDC3-488A-BE8D-DA8B94DC5E91}" type="pres">
      <dgm:prSet presAssocID="{7469B7C1-C7D2-4AE6-827A-1B0DCD79B127}" presName="dummy" presStyleCnt="0"/>
      <dgm:spPr/>
    </dgm:pt>
    <dgm:pt modelId="{5C1EAB79-1749-4D83-8877-73B993B7D2A1}" type="pres">
      <dgm:prSet presAssocID="{7469B7C1-C7D2-4AE6-827A-1B0DCD79B127}" presName="node" presStyleLbl="revTx" presStyleIdx="3" presStyleCnt="5">
        <dgm:presLayoutVars>
          <dgm:bulletEnabled val="1"/>
        </dgm:presLayoutVars>
      </dgm:prSet>
      <dgm:spPr/>
      <dgm:t>
        <a:bodyPr/>
        <a:lstStyle/>
        <a:p>
          <a:endParaRPr lang="en-US"/>
        </a:p>
      </dgm:t>
    </dgm:pt>
    <dgm:pt modelId="{BEDC93B2-3088-4E86-9699-50D5BD5FCDCE}" type="pres">
      <dgm:prSet presAssocID="{71F70E65-EBDB-4AD5-B346-01AEC4CD57C6}" presName="sibTrans" presStyleLbl="node1" presStyleIdx="3" presStyleCnt="5"/>
      <dgm:spPr/>
      <dgm:t>
        <a:bodyPr/>
        <a:lstStyle/>
        <a:p>
          <a:endParaRPr lang="en-US"/>
        </a:p>
      </dgm:t>
    </dgm:pt>
    <dgm:pt modelId="{3776189E-AF8D-4E47-B2BE-2DCA72BA2E7F}" type="pres">
      <dgm:prSet presAssocID="{EB84C19F-25E0-45B5-81B3-E1F1ECC4C7B4}" presName="dummy" presStyleCnt="0"/>
      <dgm:spPr/>
    </dgm:pt>
    <dgm:pt modelId="{6B9B21DF-25F2-40BB-B355-618A1BE80681}" type="pres">
      <dgm:prSet presAssocID="{EB84C19F-25E0-45B5-81B3-E1F1ECC4C7B4}" presName="node" presStyleLbl="revTx" presStyleIdx="4" presStyleCnt="5">
        <dgm:presLayoutVars>
          <dgm:bulletEnabled val="1"/>
        </dgm:presLayoutVars>
      </dgm:prSet>
      <dgm:spPr/>
      <dgm:t>
        <a:bodyPr/>
        <a:lstStyle/>
        <a:p>
          <a:endParaRPr lang="en-US"/>
        </a:p>
      </dgm:t>
    </dgm:pt>
    <dgm:pt modelId="{6F701C4D-7ABD-4658-ABDC-9CC0A1B04F95}" type="pres">
      <dgm:prSet presAssocID="{CB6463FB-632E-4EB9-A743-6C05E92C000B}" presName="sibTrans" presStyleLbl="node1" presStyleIdx="4" presStyleCnt="5"/>
      <dgm:spPr/>
      <dgm:t>
        <a:bodyPr/>
        <a:lstStyle/>
        <a:p>
          <a:endParaRPr lang="en-US"/>
        </a:p>
      </dgm:t>
    </dgm:pt>
  </dgm:ptLst>
  <dgm:cxnLst>
    <dgm:cxn modelId="{7CF712DC-30F2-4623-84F2-31248FEC5B71}" type="presOf" srcId="{71F70E65-EBDB-4AD5-B346-01AEC4CD57C6}" destId="{BEDC93B2-3088-4E86-9699-50D5BD5FCDCE}" srcOrd="0" destOrd="0" presId="urn:microsoft.com/office/officeart/2005/8/layout/cycle1"/>
    <dgm:cxn modelId="{E62709D5-52E1-4CB9-93FF-15A58A7656FA}" type="presOf" srcId="{4760093B-5A5D-436A-8FDC-4D4CA045BDE7}" destId="{DDF363ED-9C9A-4718-B80A-A72B7895004B}" srcOrd="0" destOrd="0" presId="urn:microsoft.com/office/officeart/2005/8/layout/cycle1"/>
    <dgm:cxn modelId="{0F8F445B-7BF9-41B4-A43F-A182DD4451A3}" type="presOf" srcId="{CDAD9CE1-CDB6-47E6-BA1A-495600778C45}" destId="{FD686066-8E85-469D-B43B-6A2B687E1AE1}" srcOrd="0" destOrd="0" presId="urn:microsoft.com/office/officeart/2005/8/layout/cycle1"/>
    <dgm:cxn modelId="{424EE32E-6D4E-402F-8730-32A6E9E1F2EB}" srcId="{4760093B-5A5D-436A-8FDC-4D4CA045BDE7}" destId="{6ABC60EB-7736-4EB9-9937-AA1AE0C74742}" srcOrd="0" destOrd="0" parTransId="{5C9CD477-3752-4A47-9879-A5681CFEE9AF}" sibTransId="{CDAD9CE1-CDB6-47E6-BA1A-495600778C45}"/>
    <dgm:cxn modelId="{CA748468-9543-416C-9299-34D4AFC46787}" type="presOf" srcId="{457DAB7F-81C0-4D4D-8C96-A272CF6BE320}" destId="{17021D16-13CA-454E-8B6E-699331ED22B1}" srcOrd="0" destOrd="0" presId="urn:microsoft.com/office/officeart/2005/8/layout/cycle1"/>
    <dgm:cxn modelId="{BCFB5BE7-DE8B-4835-8636-889DE3013CFC}" type="presOf" srcId="{219457EB-A0A6-4185-8961-1B08B48327BE}" destId="{7954B03E-8DA4-4807-950F-17AF457D5D3F}" srcOrd="0" destOrd="0" presId="urn:microsoft.com/office/officeart/2005/8/layout/cycle1"/>
    <dgm:cxn modelId="{3B19FF83-C1B2-423E-A8FA-49B3F2F83B07}" type="presOf" srcId="{7469B7C1-C7D2-4AE6-827A-1B0DCD79B127}" destId="{5C1EAB79-1749-4D83-8877-73B993B7D2A1}" srcOrd="0" destOrd="0" presId="urn:microsoft.com/office/officeart/2005/8/layout/cycle1"/>
    <dgm:cxn modelId="{37E001AC-6EA9-4069-B507-769F64EAF722}" srcId="{4760093B-5A5D-436A-8FDC-4D4CA045BDE7}" destId="{7E5F8F54-8DF8-45E2-9356-9D77795D1AFD}" srcOrd="2" destOrd="0" parTransId="{2D0A2687-1D9A-4C51-A045-7C7FE6CD7CBB}" sibTransId="{457DAB7F-81C0-4D4D-8C96-A272CF6BE320}"/>
    <dgm:cxn modelId="{F05A027F-09D1-4E11-AAC7-C91E43061E5C}" srcId="{4760093B-5A5D-436A-8FDC-4D4CA045BDE7}" destId="{EB84C19F-25E0-45B5-81B3-E1F1ECC4C7B4}" srcOrd="4" destOrd="0" parTransId="{D30787C1-3816-4B78-917D-AD405D48BDC3}" sibTransId="{CB6463FB-632E-4EB9-A743-6C05E92C000B}"/>
    <dgm:cxn modelId="{6BC9E8A0-DCAB-417C-B3AD-DC5D31D61EA8}" type="presOf" srcId="{7E5F8F54-8DF8-45E2-9356-9D77795D1AFD}" destId="{B0AF0144-F8E1-4AD7-9891-DF2D8C8D8017}" srcOrd="0" destOrd="0" presId="urn:microsoft.com/office/officeart/2005/8/layout/cycle1"/>
    <dgm:cxn modelId="{BD375BDA-33CC-4709-A856-87800AB8C095}" type="presOf" srcId="{3CC0E08E-18C9-4868-83C2-1E2592251F4D}" destId="{4CEBE17E-2E34-44AD-BFA0-A4C01880613C}" srcOrd="0" destOrd="0" presId="urn:microsoft.com/office/officeart/2005/8/layout/cycle1"/>
    <dgm:cxn modelId="{1B4864CE-8167-4992-B689-38D22E9616BA}" type="presOf" srcId="{6ABC60EB-7736-4EB9-9937-AA1AE0C74742}" destId="{ECA7D1B5-9976-49E6-8F27-A6CBDBA24A66}" srcOrd="0" destOrd="0" presId="urn:microsoft.com/office/officeart/2005/8/layout/cycle1"/>
    <dgm:cxn modelId="{E61C445E-0918-4ADB-8BFE-88BE3763157F}" srcId="{4760093B-5A5D-436A-8FDC-4D4CA045BDE7}" destId="{7469B7C1-C7D2-4AE6-827A-1B0DCD79B127}" srcOrd="3" destOrd="0" parTransId="{7E798DA6-3D23-4A0B-B939-03D48D96D9C4}" sibTransId="{71F70E65-EBDB-4AD5-B346-01AEC4CD57C6}"/>
    <dgm:cxn modelId="{74C30166-247E-4948-88DF-DC2315EDF4A5}" type="presOf" srcId="{EB84C19F-25E0-45B5-81B3-E1F1ECC4C7B4}" destId="{6B9B21DF-25F2-40BB-B355-618A1BE80681}" srcOrd="0" destOrd="0" presId="urn:microsoft.com/office/officeart/2005/8/layout/cycle1"/>
    <dgm:cxn modelId="{1CDC8F3A-7BA5-4A83-87F7-2230CD84BCD2}" srcId="{4760093B-5A5D-436A-8FDC-4D4CA045BDE7}" destId="{3CC0E08E-18C9-4868-83C2-1E2592251F4D}" srcOrd="1" destOrd="0" parTransId="{00EB3DAA-E4FB-4661-874D-87BFBF336394}" sibTransId="{219457EB-A0A6-4185-8961-1B08B48327BE}"/>
    <dgm:cxn modelId="{396712CF-4C94-4CB5-94DC-FAC5361B22EA}" type="presOf" srcId="{CB6463FB-632E-4EB9-A743-6C05E92C000B}" destId="{6F701C4D-7ABD-4658-ABDC-9CC0A1B04F95}" srcOrd="0" destOrd="0" presId="urn:microsoft.com/office/officeart/2005/8/layout/cycle1"/>
    <dgm:cxn modelId="{E015A934-2ACE-4753-BA6E-308086442B4C}" type="presParOf" srcId="{DDF363ED-9C9A-4718-B80A-A72B7895004B}" destId="{EEF58586-2555-42DD-AACC-7F33E3DE40C1}" srcOrd="0" destOrd="0" presId="urn:microsoft.com/office/officeart/2005/8/layout/cycle1"/>
    <dgm:cxn modelId="{ABFBFD46-9E0E-47F8-86E9-D62DB0C831A2}" type="presParOf" srcId="{DDF363ED-9C9A-4718-B80A-A72B7895004B}" destId="{ECA7D1B5-9976-49E6-8F27-A6CBDBA24A66}" srcOrd="1" destOrd="0" presId="urn:microsoft.com/office/officeart/2005/8/layout/cycle1"/>
    <dgm:cxn modelId="{38991D02-D48A-4C67-BBE5-D207197D124C}" type="presParOf" srcId="{DDF363ED-9C9A-4718-B80A-A72B7895004B}" destId="{FD686066-8E85-469D-B43B-6A2B687E1AE1}" srcOrd="2" destOrd="0" presId="urn:microsoft.com/office/officeart/2005/8/layout/cycle1"/>
    <dgm:cxn modelId="{C464C754-6F76-4A76-AEDF-C9BDFC0DF50B}" type="presParOf" srcId="{DDF363ED-9C9A-4718-B80A-A72B7895004B}" destId="{EF181907-119B-4F47-846E-1D6659503541}" srcOrd="3" destOrd="0" presId="urn:microsoft.com/office/officeart/2005/8/layout/cycle1"/>
    <dgm:cxn modelId="{9CB1750A-9536-48AD-89EF-0203863F42DF}" type="presParOf" srcId="{DDF363ED-9C9A-4718-B80A-A72B7895004B}" destId="{4CEBE17E-2E34-44AD-BFA0-A4C01880613C}" srcOrd="4" destOrd="0" presId="urn:microsoft.com/office/officeart/2005/8/layout/cycle1"/>
    <dgm:cxn modelId="{EA17BEE5-2BB1-4F43-B5CD-467BDB5B0CB2}" type="presParOf" srcId="{DDF363ED-9C9A-4718-B80A-A72B7895004B}" destId="{7954B03E-8DA4-4807-950F-17AF457D5D3F}" srcOrd="5" destOrd="0" presId="urn:microsoft.com/office/officeart/2005/8/layout/cycle1"/>
    <dgm:cxn modelId="{9B3599F0-81C4-41E7-BB4F-6E09C4BE1D00}" type="presParOf" srcId="{DDF363ED-9C9A-4718-B80A-A72B7895004B}" destId="{96F9A8F2-B1E8-4DAF-9C77-36CFE7B0C714}" srcOrd="6" destOrd="0" presId="urn:microsoft.com/office/officeart/2005/8/layout/cycle1"/>
    <dgm:cxn modelId="{B020B24C-FDF8-4E59-8DD1-42DCD9CADDF2}" type="presParOf" srcId="{DDF363ED-9C9A-4718-B80A-A72B7895004B}" destId="{B0AF0144-F8E1-4AD7-9891-DF2D8C8D8017}" srcOrd="7" destOrd="0" presId="urn:microsoft.com/office/officeart/2005/8/layout/cycle1"/>
    <dgm:cxn modelId="{E295FE76-E5FE-4555-9708-FFD2ADBDF63B}" type="presParOf" srcId="{DDF363ED-9C9A-4718-B80A-A72B7895004B}" destId="{17021D16-13CA-454E-8B6E-699331ED22B1}" srcOrd="8" destOrd="0" presId="urn:microsoft.com/office/officeart/2005/8/layout/cycle1"/>
    <dgm:cxn modelId="{DA73DB4D-DED9-4CAA-8627-3C17BF875640}" type="presParOf" srcId="{DDF363ED-9C9A-4718-B80A-A72B7895004B}" destId="{59CFB609-FDC3-488A-BE8D-DA8B94DC5E91}" srcOrd="9" destOrd="0" presId="urn:microsoft.com/office/officeart/2005/8/layout/cycle1"/>
    <dgm:cxn modelId="{680EF8B5-C506-4D17-B049-A1D7E8AD1F8A}" type="presParOf" srcId="{DDF363ED-9C9A-4718-B80A-A72B7895004B}" destId="{5C1EAB79-1749-4D83-8877-73B993B7D2A1}" srcOrd="10" destOrd="0" presId="urn:microsoft.com/office/officeart/2005/8/layout/cycle1"/>
    <dgm:cxn modelId="{3FBD3A4F-BA61-4E6C-B6E2-B9197F5D51B8}" type="presParOf" srcId="{DDF363ED-9C9A-4718-B80A-A72B7895004B}" destId="{BEDC93B2-3088-4E86-9699-50D5BD5FCDCE}" srcOrd="11" destOrd="0" presId="urn:microsoft.com/office/officeart/2005/8/layout/cycle1"/>
    <dgm:cxn modelId="{BE4CBBED-DFBA-4293-9CAC-6B6A50A7C3D5}" type="presParOf" srcId="{DDF363ED-9C9A-4718-B80A-A72B7895004B}" destId="{3776189E-AF8D-4E47-B2BE-2DCA72BA2E7F}" srcOrd="12" destOrd="0" presId="urn:microsoft.com/office/officeart/2005/8/layout/cycle1"/>
    <dgm:cxn modelId="{BA2B9C92-E7A1-46B7-9387-8E81518EA36C}" type="presParOf" srcId="{DDF363ED-9C9A-4718-B80A-A72B7895004B}" destId="{6B9B21DF-25F2-40BB-B355-618A1BE80681}" srcOrd="13" destOrd="0" presId="urn:microsoft.com/office/officeart/2005/8/layout/cycle1"/>
    <dgm:cxn modelId="{F8E27554-7BBB-4FDC-86C0-4B95F41CFC19}" type="presParOf" srcId="{DDF363ED-9C9A-4718-B80A-A72B7895004B}" destId="{6F701C4D-7ABD-4658-ABDC-9CC0A1B04F95}" srcOrd="14" destOrd="0" presId="urn:microsoft.com/office/officeart/2005/8/layout/cycle1"/>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1DD25-F28E-444B-A072-3318043C1C93}">
      <dsp:nvSpPr>
        <dsp:cNvPr id="0" name=""/>
        <dsp:cNvSpPr/>
      </dsp:nvSpPr>
      <dsp:spPr>
        <a:xfrm>
          <a:off x="1597172" y="0"/>
          <a:ext cx="1796020" cy="1796071"/>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F121A4-5B12-407D-BBF3-B32D3A1B961A}">
      <dsp:nvSpPr>
        <dsp:cNvPr id="0" name=""/>
        <dsp:cNvSpPr/>
      </dsp:nvSpPr>
      <dsp:spPr>
        <a:xfrm>
          <a:off x="1993839" y="650250"/>
          <a:ext cx="1002037" cy="5009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Investment In Government Securities</a:t>
          </a:r>
        </a:p>
      </dsp:txBody>
      <dsp:txXfrm>
        <a:off x="1993839" y="650250"/>
        <a:ext cx="1002037" cy="500959"/>
      </dsp:txXfrm>
    </dsp:sp>
    <dsp:sp modelId="{E0CA9D13-4DB3-4A19-97D1-A9B569D1DF70}">
      <dsp:nvSpPr>
        <dsp:cNvPr id="0" name=""/>
        <dsp:cNvSpPr/>
      </dsp:nvSpPr>
      <dsp:spPr>
        <a:xfrm>
          <a:off x="1226431" y="1151210"/>
          <a:ext cx="1542918" cy="1543570"/>
        </a:xfrm>
        <a:prstGeom prst="blockArc">
          <a:avLst>
            <a:gd name="adj1" fmla="val 0"/>
            <a:gd name="adj2" fmla="val 189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024BD9-7345-42C0-A446-297AAEBB75B5}">
      <dsp:nvSpPr>
        <dsp:cNvPr id="0" name=""/>
        <dsp:cNvSpPr/>
      </dsp:nvSpPr>
      <dsp:spPr>
        <a:xfrm>
          <a:off x="1492821" y="1684238"/>
          <a:ext cx="1002037" cy="5009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Investment In Other Securities</a:t>
          </a:r>
        </a:p>
      </dsp:txBody>
      <dsp:txXfrm>
        <a:off x="1492821" y="1684238"/>
        <a:ext cx="1002037" cy="5009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7C8527-AE5A-4FC9-B8B8-BBAF7BD88909}">
      <dsp:nvSpPr>
        <dsp:cNvPr id="0" name=""/>
        <dsp:cNvSpPr/>
      </dsp:nvSpPr>
      <dsp:spPr>
        <a:xfrm>
          <a:off x="922" y="250552"/>
          <a:ext cx="1222920" cy="122292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Prize Bond</a:t>
          </a:r>
        </a:p>
      </dsp:txBody>
      <dsp:txXfrm>
        <a:off x="180014" y="429644"/>
        <a:ext cx="864736" cy="864736"/>
      </dsp:txXfrm>
    </dsp:sp>
    <dsp:sp modelId="{02FEDD6B-BFF7-413F-9236-31D110421225}">
      <dsp:nvSpPr>
        <dsp:cNvPr id="0" name=""/>
        <dsp:cNvSpPr/>
      </dsp:nvSpPr>
      <dsp:spPr>
        <a:xfrm>
          <a:off x="1323144" y="507365"/>
          <a:ext cx="709294" cy="70929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417161" y="778599"/>
        <a:ext cx="521260" cy="166826"/>
      </dsp:txXfrm>
    </dsp:sp>
    <dsp:sp modelId="{E95B0A6C-A83E-43B3-88A6-674DB5B8D767}">
      <dsp:nvSpPr>
        <dsp:cNvPr id="0" name=""/>
        <dsp:cNvSpPr/>
      </dsp:nvSpPr>
      <dsp:spPr>
        <a:xfrm>
          <a:off x="2131739" y="250552"/>
          <a:ext cx="1222920" cy="122292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Government Bond</a:t>
          </a:r>
        </a:p>
      </dsp:txBody>
      <dsp:txXfrm>
        <a:off x="2310831" y="429644"/>
        <a:ext cx="864736" cy="864736"/>
      </dsp:txXfrm>
    </dsp:sp>
    <dsp:sp modelId="{1EBEE26B-50D6-4229-BAC3-79BDBC99BA0B}">
      <dsp:nvSpPr>
        <dsp:cNvPr id="0" name=""/>
        <dsp:cNvSpPr/>
      </dsp:nvSpPr>
      <dsp:spPr>
        <a:xfrm>
          <a:off x="3453961" y="507365"/>
          <a:ext cx="709294" cy="709294"/>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3547978" y="653480"/>
        <a:ext cx="521260" cy="417064"/>
      </dsp:txXfrm>
    </dsp:sp>
    <dsp:sp modelId="{30EA95BA-5A23-4665-A88A-CB19643C5588}">
      <dsp:nvSpPr>
        <dsp:cNvPr id="0" name=""/>
        <dsp:cNvSpPr/>
      </dsp:nvSpPr>
      <dsp:spPr>
        <a:xfrm>
          <a:off x="4262556" y="250552"/>
          <a:ext cx="1222920" cy="122292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Investment in Government Securities</a:t>
          </a:r>
        </a:p>
      </dsp:txBody>
      <dsp:txXfrm>
        <a:off x="4441648" y="429644"/>
        <a:ext cx="864736" cy="86473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22D34-AB10-4806-84EC-A25F11104F68}">
      <dsp:nvSpPr>
        <dsp:cNvPr id="0" name=""/>
        <dsp:cNvSpPr/>
      </dsp:nvSpPr>
      <dsp:spPr>
        <a:xfrm rot="16200000">
          <a:off x="-727799" y="730746"/>
          <a:ext cx="2495550" cy="1034057"/>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91281" bIns="0" numCol="1" spcCol="1270" anchor="ctr" anchorCtr="0">
          <a:noAutofit/>
        </a:bodyPr>
        <a:lstStyle/>
        <a:p>
          <a:pPr lvl="0" algn="ctr" defTabSz="622300">
            <a:lnSpc>
              <a:spcPct val="90000"/>
            </a:lnSpc>
            <a:spcBef>
              <a:spcPct val="0"/>
            </a:spcBef>
            <a:spcAft>
              <a:spcPct val="35000"/>
            </a:spcAft>
          </a:pPr>
          <a:r>
            <a:rPr lang="en-US" sz="1400" b="0" i="0" u="none" kern="1200"/>
            <a:t>Debenture of Bangladesh Welding Electrodes Limited </a:t>
          </a:r>
          <a:endParaRPr lang="en-US" sz="1400" kern="1200"/>
        </a:p>
      </dsp:txBody>
      <dsp:txXfrm rot="5400000">
        <a:off x="2947" y="499110"/>
        <a:ext cx="1034057" cy="1497330"/>
      </dsp:txXfrm>
    </dsp:sp>
    <dsp:sp modelId="{821B6D4B-8654-4B7F-84D5-7AD873012018}">
      <dsp:nvSpPr>
        <dsp:cNvPr id="0" name=""/>
        <dsp:cNvSpPr/>
      </dsp:nvSpPr>
      <dsp:spPr>
        <a:xfrm rot="16200000">
          <a:off x="383812" y="730746"/>
          <a:ext cx="2495550" cy="1034057"/>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91281" bIns="0" numCol="1" spcCol="1270" anchor="ctr" anchorCtr="0">
          <a:noAutofit/>
        </a:bodyPr>
        <a:lstStyle/>
        <a:p>
          <a:pPr lvl="0" algn="ctr" defTabSz="622300">
            <a:lnSpc>
              <a:spcPct val="90000"/>
            </a:lnSpc>
            <a:spcBef>
              <a:spcPct val="0"/>
            </a:spcBef>
            <a:spcAft>
              <a:spcPct val="35000"/>
            </a:spcAft>
          </a:pPr>
          <a:r>
            <a:rPr lang="en-US" sz="1400" b="0" i="0" u="none" kern="1200"/>
            <a:t>Orascom bond </a:t>
          </a:r>
          <a:endParaRPr lang="en-US" sz="1400" kern="1200"/>
        </a:p>
      </dsp:txBody>
      <dsp:txXfrm rot="5400000">
        <a:off x="1114558" y="499110"/>
        <a:ext cx="1034057" cy="1497330"/>
      </dsp:txXfrm>
    </dsp:sp>
    <dsp:sp modelId="{54057813-35A8-4246-BF89-ED6EBDE594B4}">
      <dsp:nvSpPr>
        <dsp:cNvPr id="0" name=""/>
        <dsp:cNvSpPr/>
      </dsp:nvSpPr>
      <dsp:spPr>
        <a:xfrm rot="16200000">
          <a:off x="1495425" y="730746"/>
          <a:ext cx="2495550" cy="1034057"/>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91281" bIns="0" numCol="1" spcCol="1270" anchor="ctr" anchorCtr="0">
          <a:noAutofit/>
        </a:bodyPr>
        <a:lstStyle/>
        <a:p>
          <a:pPr lvl="0" algn="ctr" defTabSz="622300">
            <a:lnSpc>
              <a:spcPct val="90000"/>
            </a:lnSpc>
            <a:spcBef>
              <a:spcPct val="0"/>
            </a:spcBef>
            <a:spcAft>
              <a:spcPct val="35000"/>
            </a:spcAft>
          </a:pPr>
          <a:r>
            <a:rPr lang="en-US" sz="1400" b="0" i="0" u="none" kern="1200"/>
            <a:t>Mutual fund </a:t>
          </a:r>
          <a:endParaRPr lang="en-US" sz="1400" kern="1200"/>
        </a:p>
      </dsp:txBody>
      <dsp:txXfrm rot="5400000">
        <a:off x="2226171" y="499110"/>
        <a:ext cx="1034057" cy="1497330"/>
      </dsp:txXfrm>
    </dsp:sp>
    <dsp:sp modelId="{A9E0D2B0-B5F1-4EC9-80AF-EC1D38E8B296}">
      <dsp:nvSpPr>
        <dsp:cNvPr id="0" name=""/>
        <dsp:cNvSpPr/>
      </dsp:nvSpPr>
      <dsp:spPr>
        <a:xfrm rot="16200000">
          <a:off x="2607037" y="730746"/>
          <a:ext cx="2495550" cy="1034057"/>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91281" bIns="0" numCol="1" spcCol="1270" anchor="ctr" anchorCtr="0">
          <a:noAutofit/>
        </a:bodyPr>
        <a:lstStyle/>
        <a:p>
          <a:pPr lvl="0" algn="ctr" defTabSz="622300">
            <a:lnSpc>
              <a:spcPct val="90000"/>
            </a:lnSpc>
            <a:spcBef>
              <a:spcPct val="0"/>
            </a:spcBef>
            <a:spcAft>
              <a:spcPct val="35000"/>
            </a:spcAft>
          </a:pPr>
          <a:r>
            <a:rPr lang="en-US" sz="1400" b="0" i="0" u="none" kern="1200"/>
            <a:t>Investment in subsidiary </a:t>
          </a:r>
          <a:endParaRPr lang="en-US" sz="1400" b="0" kern="1200"/>
        </a:p>
      </dsp:txBody>
      <dsp:txXfrm rot="5400000">
        <a:off x="3337783" y="499110"/>
        <a:ext cx="1034057" cy="1497330"/>
      </dsp:txXfrm>
    </dsp:sp>
    <dsp:sp modelId="{3C3353FA-8B55-4997-A4AA-5D001DB407C9}">
      <dsp:nvSpPr>
        <dsp:cNvPr id="0" name=""/>
        <dsp:cNvSpPr/>
      </dsp:nvSpPr>
      <dsp:spPr>
        <a:xfrm rot="16200000">
          <a:off x="3718649" y="730746"/>
          <a:ext cx="2495550" cy="1034057"/>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91281" bIns="0" numCol="1" spcCol="1270" anchor="ctr" anchorCtr="0">
          <a:noAutofit/>
        </a:bodyPr>
        <a:lstStyle/>
        <a:p>
          <a:pPr lvl="0" algn="ctr" defTabSz="622300">
            <a:lnSpc>
              <a:spcPct val="90000"/>
            </a:lnSpc>
            <a:spcBef>
              <a:spcPct val="0"/>
            </a:spcBef>
            <a:spcAft>
              <a:spcPct val="35000"/>
            </a:spcAft>
          </a:pPr>
          <a:r>
            <a:rPr lang="en-US" sz="1400" b="0" i="0" u="none" kern="1200"/>
            <a:t>Shares </a:t>
          </a:r>
          <a:endParaRPr lang="en-US" sz="1400" kern="1200"/>
        </a:p>
      </dsp:txBody>
      <dsp:txXfrm rot="5400000">
        <a:off x="4449395" y="499110"/>
        <a:ext cx="1034057" cy="14973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363B95-DBCD-4186-A356-F0F062358733}">
      <dsp:nvSpPr>
        <dsp:cNvPr id="0" name=""/>
        <dsp:cNvSpPr/>
      </dsp:nvSpPr>
      <dsp:spPr>
        <a:xfrm>
          <a:off x="1607" y="156031"/>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bn-BD" sz="1300" kern="1200"/>
            <a:t>Quoted Shares</a:t>
          </a:r>
          <a:endParaRPr lang="en-US" sz="1300" kern="1200"/>
        </a:p>
      </dsp:txBody>
      <dsp:txXfrm>
        <a:off x="393263" y="156031"/>
        <a:ext cx="1174968" cy="783312"/>
      </dsp:txXfrm>
    </dsp:sp>
    <dsp:sp modelId="{C4001691-8D91-4741-BB8C-568F3C2B1AEC}">
      <dsp:nvSpPr>
        <dsp:cNvPr id="0" name=""/>
        <dsp:cNvSpPr/>
      </dsp:nvSpPr>
      <dsp:spPr>
        <a:xfrm>
          <a:off x="1764059" y="156031"/>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bn-BD" sz="1300" kern="1200"/>
            <a:t>Unquoted Ordinary Shares</a:t>
          </a:r>
          <a:endParaRPr lang="en-US" sz="1300" kern="1200"/>
        </a:p>
      </dsp:txBody>
      <dsp:txXfrm>
        <a:off x="2155715" y="156031"/>
        <a:ext cx="1174968" cy="783312"/>
      </dsp:txXfrm>
    </dsp:sp>
    <dsp:sp modelId="{E31DD44A-3A48-4FA1-ABC8-2B70083B1498}">
      <dsp:nvSpPr>
        <dsp:cNvPr id="0" name=""/>
        <dsp:cNvSpPr/>
      </dsp:nvSpPr>
      <dsp:spPr>
        <a:xfrm>
          <a:off x="3526512" y="156031"/>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bn-BD" sz="1300" kern="1200"/>
            <a:t>Unquoted Redeemable Preference Shares</a:t>
          </a:r>
          <a:endParaRPr lang="en-US" sz="1300" kern="1200"/>
        </a:p>
      </dsp:txBody>
      <dsp:txXfrm>
        <a:off x="3918168" y="156031"/>
        <a:ext cx="1174968" cy="7833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7D1B5-9976-49E6-8F27-A6CBDBA24A66}">
      <dsp:nvSpPr>
        <dsp:cNvPr id="0" name=""/>
        <dsp:cNvSpPr/>
      </dsp:nvSpPr>
      <dsp:spPr>
        <a:xfrm>
          <a:off x="2034196" y="22517"/>
          <a:ext cx="739612" cy="7396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On Demand</a:t>
          </a:r>
        </a:p>
      </dsp:txBody>
      <dsp:txXfrm>
        <a:off x="2034196" y="22517"/>
        <a:ext cx="739612" cy="739612"/>
      </dsp:txXfrm>
    </dsp:sp>
    <dsp:sp modelId="{FD686066-8E85-469D-B43B-6A2B687E1AE1}">
      <dsp:nvSpPr>
        <dsp:cNvPr id="0" name=""/>
        <dsp:cNvSpPr/>
      </dsp:nvSpPr>
      <dsp:spPr>
        <a:xfrm>
          <a:off x="295149" y="1216"/>
          <a:ext cx="2772025" cy="2772025"/>
        </a:xfrm>
        <a:prstGeom prst="circularArrow">
          <a:avLst>
            <a:gd name="adj1" fmla="val 5203"/>
            <a:gd name="adj2" fmla="val 336110"/>
            <a:gd name="adj3" fmla="val 72226"/>
            <a:gd name="adj4" fmla="val 19766941"/>
            <a:gd name="adj5" fmla="val 60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EBE17E-2E34-44AD-BFA0-A4C01880613C}">
      <dsp:nvSpPr>
        <dsp:cNvPr id="0" name=""/>
        <dsp:cNvSpPr/>
      </dsp:nvSpPr>
      <dsp:spPr>
        <a:xfrm>
          <a:off x="2480936" y="1532957"/>
          <a:ext cx="739612" cy="4685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1 month&lt;</a:t>
          </a:r>
        </a:p>
        <a:p>
          <a:pPr lvl="0" algn="ctr" defTabSz="533400">
            <a:lnSpc>
              <a:spcPct val="90000"/>
            </a:lnSpc>
            <a:spcBef>
              <a:spcPct val="0"/>
            </a:spcBef>
            <a:spcAft>
              <a:spcPct val="35000"/>
            </a:spcAft>
          </a:pPr>
          <a:r>
            <a:rPr lang="en-US" sz="1200" kern="1200"/>
            <a:t>3 months&gt;</a:t>
          </a:r>
        </a:p>
      </dsp:txBody>
      <dsp:txXfrm>
        <a:off x="2480936" y="1532957"/>
        <a:ext cx="739612" cy="468581"/>
      </dsp:txXfrm>
    </dsp:sp>
    <dsp:sp modelId="{7954B03E-8DA4-4807-950F-17AF457D5D3F}">
      <dsp:nvSpPr>
        <dsp:cNvPr id="0" name=""/>
        <dsp:cNvSpPr/>
      </dsp:nvSpPr>
      <dsp:spPr>
        <a:xfrm>
          <a:off x="295149" y="1216"/>
          <a:ext cx="2772025" cy="2772025"/>
        </a:xfrm>
        <a:prstGeom prst="circularArrow">
          <a:avLst>
            <a:gd name="adj1" fmla="val 5203"/>
            <a:gd name="adj2" fmla="val 336110"/>
            <a:gd name="adj3" fmla="val 3927123"/>
            <a:gd name="adj4" fmla="val 1798147"/>
            <a:gd name="adj5" fmla="val 60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AF0144-F8E1-4AD7-9891-DF2D8C8D8017}">
      <dsp:nvSpPr>
        <dsp:cNvPr id="0" name=""/>
        <dsp:cNvSpPr/>
      </dsp:nvSpPr>
      <dsp:spPr>
        <a:xfrm>
          <a:off x="1281882" y="2247191"/>
          <a:ext cx="798560" cy="7396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3 months &lt;</a:t>
          </a:r>
        </a:p>
        <a:p>
          <a:pPr lvl="0" algn="ctr" defTabSz="533400">
            <a:lnSpc>
              <a:spcPct val="90000"/>
            </a:lnSpc>
            <a:spcBef>
              <a:spcPct val="0"/>
            </a:spcBef>
            <a:spcAft>
              <a:spcPct val="35000"/>
            </a:spcAft>
          </a:pPr>
          <a:r>
            <a:rPr lang="en-US" sz="1200" kern="1200"/>
            <a:t>1 year&gt;</a:t>
          </a:r>
        </a:p>
      </dsp:txBody>
      <dsp:txXfrm>
        <a:off x="1281882" y="2247191"/>
        <a:ext cx="798560" cy="739612"/>
      </dsp:txXfrm>
    </dsp:sp>
    <dsp:sp modelId="{17021D16-13CA-454E-8B6E-699331ED22B1}">
      <dsp:nvSpPr>
        <dsp:cNvPr id="0" name=""/>
        <dsp:cNvSpPr/>
      </dsp:nvSpPr>
      <dsp:spPr>
        <a:xfrm>
          <a:off x="295149" y="1216"/>
          <a:ext cx="2772025" cy="2772025"/>
        </a:xfrm>
        <a:prstGeom prst="circularArrow">
          <a:avLst>
            <a:gd name="adj1" fmla="val 5203"/>
            <a:gd name="adj2" fmla="val 336110"/>
            <a:gd name="adj3" fmla="val 8209695"/>
            <a:gd name="adj4" fmla="val 6536767"/>
            <a:gd name="adj5" fmla="val 60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1EAB79-1749-4D83-8877-73B993B7D2A1}">
      <dsp:nvSpPr>
        <dsp:cNvPr id="0" name=""/>
        <dsp:cNvSpPr/>
      </dsp:nvSpPr>
      <dsp:spPr>
        <a:xfrm>
          <a:off x="141775" y="1397441"/>
          <a:ext cx="739612" cy="7396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1 year &lt; </a:t>
          </a:r>
        </a:p>
        <a:p>
          <a:pPr lvl="0" algn="ctr" defTabSz="533400">
            <a:lnSpc>
              <a:spcPct val="90000"/>
            </a:lnSpc>
            <a:spcBef>
              <a:spcPct val="0"/>
            </a:spcBef>
            <a:spcAft>
              <a:spcPct val="35000"/>
            </a:spcAft>
          </a:pPr>
          <a:r>
            <a:rPr lang="en-US" sz="1200" kern="1200"/>
            <a:t>5 years&gt;</a:t>
          </a:r>
        </a:p>
      </dsp:txBody>
      <dsp:txXfrm>
        <a:off x="141775" y="1397441"/>
        <a:ext cx="739612" cy="739612"/>
      </dsp:txXfrm>
    </dsp:sp>
    <dsp:sp modelId="{BEDC93B2-3088-4E86-9699-50D5BD5FCDCE}">
      <dsp:nvSpPr>
        <dsp:cNvPr id="0" name=""/>
        <dsp:cNvSpPr/>
      </dsp:nvSpPr>
      <dsp:spPr>
        <a:xfrm>
          <a:off x="295149" y="1216"/>
          <a:ext cx="2772025" cy="2772025"/>
        </a:xfrm>
        <a:prstGeom prst="circularArrow">
          <a:avLst>
            <a:gd name="adj1" fmla="val 5203"/>
            <a:gd name="adj2" fmla="val 336110"/>
            <a:gd name="adj3" fmla="val 12296949"/>
            <a:gd name="adj4" fmla="val 10771450"/>
            <a:gd name="adj5" fmla="val 60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9B21DF-25F2-40BB-B355-618A1BE80681}">
      <dsp:nvSpPr>
        <dsp:cNvPr id="0" name=""/>
        <dsp:cNvSpPr/>
      </dsp:nvSpPr>
      <dsp:spPr>
        <a:xfrm>
          <a:off x="588515" y="22517"/>
          <a:ext cx="739612" cy="7396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5 years &lt;</a:t>
          </a:r>
        </a:p>
      </dsp:txBody>
      <dsp:txXfrm>
        <a:off x="588515" y="22517"/>
        <a:ext cx="739612" cy="739612"/>
      </dsp:txXfrm>
    </dsp:sp>
    <dsp:sp modelId="{6F701C4D-7ABD-4658-ABDC-9CC0A1B04F95}">
      <dsp:nvSpPr>
        <dsp:cNvPr id="0" name=""/>
        <dsp:cNvSpPr/>
      </dsp:nvSpPr>
      <dsp:spPr>
        <a:xfrm>
          <a:off x="295149" y="1216"/>
          <a:ext cx="2772025" cy="2772025"/>
        </a:xfrm>
        <a:prstGeom prst="circularArrow">
          <a:avLst>
            <a:gd name="adj1" fmla="val 5203"/>
            <a:gd name="adj2" fmla="val 336110"/>
            <a:gd name="adj3" fmla="val 16864859"/>
            <a:gd name="adj4" fmla="val 15199031"/>
            <a:gd name="adj5" fmla="val 60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4E237-5838-4347-97C1-B90AA587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13362</Words>
  <Characters>76170</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dc:creator>
  <cp:lastModifiedBy>enamul</cp:lastModifiedBy>
  <cp:revision>4</cp:revision>
  <dcterms:created xsi:type="dcterms:W3CDTF">2018-09-29T09:34:00Z</dcterms:created>
  <dcterms:modified xsi:type="dcterms:W3CDTF">2018-11-06T08:38:00Z</dcterms:modified>
</cp:coreProperties>
</file>